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3BC6F8">
      <w:pPr>
        <w:rPr>
          <w:rFonts w:ascii="仿宋_GB2312" w:hAnsi="仿宋_GB2312" w:eastAsia="仿宋_GB2312" w:cs="仿宋_GB2312"/>
          <w:sz w:val="36"/>
          <w:szCs w:val="36"/>
        </w:rPr>
      </w:pPr>
      <w:bookmarkStart w:id="0" w:name="_Hlk57883707"/>
    </w:p>
    <w:p w14:paraId="764CE38B">
      <w:pPr>
        <w:rPr>
          <w:rFonts w:ascii="仿宋_GB2312" w:hAnsi="仿宋_GB2312" w:eastAsia="仿宋_GB2312" w:cs="仿宋_GB2312"/>
          <w:sz w:val="36"/>
          <w:szCs w:val="36"/>
        </w:rPr>
      </w:pPr>
    </w:p>
    <w:p w14:paraId="7EC24853">
      <w:pPr>
        <w:rPr>
          <w:rFonts w:ascii="仿宋_GB2312" w:hAnsi="仿宋_GB2312" w:eastAsia="仿宋_GB2312" w:cs="仿宋_GB2312"/>
          <w:sz w:val="36"/>
          <w:szCs w:val="36"/>
        </w:rPr>
      </w:pPr>
    </w:p>
    <w:p w14:paraId="7E5D89AA">
      <w:pPr>
        <w:rPr>
          <w:rFonts w:ascii="仿宋_GB2312" w:hAnsi="仿宋_GB2312" w:eastAsia="仿宋_GB2312" w:cs="仿宋_GB2312"/>
          <w:sz w:val="36"/>
          <w:szCs w:val="36"/>
        </w:rPr>
      </w:pPr>
    </w:p>
    <w:bookmarkEnd w:id="0"/>
    <w:p w14:paraId="65774627">
      <w:pPr>
        <w:adjustRightInd w:val="0"/>
        <w:snapToGrid w:val="0"/>
        <w:jc w:val="center"/>
        <w:outlineLvl w:val="0"/>
        <w:rPr>
          <w:rFonts w:ascii="方正小标宋_GBK" w:eastAsia="方正小标宋_GBK"/>
          <w:bCs/>
          <w:sz w:val="72"/>
          <w:szCs w:val="72"/>
        </w:rPr>
      </w:pPr>
      <w:r>
        <w:rPr>
          <w:rFonts w:hint="eastAsia" w:ascii="方正小标宋_GBK" w:eastAsia="方正小标宋_GBK"/>
          <w:bCs/>
          <w:sz w:val="72"/>
          <w:szCs w:val="72"/>
        </w:rPr>
        <w:t>建设项目环境影响报告表</w:t>
      </w:r>
    </w:p>
    <w:p w14:paraId="2BCB28B3">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（生态影响类）</w:t>
      </w:r>
    </w:p>
    <w:p w14:paraId="2BE52F66">
      <w:pPr>
        <w:adjustRightInd w:val="0"/>
        <w:snapToGrid w:val="0"/>
        <w:spacing w:line="288" w:lineRule="auto"/>
        <w:jc w:val="center"/>
        <w:outlineLvl w:val="0"/>
        <w:rPr>
          <w:rFonts w:ascii="华文仿宋" w:hAnsi="华文仿宋" w:eastAsia="华文仿宋" w:cs="华文仿宋"/>
          <w:kern w:val="44"/>
          <w:sz w:val="44"/>
          <w:szCs w:val="44"/>
        </w:rPr>
      </w:pPr>
      <w:bookmarkStart w:id="1" w:name="_Hlk57883728"/>
    </w:p>
    <w:p w14:paraId="125823C4">
      <w:pPr>
        <w:jc w:val="center"/>
        <w:rPr>
          <w:rFonts w:eastAsia="仿宋"/>
          <w:sz w:val="52"/>
          <w:szCs w:val="52"/>
        </w:rPr>
      </w:pPr>
    </w:p>
    <w:p w14:paraId="5A60C329">
      <w:pPr>
        <w:ind w:firstLine="1040"/>
        <w:rPr>
          <w:rFonts w:eastAsia="仿宋"/>
          <w:sz w:val="44"/>
          <w:szCs w:val="44"/>
        </w:rPr>
      </w:pPr>
    </w:p>
    <w:p w14:paraId="4D2BD522">
      <w:pPr>
        <w:ind w:firstLine="1040"/>
        <w:rPr>
          <w:rFonts w:eastAsia="仿宋"/>
          <w:sz w:val="44"/>
          <w:szCs w:val="44"/>
        </w:rPr>
      </w:pPr>
    </w:p>
    <w:p w14:paraId="259C6001">
      <w:pPr>
        <w:ind w:firstLine="1040"/>
        <w:rPr>
          <w:rFonts w:eastAsia="仿宋"/>
          <w:sz w:val="44"/>
          <w:szCs w:val="44"/>
        </w:rPr>
      </w:pPr>
    </w:p>
    <w:p w14:paraId="7B1BDA5B">
      <w:pPr>
        <w:ind w:firstLine="1040"/>
        <w:rPr>
          <w:rFonts w:eastAsia="仿宋"/>
          <w:sz w:val="44"/>
          <w:szCs w:val="44"/>
        </w:rPr>
      </w:pPr>
    </w:p>
    <w:bookmarkEnd w:id="1"/>
    <w:p w14:paraId="7694C6A6">
      <w:pPr>
        <w:adjustRightInd w:val="0"/>
        <w:snapToGrid w:val="0"/>
        <w:spacing w:line="288" w:lineRule="auto"/>
        <w:ind w:left="1984" w:leftChars="135" w:hanging="1701"/>
        <w:rPr>
          <w:rFonts w:ascii="仿宋_GB2312" w:eastAsia="仿宋_GB2312"/>
          <w:sz w:val="36"/>
          <w:szCs w:val="36"/>
          <w:u w:val="single"/>
        </w:rPr>
      </w:pPr>
      <w:r>
        <w:rPr>
          <w:rFonts w:hint="eastAsia" w:ascii="仿宋_GB2312" w:eastAsia="仿宋_GB2312"/>
          <w:sz w:val="36"/>
          <w:szCs w:val="36"/>
        </w:rPr>
        <w:t>项目名称：</w:t>
      </w:r>
      <w:r>
        <w:rPr>
          <w:rFonts w:hint="eastAsia" w:ascii="仿宋_GB2312" w:eastAsia="仿宋_GB2312"/>
          <w:sz w:val="36"/>
          <w:szCs w:val="36"/>
          <w:u w:val="single"/>
        </w:rPr>
        <w:t>黑龙江龙煤鸡西矿业有限责任公司平岗煤矿辅助提升系统改造项目</w:t>
      </w:r>
    </w:p>
    <w:p w14:paraId="4495B63B">
      <w:pPr>
        <w:adjustRightInd w:val="0"/>
        <w:snapToGrid w:val="0"/>
        <w:spacing w:line="288" w:lineRule="auto"/>
        <w:ind w:left="1843" w:leftChars="135" w:hanging="1560"/>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rPr>
        <w:t>黑龙江龙煤鸡西矿业有限责任公司</w:t>
      </w:r>
    </w:p>
    <w:p w14:paraId="3E7CCCE0">
      <w:pPr>
        <w:adjustRightInd w:val="0"/>
        <w:snapToGrid w:val="0"/>
        <w:spacing w:line="288" w:lineRule="auto"/>
        <w:ind w:left="3684" w:leftChars="135" w:hanging="3401"/>
        <w:rPr>
          <w:rFonts w:ascii="仿宋_GB2312" w:eastAsia="仿宋_GB2312"/>
          <w:sz w:val="36"/>
          <w:szCs w:val="36"/>
          <w:u w:val="single"/>
        </w:rPr>
      </w:pPr>
      <w:r>
        <w:rPr>
          <w:rFonts w:hint="eastAsia" w:ascii="仿宋_GB2312" w:eastAsia="仿宋_GB2312"/>
          <w:sz w:val="36"/>
          <w:szCs w:val="36"/>
        </w:rPr>
        <w:t>编制日期：</w:t>
      </w:r>
      <w:r>
        <w:rPr>
          <w:rFonts w:ascii="仿宋_GB2312" w:eastAsia="仿宋_GB2312"/>
          <w:sz w:val="36"/>
          <w:szCs w:val="36"/>
          <w:u w:val="single"/>
        </w:rPr>
        <w:t>202</w:t>
      </w:r>
      <w:r>
        <w:rPr>
          <w:rFonts w:hint="eastAsia" w:ascii="仿宋_GB2312" w:eastAsia="仿宋_GB2312"/>
          <w:sz w:val="36"/>
          <w:szCs w:val="36"/>
          <w:u w:val="single"/>
          <w:lang w:val="en-US" w:eastAsia="zh-CN"/>
        </w:rPr>
        <w:t>6</w:t>
      </w:r>
      <w:r>
        <w:rPr>
          <w:rFonts w:hint="eastAsia" w:ascii="仿宋_GB2312" w:eastAsia="仿宋_GB2312"/>
          <w:sz w:val="36"/>
          <w:szCs w:val="36"/>
          <w:u w:val="single"/>
        </w:rPr>
        <w:t>年</w:t>
      </w:r>
      <w:r>
        <w:rPr>
          <w:rFonts w:hint="eastAsia" w:ascii="仿宋_GB2312" w:eastAsia="仿宋_GB2312"/>
          <w:sz w:val="36"/>
          <w:szCs w:val="36"/>
          <w:u w:val="single"/>
          <w:lang w:val="en-US" w:eastAsia="zh-CN"/>
        </w:rPr>
        <w:t>6</w:t>
      </w:r>
      <w:r>
        <w:rPr>
          <w:rFonts w:hint="eastAsia" w:ascii="仿宋_GB2312" w:eastAsia="仿宋_GB2312"/>
          <w:sz w:val="36"/>
          <w:szCs w:val="36"/>
          <w:u w:val="single"/>
        </w:rPr>
        <w:t>月</w:t>
      </w:r>
      <w:r>
        <w:rPr>
          <w:rFonts w:ascii="仿宋_GB2312" w:eastAsia="仿宋_GB2312"/>
          <w:sz w:val="36"/>
          <w:szCs w:val="36"/>
          <w:u w:val="single"/>
        </w:rPr>
        <w:t xml:space="preserve"> </w:t>
      </w:r>
    </w:p>
    <w:p w14:paraId="54CC863D">
      <w:pPr>
        <w:adjustRightInd w:val="0"/>
        <w:snapToGrid w:val="0"/>
        <w:spacing w:line="288" w:lineRule="auto"/>
        <w:ind w:firstLine="1040"/>
        <w:rPr>
          <w:rFonts w:ascii="仿宋_GB2312" w:eastAsia="仿宋_GB2312"/>
          <w:sz w:val="36"/>
          <w:szCs w:val="36"/>
          <w:u w:val="single"/>
        </w:rPr>
      </w:pPr>
    </w:p>
    <w:p w14:paraId="4546BC55">
      <w:pPr>
        <w:adjustRightInd w:val="0"/>
        <w:snapToGrid w:val="0"/>
        <w:spacing w:line="288" w:lineRule="auto"/>
        <w:ind w:firstLine="1040"/>
        <w:rPr>
          <w:rFonts w:ascii="仿宋_GB2312" w:eastAsia="仿宋_GB2312"/>
          <w:sz w:val="36"/>
          <w:szCs w:val="36"/>
        </w:rPr>
      </w:pPr>
    </w:p>
    <w:p w14:paraId="45B3F17B">
      <w:pPr>
        <w:adjustRightInd w:val="0"/>
        <w:snapToGrid w:val="0"/>
        <w:spacing w:line="288" w:lineRule="auto"/>
        <w:ind w:firstLine="1040"/>
        <w:rPr>
          <w:rFonts w:ascii="仿宋_GB2312" w:eastAsia="仿宋_GB2312"/>
          <w:sz w:val="36"/>
          <w:szCs w:val="36"/>
        </w:rPr>
      </w:pPr>
    </w:p>
    <w:p w14:paraId="2343C50A">
      <w:pPr>
        <w:adjustRightInd w:val="0"/>
        <w:snapToGrid w:val="0"/>
        <w:spacing w:line="288" w:lineRule="auto"/>
        <w:ind w:firstLine="1040"/>
        <w:rPr>
          <w:rFonts w:ascii="仿宋_GB2312" w:eastAsia="仿宋_GB2312"/>
          <w:sz w:val="36"/>
          <w:szCs w:val="36"/>
        </w:rPr>
      </w:pPr>
    </w:p>
    <w:p w14:paraId="2FAA5326">
      <w:pPr>
        <w:adjustRightInd w:val="0"/>
        <w:snapToGrid w:val="0"/>
        <w:spacing w:line="288" w:lineRule="auto"/>
        <w:jc w:val="center"/>
        <w:rPr>
          <w:rFonts w:ascii="楷体_GB2312" w:eastAsia="楷体_GB2312"/>
          <w:sz w:val="36"/>
          <w:szCs w:val="36"/>
        </w:rPr>
        <w:sectPr>
          <w:footerReference r:id="rId3" w:type="default"/>
          <w:footerReference r:id="rId4" w:type="even"/>
          <w:pgSz w:w="11906" w:h="16838"/>
          <w:pgMar w:top="1701" w:right="1531" w:bottom="1701" w:left="1531" w:header="851" w:footer="1077" w:gutter="0"/>
          <w:pgNumType w:start="21"/>
          <w:cols w:space="720" w:num="1"/>
          <w:docGrid w:linePitch="312" w:charSpace="0"/>
        </w:sectPr>
      </w:pPr>
      <w:r>
        <w:rPr>
          <w:rFonts w:hint="eastAsia" w:ascii="楷体_GB2312" w:eastAsia="楷体_GB2312"/>
          <w:sz w:val="36"/>
          <w:szCs w:val="36"/>
        </w:rPr>
        <w:t>中华人民共和国生态环境部制</w:t>
      </w:r>
    </w:p>
    <w:p w14:paraId="43322124">
      <w:pPr>
        <w:adjustRightInd w:val="0"/>
        <w:snapToGrid w:val="0"/>
        <w:jc w:val="center"/>
        <w:rPr>
          <w:rFonts w:ascii="楷体_GB2312" w:eastAsia="楷体_GB2312"/>
          <w:sz w:val="36"/>
          <w:szCs w:val="36"/>
        </w:rPr>
      </w:pPr>
      <w:bookmarkStart w:id="16" w:name="_GoBack"/>
      <w:r>
        <w:drawing>
          <wp:inline distT="0" distB="0" distL="114300" distR="114300">
            <wp:extent cx="5654675" cy="7066280"/>
            <wp:effectExtent l="0" t="0" r="3175" b="127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7"/>
                    <a:stretch>
                      <a:fillRect/>
                    </a:stretch>
                  </pic:blipFill>
                  <pic:spPr>
                    <a:xfrm>
                      <a:off x="0" y="0"/>
                      <a:ext cx="5654675" cy="7066280"/>
                    </a:xfrm>
                    <a:prstGeom prst="rect">
                      <a:avLst/>
                    </a:prstGeom>
                    <a:noFill/>
                    <a:ln>
                      <a:noFill/>
                    </a:ln>
                  </pic:spPr>
                </pic:pic>
              </a:graphicData>
            </a:graphic>
          </wp:inline>
        </w:drawing>
      </w:r>
      <w:bookmarkEnd w:id="16"/>
    </w:p>
    <w:p w14:paraId="05E928E2">
      <w:pPr>
        <w:adjustRightInd w:val="0"/>
        <w:snapToGrid w:val="0"/>
        <w:spacing w:line="288" w:lineRule="auto"/>
        <w:ind w:firstLine="1040"/>
        <w:rPr>
          <w:rFonts w:ascii="仿宋_GB2312" w:eastAsia="仿宋_GB2312"/>
          <w:sz w:val="36"/>
          <w:szCs w:val="36"/>
        </w:rPr>
        <w:sectPr>
          <w:pgSz w:w="11906" w:h="16838"/>
          <w:pgMar w:top="1701" w:right="1531" w:bottom="1701" w:left="1531" w:header="851" w:footer="1077" w:gutter="0"/>
          <w:pgNumType w:start="21"/>
          <w:cols w:space="720" w:num="1"/>
          <w:docGrid w:linePitch="312" w:charSpace="0"/>
        </w:sectPr>
      </w:pPr>
    </w:p>
    <w:p w14:paraId="072855CB">
      <w:pPr>
        <w:pStyle w:val="18"/>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3"/>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226"/>
        <w:gridCol w:w="2043"/>
        <w:gridCol w:w="2218"/>
        <w:gridCol w:w="10"/>
        <w:gridCol w:w="2542"/>
      </w:tblGrid>
      <w:tr w14:paraId="6B8D4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316FF489">
            <w:pPr>
              <w:adjustRightInd w:val="0"/>
              <w:snapToGrid w:val="0"/>
              <w:jc w:val="center"/>
              <w:rPr>
                <w:rFonts w:ascii="宋体" w:hAnsi="宋体" w:cs="宋体"/>
                <w:szCs w:val="21"/>
              </w:rPr>
            </w:pPr>
            <w:r>
              <w:rPr>
                <w:rFonts w:hint="eastAsia" w:ascii="宋体" w:hAnsi="宋体" w:cs="宋体"/>
                <w:szCs w:val="21"/>
              </w:rPr>
              <w:t>建设项目名称</w:t>
            </w:r>
          </w:p>
        </w:tc>
        <w:tc>
          <w:tcPr>
            <w:tcW w:w="6813" w:type="dxa"/>
            <w:gridSpan w:val="4"/>
            <w:vAlign w:val="center"/>
          </w:tcPr>
          <w:p w14:paraId="2F04F08E">
            <w:pPr>
              <w:adjustRightInd w:val="0"/>
              <w:snapToGrid w:val="0"/>
              <w:jc w:val="center"/>
              <w:rPr>
                <w:rFonts w:ascii="宋体" w:hAnsi="宋体" w:cs="宋体"/>
                <w:szCs w:val="21"/>
              </w:rPr>
            </w:pPr>
            <w:r>
              <w:rPr>
                <w:rFonts w:hint="eastAsia" w:ascii="宋体" w:hAnsi="宋体" w:cs="宋体"/>
                <w:szCs w:val="21"/>
              </w:rPr>
              <w:t>黑龙江龙煤鸡西矿业有限责任公司平岗煤矿辅助提升系统改造项目</w:t>
            </w:r>
          </w:p>
        </w:tc>
      </w:tr>
      <w:tr w14:paraId="63A340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2603E515">
            <w:pPr>
              <w:adjustRightInd w:val="0"/>
              <w:snapToGrid w:val="0"/>
              <w:jc w:val="center"/>
              <w:rPr>
                <w:rFonts w:ascii="宋体" w:hAnsi="宋体" w:cs="宋体"/>
                <w:szCs w:val="21"/>
              </w:rPr>
            </w:pPr>
            <w:r>
              <w:rPr>
                <w:rFonts w:hint="eastAsia" w:ascii="宋体" w:hAnsi="宋体" w:cs="宋体"/>
                <w:szCs w:val="21"/>
              </w:rPr>
              <w:t>项目代码</w:t>
            </w:r>
          </w:p>
        </w:tc>
        <w:tc>
          <w:tcPr>
            <w:tcW w:w="6813" w:type="dxa"/>
            <w:gridSpan w:val="4"/>
            <w:vAlign w:val="center"/>
          </w:tcPr>
          <w:p w14:paraId="7E782EAB">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2107-230305-04-02-708412</w:t>
            </w:r>
          </w:p>
        </w:tc>
      </w:tr>
      <w:tr w14:paraId="7E9BCE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08E945DF">
            <w:pPr>
              <w:adjustRightInd w:val="0"/>
              <w:snapToGrid w:val="0"/>
              <w:jc w:val="center"/>
              <w:rPr>
                <w:rFonts w:ascii="宋体" w:hAnsi="宋体" w:cs="宋体"/>
                <w:szCs w:val="21"/>
              </w:rPr>
            </w:pPr>
            <w:r>
              <w:rPr>
                <w:rFonts w:hint="eastAsia" w:ascii="宋体" w:hAnsi="宋体" w:cs="宋体"/>
                <w:szCs w:val="21"/>
              </w:rPr>
              <w:t>建设单位联系人</w:t>
            </w:r>
          </w:p>
        </w:tc>
        <w:tc>
          <w:tcPr>
            <w:tcW w:w="2043" w:type="dxa"/>
            <w:vAlign w:val="center"/>
          </w:tcPr>
          <w:p w14:paraId="782A28D1">
            <w:pPr>
              <w:adjustRightInd w:val="0"/>
              <w:snapToGrid w:val="0"/>
              <w:jc w:val="center"/>
              <w:rPr>
                <w:rFonts w:ascii="宋体" w:hAnsi="宋体" w:cs="宋体"/>
                <w:szCs w:val="21"/>
              </w:rPr>
            </w:pPr>
            <w:r>
              <w:rPr>
                <w:rFonts w:hint="eastAsia" w:ascii="宋体" w:hAnsi="宋体" w:cs="宋体"/>
                <w:szCs w:val="21"/>
              </w:rPr>
              <w:t>付玉生</w:t>
            </w:r>
          </w:p>
        </w:tc>
        <w:tc>
          <w:tcPr>
            <w:tcW w:w="2228" w:type="dxa"/>
            <w:gridSpan w:val="2"/>
            <w:vAlign w:val="center"/>
          </w:tcPr>
          <w:p w14:paraId="046CCB99">
            <w:pPr>
              <w:adjustRightInd w:val="0"/>
              <w:snapToGrid w:val="0"/>
              <w:jc w:val="center"/>
              <w:rPr>
                <w:rFonts w:ascii="宋体" w:hAnsi="宋体" w:cs="宋体"/>
                <w:szCs w:val="21"/>
              </w:rPr>
            </w:pPr>
            <w:r>
              <w:rPr>
                <w:rFonts w:hint="eastAsia" w:ascii="宋体" w:hAnsi="宋体" w:cs="宋体"/>
                <w:szCs w:val="21"/>
              </w:rPr>
              <w:t>联系方式</w:t>
            </w:r>
          </w:p>
        </w:tc>
        <w:tc>
          <w:tcPr>
            <w:tcW w:w="2542" w:type="dxa"/>
            <w:vAlign w:val="center"/>
          </w:tcPr>
          <w:p w14:paraId="5CCB4ED3">
            <w:pPr>
              <w:adjustRightInd w:val="0"/>
              <w:snapToGrid w:val="0"/>
              <w:jc w:val="center"/>
              <w:rPr>
                <w:rFonts w:ascii="宋体" w:hAnsi="宋体" w:cs="宋体"/>
                <w:szCs w:val="21"/>
              </w:rPr>
            </w:pPr>
            <w:r>
              <w:rPr>
                <w:rFonts w:hint="eastAsia" w:ascii="宋体" w:hAnsi="宋体" w:cs="宋体"/>
                <w:szCs w:val="21"/>
              </w:rPr>
              <w:t>1</w:t>
            </w:r>
            <w:r>
              <w:rPr>
                <w:rFonts w:ascii="宋体" w:hAnsi="宋体" w:cs="宋体"/>
                <w:szCs w:val="21"/>
              </w:rPr>
              <w:t>3796456212</w:t>
            </w:r>
          </w:p>
        </w:tc>
      </w:tr>
      <w:tr w14:paraId="32E52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3A5BE8CD">
            <w:pPr>
              <w:adjustRightInd w:val="0"/>
              <w:snapToGrid w:val="0"/>
              <w:jc w:val="center"/>
              <w:rPr>
                <w:rFonts w:ascii="宋体" w:hAnsi="宋体" w:cs="宋体"/>
                <w:szCs w:val="21"/>
              </w:rPr>
            </w:pPr>
            <w:r>
              <w:rPr>
                <w:rFonts w:hint="eastAsia" w:ascii="宋体" w:hAnsi="宋体" w:cs="宋体"/>
                <w:szCs w:val="21"/>
              </w:rPr>
              <w:t>建设地点</w:t>
            </w:r>
          </w:p>
        </w:tc>
        <w:tc>
          <w:tcPr>
            <w:tcW w:w="6813" w:type="dxa"/>
            <w:gridSpan w:val="4"/>
            <w:vAlign w:val="center"/>
          </w:tcPr>
          <w:p w14:paraId="72FEC554">
            <w:pPr>
              <w:adjustRightInd w:val="0"/>
              <w:snapToGrid w:val="0"/>
              <w:jc w:val="center"/>
              <w:rPr>
                <w:szCs w:val="21"/>
              </w:rPr>
            </w:pPr>
            <w:r>
              <w:rPr>
                <w:szCs w:val="21"/>
              </w:rPr>
              <w:t>黑龙江省鸡西市梨树区，距鸡西市28km、距梨树镇9.0km</w:t>
            </w:r>
          </w:p>
        </w:tc>
      </w:tr>
      <w:tr w14:paraId="1ADBFE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1BC73474">
            <w:pPr>
              <w:adjustRightInd w:val="0"/>
              <w:snapToGrid w:val="0"/>
              <w:jc w:val="center"/>
              <w:rPr>
                <w:rFonts w:ascii="宋体" w:hAnsi="宋体" w:cs="宋体"/>
                <w:szCs w:val="21"/>
              </w:rPr>
            </w:pPr>
            <w:r>
              <w:rPr>
                <w:rFonts w:hint="eastAsia" w:ascii="宋体" w:hAnsi="宋体" w:cs="宋体"/>
                <w:szCs w:val="21"/>
              </w:rPr>
              <w:t>地理坐标</w:t>
            </w:r>
          </w:p>
        </w:tc>
        <w:tc>
          <w:tcPr>
            <w:tcW w:w="6813" w:type="dxa"/>
            <w:gridSpan w:val="4"/>
            <w:vAlign w:val="center"/>
          </w:tcPr>
          <w:p w14:paraId="44340621">
            <w:pPr>
              <w:adjustRightInd w:val="0"/>
              <w:snapToGrid w:val="0"/>
              <w:jc w:val="center"/>
              <w:rPr>
                <w:szCs w:val="21"/>
              </w:rPr>
            </w:pPr>
            <w:r>
              <w:rPr>
                <w:szCs w:val="21"/>
              </w:rPr>
              <w:t>（</w:t>
            </w:r>
            <w:r>
              <w:rPr>
                <w:szCs w:val="21"/>
                <w:u w:val="single"/>
              </w:rPr>
              <w:t xml:space="preserve"> 130 </w:t>
            </w:r>
            <w:r>
              <w:rPr>
                <w:szCs w:val="21"/>
              </w:rPr>
              <w:t>度</w:t>
            </w:r>
            <w:r>
              <w:rPr>
                <w:szCs w:val="21"/>
                <w:u w:val="single"/>
              </w:rPr>
              <w:t xml:space="preserve"> 46 </w:t>
            </w:r>
            <w:r>
              <w:rPr>
                <w:szCs w:val="21"/>
              </w:rPr>
              <w:t>分</w:t>
            </w:r>
            <w:r>
              <w:rPr>
                <w:szCs w:val="21"/>
                <w:u w:val="single"/>
              </w:rPr>
              <w:t xml:space="preserve"> </w:t>
            </w:r>
            <w:r>
              <w:rPr>
                <w:rFonts w:hint="eastAsia"/>
                <w:szCs w:val="21"/>
                <w:u w:val="single"/>
                <w:lang w:val="en-US" w:eastAsia="zh-CN"/>
              </w:rPr>
              <w:t>48.251</w:t>
            </w:r>
            <w:r>
              <w:rPr>
                <w:szCs w:val="21"/>
                <w:u w:val="single"/>
              </w:rPr>
              <w:t xml:space="preserve"> </w:t>
            </w:r>
            <w:r>
              <w:rPr>
                <w:szCs w:val="21"/>
              </w:rPr>
              <w:t>秒，</w:t>
            </w:r>
            <w:r>
              <w:rPr>
                <w:szCs w:val="21"/>
                <w:u w:val="single"/>
              </w:rPr>
              <w:t xml:space="preserve"> 45 </w:t>
            </w:r>
            <w:r>
              <w:rPr>
                <w:szCs w:val="21"/>
              </w:rPr>
              <w:t>度</w:t>
            </w:r>
            <w:r>
              <w:rPr>
                <w:szCs w:val="21"/>
                <w:u w:val="single"/>
              </w:rPr>
              <w:t xml:space="preserve"> 07 </w:t>
            </w:r>
            <w:r>
              <w:rPr>
                <w:szCs w:val="21"/>
              </w:rPr>
              <w:t>分</w:t>
            </w:r>
            <w:r>
              <w:rPr>
                <w:szCs w:val="21"/>
                <w:u w:val="single"/>
              </w:rPr>
              <w:t xml:space="preserve"> </w:t>
            </w:r>
            <w:r>
              <w:rPr>
                <w:rFonts w:hint="eastAsia"/>
                <w:szCs w:val="21"/>
                <w:u w:val="single"/>
                <w:lang w:val="en-US" w:eastAsia="zh-CN"/>
              </w:rPr>
              <w:t>38.761</w:t>
            </w:r>
            <w:r>
              <w:rPr>
                <w:szCs w:val="21"/>
                <w:u w:val="single"/>
              </w:rPr>
              <w:t xml:space="preserve"> </w:t>
            </w:r>
            <w:r>
              <w:rPr>
                <w:szCs w:val="21"/>
              </w:rPr>
              <w:t>秒）</w:t>
            </w:r>
          </w:p>
        </w:tc>
      </w:tr>
      <w:tr w14:paraId="107537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04BE43AC">
            <w:pPr>
              <w:adjustRightInd w:val="0"/>
              <w:snapToGrid w:val="0"/>
              <w:jc w:val="center"/>
              <w:rPr>
                <w:rFonts w:ascii="宋体" w:hAnsi="宋体" w:cs="宋体"/>
                <w:szCs w:val="21"/>
              </w:rPr>
            </w:pPr>
            <w:r>
              <w:rPr>
                <w:rFonts w:hint="eastAsia" w:ascii="宋体" w:hAnsi="宋体" w:cs="宋体"/>
                <w:szCs w:val="21"/>
              </w:rPr>
              <w:t>建设项目</w:t>
            </w:r>
          </w:p>
          <w:p w14:paraId="1236DD8D">
            <w:pPr>
              <w:adjustRightInd w:val="0"/>
              <w:snapToGrid w:val="0"/>
              <w:jc w:val="center"/>
              <w:rPr>
                <w:rFonts w:ascii="宋体" w:hAnsi="宋体" w:cs="宋体"/>
                <w:szCs w:val="21"/>
              </w:rPr>
            </w:pPr>
            <w:r>
              <w:rPr>
                <w:rFonts w:hint="eastAsia" w:ascii="宋体" w:hAnsi="宋体" w:cs="宋体"/>
                <w:szCs w:val="21"/>
              </w:rPr>
              <w:t>行业类别</w:t>
            </w:r>
          </w:p>
        </w:tc>
        <w:tc>
          <w:tcPr>
            <w:tcW w:w="2043" w:type="dxa"/>
            <w:vAlign w:val="center"/>
          </w:tcPr>
          <w:p w14:paraId="5DDE2950">
            <w:pPr>
              <w:adjustRightInd w:val="0"/>
              <w:snapToGrid w:val="0"/>
              <w:jc w:val="center"/>
              <w:rPr>
                <w:szCs w:val="21"/>
              </w:rPr>
            </w:pPr>
            <w:r>
              <w:rPr>
                <w:rFonts w:hint="eastAsia"/>
                <w:szCs w:val="21"/>
              </w:rPr>
              <w:t>四、煤炭开采和洗选业中“风井场地”</w:t>
            </w:r>
          </w:p>
        </w:tc>
        <w:tc>
          <w:tcPr>
            <w:tcW w:w="2218" w:type="dxa"/>
            <w:vAlign w:val="center"/>
          </w:tcPr>
          <w:p w14:paraId="2EE3B9A8">
            <w:pPr>
              <w:adjustRightInd w:val="0"/>
              <w:snapToGrid w:val="0"/>
              <w:jc w:val="center"/>
              <w:rPr>
                <w:szCs w:val="21"/>
              </w:rPr>
            </w:pPr>
            <w:r>
              <w:rPr>
                <w:szCs w:val="21"/>
              </w:rPr>
              <w:t>用地面积（m</w:t>
            </w:r>
            <w:r>
              <w:rPr>
                <w:szCs w:val="21"/>
                <w:vertAlign w:val="superscript"/>
              </w:rPr>
              <w:t>2</w:t>
            </w:r>
            <w:r>
              <w:rPr>
                <w:szCs w:val="21"/>
              </w:rPr>
              <w:t>）</w:t>
            </w:r>
          </w:p>
        </w:tc>
        <w:tc>
          <w:tcPr>
            <w:tcW w:w="2552" w:type="dxa"/>
            <w:gridSpan w:val="2"/>
            <w:vAlign w:val="center"/>
          </w:tcPr>
          <w:p w14:paraId="71562278">
            <w:pPr>
              <w:adjustRightInd w:val="0"/>
              <w:snapToGrid w:val="0"/>
              <w:jc w:val="center"/>
              <w:rPr>
                <w:rFonts w:hint="default" w:eastAsia="宋体"/>
                <w:szCs w:val="21"/>
                <w:lang w:val="en-US" w:eastAsia="zh-CN"/>
              </w:rPr>
            </w:pPr>
            <w:r>
              <w:rPr>
                <w:rFonts w:hint="eastAsia"/>
                <w:szCs w:val="21"/>
                <w:lang w:val="en-US" w:eastAsia="zh-CN"/>
              </w:rPr>
              <w:t>151708.00</w:t>
            </w:r>
          </w:p>
        </w:tc>
      </w:tr>
      <w:tr w14:paraId="1ECBCD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7BDFF91A">
            <w:pPr>
              <w:adjustRightInd w:val="0"/>
              <w:snapToGrid w:val="0"/>
              <w:jc w:val="center"/>
              <w:rPr>
                <w:rFonts w:ascii="宋体" w:hAnsi="宋体" w:cs="宋体"/>
                <w:szCs w:val="21"/>
              </w:rPr>
            </w:pPr>
            <w:r>
              <w:rPr>
                <w:rFonts w:hint="eastAsia" w:ascii="宋体" w:hAnsi="宋体" w:cs="宋体"/>
                <w:szCs w:val="21"/>
              </w:rPr>
              <w:t>建设性质</w:t>
            </w:r>
          </w:p>
        </w:tc>
        <w:tc>
          <w:tcPr>
            <w:tcW w:w="2043" w:type="dxa"/>
            <w:vAlign w:val="center"/>
          </w:tcPr>
          <w:p w14:paraId="5A644A16">
            <w:pPr>
              <w:adjustRightInd w:val="0"/>
              <w:snapToGrid w:val="0"/>
              <w:jc w:val="left"/>
              <w:rPr>
                <w:szCs w:val="21"/>
              </w:rPr>
            </w:pPr>
            <w:r>
              <w:rPr>
                <w:szCs w:val="21"/>
              </w:rPr>
              <w:sym w:font="Wingdings 2" w:char="F052"/>
            </w:r>
            <w:r>
              <w:rPr>
                <w:szCs w:val="21"/>
              </w:rPr>
              <w:t>新建（迁建）</w:t>
            </w:r>
          </w:p>
          <w:p w14:paraId="547B20B5">
            <w:pPr>
              <w:adjustRightInd w:val="0"/>
              <w:snapToGrid w:val="0"/>
              <w:jc w:val="left"/>
              <w:rPr>
                <w:szCs w:val="21"/>
              </w:rPr>
            </w:pPr>
            <w:r>
              <w:rPr>
                <w:szCs w:val="21"/>
              </w:rPr>
              <w:t>□改建</w:t>
            </w:r>
          </w:p>
          <w:p w14:paraId="12A29D1E">
            <w:pPr>
              <w:adjustRightInd w:val="0"/>
              <w:snapToGrid w:val="0"/>
              <w:jc w:val="left"/>
              <w:rPr>
                <w:szCs w:val="21"/>
              </w:rPr>
            </w:pPr>
            <w:r>
              <w:rPr>
                <w:szCs w:val="21"/>
              </w:rPr>
              <w:t>□扩建</w:t>
            </w:r>
          </w:p>
          <w:p w14:paraId="037247D1">
            <w:pPr>
              <w:adjustRightInd w:val="0"/>
              <w:snapToGrid w:val="0"/>
              <w:jc w:val="left"/>
              <w:rPr>
                <w:szCs w:val="21"/>
              </w:rPr>
            </w:pPr>
            <w:r>
              <w:rPr>
                <w:szCs w:val="21"/>
              </w:rPr>
              <w:t>□技术改造</w:t>
            </w:r>
          </w:p>
        </w:tc>
        <w:tc>
          <w:tcPr>
            <w:tcW w:w="2218" w:type="dxa"/>
            <w:vAlign w:val="center"/>
          </w:tcPr>
          <w:p w14:paraId="5239CE14">
            <w:pPr>
              <w:adjustRightInd w:val="0"/>
              <w:snapToGrid w:val="0"/>
              <w:jc w:val="center"/>
              <w:rPr>
                <w:szCs w:val="21"/>
              </w:rPr>
            </w:pPr>
            <w:r>
              <w:rPr>
                <w:szCs w:val="21"/>
              </w:rPr>
              <w:t>建设项目</w:t>
            </w:r>
          </w:p>
          <w:p w14:paraId="0EA3B51A">
            <w:pPr>
              <w:adjustRightInd w:val="0"/>
              <w:snapToGrid w:val="0"/>
              <w:jc w:val="center"/>
              <w:rPr>
                <w:szCs w:val="21"/>
              </w:rPr>
            </w:pPr>
            <w:r>
              <w:rPr>
                <w:szCs w:val="21"/>
              </w:rPr>
              <w:t>申报情形</w:t>
            </w:r>
          </w:p>
        </w:tc>
        <w:tc>
          <w:tcPr>
            <w:tcW w:w="2552" w:type="dxa"/>
            <w:gridSpan w:val="2"/>
            <w:vAlign w:val="center"/>
          </w:tcPr>
          <w:p w14:paraId="39676623">
            <w:pPr>
              <w:adjustRightInd w:val="0"/>
              <w:snapToGrid w:val="0"/>
              <w:jc w:val="left"/>
              <w:rPr>
                <w:szCs w:val="21"/>
              </w:rPr>
            </w:pPr>
            <w:r>
              <w:rPr>
                <w:szCs w:val="21"/>
              </w:rPr>
              <w:sym w:font="Wingdings 2" w:char="F052"/>
            </w:r>
            <w:r>
              <w:rPr>
                <w:szCs w:val="21"/>
              </w:rPr>
              <w:t>首次申报项目</w:t>
            </w:r>
          </w:p>
          <w:p w14:paraId="4EC60F53">
            <w:pPr>
              <w:adjustRightInd w:val="0"/>
              <w:snapToGrid w:val="0"/>
              <w:jc w:val="left"/>
              <w:rPr>
                <w:szCs w:val="21"/>
              </w:rPr>
            </w:pPr>
            <w:r>
              <w:rPr>
                <w:szCs w:val="21"/>
              </w:rPr>
              <w:t>□不予批准后再次申报项目</w:t>
            </w:r>
          </w:p>
          <w:p w14:paraId="1F46CF5A">
            <w:pPr>
              <w:adjustRightInd w:val="0"/>
              <w:snapToGrid w:val="0"/>
              <w:jc w:val="left"/>
              <w:rPr>
                <w:szCs w:val="21"/>
              </w:rPr>
            </w:pPr>
            <w:r>
              <w:rPr>
                <w:szCs w:val="21"/>
              </w:rPr>
              <w:t>□超五年重新审核项目</w:t>
            </w:r>
          </w:p>
          <w:p w14:paraId="7A8D6E42">
            <w:pPr>
              <w:adjustRightInd w:val="0"/>
              <w:snapToGrid w:val="0"/>
              <w:rPr>
                <w:szCs w:val="21"/>
              </w:rPr>
            </w:pPr>
            <w:r>
              <w:rPr>
                <w:szCs w:val="21"/>
              </w:rPr>
              <w:t>□重大变动重新报批项目</w:t>
            </w:r>
          </w:p>
        </w:tc>
      </w:tr>
      <w:tr w14:paraId="26CD9D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0B981E64">
            <w:pPr>
              <w:adjustRightInd w:val="0"/>
              <w:snapToGrid w:val="0"/>
              <w:jc w:val="center"/>
              <w:rPr>
                <w:rFonts w:ascii="宋体" w:hAnsi="宋体" w:cs="宋体"/>
                <w:szCs w:val="21"/>
              </w:rPr>
            </w:pPr>
            <w:r>
              <w:rPr>
                <w:rFonts w:hint="eastAsia" w:ascii="宋体" w:hAnsi="宋体" w:cs="宋体"/>
                <w:szCs w:val="21"/>
              </w:rPr>
              <w:t>项目审批（核准</w:t>
            </w:r>
            <w:r>
              <w:rPr>
                <w:rFonts w:ascii="宋体" w:hAnsi="宋体" w:cs="宋体"/>
                <w:szCs w:val="21"/>
              </w:rPr>
              <w:t>/</w:t>
            </w:r>
          </w:p>
          <w:p w14:paraId="65D2A935">
            <w:pPr>
              <w:adjustRightInd w:val="0"/>
              <w:snapToGrid w:val="0"/>
              <w:jc w:val="center"/>
              <w:rPr>
                <w:rFonts w:ascii="宋体" w:hAnsi="宋体" w:cs="宋体"/>
                <w:szCs w:val="21"/>
              </w:rPr>
            </w:pPr>
            <w:r>
              <w:rPr>
                <w:rFonts w:hint="eastAsia" w:ascii="宋体" w:hAnsi="宋体" w:cs="宋体"/>
                <w:szCs w:val="21"/>
              </w:rPr>
              <w:t>备案）部门（选填）</w:t>
            </w:r>
          </w:p>
        </w:tc>
        <w:tc>
          <w:tcPr>
            <w:tcW w:w="2043" w:type="dxa"/>
            <w:vAlign w:val="center"/>
          </w:tcPr>
          <w:p w14:paraId="5DB25003">
            <w:pPr>
              <w:adjustRightInd w:val="0"/>
              <w:snapToGrid w:val="0"/>
              <w:jc w:val="center"/>
              <w:rPr>
                <w:szCs w:val="21"/>
              </w:rPr>
            </w:pPr>
            <w:r>
              <w:rPr>
                <w:szCs w:val="21"/>
              </w:rPr>
              <w:t>/</w:t>
            </w:r>
          </w:p>
        </w:tc>
        <w:tc>
          <w:tcPr>
            <w:tcW w:w="2218" w:type="dxa"/>
            <w:vAlign w:val="center"/>
          </w:tcPr>
          <w:p w14:paraId="1CB4634D">
            <w:pPr>
              <w:adjustRightInd w:val="0"/>
              <w:snapToGrid w:val="0"/>
              <w:jc w:val="center"/>
              <w:rPr>
                <w:szCs w:val="21"/>
              </w:rPr>
            </w:pPr>
            <w:r>
              <w:rPr>
                <w:szCs w:val="21"/>
              </w:rPr>
              <w:t>项目审批（核准/</w:t>
            </w:r>
          </w:p>
          <w:p w14:paraId="4F523D24">
            <w:pPr>
              <w:adjustRightInd w:val="0"/>
              <w:snapToGrid w:val="0"/>
              <w:jc w:val="center"/>
              <w:rPr>
                <w:szCs w:val="21"/>
              </w:rPr>
            </w:pPr>
            <w:r>
              <w:rPr>
                <w:szCs w:val="21"/>
              </w:rPr>
              <w:t>备案）文号（选填）</w:t>
            </w:r>
          </w:p>
        </w:tc>
        <w:tc>
          <w:tcPr>
            <w:tcW w:w="2552" w:type="dxa"/>
            <w:gridSpan w:val="2"/>
            <w:vAlign w:val="center"/>
          </w:tcPr>
          <w:p w14:paraId="21006273">
            <w:pPr>
              <w:adjustRightInd w:val="0"/>
              <w:snapToGrid w:val="0"/>
              <w:jc w:val="center"/>
              <w:rPr>
                <w:szCs w:val="21"/>
              </w:rPr>
            </w:pPr>
            <w:r>
              <w:rPr>
                <w:szCs w:val="21"/>
              </w:rPr>
              <w:t>/</w:t>
            </w:r>
          </w:p>
        </w:tc>
      </w:tr>
      <w:tr w14:paraId="617852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391F715E">
            <w:pPr>
              <w:adjustRightInd w:val="0"/>
              <w:snapToGrid w:val="0"/>
              <w:jc w:val="center"/>
              <w:rPr>
                <w:rFonts w:ascii="宋体" w:hAnsi="宋体" w:cs="宋体"/>
                <w:szCs w:val="21"/>
              </w:rPr>
            </w:pPr>
            <w:r>
              <w:rPr>
                <w:rFonts w:hint="eastAsia" w:ascii="宋体" w:hAnsi="宋体" w:cs="宋体"/>
                <w:szCs w:val="21"/>
              </w:rPr>
              <w:t>总投资（万元）</w:t>
            </w:r>
          </w:p>
        </w:tc>
        <w:tc>
          <w:tcPr>
            <w:tcW w:w="2043" w:type="dxa"/>
            <w:vAlign w:val="center"/>
          </w:tcPr>
          <w:p w14:paraId="064CFC64">
            <w:pPr>
              <w:adjustRightInd w:val="0"/>
              <w:snapToGrid w:val="0"/>
              <w:jc w:val="center"/>
              <w:rPr>
                <w:rFonts w:hint="eastAsia" w:eastAsia="宋体"/>
                <w:szCs w:val="21"/>
                <w:lang w:eastAsia="zh-CN"/>
              </w:rPr>
            </w:pPr>
            <w:r>
              <w:rPr>
                <w:rFonts w:hint="eastAsia"/>
                <w:color w:val="000000"/>
                <w:szCs w:val="28"/>
                <w:lang w:eastAsia="zh-CN"/>
              </w:rPr>
              <w:t>36095.73</w:t>
            </w:r>
          </w:p>
        </w:tc>
        <w:tc>
          <w:tcPr>
            <w:tcW w:w="2218" w:type="dxa"/>
            <w:tcMar>
              <w:top w:w="16" w:type="dxa"/>
              <w:left w:w="16" w:type="dxa"/>
              <w:right w:w="16" w:type="dxa"/>
            </w:tcMar>
            <w:vAlign w:val="center"/>
          </w:tcPr>
          <w:p w14:paraId="527B489E">
            <w:pPr>
              <w:adjustRightInd w:val="0"/>
              <w:snapToGrid w:val="0"/>
              <w:jc w:val="center"/>
              <w:rPr>
                <w:szCs w:val="21"/>
              </w:rPr>
            </w:pPr>
            <w:r>
              <w:rPr>
                <w:szCs w:val="21"/>
              </w:rPr>
              <w:t>环保投资（万元）</w:t>
            </w:r>
          </w:p>
        </w:tc>
        <w:tc>
          <w:tcPr>
            <w:tcW w:w="2552" w:type="dxa"/>
            <w:gridSpan w:val="2"/>
            <w:vAlign w:val="center"/>
          </w:tcPr>
          <w:p w14:paraId="5E9DA964">
            <w:pPr>
              <w:adjustRightInd w:val="0"/>
              <w:snapToGrid w:val="0"/>
              <w:jc w:val="center"/>
              <w:rPr>
                <w:szCs w:val="21"/>
              </w:rPr>
            </w:pPr>
            <w:r>
              <w:rPr>
                <w:color w:val="000000"/>
                <w:szCs w:val="28"/>
              </w:rPr>
              <w:t>144.15</w:t>
            </w:r>
          </w:p>
        </w:tc>
      </w:tr>
      <w:tr w14:paraId="2DF929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6011E94C">
            <w:pPr>
              <w:adjustRightInd w:val="0"/>
              <w:snapToGrid w:val="0"/>
              <w:jc w:val="center"/>
              <w:rPr>
                <w:rFonts w:ascii="宋体" w:hAnsi="宋体" w:cs="宋体"/>
                <w:szCs w:val="21"/>
              </w:rPr>
            </w:pPr>
            <w:r>
              <w:rPr>
                <w:rFonts w:hint="eastAsia" w:ascii="宋体" w:hAnsi="宋体" w:cs="宋体"/>
                <w:szCs w:val="21"/>
              </w:rPr>
              <w:t>环保投资占比（</w:t>
            </w:r>
            <w:r>
              <w:rPr>
                <w:rFonts w:ascii="宋体" w:hAnsi="宋体" w:cs="宋体"/>
                <w:szCs w:val="21"/>
              </w:rPr>
              <w:t>%</w:t>
            </w:r>
            <w:r>
              <w:rPr>
                <w:rFonts w:hint="eastAsia" w:ascii="宋体" w:hAnsi="宋体" w:cs="宋体"/>
                <w:szCs w:val="21"/>
              </w:rPr>
              <w:t>）</w:t>
            </w:r>
          </w:p>
        </w:tc>
        <w:tc>
          <w:tcPr>
            <w:tcW w:w="2043" w:type="dxa"/>
            <w:vAlign w:val="center"/>
          </w:tcPr>
          <w:p w14:paraId="2A2FDFFA">
            <w:pPr>
              <w:adjustRightInd w:val="0"/>
              <w:snapToGrid w:val="0"/>
              <w:jc w:val="center"/>
              <w:rPr>
                <w:szCs w:val="21"/>
              </w:rPr>
            </w:pPr>
            <w:r>
              <w:rPr>
                <w:szCs w:val="21"/>
              </w:rPr>
              <w:t>0.7</w:t>
            </w:r>
          </w:p>
        </w:tc>
        <w:tc>
          <w:tcPr>
            <w:tcW w:w="2218" w:type="dxa"/>
            <w:tcMar>
              <w:top w:w="16" w:type="dxa"/>
              <w:left w:w="16" w:type="dxa"/>
              <w:right w:w="16" w:type="dxa"/>
            </w:tcMar>
            <w:vAlign w:val="center"/>
          </w:tcPr>
          <w:p w14:paraId="09B04BB8">
            <w:pPr>
              <w:adjustRightInd w:val="0"/>
              <w:snapToGrid w:val="0"/>
              <w:jc w:val="center"/>
              <w:rPr>
                <w:szCs w:val="21"/>
              </w:rPr>
            </w:pPr>
            <w:r>
              <w:rPr>
                <w:szCs w:val="21"/>
              </w:rPr>
              <w:t>施工工期</w:t>
            </w:r>
          </w:p>
        </w:tc>
        <w:tc>
          <w:tcPr>
            <w:tcW w:w="2552" w:type="dxa"/>
            <w:gridSpan w:val="2"/>
            <w:vAlign w:val="center"/>
          </w:tcPr>
          <w:p w14:paraId="4B5599C6">
            <w:pPr>
              <w:adjustRightInd w:val="0"/>
              <w:snapToGrid w:val="0"/>
              <w:jc w:val="center"/>
              <w:rPr>
                <w:szCs w:val="21"/>
              </w:rPr>
            </w:pPr>
            <w:r>
              <w:rPr>
                <w:rFonts w:hint="eastAsia"/>
                <w:szCs w:val="21"/>
                <w:lang w:val="en-US" w:eastAsia="zh-CN"/>
              </w:rPr>
              <w:t>12</w:t>
            </w:r>
            <w:r>
              <w:rPr>
                <w:rFonts w:hint="eastAsia"/>
                <w:szCs w:val="21"/>
              </w:rPr>
              <w:t>个月（2</w:t>
            </w:r>
            <w:r>
              <w:rPr>
                <w:szCs w:val="21"/>
              </w:rPr>
              <w:t>02</w:t>
            </w:r>
            <w:r>
              <w:rPr>
                <w:rFonts w:hint="eastAsia"/>
                <w:szCs w:val="21"/>
                <w:lang w:val="en-US" w:eastAsia="zh-CN"/>
              </w:rPr>
              <w:t>6</w:t>
            </w:r>
            <w:r>
              <w:rPr>
                <w:rFonts w:hint="eastAsia"/>
                <w:szCs w:val="21"/>
              </w:rPr>
              <w:t>.</w:t>
            </w:r>
            <w:r>
              <w:rPr>
                <w:szCs w:val="21"/>
              </w:rPr>
              <w:t>0</w:t>
            </w:r>
            <w:r>
              <w:rPr>
                <w:rFonts w:hint="eastAsia"/>
                <w:szCs w:val="21"/>
                <w:lang w:val="en-US" w:eastAsia="zh-CN"/>
              </w:rPr>
              <w:t>6</w:t>
            </w:r>
            <w:r>
              <w:rPr>
                <w:rFonts w:hint="eastAsia" w:ascii="宋体" w:hAnsi="宋体"/>
                <w:szCs w:val="21"/>
              </w:rPr>
              <w:t>～</w:t>
            </w:r>
            <w:r>
              <w:rPr>
                <w:szCs w:val="21"/>
              </w:rPr>
              <w:t>202</w:t>
            </w:r>
            <w:r>
              <w:rPr>
                <w:rFonts w:hint="eastAsia"/>
                <w:szCs w:val="21"/>
                <w:lang w:val="en-US" w:eastAsia="zh-CN"/>
              </w:rPr>
              <w:t>7</w:t>
            </w:r>
            <w:r>
              <w:rPr>
                <w:szCs w:val="21"/>
              </w:rPr>
              <w:t>.</w:t>
            </w:r>
            <w:r>
              <w:rPr>
                <w:rFonts w:hint="eastAsia"/>
                <w:szCs w:val="21"/>
                <w:lang w:val="en-US" w:eastAsia="zh-CN"/>
              </w:rPr>
              <w:t>6</w:t>
            </w:r>
            <w:r>
              <w:rPr>
                <w:rFonts w:hint="eastAsia"/>
                <w:szCs w:val="21"/>
              </w:rPr>
              <w:t>）</w:t>
            </w:r>
          </w:p>
        </w:tc>
      </w:tr>
      <w:tr w14:paraId="0E39F3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4AACB068">
            <w:pPr>
              <w:adjustRightInd w:val="0"/>
              <w:snapToGrid w:val="0"/>
              <w:jc w:val="center"/>
              <w:rPr>
                <w:rFonts w:ascii="宋体" w:hAnsi="宋体" w:cs="宋体"/>
                <w:szCs w:val="21"/>
              </w:rPr>
            </w:pPr>
            <w:r>
              <w:rPr>
                <w:rFonts w:hint="eastAsia" w:ascii="宋体" w:hAnsi="宋体" w:cs="宋体"/>
                <w:szCs w:val="21"/>
              </w:rPr>
              <w:t>是否开工建设</w:t>
            </w:r>
          </w:p>
        </w:tc>
        <w:tc>
          <w:tcPr>
            <w:tcW w:w="6813" w:type="dxa"/>
            <w:gridSpan w:val="4"/>
            <w:vAlign w:val="center"/>
          </w:tcPr>
          <w:p w14:paraId="5DF86D8E">
            <w:pPr>
              <w:adjustRightInd w:val="0"/>
              <w:snapToGrid w:val="0"/>
              <w:ind w:firstLine="105"/>
              <w:jc w:val="left"/>
              <w:rPr>
                <w:rFonts w:ascii="宋体" w:hAnsi="宋体" w:cs="宋体"/>
                <w:szCs w:val="21"/>
              </w:rPr>
            </w:pPr>
            <w:r>
              <w:rPr>
                <w:szCs w:val="21"/>
              </w:rPr>
              <w:sym w:font="Wingdings 2" w:char="F052"/>
            </w:r>
            <w:r>
              <w:rPr>
                <w:rFonts w:hint="eastAsia" w:ascii="宋体" w:hAnsi="宋体" w:cs="宋体"/>
                <w:szCs w:val="21"/>
              </w:rPr>
              <w:t>否</w:t>
            </w:r>
          </w:p>
          <w:p w14:paraId="1E8FD062">
            <w:pPr>
              <w:adjustRightInd w:val="0"/>
              <w:snapToGrid w:val="0"/>
              <w:ind w:firstLine="92"/>
              <w:jc w:val="left"/>
              <w:rPr>
                <w:rFonts w:ascii="宋体" w:hAnsi="宋体" w:cs="宋体"/>
                <w:szCs w:val="21"/>
              </w:rPr>
            </w:pPr>
            <w:r>
              <w:rPr>
                <w:rFonts w:hint="eastAsia" w:ascii="宋体" w:hAnsi="宋体" w:cs="宋体"/>
                <w:szCs w:val="21"/>
              </w:rPr>
              <w:t>□是：</w:t>
            </w:r>
            <w:r>
              <w:rPr>
                <w:rFonts w:ascii="宋体" w:hAnsi="宋体" w:cs="宋体"/>
                <w:szCs w:val="21"/>
                <w:u w:val="single"/>
              </w:rPr>
              <w:t xml:space="preserve"> </w:t>
            </w:r>
            <w:r>
              <w:rPr>
                <w:rFonts w:hint="eastAsia" w:ascii="宋体" w:hAnsi="宋体" w:cs="宋体"/>
                <w:szCs w:val="21"/>
                <w:u w:val="single"/>
              </w:rPr>
              <w:t xml:space="preserve">                     </w:t>
            </w:r>
            <w:r>
              <w:rPr>
                <w:rFonts w:ascii="宋体" w:hAnsi="宋体" w:cs="宋体"/>
                <w:szCs w:val="21"/>
                <w:u w:val="single"/>
              </w:rPr>
              <w:t xml:space="preserve">       </w:t>
            </w:r>
          </w:p>
        </w:tc>
      </w:tr>
      <w:tr w14:paraId="39E3DB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603A976B">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专项评价设置情况</w:t>
            </w:r>
          </w:p>
        </w:tc>
        <w:tc>
          <w:tcPr>
            <w:tcW w:w="6813" w:type="dxa"/>
            <w:gridSpan w:val="4"/>
            <w:tcMar>
              <w:top w:w="16" w:type="dxa"/>
              <w:left w:w="16" w:type="dxa"/>
              <w:right w:w="16" w:type="dxa"/>
            </w:tcMar>
            <w:vAlign w:val="center"/>
          </w:tcPr>
          <w:p w14:paraId="42CFD324">
            <w:pPr>
              <w:adjustRightInd w:val="0"/>
              <w:snapToGrid w:val="0"/>
              <w:jc w:val="center"/>
              <w:rPr>
                <w:rFonts w:ascii="宋体" w:hAnsi="宋体" w:cs="宋体"/>
                <w:kern w:val="0"/>
                <w:szCs w:val="21"/>
              </w:rPr>
            </w:pPr>
            <w:r>
              <w:rPr>
                <w:rFonts w:hint="eastAsia" w:ascii="宋体" w:hAnsi="宋体" w:cs="宋体"/>
                <w:kern w:val="0"/>
                <w:szCs w:val="21"/>
              </w:rPr>
              <w:t>无</w:t>
            </w:r>
          </w:p>
        </w:tc>
      </w:tr>
      <w:tr w14:paraId="4AB305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75742B80">
            <w:pPr>
              <w:autoSpaceDE w:val="0"/>
              <w:autoSpaceDN w:val="0"/>
              <w:adjustRightInd w:val="0"/>
              <w:snapToGrid w:val="0"/>
              <w:jc w:val="center"/>
              <w:rPr>
                <w:rFonts w:ascii="宋体" w:hAnsi="宋体" w:cs="宋体"/>
                <w:kern w:val="0"/>
                <w:szCs w:val="21"/>
              </w:rPr>
            </w:pPr>
            <w:r>
              <w:rPr>
                <w:rFonts w:hint="eastAsia" w:ascii="宋体" w:hAnsi="宋体" w:cs="宋体"/>
                <w:szCs w:val="21"/>
              </w:rPr>
              <w:t>规划情况</w:t>
            </w:r>
          </w:p>
        </w:tc>
        <w:tc>
          <w:tcPr>
            <w:tcW w:w="6813" w:type="dxa"/>
            <w:gridSpan w:val="4"/>
            <w:tcMar>
              <w:top w:w="16" w:type="dxa"/>
              <w:left w:w="16" w:type="dxa"/>
              <w:right w:w="16" w:type="dxa"/>
            </w:tcMar>
            <w:vAlign w:val="center"/>
          </w:tcPr>
          <w:p w14:paraId="04B5BA26">
            <w:pPr>
              <w:adjustRightInd w:val="0"/>
              <w:snapToGrid w:val="0"/>
              <w:jc w:val="center"/>
              <w:rPr>
                <w:rFonts w:ascii="宋体" w:hAnsi="宋体" w:cs="宋体"/>
                <w:kern w:val="0"/>
                <w:szCs w:val="21"/>
              </w:rPr>
            </w:pPr>
            <w:r>
              <w:rPr>
                <w:rFonts w:hint="eastAsia" w:ascii="宋体" w:hAnsi="宋体" w:cs="宋体"/>
                <w:kern w:val="0"/>
                <w:szCs w:val="21"/>
              </w:rPr>
              <w:t>无</w:t>
            </w:r>
          </w:p>
        </w:tc>
      </w:tr>
      <w:tr w14:paraId="7E130C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50F8BD7B">
            <w:pPr>
              <w:autoSpaceDE w:val="0"/>
              <w:autoSpaceDN w:val="0"/>
              <w:adjustRightInd w:val="0"/>
              <w:snapToGrid w:val="0"/>
              <w:jc w:val="center"/>
              <w:rPr>
                <w:rFonts w:ascii="宋体" w:hAnsi="宋体" w:cs="宋体"/>
                <w:szCs w:val="21"/>
              </w:rPr>
            </w:pPr>
            <w:r>
              <w:rPr>
                <w:rFonts w:hint="eastAsia" w:ascii="宋体" w:hAnsi="宋体" w:cs="宋体"/>
                <w:szCs w:val="21"/>
              </w:rPr>
              <w:t>规划环境影响</w:t>
            </w:r>
          </w:p>
          <w:p w14:paraId="7189EEF9">
            <w:pPr>
              <w:autoSpaceDE w:val="0"/>
              <w:autoSpaceDN w:val="0"/>
              <w:adjustRightInd w:val="0"/>
              <w:snapToGrid w:val="0"/>
              <w:jc w:val="center"/>
              <w:rPr>
                <w:rFonts w:ascii="宋体" w:hAnsi="宋体" w:cs="宋体"/>
                <w:kern w:val="0"/>
                <w:szCs w:val="21"/>
              </w:rPr>
            </w:pPr>
            <w:r>
              <w:rPr>
                <w:rFonts w:hint="eastAsia" w:ascii="宋体" w:hAnsi="宋体" w:cs="宋体"/>
                <w:szCs w:val="21"/>
              </w:rPr>
              <w:t>评价情况</w:t>
            </w:r>
          </w:p>
        </w:tc>
        <w:tc>
          <w:tcPr>
            <w:tcW w:w="6813" w:type="dxa"/>
            <w:gridSpan w:val="4"/>
            <w:tcMar>
              <w:top w:w="16" w:type="dxa"/>
              <w:left w:w="16" w:type="dxa"/>
              <w:right w:w="16" w:type="dxa"/>
            </w:tcMar>
            <w:vAlign w:val="center"/>
          </w:tcPr>
          <w:p w14:paraId="53A1B7BF">
            <w:pPr>
              <w:adjustRightInd w:val="0"/>
              <w:snapToGrid w:val="0"/>
              <w:jc w:val="center"/>
              <w:rPr>
                <w:rFonts w:ascii="宋体" w:hAnsi="宋体" w:cs="宋体"/>
                <w:kern w:val="0"/>
                <w:szCs w:val="21"/>
              </w:rPr>
            </w:pPr>
            <w:r>
              <w:rPr>
                <w:rFonts w:hint="eastAsia" w:ascii="宋体" w:hAnsi="宋体" w:cs="宋体"/>
                <w:kern w:val="0"/>
                <w:szCs w:val="21"/>
              </w:rPr>
              <w:t>无</w:t>
            </w:r>
          </w:p>
        </w:tc>
      </w:tr>
      <w:tr w14:paraId="58F3D2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2226" w:type="dxa"/>
            <w:tcMar>
              <w:top w:w="16" w:type="dxa"/>
              <w:left w:w="16" w:type="dxa"/>
              <w:right w:w="16" w:type="dxa"/>
            </w:tcMar>
            <w:vAlign w:val="center"/>
          </w:tcPr>
          <w:p w14:paraId="3BDEFC53">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规划及</w:t>
            </w:r>
            <w:r>
              <w:rPr>
                <w:rFonts w:hint="eastAsia" w:ascii="宋体" w:hAnsi="宋体" w:cs="宋体"/>
                <w:szCs w:val="21"/>
              </w:rPr>
              <w:t>规划环境影响评价</w:t>
            </w:r>
            <w:r>
              <w:rPr>
                <w:rFonts w:hint="eastAsia" w:ascii="宋体" w:hAnsi="宋体" w:cs="宋体"/>
                <w:kern w:val="0"/>
                <w:szCs w:val="21"/>
              </w:rPr>
              <w:t>符合性分析</w:t>
            </w:r>
          </w:p>
        </w:tc>
        <w:tc>
          <w:tcPr>
            <w:tcW w:w="6813" w:type="dxa"/>
            <w:gridSpan w:val="4"/>
            <w:tcMar>
              <w:top w:w="16" w:type="dxa"/>
              <w:left w:w="16" w:type="dxa"/>
              <w:right w:w="16" w:type="dxa"/>
            </w:tcMar>
            <w:vAlign w:val="center"/>
          </w:tcPr>
          <w:p w14:paraId="7482CCB3">
            <w:pPr>
              <w:adjustRightInd w:val="0"/>
              <w:snapToGrid w:val="0"/>
              <w:jc w:val="center"/>
              <w:rPr>
                <w:rFonts w:ascii="宋体" w:hAnsi="宋体" w:cs="宋体"/>
                <w:kern w:val="0"/>
                <w:szCs w:val="21"/>
              </w:rPr>
            </w:pPr>
            <w:r>
              <w:rPr>
                <w:rFonts w:hint="eastAsia" w:ascii="宋体" w:hAnsi="宋体" w:cs="宋体"/>
                <w:kern w:val="0"/>
                <w:szCs w:val="21"/>
              </w:rPr>
              <w:t>无</w:t>
            </w:r>
          </w:p>
        </w:tc>
      </w:tr>
    </w:tbl>
    <w:p w14:paraId="1CF1CD03"/>
    <w:tbl>
      <w:tblPr>
        <w:tblStyle w:val="23"/>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709"/>
        <w:gridCol w:w="8330"/>
      </w:tblGrid>
      <w:tr w14:paraId="6378E5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709" w:type="dxa"/>
            <w:tcMar>
              <w:top w:w="16" w:type="dxa"/>
              <w:left w:w="16" w:type="dxa"/>
              <w:right w:w="16" w:type="dxa"/>
            </w:tcMar>
            <w:vAlign w:val="center"/>
          </w:tcPr>
          <w:p w14:paraId="0352C02A">
            <w:pPr>
              <w:autoSpaceDE w:val="0"/>
              <w:autoSpaceDN w:val="0"/>
              <w:adjustRightInd w:val="0"/>
              <w:snapToGrid w:val="0"/>
              <w:jc w:val="center"/>
              <w:rPr>
                <w:rFonts w:ascii="宋体" w:hAnsi="宋体" w:cs="宋体"/>
                <w:kern w:val="0"/>
                <w:szCs w:val="21"/>
              </w:rPr>
            </w:pPr>
            <w:bookmarkStart w:id="2" w:name="_Hlk56690880"/>
            <w:r>
              <w:rPr>
                <w:rFonts w:hint="eastAsia" w:ascii="宋体" w:hAnsi="宋体" w:cs="宋体"/>
                <w:kern w:val="0"/>
                <w:szCs w:val="21"/>
              </w:rPr>
              <w:t>其他符合性分析</w:t>
            </w:r>
            <w:bookmarkEnd w:id="2"/>
          </w:p>
        </w:tc>
        <w:tc>
          <w:tcPr>
            <w:tcW w:w="8330" w:type="dxa"/>
            <w:tcMar>
              <w:top w:w="16" w:type="dxa"/>
              <w:left w:w="16" w:type="dxa"/>
              <w:right w:w="16" w:type="dxa"/>
            </w:tcMar>
            <w:vAlign w:val="center"/>
          </w:tcPr>
          <w:p w14:paraId="18A2B718">
            <w:pPr>
              <w:pStyle w:val="45"/>
              <w:ind w:firstLine="480"/>
            </w:pPr>
            <w:r>
              <w:rPr>
                <w:rFonts w:hint="eastAsia"/>
              </w:rPr>
              <w:t>1、</w:t>
            </w:r>
            <w:r>
              <w:rPr>
                <w:rFonts w:hint="eastAsia"/>
                <w:lang w:val="en-US" w:eastAsia="zh-CN"/>
              </w:rPr>
              <w:t>生态环境分区管控</w:t>
            </w:r>
            <w:r>
              <w:t>符合性</w:t>
            </w:r>
          </w:p>
          <w:p w14:paraId="3556D12A">
            <w:pPr>
              <w:pStyle w:val="53"/>
              <w:ind w:firstLine="480"/>
              <w:rPr>
                <w:lang w:bidi="ar"/>
              </w:rPr>
            </w:pPr>
            <w:r>
              <w:rPr>
                <w:rFonts w:hint="eastAsia"/>
                <w:lang w:bidi="ar"/>
              </w:rPr>
              <w:t>（1）</w:t>
            </w:r>
            <w:r>
              <w:rPr>
                <w:lang w:bidi="ar"/>
              </w:rPr>
              <w:t>生态保护红线</w:t>
            </w:r>
          </w:p>
          <w:p w14:paraId="5EA300A3">
            <w:pPr>
              <w:pStyle w:val="53"/>
              <w:ind w:firstLine="480"/>
              <w:rPr>
                <w:lang w:bidi="ar"/>
              </w:rPr>
            </w:pPr>
            <w:r>
              <w:rPr>
                <w:rFonts w:hint="eastAsia"/>
                <w:lang w:bidi="ar"/>
              </w:rPr>
              <w:t>根据黑龙江省生态环境分区管控数据应用平台</w:t>
            </w:r>
            <w:r>
              <w:rPr>
                <w:rFonts w:hint="eastAsia"/>
                <w:lang w:val="en-US" w:eastAsia="zh-CN" w:bidi="ar"/>
              </w:rPr>
              <w:t>查询的成果</w:t>
            </w:r>
            <w:r>
              <w:rPr>
                <w:rFonts w:hint="eastAsia"/>
                <w:lang w:bidi="ar"/>
              </w:rPr>
              <w:t>，</w:t>
            </w:r>
            <w:r>
              <w:rPr>
                <w:lang w:bidi="ar"/>
              </w:rPr>
              <w:t>本项目不在生态保护红线范围内。</w:t>
            </w:r>
          </w:p>
          <w:p w14:paraId="2E5C58E3">
            <w:pPr>
              <w:pStyle w:val="53"/>
              <w:ind w:firstLine="480"/>
              <w:rPr>
                <w:lang w:bidi="ar"/>
              </w:rPr>
            </w:pPr>
            <w:r>
              <w:rPr>
                <w:rFonts w:hint="eastAsia"/>
                <w:lang w:eastAsia="zh-CN" w:bidi="ar"/>
              </w:rPr>
              <w:t>（</w:t>
            </w:r>
            <w:r>
              <w:rPr>
                <w:rFonts w:hint="eastAsia"/>
                <w:lang w:val="en-US" w:eastAsia="zh-CN" w:bidi="ar"/>
              </w:rPr>
              <w:t>2</w:t>
            </w:r>
            <w:r>
              <w:rPr>
                <w:rFonts w:hint="eastAsia"/>
                <w:lang w:eastAsia="zh-CN" w:bidi="ar"/>
              </w:rPr>
              <w:t>）</w:t>
            </w:r>
            <w:r>
              <w:rPr>
                <w:lang w:bidi="ar"/>
              </w:rPr>
              <w:t>环境质量底线</w:t>
            </w:r>
          </w:p>
          <w:p w14:paraId="27CAD6FB">
            <w:pPr>
              <w:pStyle w:val="53"/>
              <w:ind w:firstLine="480"/>
            </w:pPr>
            <w:r>
              <w:t>本项目为</w:t>
            </w:r>
            <w:r>
              <w:rPr>
                <w:rFonts w:hint="eastAsia"/>
              </w:rPr>
              <w:t>煤矿新建一条副立井</w:t>
            </w:r>
            <w:r>
              <w:t>，</w:t>
            </w:r>
            <w:r>
              <w:rPr>
                <w:rFonts w:hint="eastAsia"/>
              </w:rPr>
              <w:t>井筒防冻</w:t>
            </w:r>
            <w:r>
              <w:t>采用平岗南风井瓦斯氧化发电余热提供井筒防冻所需要的热量，可减少大气污染物排放，对大气环境影响较小。本项目不涉及排水，对地表水环境影响较小。</w:t>
            </w:r>
          </w:p>
          <w:p w14:paraId="2BA61ED8">
            <w:pPr>
              <w:pStyle w:val="53"/>
              <w:ind w:firstLine="480"/>
              <w:rPr>
                <w:lang w:bidi="ar"/>
              </w:rPr>
            </w:pPr>
            <w:r>
              <w:rPr>
                <w:rFonts w:hint="eastAsia"/>
                <w:lang w:eastAsia="zh-CN" w:bidi="ar"/>
              </w:rPr>
              <w:t>（</w:t>
            </w:r>
            <w:r>
              <w:rPr>
                <w:rFonts w:hint="eastAsia"/>
                <w:lang w:val="en-US" w:eastAsia="zh-CN" w:bidi="ar"/>
              </w:rPr>
              <w:t>3</w:t>
            </w:r>
            <w:r>
              <w:rPr>
                <w:rFonts w:hint="eastAsia"/>
                <w:lang w:eastAsia="zh-CN" w:bidi="ar"/>
              </w:rPr>
              <w:t>）</w:t>
            </w:r>
            <w:r>
              <w:rPr>
                <w:lang w:bidi="ar"/>
              </w:rPr>
              <w:t>资源利用上线</w:t>
            </w:r>
          </w:p>
          <w:p w14:paraId="1EFA1F22">
            <w:pPr>
              <w:pStyle w:val="53"/>
              <w:ind w:firstLine="480"/>
              <w:rPr>
                <w:lang w:bidi="ar"/>
              </w:rPr>
            </w:pPr>
            <w:r>
              <w:rPr>
                <w:lang w:bidi="ar"/>
              </w:rPr>
              <w:t>本项目用地为</w:t>
            </w:r>
            <w:r>
              <w:rPr>
                <w:rFonts w:hint="eastAsia"/>
                <w:lang w:bidi="ar"/>
              </w:rPr>
              <w:t>已取得土地主管部门预审</w:t>
            </w:r>
            <w:r>
              <w:rPr>
                <w:rFonts w:hint="eastAsia"/>
                <w:lang w:eastAsia="zh-CN" w:bidi="ar"/>
              </w:rPr>
              <w:t>的用地，</w:t>
            </w:r>
            <w:r>
              <w:rPr>
                <w:rFonts w:hint="eastAsia"/>
                <w:lang w:bidi="ar"/>
              </w:rPr>
              <w:t>项目不新增其他资源消耗，土地资源符合用地指标要求</w:t>
            </w:r>
            <w:r>
              <w:rPr>
                <w:lang w:bidi="ar"/>
              </w:rPr>
              <w:t>，不会突破资源利用上线。</w:t>
            </w:r>
          </w:p>
          <w:p w14:paraId="7C892CF2">
            <w:pPr>
              <w:pStyle w:val="53"/>
              <w:ind w:firstLine="480"/>
              <w:rPr>
                <w:lang w:bidi="ar"/>
              </w:rPr>
            </w:pPr>
            <w:r>
              <w:rPr>
                <w:rFonts w:hint="eastAsia"/>
                <w:lang w:eastAsia="zh-CN" w:bidi="ar"/>
              </w:rPr>
              <w:t>（</w:t>
            </w:r>
            <w:r>
              <w:rPr>
                <w:rFonts w:hint="eastAsia"/>
                <w:lang w:val="en-US" w:eastAsia="zh-CN" w:bidi="ar"/>
              </w:rPr>
              <w:t>4</w:t>
            </w:r>
            <w:r>
              <w:rPr>
                <w:rFonts w:hint="eastAsia"/>
                <w:lang w:eastAsia="zh-CN" w:bidi="ar"/>
              </w:rPr>
              <w:t>）</w:t>
            </w:r>
            <w:r>
              <w:rPr>
                <w:lang w:bidi="ar"/>
              </w:rPr>
              <w:t>生态环境准入清单</w:t>
            </w:r>
          </w:p>
          <w:p w14:paraId="03B03914">
            <w:pPr>
              <w:pStyle w:val="53"/>
              <w:ind w:firstLine="480"/>
              <w:rPr>
                <w:rFonts w:hint="eastAsia"/>
                <w:lang w:bidi="ar"/>
              </w:rPr>
            </w:pPr>
            <w:r>
              <w:rPr>
                <w:rFonts w:hint="eastAsia"/>
                <w:lang w:bidi="ar"/>
              </w:rPr>
              <w:t>根据黑龙江省生态环境分区管控数据应用平台</w:t>
            </w:r>
            <w:r>
              <w:rPr>
                <w:rFonts w:hint="eastAsia"/>
                <w:lang w:val="en-US" w:eastAsia="zh-CN" w:bidi="ar"/>
              </w:rPr>
              <w:t>查询的成果（见附件）</w:t>
            </w:r>
            <w:r>
              <w:rPr>
                <w:rFonts w:hint="eastAsia"/>
                <w:lang w:bidi="ar"/>
              </w:rPr>
              <w:t>，黑龙江龙煤鸡西矿业有限责任公司平岗煤矿辅助提升系统改造项目位置涉及鸡西市梨树区</w:t>
            </w:r>
            <w:r>
              <w:rPr>
                <w:rFonts w:hint="eastAsia"/>
                <w:lang w:eastAsia="zh-CN" w:bidi="ar"/>
              </w:rPr>
              <w:t>；</w:t>
            </w:r>
            <w:r>
              <w:rPr>
                <w:rFonts w:hint="eastAsia"/>
                <w:lang w:bidi="ar"/>
              </w:rPr>
              <w:t>项目占地总面积0.16平方公里。与生态保护红线交集面积为0.00平方公里，占项目占地面积的0.00%。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0.07平方公里，占项目占地面积的47.67%</w:t>
            </w:r>
            <w:r>
              <w:rPr>
                <w:rFonts w:hint="eastAsia"/>
                <w:lang w:eastAsia="zh-CN" w:bidi="ar"/>
              </w:rPr>
              <w:t>；</w:t>
            </w:r>
            <w:r>
              <w:rPr>
                <w:rFonts w:hint="eastAsia"/>
                <w:lang w:bidi="ar"/>
              </w:rPr>
              <w:t>与重点管控单元交集面积为0.08平方公里，占项目占地面积的52.33%</w:t>
            </w:r>
            <w:r>
              <w:rPr>
                <w:rFonts w:hint="eastAsia"/>
                <w:lang w:eastAsia="zh-CN" w:bidi="ar"/>
              </w:rPr>
              <w:t>；</w:t>
            </w:r>
            <w:r>
              <w:rPr>
                <w:rFonts w:hint="eastAsia"/>
                <w:lang w:bidi="ar"/>
              </w:rPr>
              <w:t>一般管控单元交集面积为0.00平方公里，占项目占地面积的0.00%。与地下水环境优先保护区交集面积为0.00平方公里，占项目占地面积的0.00%</w:t>
            </w:r>
            <w:r>
              <w:rPr>
                <w:rFonts w:hint="eastAsia"/>
                <w:lang w:eastAsia="zh-CN" w:bidi="ar"/>
              </w:rPr>
              <w:t>；</w:t>
            </w:r>
            <w:r>
              <w:rPr>
                <w:rFonts w:hint="eastAsia"/>
                <w:lang w:bidi="ar"/>
              </w:rPr>
              <w:t>与地下水环境重点管控区交集面积为0.00平方公里，占项目占地面积的0.00%，与地下水环境一般管控区交集面积为0.16平方公里，占项目占地面积的100.00%</w:t>
            </w:r>
            <w:r>
              <w:rPr>
                <w:rFonts w:hint="eastAsia"/>
                <w:lang w:eastAsia="zh-CN" w:bidi="ar"/>
              </w:rPr>
              <w:t>。</w:t>
            </w:r>
          </w:p>
          <w:p w14:paraId="358E38B3">
            <w:pPr>
              <w:pStyle w:val="53"/>
              <w:ind w:firstLine="480"/>
              <w:rPr>
                <w:lang w:bidi="ar"/>
              </w:rPr>
            </w:pPr>
            <w:r>
              <w:rPr>
                <w:rFonts w:hint="eastAsia"/>
                <w:lang w:bidi="ar"/>
              </w:rPr>
              <w:t>本项目与环境管控单元优先保护单元</w:t>
            </w:r>
            <w:r>
              <w:rPr>
                <w:rFonts w:hint="eastAsia"/>
                <w:lang w:eastAsia="zh-CN" w:bidi="ar"/>
              </w:rPr>
              <w:t>（ZH23030510001、梨树区一般生态空间）</w:t>
            </w:r>
            <w:r>
              <w:rPr>
                <w:rFonts w:hint="eastAsia"/>
                <w:lang w:bidi="ar"/>
              </w:rPr>
              <w:t>交集面积为0.0</w:t>
            </w:r>
            <w:r>
              <w:rPr>
                <w:rFonts w:hint="eastAsia"/>
                <w:lang w:val="en-US" w:eastAsia="zh-CN" w:bidi="ar"/>
              </w:rPr>
              <w:t>7</w:t>
            </w:r>
            <w:r>
              <w:rPr>
                <w:rFonts w:hint="eastAsia"/>
                <w:lang w:bidi="ar"/>
              </w:rPr>
              <w:t>平方公里，占项目占地面积的</w:t>
            </w:r>
            <w:r>
              <w:rPr>
                <w:rFonts w:hint="eastAsia"/>
                <w:lang w:val="en-US" w:eastAsia="zh-CN" w:bidi="ar"/>
              </w:rPr>
              <w:t>47.67</w:t>
            </w:r>
            <w:r>
              <w:rPr>
                <w:rFonts w:hint="eastAsia"/>
                <w:lang w:bidi="ar"/>
              </w:rPr>
              <w:t>%；与重点管控单元</w:t>
            </w:r>
            <w:r>
              <w:rPr>
                <w:rFonts w:hint="eastAsia"/>
                <w:lang w:eastAsia="zh-CN" w:bidi="ar"/>
              </w:rPr>
              <w:t>（ZH23030520003、</w:t>
            </w:r>
            <w:r>
              <w:rPr>
                <w:rFonts w:hint="eastAsia"/>
                <w:lang w:bidi="ar"/>
              </w:rPr>
              <w:t>梨树区水环境城镇生活污染重点管控区</w:t>
            </w:r>
            <w:r>
              <w:rPr>
                <w:lang w:bidi="ar"/>
              </w:rPr>
              <w:t>单元</w:t>
            </w:r>
            <w:r>
              <w:rPr>
                <w:rFonts w:hint="eastAsia"/>
                <w:lang w:eastAsia="zh-CN" w:bidi="ar"/>
              </w:rPr>
              <w:t>）</w:t>
            </w:r>
            <w:r>
              <w:rPr>
                <w:rFonts w:hint="eastAsia"/>
                <w:lang w:bidi="ar"/>
              </w:rPr>
              <w:t>交集面积为0.</w:t>
            </w:r>
            <w:r>
              <w:rPr>
                <w:rFonts w:hint="eastAsia"/>
                <w:lang w:val="en-US" w:eastAsia="zh-CN" w:bidi="ar"/>
              </w:rPr>
              <w:t>08</w:t>
            </w:r>
            <w:r>
              <w:rPr>
                <w:rFonts w:hint="eastAsia"/>
                <w:lang w:bidi="ar"/>
              </w:rPr>
              <w:t>平方公里，占项目占地面积的</w:t>
            </w:r>
            <w:r>
              <w:rPr>
                <w:rFonts w:hint="eastAsia"/>
                <w:lang w:val="en-US" w:eastAsia="zh-CN" w:bidi="ar"/>
              </w:rPr>
              <w:t>52.33</w:t>
            </w:r>
            <w:r>
              <w:rPr>
                <w:rFonts w:hint="eastAsia"/>
                <w:lang w:bidi="ar"/>
              </w:rPr>
              <w:t>%</w:t>
            </w:r>
            <w:r>
              <w:rPr>
                <w:rFonts w:hint="eastAsia"/>
                <w:lang w:eastAsia="zh-CN" w:bidi="ar"/>
              </w:rPr>
              <w:t>。</w:t>
            </w:r>
            <w:r>
              <w:rPr>
                <w:rFonts w:hint="eastAsia"/>
                <w:lang w:bidi="ar"/>
              </w:rPr>
              <w:t>本项目与</w:t>
            </w:r>
            <w:r>
              <w:rPr>
                <w:rFonts w:hint="eastAsia"/>
                <w:lang w:eastAsia="zh-CN" w:bidi="ar"/>
              </w:rPr>
              <w:t>《鸡西市生态环境准入清单（</w:t>
            </w:r>
            <w:r>
              <w:rPr>
                <w:rFonts w:hint="eastAsia"/>
                <w:lang w:val="en-US" w:eastAsia="zh-CN" w:bidi="ar"/>
              </w:rPr>
              <w:t>2023年版</w:t>
            </w:r>
            <w:r>
              <w:rPr>
                <w:rFonts w:hint="eastAsia"/>
                <w:lang w:eastAsia="zh-CN" w:bidi="ar"/>
              </w:rPr>
              <w:t>）》</w:t>
            </w:r>
            <w:r>
              <w:rPr>
                <w:rFonts w:hint="eastAsia"/>
                <w:lang w:bidi="ar"/>
              </w:rPr>
              <w:t>符合性分析见表1</w:t>
            </w:r>
            <w:r>
              <w:rPr>
                <w:lang w:bidi="ar"/>
              </w:rPr>
              <w:t>-1</w:t>
            </w:r>
            <w:r>
              <w:rPr>
                <w:rFonts w:hint="eastAsia"/>
                <w:lang w:bidi="ar"/>
              </w:rPr>
              <w:t>。</w:t>
            </w:r>
          </w:p>
          <w:p w14:paraId="2C21FD60">
            <w:pPr>
              <w:pStyle w:val="74"/>
              <w:bidi w:val="0"/>
            </w:pPr>
            <w:r>
              <w:t>表</w:t>
            </w:r>
            <w:r>
              <w:rPr>
                <w:rFonts w:hint="eastAsia"/>
              </w:rPr>
              <w:t>1</w:t>
            </w:r>
            <w:r>
              <w:t xml:space="preserve">-1 </w:t>
            </w:r>
            <w:r>
              <w:rPr>
                <w:rFonts w:hint="eastAsia"/>
              </w:rPr>
              <w:t xml:space="preserve"> </w:t>
            </w:r>
            <w:r>
              <w:t>鸡西市</w:t>
            </w:r>
            <w:r>
              <w:rPr>
                <w:rFonts w:hint="eastAsia"/>
              </w:rPr>
              <w:t>梨树区</w:t>
            </w:r>
            <w:r>
              <w:t>生态环境准入清单符合性分析</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720"/>
              <w:gridCol w:w="698"/>
              <w:gridCol w:w="3190"/>
              <w:gridCol w:w="1951"/>
              <w:gridCol w:w="567"/>
            </w:tblGrid>
            <w:tr w14:paraId="7A54D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1" w:type="pct"/>
                  <w:vAlign w:val="center"/>
                </w:tcPr>
                <w:p w14:paraId="2F021741">
                  <w:pPr>
                    <w:pStyle w:val="52"/>
                    <w:rPr>
                      <w:sz w:val="18"/>
                      <w:szCs w:val="18"/>
                    </w:rPr>
                  </w:pPr>
                  <w:r>
                    <w:rPr>
                      <w:sz w:val="18"/>
                      <w:szCs w:val="18"/>
                    </w:rPr>
                    <w:t>环境管控单元名称</w:t>
                  </w:r>
                </w:p>
              </w:tc>
              <w:tc>
                <w:tcPr>
                  <w:tcW w:w="434" w:type="pct"/>
                  <w:vAlign w:val="center"/>
                </w:tcPr>
                <w:p w14:paraId="7E42E81C">
                  <w:pPr>
                    <w:pStyle w:val="52"/>
                    <w:rPr>
                      <w:sz w:val="18"/>
                      <w:szCs w:val="18"/>
                    </w:rPr>
                  </w:pPr>
                  <w:r>
                    <w:rPr>
                      <w:sz w:val="18"/>
                      <w:szCs w:val="18"/>
                    </w:rPr>
                    <w:t>管控单元类别</w:t>
                  </w:r>
                </w:p>
              </w:tc>
              <w:tc>
                <w:tcPr>
                  <w:tcW w:w="2345" w:type="pct"/>
                  <w:gridSpan w:val="2"/>
                  <w:vAlign w:val="center"/>
                </w:tcPr>
                <w:p w14:paraId="67CF6FA8">
                  <w:pPr>
                    <w:pStyle w:val="52"/>
                    <w:rPr>
                      <w:sz w:val="18"/>
                      <w:szCs w:val="18"/>
                    </w:rPr>
                  </w:pPr>
                  <w:r>
                    <w:rPr>
                      <w:sz w:val="18"/>
                      <w:szCs w:val="18"/>
                    </w:rPr>
                    <w:t>管控要求</w:t>
                  </w:r>
                </w:p>
              </w:tc>
              <w:tc>
                <w:tcPr>
                  <w:tcW w:w="1177" w:type="pct"/>
                  <w:vAlign w:val="center"/>
                </w:tcPr>
                <w:p w14:paraId="1BFB790B">
                  <w:pPr>
                    <w:pStyle w:val="52"/>
                    <w:rPr>
                      <w:sz w:val="18"/>
                      <w:szCs w:val="18"/>
                    </w:rPr>
                  </w:pPr>
                  <w:r>
                    <w:rPr>
                      <w:sz w:val="18"/>
                      <w:szCs w:val="18"/>
                    </w:rPr>
                    <w:t>本项目</w:t>
                  </w:r>
                </w:p>
              </w:tc>
              <w:tc>
                <w:tcPr>
                  <w:tcW w:w="342" w:type="pct"/>
                  <w:vAlign w:val="center"/>
                </w:tcPr>
                <w:p w14:paraId="195F5BE3">
                  <w:pPr>
                    <w:pStyle w:val="52"/>
                    <w:rPr>
                      <w:sz w:val="18"/>
                      <w:szCs w:val="18"/>
                    </w:rPr>
                  </w:pPr>
                  <w:r>
                    <w:rPr>
                      <w:sz w:val="18"/>
                      <w:szCs w:val="18"/>
                    </w:rPr>
                    <w:t>符合性</w:t>
                  </w:r>
                </w:p>
              </w:tc>
            </w:tr>
            <w:tr w14:paraId="1B06A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1" w:type="pct"/>
                  <w:vAlign w:val="center"/>
                </w:tcPr>
                <w:p w14:paraId="502D9489">
                  <w:pPr>
                    <w:pStyle w:val="52"/>
                    <w:rPr>
                      <w:sz w:val="18"/>
                      <w:szCs w:val="18"/>
                    </w:rPr>
                  </w:pPr>
                  <w:r>
                    <w:rPr>
                      <w:rFonts w:hint="eastAsia"/>
                      <w:sz w:val="18"/>
                      <w:szCs w:val="18"/>
                      <w:lang w:eastAsia="zh-CN" w:bidi="ar"/>
                    </w:rPr>
                    <w:t>梨树区一般生态空间</w:t>
                  </w:r>
                </w:p>
              </w:tc>
              <w:tc>
                <w:tcPr>
                  <w:tcW w:w="434" w:type="pct"/>
                  <w:vAlign w:val="center"/>
                </w:tcPr>
                <w:p w14:paraId="37278340">
                  <w:pPr>
                    <w:pStyle w:val="52"/>
                    <w:rPr>
                      <w:sz w:val="18"/>
                      <w:szCs w:val="18"/>
                    </w:rPr>
                  </w:pPr>
                  <w:r>
                    <w:rPr>
                      <w:rFonts w:hint="eastAsia"/>
                      <w:sz w:val="18"/>
                      <w:szCs w:val="18"/>
                      <w:lang w:bidi="ar"/>
                    </w:rPr>
                    <w:t>优先保护单元</w:t>
                  </w:r>
                </w:p>
              </w:tc>
              <w:tc>
                <w:tcPr>
                  <w:tcW w:w="421" w:type="pct"/>
                  <w:vAlign w:val="center"/>
                </w:tcPr>
                <w:p w14:paraId="281D71C6">
                  <w:pPr>
                    <w:pStyle w:val="52"/>
                    <w:rPr>
                      <w:sz w:val="18"/>
                      <w:szCs w:val="18"/>
                    </w:rPr>
                  </w:pPr>
                  <w:r>
                    <w:rPr>
                      <w:sz w:val="18"/>
                      <w:szCs w:val="18"/>
                    </w:rPr>
                    <w:t>空间布局约束</w:t>
                  </w:r>
                </w:p>
              </w:tc>
              <w:tc>
                <w:tcPr>
                  <w:tcW w:w="1924" w:type="pct"/>
                  <w:vAlign w:val="center"/>
                </w:tcPr>
                <w:p w14:paraId="5556B022">
                  <w:pPr>
                    <w:pStyle w:val="52"/>
                    <w:rPr>
                      <w:rFonts w:hint="eastAsia"/>
                      <w:sz w:val="18"/>
                      <w:szCs w:val="18"/>
                    </w:rPr>
                  </w:pPr>
                  <w:r>
                    <w:rPr>
                      <w:rFonts w:hint="eastAsia"/>
                      <w:sz w:val="18"/>
                      <w:szCs w:val="18"/>
                    </w:rPr>
                    <w:t>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w:t>
                  </w:r>
                </w:p>
                <w:p w14:paraId="7D3120D9">
                  <w:pPr>
                    <w:pStyle w:val="52"/>
                    <w:rPr>
                      <w:sz w:val="18"/>
                      <w:szCs w:val="18"/>
                    </w:rPr>
                  </w:pPr>
                  <w:r>
                    <w:rPr>
                      <w:rFonts w:hint="eastAsia"/>
                      <w:sz w:val="18"/>
                      <w:szCs w:val="18"/>
                    </w:rPr>
                    <w:t>耕地，并纳入国家生态退耕总体安排，或因国家重大生态工程建设需要外，不得随意转用。2.对依法保护的生态空间实行承载力控制，防止过度垦殖、放牧、采伐、取水、渔猎、旅游等对生态功能造成损害，确保自然生态系统的稳定。3.避免开发建设活动损害其生态服务功能和生态产品质量。 4.已经侵占生态空间的，应建立退出机制、制定治理方案及时间表。</w:t>
                  </w:r>
                </w:p>
              </w:tc>
              <w:tc>
                <w:tcPr>
                  <w:tcW w:w="1177" w:type="pct"/>
                  <w:vAlign w:val="center"/>
                </w:tcPr>
                <w:p w14:paraId="2CFEF597">
                  <w:pPr>
                    <w:pStyle w:val="52"/>
                    <w:rPr>
                      <w:rFonts w:hint="default" w:eastAsia="宋体"/>
                      <w:sz w:val="18"/>
                      <w:szCs w:val="18"/>
                      <w:lang w:val="en-US" w:eastAsia="zh-CN"/>
                    </w:rPr>
                  </w:pPr>
                  <w:r>
                    <w:rPr>
                      <w:rFonts w:hint="eastAsia"/>
                      <w:sz w:val="18"/>
                      <w:szCs w:val="18"/>
                      <w:lang w:val="en-US" w:eastAsia="zh-CN"/>
                    </w:rPr>
                    <w:t>本项目为平岗煤矿副立井项目，项目不涉及煤炭开采，不改变平岗煤矿产能，本项目利用企业自有用地建设，于2006年4月10日取得鸡西市人民政府核发的土地证（梨树国用（2006）第55007号），地类为工业用地，一直未进行建设，本次利用既有土地进行建设，不改变土地功能，可认为项目符合土地利用规划要求，同时本次施工仅在场地西侧施工，施工过程不占用</w:t>
                  </w:r>
                  <w:r>
                    <w:rPr>
                      <w:rFonts w:hint="eastAsia"/>
                      <w:sz w:val="18"/>
                      <w:szCs w:val="18"/>
                      <w:lang w:eastAsia="zh-CN" w:bidi="ar"/>
                    </w:rPr>
                    <w:t>一般生态空间，</w:t>
                  </w:r>
                  <w:r>
                    <w:rPr>
                      <w:rFonts w:hint="eastAsia"/>
                      <w:sz w:val="18"/>
                      <w:szCs w:val="18"/>
                      <w:lang w:val="en-US" w:eastAsia="zh-CN"/>
                    </w:rPr>
                    <w:t>符合空间约束布局要求。</w:t>
                  </w:r>
                </w:p>
              </w:tc>
              <w:tc>
                <w:tcPr>
                  <w:tcW w:w="342" w:type="pct"/>
                  <w:vAlign w:val="center"/>
                </w:tcPr>
                <w:p w14:paraId="6DB4A554">
                  <w:pPr>
                    <w:pStyle w:val="52"/>
                    <w:rPr>
                      <w:sz w:val="18"/>
                      <w:szCs w:val="18"/>
                    </w:rPr>
                  </w:pPr>
                  <w:r>
                    <w:rPr>
                      <w:sz w:val="18"/>
                      <w:szCs w:val="18"/>
                    </w:rPr>
                    <w:t>符合</w:t>
                  </w:r>
                </w:p>
              </w:tc>
            </w:tr>
            <w:tr w14:paraId="7364B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1" w:type="pct"/>
                  <w:vMerge w:val="restart"/>
                  <w:vAlign w:val="center"/>
                </w:tcPr>
                <w:p w14:paraId="231B894F">
                  <w:pPr>
                    <w:pStyle w:val="52"/>
                    <w:rPr>
                      <w:sz w:val="18"/>
                      <w:szCs w:val="18"/>
                    </w:rPr>
                  </w:pPr>
                  <w:r>
                    <w:rPr>
                      <w:sz w:val="18"/>
                      <w:szCs w:val="18"/>
                      <w:lang w:bidi="ar"/>
                    </w:rPr>
                    <w:t>梨树区水环境城镇生活污染重点管控区</w:t>
                  </w:r>
                </w:p>
              </w:tc>
              <w:tc>
                <w:tcPr>
                  <w:tcW w:w="434" w:type="pct"/>
                  <w:vMerge w:val="restart"/>
                  <w:vAlign w:val="center"/>
                </w:tcPr>
                <w:p w14:paraId="726F6041">
                  <w:pPr>
                    <w:pStyle w:val="52"/>
                    <w:rPr>
                      <w:sz w:val="18"/>
                      <w:szCs w:val="18"/>
                    </w:rPr>
                  </w:pPr>
                  <w:r>
                    <w:rPr>
                      <w:sz w:val="18"/>
                      <w:szCs w:val="18"/>
                    </w:rPr>
                    <w:t>重点管控单元</w:t>
                  </w:r>
                </w:p>
              </w:tc>
              <w:tc>
                <w:tcPr>
                  <w:tcW w:w="421" w:type="pct"/>
                  <w:vAlign w:val="center"/>
                </w:tcPr>
                <w:p w14:paraId="35CCA589">
                  <w:pPr>
                    <w:pStyle w:val="52"/>
                    <w:rPr>
                      <w:sz w:val="18"/>
                      <w:szCs w:val="18"/>
                    </w:rPr>
                  </w:pPr>
                  <w:r>
                    <w:rPr>
                      <w:sz w:val="18"/>
                      <w:szCs w:val="18"/>
                    </w:rPr>
                    <w:t>空间布局约束</w:t>
                  </w:r>
                </w:p>
              </w:tc>
              <w:tc>
                <w:tcPr>
                  <w:tcW w:w="1924" w:type="pct"/>
                  <w:vAlign w:val="center"/>
                </w:tcPr>
                <w:p w14:paraId="07F9ED59">
                  <w:pPr>
                    <w:pStyle w:val="49"/>
                    <w:rPr>
                      <w:rFonts w:hint="eastAsia"/>
                      <w:sz w:val="18"/>
                      <w:szCs w:val="18"/>
                    </w:rPr>
                  </w:pPr>
                  <w:r>
                    <w:rPr>
                      <w:rFonts w:hint="eastAsia"/>
                      <w:sz w:val="18"/>
                      <w:szCs w:val="18"/>
                    </w:rPr>
                    <w:t>1.除干旱地区外，新建城区应全面实行雨污分流，鼓励对初期雨水进行收集、处理和资源化利用。</w:t>
                  </w:r>
                </w:p>
                <w:p w14:paraId="4BCF84BD">
                  <w:pPr>
                    <w:pStyle w:val="49"/>
                    <w:rPr>
                      <w:sz w:val="18"/>
                      <w:szCs w:val="18"/>
                    </w:rPr>
                  </w:pPr>
                  <w:r>
                    <w:rPr>
                      <w:rFonts w:hint="eastAsia"/>
                      <w:sz w:val="18"/>
                      <w:szCs w:val="18"/>
                    </w:rPr>
                    <w:t>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177" w:type="pct"/>
                  <w:vAlign w:val="center"/>
                </w:tcPr>
                <w:p w14:paraId="73242597">
                  <w:pPr>
                    <w:pStyle w:val="49"/>
                    <w:rPr>
                      <w:sz w:val="18"/>
                      <w:szCs w:val="18"/>
                    </w:rPr>
                  </w:pPr>
                  <w:r>
                    <w:rPr>
                      <w:sz w:val="18"/>
                      <w:szCs w:val="18"/>
                    </w:rPr>
                    <w:t>本项目为</w:t>
                  </w:r>
                  <w:r>
                    <w:rPr>
                      <w:rFonts w:hint="eastAsia"/>
                      <w:sz w:val="18"/>
                      <w:szCs w:val="18"/>
                      <w:lang w:val="en-US" w:eastAsia="zh-CN"/>
                    </w:rPr>
                    <w:t>平岗</w:t>
                  </w:r>
                  <w:r>
                    <w:rPr>
                      <w:rFonts w:hint="eastAsia"/>
                      <w:sz w:val="18"/>
                      <w:szCs w:val="18"/>
                    </w:rPr>
                    <w:t>煤矿副立井建设项目，</w:t>
                  </w:r>
                  <w:r>
                    <w:rPr>
                      <w:sz w:val="18"/>
                      <w:szCs w:val="18"/>
                    </w:rPr>
                    <w:t>不涉及空间布局约束的内容。</w:t>
                  </w:r>
                </w:p>
              </w:tc>
              <w:tc>
                <w:tcPr>
                  <w:tcW w:w="342" w:type="pct"/>
                  <w:vAlign w:val="center"/>
                </w:tcPr>
                <w:p w14:paraId="4CC31761">
                  <w:pPr>
                    <w:pStyle w:val="52"/>
                    <w:rPr>
                      <w:sz w:val="18"/>
                      <w:szCs w:val="18"/>
                    </w:rPr>
                  </w:pPr>
                  <w:r>
                    <w:rPr>
                      <w:sz w:val="18"/>
                      <w:szCs w:val="18"/>
                    </w:rPr>
                    <w:t>符合</w:t>
                  </w:r>
                </w:p>
              </w:tc>
            </w:tr>
            <w:tr w14:paraId="52C63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1" w:type="pct"/>
                  <w:vMerge w:val="continue"/>
                  <w:vAlign w:val="center"/>
                </w:tcPr>
                <w:p w14:paraId="7910EBA0">
                  <w:pPr>
                    <w:pStyle w:val="52"/>
                    <w:rPr>
                      <w:sz w:val="18"/>
                      <w:szCs w:val="18"/>
                    </w:rPr>
                  </w:pPr>
                </w:p>
              </w:tc>
              <w:tc>
                <w:tcPr>
                  <w:tcW w:w="434" w:type="pct"/>
                  <w:vMerge w:val="continue"/>
                  <w:vAlign w:val="center"/>
                </w:tcPr>
                <w:p w14:paraId="192C6039">
                  <w:pPr>
                    <w:pStyle w:val="52"/>
                    <w:rPr>
                      <w:sz w:val="18"/>
                      <w:szCs w:val="18"/>
                    </w:rPr>
                  </w:pPr>
                </w:p>
              </w:tc>
              <w:tc>
                <w:tcPr>
                  <w:tcW w:w="421" w:type="pct"/>
                  <w:vAlign w:val="center"/>
                </w:tcPr>
                <w:p w14:paraId="5674315D">
                  <w:pPr>
                    <w:pStyle w:val="52"/>
                    <w:rPr>
                      <w:sz w:val="18"/>
                      <w:szCs w:val="18"/>
                    </w:rPr>
                  </w:pPr>
                  <w:r>
                    <w:rPr>
                      <w:sz w:val="18"/>
                      <w:szCs w:val="18"/>
                    </w:rPr>
                    <w:t>污染物排放管控</w:t>
                  </w:r>
                </w:p>
              </w:tc>
              <w:tc>
                <w:tcPr>
                  <w:tcW w:w="1924" w:type="pct"/>
                  <w:vAlign w:val="center"/>
                </w:tcPr>
                <w:p w14:paraId="063B5292">
                  <w:pPr>
                    <w:pStyle w:val="49"/>
                    <w:rPr>
                      <w:sz w:val="18"/>
                      <w:szCs w:val="18"/>
                    </w:rPr>
                  </w:pPr>
                  <w:r>
                    <w:rPr>
                      <w:rFonts w:hint="eastAsia"/>
                      <w:sz w:val="18"/>
                      <w:szCs w:val="18"/>
                    </w:rPr>
                    <w:t>1.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以上人民政府应当合理确定城镇排水与污水处理设施建设标准，统筹安排管网、泵站、污水处理厂以及污泥处理处置、再生水利用、雨水调蓄和排放等排水与污水处理设施建设和改造，提高城镇污水收集率和处理率。 2.大气环境布局敏感重点管控区同时执行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1177" w:type="pct"/>
                  <w:vAlign w:val="center"/>
                </w:tcPr>
                <w:p w14:paraId="2CDB5261">
                  <w:pPr>
                    <w:pStyle w:val="52"/>
                    <w:rPr>
                      <w:sz w:val="18"/>
                      <w:szCs w:val="18"/>
                    </w:rPr>
                  </w:pPr>
                  <w:r>
                    <w:rPr>
                      <w:sz w:val="18"/>
                      <w:szCs w:val="18"/>
                    </w:rPr>
                    <w:t>本项目为</w:t>
                  </w:r>
                  <w:r>
                    <w:rPr>
                      <w:rFonts w:hint="eastAsia"/>
                      <w:sz w:val="18"/>
                      <w:szCs w:val="18"/>
                    </w:rPr>
                    <w:t>煤矿副立井建设项目，项目无废水排放，供热</w:t>
                  </w:r>
                  <w:r>
                    <w:rPr>
                      <w:sz w:val="18"/>
                      <w:szCs w:val="18"/>
                    </w:rPr>
                    <w:t>采用平岗南风井瓦斯氧化发电余热提供井筒防冻所需要的热量。</w:t>
                  </w:r>
                </w:p>
              </w:tc>
              <w:tc>
                <w:tcPr>
                  <w:tcW w:w="342" w:type="pct"/>
                  <w:vAlign w:val="center"/>
                </w:tcPr>
                <w:p w14:paraId="74F41493">
                  <w:pPr>
                    <w:pStyle w:val="52"/>
                    <w:rPr>
                      <w:sz w:val="18"/>
                      <w:szCs w:val="18"/>
                    </w:rPr>
                  </w:pPr>
                  <w:r>
                    <w:rPr>
                      <w:sz w:val="18"/>
                      <w:szCs w:val="18"/>
                    </w:rPr>
                    <w:t>符合</w:t>
                  </w:r>
                </w:p>
              </w:tc>
            </w:tr>
            <w:tr w14:paraId="7445B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1" w:type="pct"/>
                  <w:vMerge w:val="continue"/>
                  <w:vAlign w:val="center"/>
                </w:tcPr>
                <w:p w14:paraId="18CE7368">
                  <w:pPr>
                    <w:pStyle w:val="52"/>
                    <w:rPr>
                      <w:sz w:val="18"/>
                      <w:szCs w:val="18"/>
                    </w:rPr>
                  </w:pPr>
                </w:p>
              </w:tc>
              <w:tc>
                <w:tcPr>
                  <w:tcW w:w="434" w:type="pct"/>
                  <w:vMerge w:val="continue"/>
                  <w:vAlign w:val="center"/>
                </w:tcPr>
                <w:p w14:paraId="432E2A8F">
                  <w:pPr>
                    <w:pStyle w:val="52"/>
                    <w:rPr>
                      <w:sz w:val="18"/>
                      <w:szCs w:val="18"/>
                    </w:rPr>
                  </w:pPr>
                </w:p>
              </w:tc>
              <w:tc>
                <w:tcPr>
                  <w:tcW w:w="421" w:type="pct"/>
                  <w:vAlign w:val="center"/>
                </w:tcPr>
                <w:p w14:paraId="5D237841">
                  <w:pPr>
                    <w:pStyle w:val="52"/>
                    <w:rPr>
                      <w:sz w:val="18"/>
                      <w:szCs w:val="18"/>
                    </w:rPr>
                  </w:pPr>
                  <w:r>
                    <w:rPr>
                      <w:sz w:val="18"/>
                      <w:szCs w:val="18"/>
                    </w:rPr>
                    <w:t>环境风险防控</w:t>
                  </w:r>
                </w:p>
              </w:tc>
              <w:tc>
                <w:tcPr>
                  <w:tcW w:w="1924" w:type="pct"/>
                  <w:vAlign w:val="center"/>
                </w:tcPr>
                <w:p w14:paraId="26CF1410">
                  <w:pPr>
                    <w:pStyle w:val="49"/>
                    <w:rPr>
                      <w:sz w:val="18"/>
                      <w:szCs w:val="18"/>
                    </w:rPr>
                  </w:pPr>
                  <w:r>
                    <w:rPr>
                      <w:rFonts w:hint="eastAsia"/>
                      <w:spacing w:val="-3"/>
                      <w:kern w:val="0"/>
                      <w:sz w:val="18"/>
                      <w:szCs w:val="18"/>
                    </w:rPr>
                    <w:t>大气环境布局敏感重点管控区同时执行禁止在居民区、学校、医疗和养老机构等周边新建有色金属冶炼、焦化等行业企业。</w:t>
                  </w:r>
                </w:p>
              </w:tc>
              <w:tc>
                <w:tcPr>
                  <w:tcW w:w="1177" w:type="pct"/>
                  <w:vAlign w:val="center"/>
                </w:tcPr>
                <w:p w14:paraId="71416D18">
                  <w:pPr>
                    <w:pStyle w:val="52"/>
                    <w:rPr>
                      <w:sz w:val="18"/>
                      <w:szCs w:val="18"/>
                    </w:rPr>
                  </w:pPr>
                  <w:r>
                    <w:rPr>
                      <w:sz w:val="18"/>
                      <w:szCs w:val="18"/>
                    </w:rPr>
                    <w:t>本项目不涉及准入清单中环境风险防控要求的内容。</w:t>
                  </w:r>
                </w:p>
              </w:tc>
              <w:tc>
                <w:tcPr>
                  <w:tcW w:w="342" w:type="pct"/>
                  <w:vAlign w:val="center"/>
                </w:tcPr>
                <w:p w14:paraId="76033644">
                  <w:pPr>
                    <w:pStyle w:val="52"/>
                    <w:rPr>
                      <w:sz w:val="18"/>
                      <w:szCs w:val="18"/>
                    </w:rPr>
                  </w:pPr>
                  <w:r>
                    <w:rPr>
                      <w:sz w:val="18"/>
                      <w:szCs w:val="18"/>
                    </w:rPr>
                    <w:t>符合</w:t>
                  </w:r>
                </w:p>
              </w:tc>
            </w:tr>
          </w:tbl>
          <w:p w14:paraId="313CD8C7">
            <w:pPr>
              <w:pStyle w:val="53"/>
              <w:ind w:firstLine="480"/>
            </w:pPr>
            <w:r>
              <w:t>根据</w:t>
            </w:r>
            <w:r>
              <w:rPr>
                <w:rFonts w:hint="eastAsia"/>
              </w:rPr>
              <w:t>上述</w:t>
            </w:r>
            <w:r>
              <w:t>分析，本项目建设符合</w:t>
            </w:r>
            <w:r>
              <w:rPr>
                <w:rFonts w:hint="eastAsia"/>
                <w:lang w:eastAsia="zh-CN" w:bidi="ar"/>
              </w:rPr>
              <w:t>《鸡西市生态环境准入清单（</w:t>
            </w:r>
            <w:r>
              <w:rPr>
                <w:rFonts w:hint="eastAsia"/>
                <w:lang w:val="en-US" w:eastAsia="zh-CN" w:bidi="ar"/>
              </w:rPr>
              <w:t>2023年版</w:t>
            </w:r>
            <w:r>
              <w:rPr>
                <w:rFonts w:hint="eastAsia"/>
                <w:lang w:eastAsia="zh-CN" w:bidi="ar"/>
              </w:rPr>
              <w:t>）》</w:t>
            </w:r>
            <w:r>
              <w:t>要求。</w:t>
            </w:r>
          </w:p>
          <w:p w14:paraId="06550ACF">
            <w:pPr>
              <w:pStyle w:val="45"/>
              <w:ind w:firstLine="480"/>
            </w:pPr>
            <w:r>
              <w:t>2</w:t>
            </w:r>
            <w:r>
              <w:rPr>
                <w:rFonts w:hint="eastAsia"/>
              </w:rPr>
              <w:t>、产业政策符合性</w:t>
            </w:r>
          </w:p>
          <w:p w14:paraId="078C69BD">
            <w:pPr>
              <w:pStyle w:val="53"/>
              <w:ind w:firstLine="480"/>
            </w:pPr>
            <w:bookmarkStart w:id="3" w:name="_Toc488312024"/>
            <w:bookmarkStart w:id="4" w:name="_Toc406239918"/>
            <w:bookmarkStart w:id="5" w:name="_Toc402607509"/>
            <w:bookmarkStart w:id="6" w:name="_Toc402159674"/>
            <w:r>
              <w:t>依据《产业结构调整指导目录（20</w:t>
            </w:r>
            <w:r>
              <w:rPr>
                <w:rFonts w:hint="eastAsia"/>
                <w:lang w:val="en-US" w:eastAsia="zh-CN"/>
              </w:rPr>
              <w:t>24</w:t>
            </w:r>
            <w:r>
              <w:t>年本）》，本项目不属于鼓励类、限制类</w:t>
            </w:r>
            <w:r>
              <w:rPr>
                <w:rFonts w:hint="eastAsia"/>
                <w:lang w:val="en-US" w:eastAsia="zh-CN"/>
              </w:rPr>
              <w:t>和</w:t>
            </w:r>
            <w:r>
              <w:t>淘汰类，属于允许类，符合当前产业政策要求。</w:t>
            </w:r>
          </w:p>
          <w:bookmarkEnd w:id="3"/>
          <w:bookmarkEnd w:id="4"/>
          <w:bookmarkEnd w:id="5"/>
          <w:bookmarkEnd w:id="6"/>
          <w:p w14:paraId="30C13687">
            <w:pPr>
              <w:pStyle w:val="53"/>
              <w:ind w:firstLine="480"/>
            </w:pPr>
            <w:r>
              <w:t>3</w:t>
            </w:r>
            <w:r>
              <w:rPr>
                <w:rFonts w:hint="eastAsia"/>
              </w:rPr>
              <w:t>、与《关于进一步加强煤炭资源开发环境影响评价管理的通知》（环环评</w:t>
            </w:r>
            <w:r>
              <w:rPr>
                <w:rFonts w:hint="eastAsia"/>
                <w:lang w:eastAsia="zh-CN"/>
              </w:rPr>
              <w:t>〔2020〕63号</w:t>
            </w:r>
            <w:r>
              <w:rPr>
                <w:rFonts w:hint="eastAsia"/>
              </w:rPr>
              <w:t>）符合性</w:t>
            </w:r>
            <w:r>
              <w:t>分析</w:t>
            </w:r>
          </w:p>
          <w:p w14:paraId="7F559BBA">
            <w:pPr>
              <w:pStyle w:val="99"/>
              <w:ind w:firstLine="480"/>
            </w:pPr>
            <w:r>
              <w:t>本项目与《关于进一步加强煤炭资源开发环境影响评价管理的通知》（环环评﹝2020﹞63号）的符合性分析见表1-2。</w:t>
            </w:r>
          </w:p>
          <w:p w14:paraId="124421BD">
            <w:pPr>
              <w:pStyle w:val="74"/>
              <w:bidi w:val="0"/>
            </w:pPr>
            <w:r>
              <w:t>表1-2本项目与通知对比分析一览表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5255"/>
              <w:gridCol w:w="1875"/>
              <w:gridCol w:w="536"/>
            </w:tblGrid>
            <w:tr w14:paraId="3A880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5" w:type="pct"/>
                  <w:vAlign w:val="center"/>
                </w:tcPr>
                <w:p w14:paraId="5ACF0A2E">
                  <w:pPr>
                    <w:pStyle w:val="52"/>
                  </w:pPr>
                  <w:r>
                    <w:t>序号</w:t>
                  </w:r>
                </w:p>
              </w:tc>
              <w:tc>
                <w:tcPr>
                  <w:tcW w:w="3169" w:type="pct"/>
                  <w:vAlign w:val="center"/>
                </w:tcPr>
                <w:p w14:paraId="53C65B3B">
                  <w:pPr>
                    <w:pStyle w:val="52"/>
                  </w:pPr>
                  <w:r>
                    <w:t>环环评﹝2020﹞63号中涉及内容</w:t>
                  </w:r>
                </w:p>
              </w:tc>
              <w:tc>
                <w:tcPr>
                  <w:tcW w:w="1131" w:type="pct"/>
                  <w:vAlign w:val="center"/>
                </w:tcPr>
                <w:p w14:paraId="7BA6BC13">
                  <w:pPr>
                    <w:pStyle w:val="52"/>
                  </w:pPr>
                  <w:r>
                    <w:t>本项目</w:t>
                  </w:r>
                </w:p>
              </w:tc>
              <w:tc>
                <w:tcPr>
                  <w:tcW w:w="323" w:type="pct"/>
                  <w:vAlign w:val="center"/>
                </w:tcPr>
                <w:p w14:paraId="468A1658">
                  <w:pPr>
                    <w:pStyle w:val="52"/>
                  </w:pPr>
                  <w:r>
                    <w:t>评价</w:t>
                  </w:r>
                </w:p>
              </w:tc>
            </w:tr>
            <w:tr w14:paraId="72523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5" w:type="pct"/>
                  <w:vAlign w:val="center"/>
                </w:tcPr>
                <w:p w14:paraId="0FABE15B">
                  <w:pPr>
                    <w:pStyle w:val="52"/>
                  </w:pPr>
                  <w:r>
                    <w:t>1</w:t>
                  </w:r>
                </w:p>
              </w:tc>
              <w:tc>
                <w:tcPr>
                  <w:tcW w:w="3169" w:type="pct"/>
                  <w:vAlign w:val="center"/>
                </w:tcPr>
                <w:p w14:paraId="4FF128F7">
                  <w:pPr>
                    <w:pStyle w:val="52"/>
                  </w:pPr>
                  <w:r>
                    <w:t>井工开采不得破坏具有供水意义含水层结构、污染地下水水质，保护地下水的供水功能和生态功能，必要时应采取保护性开采技术或其他保护措施减缓对地下水环境的影响。</w:t>
                  </w:r>
                </w:p>
              </w:tc>
              <w:tc>
                <w:tcPr>
                  <w:tcW w:w="1131" w:type="pct"/>
                  <w:vAlign w:val="center"/>
                </w:tcPr>
                <w:p w14:paraId="71BD5B74">
                  <w:pPr>
                    <w:pStyle w:val="52"/>
                    <w:rPr>
                      <w:color w:val="auto"/>
                    </w:rPr>
                  </w:pPr>
                  <w:r>
                    <w:rPr>
                      <w:rFonts w:hint="eastAsia"/>
                      <w:color w:val="auto"/>
                    </w:rPr>
                    <w:t>本项目仅新建一条副立井，</w:t>
                  </w:r>
                  <w:r>
                    <w:rPr>
                      <w:rFonts w:hint="eastAsia"/>
                      <w:color w:val="auto"/>
                      <w:szCs w:val="21"/>
                    </w:rPr>
                    <w:t>项目不涉及井工开采，不会破坏和污染地下水质</w:t>
                  </w:r>
                  <w:r>
                    <w:rPr>
                      <w:rFonts w:hint="eastAsia"/>
                      <w:color w:val="auto"/>
                    </w:rPr>
                    <w:t>。</w:t>
                  </w:r>
                </w:p>
              </w:tc>
              <w:tc>
                <w:tcPr>
                  <w:tcW w:w="323" w:type="pct"/>
                  <w:vAlign w:val="center"/>
                </w:tcPr>
                <w:p w14:paraId="086A552C">
                  <w:pPr>
                    <w:pStyle w:val="52"/>
                    <w:rPr>
                      <w:color w:val="auto"/>
                    </w:rPr>
                  </w:pPr>
                  <w:r>
                    <w:rPr>
                      <w:color w:val="auto"/>
                    </w:rPr>
                    <w:t>符合</w:t>
                  </w:r>
                </w:p>
              </w:tc>
            </w:tr>
            <w:tr w14:paraId="058C4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5" w:type="pct"/>
                  <w:vAlign w:val="center"/>
                </w:tcPr>
                <w:p w14:paraId="5854DBF3">
                  <w:pPr>
                    <w:pStyle w:val="52"/>
                  </w:pPr>
                  <w:r>
                    <w:t>2</w:t>
                  </w:r>
                </w:p>
              </w:tc>
              <w:tc>
                <w:tcPr>
                  <w:tcW w:w="3169" w:type="pct"/>
                  <w:vAlign w:val="center"/>
                </w:tcPr>
                <w:p w14:paraId="4A86D01E">
                  <w:pPr>
                    <w:pStyle w:val="52"/>
                  </w:pPr>
                  <w:r>
                    <w:t>提高煤矿瓦斯利用率，控制温室气体排放。高瓦斯、煤与瓦斯突出矿井应配套建设瓦斯抽采与综合利用设施，甲烷体积浓度大于等于 8%的抽采瓦斯，在确保安全的前提下，应进行综合利用。鼓励对甲烷体积浓度在2%（含）至8%的抽采瓦斯以及乏风瓦斯，探索开展综合利用。确需排放的，应满足《煤层气（煤矿瓦斯）排放标准（暂行）》要求。</w:t>
                  </w:r>
                </w:p>
              </w:tc>
              <w:tc>
                <w:tcPr>
                  <w:tcW w:w="1131" w:type="pct"/>
                  <w:vAlign w:val="center"/>
                </w:tcPr>
                <w:p w14:paraId="30EAFCBF">
                  <w:pPr>
                    <w:pStyle w:val="49"/>
                    <w:rPr>
                      <w:color w:val="auto"/>
                      <w:sz w:val="24"/>
                    </w:rPr>
                  </w:pPr>
                  <w:r>
                    <w:rPr>
                      <w:rFonts w:hint="eastAsia"/>
                      <w:color w:val="auto"/>
                      <w:szCs w:val="21"/>
                    </w:rPr>
                    <w:t>本</w:t>
                  </w:r>
                  <w:r>
                    <w:rPr>
                      <w:color w:val="auto"/>
                    </w:rPr>
                    <w:t>项目属于低瓦斯矿井，瓦斯排放满足《煤层气（煤矿瓦斯）排放标准（暂行）》要求。</w:t>
                  </w:r>
                </w:p>
              </w:tc>
              <w:tc>
                <w:tcPr>
                  <w:tcW w:w="323" w:type="pct"/>
                  <w:vAlign w:val="center"/>
                </w:tcPr>
                <w:p w14:paraId="41EEE9CD">
                  <w:pPr>
                    <w:pStyle w:val="52"/>
                    <w:rPr>
                      <w:color w:val="auto"/>
                    </w:rPr>
                  </w:pPr>
                  <w:r>
                    <w:rPr>
                      <w:color w:val="auto"/>
                    </w:rPr>
                    <w:t>符合</w:t>
                  </w:r>
                </w:p>
              </w:tc>
            </w:tr>
            <w:tr w14:paraId="246DC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5" w:type="pct"/>
                  <w:vAlign w:val="center"/>
                </w:tcPr>
                <w:p w14:paraId="70F6156D">
                  <w:pPr>
                    <w:pStyle w:val="52"/>
                  </w:pPr>
                  <w:r>
                    <w:t>3</w:t>
                  </w:r>
                </w:p>
              </w:tc>
              <w:tc>
                <w:tcPr>
                  <w:tcW w:w="3169" w:type="pct"/>
                  <w:vAlign w:val="center"/>
                </w:tcPr>
                <w:p w14:paraId="2BA0FB86">
                  <w:pPr>
                    <w:pStyle w:val="52"/>
                  </w:pPr>
                  <w:r>
                    <w:t>针对矿井水应当考虑主要污染因子及污染影响特点等，通过优化开采范围和开采方式、采取针对性处理措施等，从源头减少和有效防治高含盐、酸性、高氟化物、放射性等矿井水。矿井水应优先用于项目建设及生产，并鼓励多途径利用多余矿井水。可以利用的矿井水未得到合理、充分利用的，不得开采及使用其他地表水和地下水水源作为生产水源，并不得擅自外排。矿井水在充分利用后仍有剩余且确需外排的，经处理后拟外排的，除应符合相关法律法规政策外，其相关水质因子值应满足或优于受纳水体环境功能区划规定的地表水环境质量对应值，含盐量不得超过1000毫克/升，且不得影响上下游相关河段水功能需求；安装在线自动监测系统，相关环境数据向社会公开，与相关部门联网，接受监督。</w:t>
                  </w:r>
                </w:p>
              </w:tc>
              <w:tc>
                <w:tcPr>
                  <w:tcW w:w="1131" w:type="pct"/>
                  <w:vAlign w:val="center"/>
                </w:tcPr>
                <w:p w14:paraId="59DE0025">
                  <w:pPr>
                    <w:pStyle w:val="52"/>
                    <w:rPr>
                      <w:color w:val="auto"/>
                    </w:rPr>
                  </w:pPr>
                  <w:r>
                    <w:rPr>
                      <w:rFonts w:hint="eastAsia"/>
                      <w:color w:val="auto"/>
                    </w:rPr>
                    <w:t>本项目场地不涉及矿井水排放。</w:t>
                  </w:r>
                </w:p>
              </w:tc>
              <w:tc>
                <w:tcPr>
                  <w:tcW w:w="323" w:type="pct"/>
                  <w:vAlign w:val="center"/>
                </w:tcPr>
                <w:p w14:paraId="34B87BAF">
                  <w:pPr>
                    <w:pStyle w:val="52"/>
                    <w:rPr>
                      <w:color w:val="auto"/>
                    </w:rPr>
                  </w:pPr>
                  <w:r>
                    <w:rPr>
                      <w:color w:val="auto"/>
                    </w:rPr>
                    <w:t>符合</w:t>
                  </w:r>
                </w:p>
              </w:tc>
            </w:tr>
          </w:tbl>
          <w:p w14:paraId="1CAEB487">
            <w:pPr>
              <w:pStyle w:val="45"/>
              <w:ind w:firstLine="480"/>
            </w:pPr>
            <w:r>
              <w:t>4</w:t>
            </w:r>
            <w:r>
              <w:rPr>
                <w:rFonts w:hint="eastAsia"/>
              </w:rPr>
              <w:t>、与《黑龙江省矿产资源总体规划（2021</w:t>
            </w:r>
            <w:r>
              <w:rPr>
                <w:rFonts w:hint="eastAsia"/>
                <w:lang w:eastAsia="zh-CN"/>
              </w:rPr>
              <w:t>—</w:t>
            </w:r>
            <w:r>
              <w:rPr>
                <w:rFonts w:hint="eastAsia"/>
              </w:rPr>
              <w:t>2025年）》符合性</w:t>
            </w:r>
            <w:r>
              <w:t>分析</w:t>
            </w:r>
          </w:p>
          <w:p w14:paraId="755050A4">
            <w:pPr>
              <w:pStyle w:val="45"/>
              <w:spacing w:line="500" w:lineRule="exact"/>
              <w:ind w:firstLine="480"/>
            </w:pPr>
            <w:r>
              <w:rPr>
                <w:rFonts w:hint="eastAsia"/>
              </w:rPr>
              <w:t>《黑龙江省矿产资源总体规划（2021</w:t>
            </w:r>
            <w:r>
              <w:rPr>
                <w:rFonts w:hint="eastAsia"/>
                <w:lang w:eastAsia="zh-CN"/>
              </w:rPr>
              <w:t>—</w:t>
            </w:r>
            <w:r>
              <w:rPr>
                <w:rFonts w:hint="eastAsia"/>
              </w:rPr>
              <w:t>2025年）》提出：鹤岗市、鸡西市、双鸭山市、七台河市、牡丹江市、佳木斯市为东部能源资源安全发展保障区。提高煤炭保障能力，加强煤城开采区深部及外围区域资源勘察，增加资源储备接续。科学规划布局，坚决淘汰落后产能，有序释放安全优质产能。矿业活动合理避让永久基本农田、生态保护红线、城镇开发边界。</w:t>
            </w:r>
          </w:p>
          <w:p w14:paraId="2532AD39">
            <w:pPr>
              <w:pStyle w:val="45"/>
              <w:spacing w:line="500" w:lineRule="exact"/>
              <w:ind w:firstLine="480"/>
            </w:pPr>
            <w:r>
              <w:rPr>
                <w:rFonts w:hint="eastAsia"/>
              </w:rPr>
              <w:t>本项目为</w:t>
            </w:r>
            <w:r>
              <w:rPr>
                <w:rFonts w:hint="eastAsia" w:ascii="宋体" w:hAnsi="宋体" w:cs="宋体"/>
                <w:szCs w:val="21"/>
              </w:rPr>
              <w:t>平岗煤矿</w:t>
            </w:r>
            <w:r>
              <w:rPr>
                <w:rFonts w:hint="eastAsia"/>
              </w:rPr>
              <w:t>副立井新建</w:t>
            </w:r>
            <w:r>
              <w:rPr>
                <w:rFonts w:hint="eastAsia" w:ascii="宋体" w:hAnsi="宋体" w:cs="宋体"/>
                <w:szCs w:val="21"/>
              </w:rPr>
              <w:t>项目，项目不占用</w:t>
            </w:r>
            <w:r>
              <w:rPr>
                <w:rFonts w:hint="eastAsia"/>
              </w:rPr>
              <w:t>永久基本农田、生态保护红线、城镇开发边界，故与《黑龙江省矿产资源总体规划（2021</w:t>
            </w:r>
            <w:r>
              <w:rPr>
                <w:rFonts w:hint="eastAsia"/>
                <w:lang w:eastAsia="zh-CN"/>
              </w:rPr>
              <w:t>—</w:t>
            </w:r>
            <w:r>
              <w:rPr>
                <w:rFonts w:hint="eastAsia"/>
              </w:rPr>
              <w:t>2025年）》的相关要求相符合。</w:t>
            </w:r>
          </w:p>
          <w:p w14:paraId="242C311C">
            <w:pPr>
              <w:pStyle w:val="45"/>
              <w:ind w:firstLine="480"/>
            </w:pPr>
            <w:r>
              <w:rPr>
                <w:rFonts w:hint="eastAsia"/>
              </w:rPr>
              <w:t>5、与《黑龙江省鸡西煤炭矿区总体规划》及《黑龙江省鸡西煤炭矿区总体规划环境影响报告书》符合性分析</w:t>
            </w:r>
          </w:p>
          <w:p w14:paraId="4E64CB00">
            <w:pPr>
              <w:pStyle w:val="45"/>
              <w:spacing w:line="500" w:lineRule="exact"/>
              <w:ind w:firstLine="480"/>
            </w:pPr>
            <w:r>
              <w:rPr>
                <w:rFonts w:hint="eastAsia"/>
              </w:rPr>
              <w:t>（1）规划内容</w:t>
            </w:r>
          </w:p>
          <w:p w14:paraId="0BCC91F3">
            <w:pPr>
              <w:pStyle w:val="45"/>
              <w:spacing w:line="500" w:lineRule="exact"/>
              <w:ind w:firstLine="480"/>
            </w:pPr>
            <w:r>
              <w:rPr>
                <w:lang w:val="zh-CN"/>
              </w:rPr>
              <w:t>鸡西煤炭矿区面积</w:t>
            </w:r>
            <w:r>
              <w:t>1923.27</w:t>
            </w:r>
            <w:r>
              <w:rPr>
                <w:lang w:val="zh-CN"/>
              </w:rPr>
              <w:t>km</w:t>
            </w:r>
            <w:r>
              <w:t>²，</w:t>
            </w:r>
            <w:r>
              <w:rPr>
                <w:spacing w:val="-1"/>
              </w:rPr>
              <w:t>矿区共划分68个井田5个勘查区。规划的68个井田中，新建井7个，保留生产矿井和在建矿井18个</w:t>
            </w:r>
            <w:r>
              <w:rPr>
                <w:lang w:val="zh-CN"/>
              </w:rPr>
              <w:t>，</w:t>
            </w:r>
            <w:r>
              <w:rPr>
                <w:rFonts w:hint="eastAsia"/>
                <w:lang w:val="zh-CN"/>
              </w:rPr>
              <w:t>平岗煤矿属于生产矿井。</w:t>
            </w:r>
          </w:p>
          <w:p w14:paraId="4207CDAD">
            <w:pPr>
              <w:pStyle w:val="45"/>
              <w:spacing w:line="500" w:lineRule="exact"/>
              <w:ind w:firstLine="480"/>
            </w:pPr>
            <w:r>
              <w:rPr>
                <w:rFonts w:hint="eastAsia"/>
              </w:rPr>
              <w:t>（2）矿区规划项目环境准入条件</w:t>
            </w:r>
          </w:p>
          <w:p w14:paraId="406A3ABE">
            <w:pPr>
              <w:pStyle w:val="45"/>
              <w:spacing w:line="500" w:lineRule="exact"/>
              <w:ind w:firstLine="480"/>
            </w:pPr>
            <w:r>
              <w:rPr>
                <w:rFonts w:hint="eastAsia"/>
              </w:rPr>
              <w:t>矿区内建设项目应严格执行矿区开发环境准入条件，具体如下：</w:t>
            </w:r>
          </w:p>
          <w:p w14:paraId="465C5D25">
            <w:pPr>
              <w:pStyle w:val="45"/>
              <w:spacing w:line="500" w:lineRule="exact"/>
              <w:ind w:firstLine="480"/>
            </w:pPr>
            <w:r>
              <w:t>①</w:t>
            </w:r>
            <w:r>
              <w:rPr>
                <w:rFonts w:hint="eastAsia"/>
              </w:rPr>
              <w:t>清洁生产水平</w:t>
            </w:r>
          </w:p>
          <w:p w14:paraId="606E3147">
            <w:pPr>
              <w:pStyle w:val="45"/>
              <w:spacing w:line="500" w:lineRule="exact"/>
              <w:ind w:firstLine="480"/>
            </w:pPr>
            <w:r>
              <w:rPr>
                <w:rFonts w:hint="eastAsia"/>
              </w:rPr>
              <w:t>矿区煤矿项目按照《清洁生产标准 煤炭采选业》一级技术指标的要求进行设计、建设和运营。</w:t>
            </w:r>
          </w:p>
          <w:p w14:paraId="7E654CA7">
            <w:pPr>
              <w:pStyle w:val="45"/>
              <w:spacing w:line="500" w:lineRule="exact"/>
              <w:ind w:firstLine="480"/>
            </w:pPr>
            <w:r>
              <w:t>②</w:t>
            </w:r>
            <w:r>
              <w:rPr>
                <w:rFonts w:hint="eastAsia"/>
              </w:rPr>
              <w:t>节能减排</w:t>
            </w:r>
          </w:p>
          <w:p w14:paraId="0F3A9709">
            <w:pPr>
              <w:pStyle w:val="45"/>
              <w:spacing w:line="500" w:lineRule="exact"/>
              <w:ind w:firstLine="480"/>
            </w:pPr>
            <w:r>
              <w:rPr>
                <w:rFonts w:hint="eastAsia"/>
              </w:rPr>
              <w:t>根据《煤炭工业矿区总体规划规范》（GB50465-2008），本次环评按照矿区劳动定员，取生活用水（含洗浴用水）定额为250L/d•人；根据《清洁生产标准 煤炭采选业》（HJ446-2008）清洁生产一级水平，选煤补充水量≤0.1m</w:t>
            </w:r>
            <w:r>
              <w:rPr>
                <w:rFonts w:hint="eastAsia"/>
                <w:vertAlign w:val="superscript"/>
              </w:rPr>
              <w:t>3</w:t>
            </w:r>
            <w:r>
              <w:rPr>
                <w:rFonts w:hint="eastAsia"/>
              </w:rPr>
              <w:t>/t，矿井生产用水定额为0.1m</w:t>
            </w:r>
            <w:r>
              <w:rPr>
                <w:rFonts w:hint="eastAsia"/>
                <w:vertAlign w:val="superscript"/>
              </w:rPr>
              <w:t>3</w:t>
            </w:r>
            <w:r>
              <w:rPr>
                <w:rFonts w:hint="eastAsia"/>
              </w:rPr>
              <w:t>/t。</w:t>
            </w:r>
          </w:p>
          <w:p w14:paraId="55C0EB31">
            <w:pPr>
              <w:pStyle w:val="45"/>
              <w:spacing w:line="500" w:lineRule="exact"/>
              <w:ind w:firstLine="480"/>
            </w:pPr>
            <w:r>
              <w:rPr>
                <w:rFonts w:hint="eastAsia"/>
              </w:rPr>
              <w:t>矿区各项目本着用污排净的原则实施，矿区生活污水应处理后全部回用，禁止外排；处理后的矿井水应回用于矿区项目作为生产和非饮用生活用水，富余部分外供作为周边企业生产用水，矿井水全部复用不外排。</w:t>
            </w:r>
          </w:p>
          <w:p w14:paraId="650B961C">
            <w:pPr>
              <w:pStyle w:val="45"/>
              <w:spacing w:line="500" w:lineRule="exact"/>
              <w:ind w:firstLine="480"/>
            </w:pPr>
            <w:r>
              <w:t>③</w:t>
            </w:r>
            <w:r>
              <w:rPr>
                <w:rFonts w:hint="eastAsia"/>
              </w:rPr>
              <w:t>总量控制</w:t>
            </w:r>
          </w:p>
          <w:p w14:paraId="088A8BD0">
            <w:pPr>
              <w:pStyle w:val="45"/>
              <w:spacing w:line="500" w:lineRule="exact"/>
              <w:ind w:firstLine="480"/>
            </w:pPr>
            <w:r>
              <w:rPr>
                <w:rFonts w:hint="eastAsia"/>
              </w:rPr>
              <w:t>矿区规划建设项目实施前必须取得各项目污染物排放总量控制指标，没有取得污染物总量指标的，一律禁止建设。</w:t>
            </w:r>
          </w:p>
          <w:p w14:paraId="462263A8">
            <w:pPr>
              <w:pStyle w:val="45"/>
              <w:spacing w:line="500" w:lineRule="exact"/>
              <w:ind w:firstLine="480"/>
            </w:pPr>
            <w:r>
              <w:rPr>
                <w:rFonts w:hint="eastAsia"/>
              </w:rPr>
              <w:t>（</w:t>
            </w:r>
            <w:r>
              <w:t>3</w:t>
            </w:r>
            <w:r>
              <w:rPr>
                <w:rFonts w:hint="eastAsia"/>
              </w:rPr>
              <w:t>）符合性分析</w:t>
            </w:r>
          </w:p>
          <w:p w14:paraId="30560D9B">
            <w:pPr>
              <w:pStyle w:val="45"/>
              <w:spacing w:line="500" w:lineRule="exact"/>
              <w:ind w:firstLine="480"/>
            </w:pPr>
            <w:r>
              <w:rPr>
                <w:rFonts w:hint="eastAsia"/>
                <w:lang w:val="zh-CN"/>
              </w:rPr>
              <w:t>平岗煤矿属于</w:t>
            </w:r>
            <w:r>
              <w:rPr>
                <w:rFonts w:hint="eastAsia"/>
              </w:rPr>
              <w:t>《黑龙江省鸡西煤炭矿区总体规划》中的</w:t>
            </w:r>
            <w:r>
              <w:rPr>
                <w:rFonts w:hint="eastAsia"/>
                <w:lang w:val="zh-CN"/>
              </w:rPr>
              <w:t>生产矿井，</w:t>
            </w:r>
            <w:r>
              <w:rPr>
                <w:rFonts w:hint="eastAsia"/>
              </w:rPr>
              <w:t>本项目为</w:t>
            </w:r>
            <w:r>
              <w:rPr>
                <w:rFonts w:hint="eastAsia" w:ascii="宋体" w:hAnsi="宋体" w:cs="宋体"/>
                <w:szCs w:val="21"/>
              </w:rPr>
              <w:t>平岗煤矿</w:t>
            </w:r>
            <w:r>
              <w:rPr>
                <w:rFonts w:hint="eastAsia"/>
              </w:rPr>
              <w:t>副立井新建</w:t>
            </w:r>
            <w:r>
              <w:rPr>
                <w:rFonts w:hint="eastAsia" w:ascii="宋体" w:hAnsi="宋体" w:cs="宋体"/>
                <w:szCs w:val="21"/>
              </w:rPr>
              <w:t>项目，项目不增加煤炭开采，不涉及排水，项目不需要申请</w:t>
            </w:r>
            <w:r>
              <w:rPr>
                <w:rFonts w:hint="eastAsia"/>
              </w:rPr>
              <w:t>总量控制指标，与《黑龙江省鸡西煤炭矿区总体规划》及《黑龙江省鸡西煤炭矿区总体规划环境影响报告书》的相关要求相符合。</w:t>
            </w:r>
          </w:p>
          <w:p w14:paraId="1DD00C42">
            <w:pPr>
              <w:pStyle w:val="45"/>
              <w:spacing w:line="500" w:lineRule="exact"/>
              <w:ind w:firstLine="480"/>
              <w:rPr>
                <w:rFonts w:hint="eastAsia"/>
                <w:color w:val="auto"/>
              </w:rPr>
            </w:pPr>
          </w:p>
          <w:p w14:paraId="3E5D38BD">
            <w:pPr>
              <w:pStyle w:val="45"/>
              <w:spacing w:line="500" w:lineRule="exact"/>
              <w:ind w:firstLine="480"/>
              <w:rPr>
                <w:rFonts w:hint="eastAsia"/>
                <w:color w:val="auto"/>
              </w:rPr>
            </w:pPr>
          </w:p>
          <w:p w14:paraId="4059347E">
            <w:pPr>
              <w:pStyle w:val="45"/>
              <w:spacing w:line="500" w:lineRule="exact"/>
              <w:ind w:firstLine="480"/>
              <w:rPr>
                <w:rFonts w:hint="eastAsia"/>
                <w:color w:val="auto"/>
              </w:rPr>
            </w:pPr>
          </w:p>
          <w:p w14:paraId="113A08CC">
            <w:pPr>
              <w:pStyle w:val="45"/>
              <w:spacing w:line="500" w:lineRule="exact"/>
              <w:ind w:firstLine="480"/>
              <w:rPr>
                <w:rFonts w:hint="eastAsia"/>
                <w:color w:val="auto"/>
              </w:rPr>
            </w:pPr>
          </w:p>
          <w:p w14:paraId="6BC81714">
            <w:pPr>
              <w:pStyle w:val="45"/>
              <w:spacing w:line="500" w:lineRule="exact"/>
              <w:ind w:firstLine="480"/>
              <w:rPr>
                <w:rFonts w:hint="eastAsia"/>
                <w:color w:val="auto"/>
              </w:rPr>
            </w:pPr>
          </w:p>
          <w:p w14:paraId="019AD77B">
            <w:pPr>
              <w:pStyle w:val="45"/>
              <w:spacing w:line="500" w:lineRule="exact"/>
              <w:ind w:left="0" w:leftChars="0" w:firstLine="0" w:firstLineChars="0"/>
              <w:rPr>
                <w:rFonts w:hint="eastAsia"/>
                <w:color w:val="auto"/>
              </w:rPr>
            </w:pPr>
          </w:p>
          <w:p w14:paraId="0279B461">
            <w:pPr>
              <w:pStyle w:val="45"/>
              <w:spacing w:line="500" w:lineRule="exact"/>
              <w:ind w:left="0" w:leftChars="0" w:firstLine="0" w:firstLineChars="0"/>
              <w:rPr>
                <w:rFonts w:hint="eastAsia"/>
                <w:color w:val="auto"/>
              </w:rPr>
            </w:pPr>
          </w:p>
        </w:tc>
      </w:tr>
    </w:tbl>
    <w:p w14:paraId="393A9986">
      <w:pPr>
        <w:spacing w:line="360" w:lineRule="auto"/>
        <w:outlineLvl w:val="0"/>
        <w:rPr>
          <w:rFonts w:eastAsia="黑体"/>
          <w:sz w:val="30"/>
        </w:rPr>
        <w:sectPr>
          <w:footerReference r:id="rId5" w:type="default"/>
          <w:pgSz w:w="11906" w:h="16838"/>
          <w:pgMar w:top="1701" w:right="1531" w:bottom="1701" w:left="1531" w:header="851" w:footer="1077" w:gutter="0"/>
          <w:pgNumType w:start="1"/>
          <w:cols w:space="720" w:num="1"/>
          <w:docGrid w:linePitch="312" w:charSpace="0"/>
        </w:sectPr>
      </w:pPr>
    </w:p>
    <w:p w14:paraId="6E6FB5B0">
      <w:pPr>
        <w:pStyle w:val="18"/>
        <w:jc w:val="center"/>
        <w:outlineLvl w:val="0"/>
        <w:rPr>
          <w:rFonts w:ascii="黑体" w:hAnsi="黑体" w:eastAsia="黑体"/>
          <w:snapToGrid w:val="0"/>
          <w:sz w:val="30"/>
          <w:szCs w:val="30"/>
        </w:rPr>
      </w:pPr>
      <w:r>
        <w:rPr>
          <w:rFonts w:hint="eastAsia" w:ascii="黑体" w:hAnsi="黑体" w:eastAsia="黑体"/>
          <w:snapToGrid w:val="0"/>
          <w:sz w:val="30"/>
          <w:szCs w:val="30"/>
        </w:rPr>
        <w:t>二、建设内容</w:t>
      </w:r>
    </w:p>
    <w:tbl>
      <w:tblPr>
        <w:tblStyle w:val="23"/>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8380"/>
      </w:tblGrid>
      <w:tr w14:paraId="2E5C55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710" w:type="dxa"/>
            <w:vAlign w:val="center"/>
          </w:tcPr>
          <w:p w14:paraId="4E9A00C5">
            <w:pPr>
              <w:adjustRightInd w:val="0"/>
              <w:snapToGrid w:val="0"/>
              <w:jc w:val="center"/>
              <w:rPr>
                <w:rFonts w:ascii="宋体" w:hAnsi="宋体" w:cs="宋体"/>
                <w:kern w:val="0"/>
                <w:szCs w:val="21"/>
              </w:rPr>
            </w:pPr>
            <w:r>
              <w:rPr>
                <w:rFonts w:hint="eastAsia" w:ascii="宋体" w:hAnsi="宋体" w:cs="宋体"/>
                <w:kern w:val="0"/>
                <w:szCs w:val="21"/>
              </w:rPr>
              <w:t>地理位置</w:t>
            </w:r>
          </w:p>
        </w:tc>
        <w:tc>
          <w:tcPr>
            <w:tcW w:w="8380" w:type="dxa"/>
            <w:vAlign w:val="center"/>
          </w:tcPr>
          <w:p w14:paraId="051C6BB3">
            <w:pPr>
              <w:pStyle w:val="45"/>
              <w:ind w:firstLine="480"/>
              <w:rPr>
                <w:kern w:val="0"/>
              </w:rPr>
            </w:pPr>
            <w:r>
              <w:rPr>
                <w:rFonts w:hint="eastAsia"/>
              </w:rPr>
              <w:t>本项目位于黑龙江省鸡西市梨树区，距鸡西市28km、距梨树镇9.0km，中心坐标为</w:t>
            </w:r>
            <w:r>
              <w:t>130</w:t>
            </w:r>
            <w:r>
              <w:rPr>
                <w:rFonts w:hint="eastAsia"/>
              </w:rPr>
              <w:t>°</w:t>
            </w:r>
            <w:r>
              <w:t>46</w:t>
            </w:r>
            <w:r>
              <w:rPr>
                <w:rFonts w:hint="eastAsia"/>
              </w:rPr>
              <w:t>′</w:t>
            </w:r>
            <w:r>
              <w:t>44.389</w:t>
            </w:r>
            <w:r>
              <w:rPr>
                <w:rFonts w:hint="eastAsia"/>
              </w:rPr>
              <w:t>″，</w:t>
            </w:r>
            <w:r>
              <w:t>45</w:t>
            </w:r>
            <w:r>
              <w:rPr>
                <w:rFonts w:hint="eastAsia"/>
              </w:rPr>
              <w:t>°</w:t>
            </w:r>
            <w:r>
              <w:t>07</w:t>
            </w:r>
            <w:r>
              <w:rPr>
                <w:rFonts w:hint="eastAsia"/>
              </w:rPr>
              <w:t>′</w:t>
            </w:r>
            <w:r>
              <w:t>43.148</w:t>
            </w:r>
            <w:r>
              <w:rPr>
                <w:rFonts w:hint="eastAsia"/>
              </w:rPr>
              <w:t>″，项目北侧、东侧为林地，南侧、西侧为耕地，项目地理位置见附图1。</w:t>
            </w:r>
          </w:p>
        </w:tc>
      </w:tr>
      <w:tr w14:paraId="217172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1" w:hRule="atLeast"/>
          <w:jc w:val="center"/>
        </w:trPr>
        <w:tc>
          <w:tcPr>
            <w:tcW w:w="710" w:type="dxa"/>
            <w:vAlign w:val="center"/>
          </w:tcPr>
          <w:p w14:paraId="273F139A">
            <w:pPr>
              <w:adjustRightInd w:val="0"/>
              <w:snapToGrid w:val="0"/>
              <w:jc w:val="center"/>
              <w:rPr>
                <w:rFonts w:ascii="宋体" w:hAnsi="宋体" w:cs="宋体"/>
                <w:kern w:val="0"/>
                <w:szCs w:val="21"/>
              </w:rPr>
            </w:pPr>
            <w:r>
              <w:rPr>
                <w:rFonts w:hint="eastAsia" w:ascii="宋体" w:hAnsi="宋体" w:cs="宋体"/>
                <w:kern w:val="0"/>
                <w:szCs w:val="21"/>
              </w:rPr>
              <w:t>项目组成及规模</w:t>
            </w:r>
          </w:p>
        </w:tc>
        <w:tc>
          <w:tcPr>
            <w:tcW w:w="8380" w:type="dxa"/>
          </w:tcPr>
          <w:p w14:paraId="5F2D4959">
            <w:pPr>
              <w:pStyle w:val="53"/>
              <w:ind w:firstLine="480"/>
            </w:pPr>
            <w:r>
              <w:rPr>
                <w:rFonts w:hint="eastAsia"/>
              </w:rPr>
              <w:t>1、项目基本情况</w:t>
            </w:r>
          </w:p>
          <w:p w14:paraId="27ACD0E1">
            <w:pPr>
              <w:pStyle w:val="53"/>
              <w:ind w:firstLine="480"/>
            </w:pPr>
            <w:r>
              <w:rPr>
                <w:rFonts w:hint="eastAsia"/>
              </w:rPr>
              <w:t>黑龙江龙煤鸡西矿业有限责任公司平岗煤矿现有设计生产能力为120万t/a。平岗煤矿可采煤层与局部可采煤层总计13个煤层，分别为1#、3#上、3#下、5#、6#层，14#、15#、22#、23#、25#、32#、33#、35#层，除32#层为中厚煤层外，其余均为薄煤层。矿井现有工业资源/储量13809.54万t，可采储量6765.53万t，矿井服务年限40.3年。</w:t>
            </w:r>
          </w:p>
          <w:p w14:paraId="0CA63C83">
            <w:pPr>
              <w:pStyle w:val="45"/>
              <w:ind w:firstLine="480"/>
            </w:pPr>
            <w:r>
              <w:rPr>
                <w:rFonts w:hint="eastAsia"/>
              </w:rPr>
              <w:t>2、项目建设的主要目的</w:t>
            </w:r>
          </w:p>
          <w:p w14:paraId="7708A55F">
            <w:pPr>
              <w:pStyle w:val="53"/>
              <w:bidi w:val="0"/>
              <w:rPr>
                <w:rFonts w:hint="eastAsia"/>
                <w:lang w:val="en-US" w:eastAsia="zh-CN"/>
              </w:rPr>
            </w:pPr>
            <w:r>
              <w:rPr>
                <w:rFonts w:hint="eastAsia"/>
                <w:lang w:val="en-US" w:eastAsia="zh-CN"/>
              </w:rPr>
              <w:t>矿井现有排矸系统环节复杂、分散，矿井现有三套排矸系统，分别为下料斜井、排矸井和新风井，因排矸系统多，投入使用的设备多，占用排矸人员多，井下排矸线路长，维护工作量大，限制着全岩巷道的掘进速度。</w:t>
            </w:r>
          </w:p>
          <w:p w14:paraId="09F5C49D">
            <w:pPr>
              <w:pStyle w:val="53"/>
              <w:ind w:firstLine="480"/>
              <w:rPr>
                <w:rFonts w:hint="default" w:eastAsia="宋体"/>
                <w:lang w:val="en-US" w:eastAsia="zh-CN"/>
              </w:rPr>
            </w:pPr>
            <w:r>
              <w:rPr>
                <w:rFonts w:hint="eastAsia"/>
              </w:rPr>
              <w:t>本项目仅</w:t>
            </w:r>
            <w:r>
              <w:rPr>
                <w:rFonts w:hint="eastAsia"/>
                <w:lang w:eastAsia="zh-CN"/>
              </w:rPr>
              <w:t>改变排矸方式</w:t>
            </w:r>
            <w:r>
              <w:rPr>
                <w:rFonts w:hint="eastAsia"/>
              </w:rPr>
              <w:t>，不涉及原煤储量和产能变化，</w:t>
            </w:r>
            <w:r>
              <w:rPr>
                <w:rFonts w:hint="eastAsia"/>
                <w:lang w:val="en-US" w:eastAsia="zh-CN"/>
              </w:rPr>
              <w:t>不涉及煤炭开采，</w:t>
            </w:r>
            <w:r>
              <w:rPr>
                <w:rFonts w:hint="default"/>
                <w:lang w:val="en-US" w:eastAsia="zh-CN"/>
              </w:rPr>
              <w:t>副立井</w:t>
            </w:r>
            <w:r>
              <w:rPr>
                <w:rFonts w:hint="eastAsia"/>
              </w:rPr>
              <w:t>场地为新增独立地块。</w:t>
            </w:r>
            <w:r>
              <w:rPr>
                <w:rFonts w:hint="eastAsia"/>
                <w:lang w:val="en-US" w:eastAsia="zh-CN"/>
              </w:rPr>
              <w:t>本项目副立井用途为排矸和入风。</w:t>
            </w:r>
          </w:p>
          <w:p w14:paraId="4A900AFD">
            <w:pPr>
              <w:pStyle w:val="53"/>
              <w:bidi w:val="0"/>
              <w:rPr>
                <w:rFonts w:hint="default"/>
                <w:lang w:val="en-US" w:eastAsia="zh-CN"/>
              </w:rPr>
            </w:pPr>
            <w:r>
              <w:rPr>
                <w:rFonts w:hint="eastAsia"/>
                <w:lang w:val="en-US" w:eastAsia="zh-CN"/>
              </w:rPr>
              <w:t>本</w:t>
            </w:r>
            <w:r>
              <w:rPr>
                <w:rFonts w:hint="default"/>
                <w:lang w:eastAsia="zh-CN"/>
              </w:rPr>
              <w:t>项目建成后共布置</w:t>
            </w:r>
            <w:r>
              <w:rPr>
                <w:rFonts w:hint="default"/>
                <w:lang w:val="en-US" w:eastAsia="zh-CN"/>
              </w:rPr>
              <w:t>6条井筒，下料斜井（现有）、排矸井（现有）、皮带井（现有）、副立井（新建）4条入风井；东部立井风井（现有）、南部立风井（现有）2条回风井，形成4条入风，2条回风的开拓布局。</w:t>
            </w:r>
          </w:p>
          <w:p w14:paraId="39DFB9E3">
            <w:pPr>
              <w:pStyle w:val="53"/>
              <w:ind w:firstLine="480"/>
            </w:pPr>
            <w:r>
              <w:t>3</w:t>
            </w:r>
            <w:r>
              <w:rPr>
                <w:rFonts w:hint="eastAsia"/>
              </w:rPr>
              <w:t>、项目组成</w:t>
            </w:r>
          </w:p>
          <w:p w14:paraId="3E0FC0FF">
            <w:pPr>
              <w:pStyle w:val="53"/>
              <w:ind w:firstLine="480"/>
            </w:pPr>
            <w:r>
              <w:rPr>
                <w:rFonts w:hint="eastAsia"/>
                <w:lang w:val="en-US" w:eastAsia="zh-CN"/>
              </w:rPr>
              <w:t>本项目总用地面积</w:t>
            </w:r>
            <w:r>
              <w:rPr>
                <w:rFonts w:hint="eastAsia"/>
                <w:szCs w:val="21"/>
                <w:lang w:val="en-US" w:eastAsia="zh-CN"/>
              </w:rPr>
              <w:t>151708.00</w:t>
            </w:r>
            <w:r>
              <w:rPr>
                <w:rFonts w:hint="eastAsia"/>
              </w:rPr>
              <w:t>m</w:t>
            </w:r>
            <w:r>
              <w:rPr>
                <w:vertAlign w:val="superscript"/>
              </w:rPr>
              <w:t>2</w:t>
            </w:r>
            <w:r>
              <w:rPr>
                <w:rFonts w:hint="eastAsia"/>
              </w:rPr>
              <w:t>，</w:t>
            </w:r>
            <w:r>
              <w:rPr>
                <w:rFonts w:hint="eastAsia"/>
                <w:lang w:val="en-US" w:eastAsia="zh-CN"/>
              </w:rPr>
              <w:t>于2006年4月10日取得鸡西市人民政府核发的土地证（梨树国用（2006）第55007号），地类为工业用地，</w:t>
            </w:r>
            <w:r>
              <w:rPr>
                <w:rFonts w:hint="eastAsia"/>
              </w:rPr>
              <w:t>本工程新建一条副立井，煤矿产能及其余井筒无变化</w:t>
            </w:r>
            <w:r>
              <w:rPr>
                <w:rFonts w:hint="eastAsia"/>
                <w:lang w:eastAsia="zh-CN"/>
              </w:rPr>
              <w:t>，</w:t>
            </w:r>
            <w:r>
              <w:rPr>
                <w:rFonts w:hint="eastAsia"/>
                <w:lang w:val="en-US" w:eastAsia="zh-CN"/>
              </w:rPr>
              <w:t>不涉及煤炭新增开采规模</w:t>
            </w:r>
            <w:r>
              <w:rPr>
                <w:rFonts w:hint="eastAsia"/>
              </w:rPr>
              <w:t>。项目组成见表2</w:t>
            </w:r>
            <w:r>
              <w:t>-1</w:t>
            </w:r>
            <w:r>
              <w:rPr>
                <w:rFonts w:hint="eastAsia"/>
              </w:rPr>
              <w:t>。</w:t>
            </w:r>
          </w:p>
          <w:p w14:paraId="05B47786">
            <w:pPr>
              <w:pStyle w:val="74"/>
              <w:bidi w:val="0"/>
            </w:pPr>
          </w:p>
          <w:p w14:paraId="036FF2BD">
            <w:pPr>
              <w:pStyle w:val="74"/>
              <w:bidi w:val="0"/>
            </w:pPr>
            <w:r>
              <w:t>表2-1  项目组成一览表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50"/>
              <w:gridCol w:w="5959"/>
              <w:gridCol w:w="641"/>
            </w:tblGrid>
            <w:tr w14:paraId="443D3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Align w:val="center"/>
                </w:tcPr>
                <w:p w14:paraId="78BFE053">
                  <w:pPr>
                    <w:pStyle w:val="49"/>
                    <w:rPr>
                      <w:sz w:val="21"/>
                      <w:szCs w:val="21"/>
                    </w:rPr>
                  </w:pPr>
                  <w:r>
                    <w:rPr>
                      <w:sz w:val="21"/>
                      <w:szCs w:val="21"/>
                    </w:rPr>
                    <w:t>类别</w:t>
                  </w:r>
                </w:p>
              </w:tc>
              <w:tc>
                <w:tcPr>
                  <w:tcW w:w="521" w:type="pct"/>
                  <w:vAlign w:val="center"/>
                </w:tcPr>
                <w:p w14:paraId="740DBBAC">
                  <w:pPr>
                    <w:pStyle w:val="49"/>
                    <w:rPr>
                      <w:sz w:val="21"/>
                      <w:szCs w:val="21"/>
                    </w:rPr>
                  </w:pPr>
                  <w:r>
                    <w:rPr>
                      <w:rFonts w:hint="eastAsia"/>
                      <w:sz w:val="21"/>
                      <w:szCs w:val="21"/>
                    </w:rPr>
                    <w:t>名称</w:t>
                  </w:r>
                </w:p>
              </w:tc>
              <w:tc>
                <w:tcPr>
                  <w:tcW w:w="3653" w:type="pct"/>
                  <w:vAlign w:val="center"/>
                </w:tcPr>
                <w:p w14:paraId="4DE5A880">
                  <w:pPr>
                    <w:pStyle w:val="49"/>
                    <w:rPr>
                      <w:sz w:val="21"/>
                      <w:szCs w:val="21"/>
                    </w:rPr>
                  </w:pPr>
                  <w:r>
                    <w:rPr>
                      <w:sz w:val="21"/>
                      <w:szCs w:val="21"/>
                    </w:rPr>
                    <w:t>工程内容</w:t>
                  </w:r>
                </w:p>
              </w:tc>
              <w:tc>
                <w:tcPr>
                  <w:tcW w:w="393" w:type="pct"/>
                  <w:vAlign w:val="center"/>
                </w:tcPr>
                <w:p w14:paraId="7E7E0971">
                  <w:pPr>
                    <w:pStyle w:val="49"/>
                    <w:rPr>
                      <w:sz w:val="21"/>
                      <w:szCs w:val="21"/>
                    </w:rPr>
                  </w:pPr>
                  <w:r>
                    <w:rPr>
                      <w:rFonts w:hint="eastAsia"/>
                      <w:sz w:val="21"/>
                      <w:szCs w:val="21"/>
                    </w:rPr>
                    <w:t>备注</w:t>
                  </w:r>
                </w:p>
              </w:tc>
            </w:tr>
            <w:tr w14:paraId="72F5C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Align w:val="center"/>
                </w:tcPr>
                <w:p w14:paraId="7B7A8E63">
                  <w:pPr>
                    <w:pStyle w:val="49"/>
                    <w:rPr>
                      <w:sz w:val="21"/>
                      <w:szCs w:val="21"/>
                    </w:rPr>
                  </w:pPr>
                  <w:r>
                    <w:rPr>
                      <w:sz w:val="21"/>
                      <w:szCs w:val="21"/>
                    </w:rPr>
                    <w:t>主体工程</w:t>
                  </w:r>
                </w:p>
              </w:tc>
              <w:tc>
                <w:tcPr>
                  <w:tcW w:w="521" w:type="pct"/>
                  <w:vAlign w:val="center"/>
                </w:tcPr>
                <w:p w14:paraId="27B57263">
                  <w:pPr>
                    <w:pStyle w:val="49"/>
                    <w:rPr>
                      <w:sz w:val="21"/>
                      <w:szCs w:val="21"/>
                    </w:rPr>
                  </w:pPr>
                  <w:r>
                    <w:rPr>
                      <w:rFonts w:hint="eastAsia"/>
                      <w:sz w:val="21"/>
                      <w:szCs w:val="21"/>
                    </w:rPr>
                    <w:t>副立井</w:t>
                  </w:r>
                </w:p>
              </w:tc>
              <w:tc>
                <w:tcPr>
                  <w:tcW w:w="3653" w:type="pct"/>
                  <w:vAlign w:val="center"/>
                </w:tcPr>
                <w:p w14:paraId="75998044">
                  <w:pPr>
                    <w:pStyle w:val="49"/>
                    <w:jc w:val="both"/>
                    <w:rPr>
                      <w:sz w:val="21"/>
                      <w:szCs w:val="21"/>
                    </w:rPr>
                  </w:pPr>
                  <w:r>
                    <w:rPr>
                      <w:rFonts w:hint="eastAsia"/>
                      <w:sz w:val="21"/>
                      <w:szCs w:val="21"/>
                    </w:rPr>
                    <w:t>新建副立井位置选择在现主斜井南侧2500m、89-29钻孔附近。井筒中心坐标为：X=4999829.79、Y=44404010.55、Z=+371.0m。井筒内布置一宽一窄双层四车罐笼，担负全矿人员、材料、设备、矸石等提升任务，同时作为入风井。</w:t>
                  </w:r>
                </w:p>
                <w:p w14:paraId="5992CB26">
                  <w:pPr>
                    <w:pStyle w:val="49"/>
                    <w:jc w:val="both"/>
                    <w:rPr>
                      <w:rFonts w:hint="default" w:eastAsia="宋体"/>
                      <w:sz w:val="21"/>
                      <w:szCs w:val="21"/>
                      <w:vertAlign w:val="baseline"/>
                      <w:lang w:val="en-US" w:eastAsia="zh-CN"/>
                    </w:rPr>
                  </w:pPr>
                  <w:r>
                    <w:rPr>
                      <w:rFonts w:hint="eastAsia"/>
                      <w:sz w:val="21"/>
                      <w:szCs w:val="21"/>
                    </w:rPr>
                    <w:t>副立井井筒净直径8.0m，井底至二水平-250m标高</w:t>
                  </w:r>
                  <w:r>
                    <w:rPr>
                      <w:rFonts w:hint="eastAsia"/>
                      <w:sz w:val="21"/>
                      <w:szCs w:val="21"/>
                      <w:lang w:eastAsia="zh-CN"/>
                    </w:rPr>
                    <w:t>，</w:t>
                  </w:r>
                  <w:r>
                    <w:rPr>
                      <w:rFonts w:hint="eastAsia"/>
                      <w:sz w:val="21"/>
                      <w:szCs w:val="21"/>
                    </w:rPr>
                    <w:t>井底水仓标高-285m，井筒深度656m。</w:t>
                  </w:r>
                  <w:r>
                    <w:rPr>
                      <w:rFonts w:hint="eastAsia"/>
                      <w:sz w:val="21"/>
                      <w:szCs w:val="21"/>
                      <w:lang w:val="en-US" w:eastAsia="zh-CN"/>
                    </w:rPr>
                    <w:t>副立井井塔高51m，占地面积323.9</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vertAlign w:val="baseline"/>
                      <w:lang w:eastAsia="zh-CN"/>
                    </w:rPr>
                    <w:t>，</w:t>
                  </w:r>
                  <w:r>
                    <w:rPr>
                      <w:rFonts w:hint="eastAsia"/>
                      <w:color w:val="000000"/>
                      <w:kern w:val="0"/>
                      <w:sz w:val="21"/>
                      <w:szCs w:val="21"/>
                      <w:vertAlign w:val="baseline"/>
                      <w:lang w:val="en-US" w:eastAsia="zh-CN"/>
                    </w:rPr>
                    <w:t>建筑面积1944</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vertAlign w:val="baseline"/>
                      <w:lang w:eastAsia="zh-CN"/>
                    </w:rPr>
                    <w:t>。</w:t>
                  </w:r>
                </w:p>
                <w:p w14:paraId="76F214B5">
                  <w:pPr>
                    <w:pStyle w:val="49"/>
                    <w:jc w:val="both"/>
                    <w:rPr>
                      <w:sz w:val="21"/>
                      <w:szCs w:val="21"/>
                    </w:rPr>
                  </w:pPr>
                  <w:r>
                    <w:rPr>
                      <w:rFonts w:hint="eastAsia"/>
                      <w:sz w:val="21"/>
                      <w:szCs w:val="21"/>
                    </w:rPr>
                    <w:t>拟建副立井</w:t>
                  </w:r>
                  <w:r>
                    <w:rPr>
                      <w:color w:val="000000"/>
                      <w:kern w:val="0"/>
                      <w:sz w:val="21"/>
                      <w:szCs w:val="21"/>
                    </w:rPr>
                    <w:t>工业广场为无人值守</w:t>
                  </w:r>
                  <w:r>
                    <w:rPr>
                      <w:rFonts w:hint="eastAsia"/>
                      <w:color w:val="000000"/>
                      <w:kern w:val="0"/>
                      <w:sz w:val="21"/>
                      <w:szCs w:val="21"/>
                    </w:rPr>
                    <w:t>场地。</w:t>
                  </w:r>
                </w:p>
              </w:tc>
              <w:tc>
                <w:tcPr>
                  <w:tcW w:w="393" w:type="pct"/>
                  <w:vAlign w:val="center"/>
                </w:tcPr>
                <w:p w14:paraId="40114E4D">
                  <w:pPr>
                    <w:pStyle w:val="49"/>
                    <w:rPr>
                      <w:sz w:val="21"/>
                      <w:szCs w:val="21"/>
                    </w:rPr>
                  </w:pPr>
                  <w:r>
                    <w:rPr>
                      <w:rFonts w:hint="eastAsia"/>
                      <w:sz w:val="21"/>
                      <w:szCs w:val="21"/>
                    </w:rPr>
                    <w:t>新建</w:t>
                  </w:r>
                </w:p>
              </w:tc>
            </w:tr>
            <w:tr w14:paraId="2564C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restart"/>
                  <w:vAlign w:val="center"/>
                </w:tcPr>
                <w:p w14:paraId="0F223A00">
                  <w:pPr>
                    <w:pStyle w:val="49"/>
                    <w:rPr>
                      <w:sz w:val="21"/>
                      <w:szCs w:val="21"/>
                    </w:rPr>
                  </w:pPr>
                  <w:r>
                    <w:rPr>
                      <w:rFonts w:hint="eastAsia"/>
                      <w:sz w:val="21"/>
                      <w:szCs w:val="21"/>
                    </w:rPr>
                    <w:t>辅助工程</w:t>
                  </w:r>
                </w:p>
              </w:tc>
              <w:tc>
                <w:tcPr>
                  <w:tcW w:w="521" w:type="pct"/>
                  <w:vAlign w:val="center"/>
                </w:tcPr>
                <w:p w14:paraId="2F17B8E4">
                  <w:pPr>
                    <w:pStyle w:val="49"/>
                    <w:rPr>
                      <w:sz w:val="21"/>
                      <w:szCs w:val="21"/>
                    </w:rPr>
                  </w:pPr>
                  <w:r>
                    <w:rPr>
                      <w:rFonts w:hint="eastAsia"/>
                      <w:sz w:val="21"/>
                      <w:szCs w:val="21"/>
                    </w:rPr>
                    <w:t>配电室</w:t>
                  </w:r>
                </w:p>
              </w:tc>
              <w:tc>
                <w:tcPr>
                  <w:tcW w:w="3653" w:type="pct"/>
                  <w:vAlign w:val="center"/>
                </w:tcPr>
                <w:p w14:paraId="3C1CC0B8">
                  <w:pPr>
                    <w:pStyle w:val="49"/>
                    <w:jc w:val="both"/>
                    <w:rPr>
                      <w:sz w:val="21"/>
                      <w:szCs w:val="21"/>
                    </w:rPr>
                  </w:pPr>
                  <w:r>
                    <w:rPr>
                      <w:rFonts w:hint="eastAsia"/>
                      <w:sz w:val="21"/>
                      <w:szCs w:val="21"/>
                    </w:rPr>
                    <w:t>面积4</w:t>
                  </w:r>
                  <w:r>
                    <w:rPr>
                      <w:sz w:val="21"/>
                      <w:szCs w:val="21"/>
                    </w:rPr>
                    <w:t>50</w:t>
                  </w:r>
                  <w:r>
                    <w:rPr>
                      <w:rFonts w:hint="eastAsia"/>
                      <w:sz w:val="21"/>
                      <w:szCs w:val="21"/>
                    </w:rPr>
                    <w:t>m</w:t>
                  </w:r>
                  <w:r>
                    <w:rPr>
                      <w:sz w:val="21"/>
                      <w:szCs w:val="21"/>
                      <w:vertAlign w:val="superscript"/>
                    </w:rPr>
                    <w:t>2</w:t>
                  </w:r>
                  <w:r>
                    <w:rPr>
                      <w:rFonts w:hint="eastAsia"/>
                      <w:sz w:val="21"/>
                      <w:szCs w:val="21"/>
                    </w:rPr>
                    <w:t>，场地供电系统。</w:t>
                  </w:r>
                </w:p>
              </w:tc>
              <w:tc>
                <w:tcPr>
                  <w:tcW w:w="393" w:type="pct"/>
                  <w:vAlign w:val="center"/>
                </w:tcPr>
                <w:p w14:paraId="361A2E08">
                  <w:pPr>
                    <w:pStyle w:val="49"/>
                    <w:rPr>
                      <w:sz w:val="21"/>
                      <w:szCs w:val="21"/>
                    </w:rPr>
                  </w:pPr>
                  <w:r>
                    <w:rPr>
                      <w:rFonts w:hint="eastAsia"/>
                      <w:sz w:val="21"/>
                      <w:szCs w:val="21"/>
                    </w:rPr>
                    <w:t>新建</w:t>
                  </w:r>
                </w:p>
              </w:tc>
            </w:tr>
            <w:tr w14:paraId="1FFA5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62280003">
                  <w:pPr>
                    <w:pStyle w:val="49"/>
                    <w:rPr>
                      <w:sz w:val="21"/>
                      <w:szCs w:val="21"/>
                    </w:rPr>
                  </w:pPr>
                </w:p>
              </w:tc>
              <w:tc>
                <w:tcPr>
                  <w:tcW w:w="521" w:type="pct"/>
                  <w:vAlign w:val="center"/>
                </w:tcPr>
                <w:p w14:paraId="33955BEA">
                  <w:pPr>
                    <w:pStyle w:val="49"/>
                    <w:rPr>
                      <w:sz w:val="21"/>
                      <w:szCs w:val="21"/>
                    </w:rPr>
                  </w:pPr>
                  <w:r>
                    <w:rPr>
                      <w:rFonts w:hint="eastAsia"/>
                      <w:sz w:val="21"/>
                      <w:szCs w:val="21"/>
                    </w:rPr>
                    <w:t>消防水池</w:t>
                  </w:r>
                </w:p>
              </w:tc>
              <w:tc>
                <w:tcPr>
                  <w:tcW w:w="3653" w:type="pct"/>
                  <w:vAlign w:val="center"/>
                </w:tcPr>
                <w:p w14:paraId="03F3FE46">
                  <w:pPr>
                    <w:pStyle w:val="49"/>
                    <w:jc w:val="both"/>
                    <w:rPr>
                      <w:sz w:val="21"/>
                      <w:szCs w:val="21"/>
                    </w:rPr>
                  </w:pPr>
                  <w:r>
                    <w:rPr>
                      <w:rFonts w:hint="eastAsia"/>
                      <w:color w:val="000000"/>
                      <w:kern w:val="0"/>
                      <w:sz w:val="21"/>
                      <w:szCs w:val="21"/>
                    </w:rPr>
                    <w:t>面积</w:t>
                  </w:r>
                  <w:r>
                    <w:rPr>
                      <w:rFonts w:hint="eastAsia"/>
                      <w:color w:val="000000"/>
                      <w:kern w:val="0"/>
                      <w:sz w:val="21"/>
                      <w:szCs w:val="21"/>
                      <w:lang w:val="en-US" w:eastAsia="zh-CN"/>
                    </w:rPr>
                    <w:t>325</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rPr>
                    <w:t>，有效容积</w:t>
                  </w:r>
                  <w:r>
                    <w:rPr>
                      <w:rFonts w:hint="eastAsia"/>
                      <w:color w:val="000000"/>
                      <w:kern w:val="0"/>
                      <w:sz w:val="21"/>
                      <w:szCs w:val="21"/>
                      <w:lang w:val="en-US" w:eastAsia="zh-CN"/>
                    </w:rPr>
                    <w:t>1625</w:t>
                  </w:r>
                  <w:r>
                    <w:rPr>
                      <w:color w:val="000000"/>
                      <w:kern w:val="0"/>
                      <w:sz w:val="21"/>
                      <w:szCs w:val="21"/>
                    </w:rPr>
                    <w:t>m</w:t>
                  </w:r>
                  <w:r>
                    <w:rPr>
                      <w:color w:val="000000"/>
                      <w:kern w:val="0"/>
                      <w:sz w:val="21"/>
                      <w:szCs w:val="21"/>
                      <w:vertAlign w:val="superscript"/>
                    </w:rPr>
                    <w:t>3</w:t>
                  </w:r>
                  <w:r>
                    <w:rPr>
                      <w:rFonts w:hint="eastAsia"/>
                      <w:color w:val="000000"/>
                      <w:kern w:val="0"/>
                      <w:sz w:val="21"/>
                      <w:szCs w:val="21"/>
                    </w:rPr>
                    <w:t>，供场地</w:t>
                  </w:r>
                  <w:r>
                    <w:rPr>
                      <w:rFonts w:hint="eastAsia"/>
                      <w:color w:val="000000"/>
                      <w:kern w:val="0"/>
                      <w:sz w:val="21"/>
                      <w:szCs w:val="21"/>
                      <w:lang w:val="en-US" w:eastAsia="zh-CN"/>
                    </w:rPr>
                    <w:t>生产及</w:t>
                  </w:r>
                  <w:r>
                    <w:rPr>
                      <w:rFonts w:hint="eastAsia"/>
                      <w:color w:val="000000"/>
                      <w:kern w:val="0"/>
                      <w:sz w:val="21"/>
                      <w:szCs w:val="21"/>
                    </w:rPr>
                    <w:t>消防用水。</w:t>
                  </w:r>
                </w:p>
              </w:tc>
              <w:tc>
                <w:tcPr>
                  <w:tcW w:w="393" w:type="pct"/>
                  <w:vAlign w:val="center"/>
                </w:tcPr>
                <w:p w14:paraId="426E63E0">
                  <w:pPr>
                    <w:pStyle w:val="49"/>
                    <w:rPr>
                      <w:sz w:val="21"/>
                      <w:szCs w:val="21"/>
                    </w:rPr>
                  </w:pPr>
                  <w:r>
                    <w:rPr>
                      <w:rFonts w:hint="eastAsia"/>
                      <w:sz w:val="21"/>
                      <w:szCs w:val="21"/>
                    </w:rPr>
                    <w:t>新建</w:t>
                  </w:r>
                </w:p>
              </w:tc>
            </w:tr>
            <w:tr w14:paraId="29D11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5C8308E3">
                  <w:pPr>
                    <w:pStyle w:val="49"/>
                    <w:rPr>
                      <w:sz w:val="21"/>
                      <w:szCs w:val="21"/>
                    </w:rPr>
                  </w:pPr>
                </w:p>
              </w:tc>
              <w:tc>
                <w:tcPr>
                  <w:tcW w:w="521" w:type="pct"/>
                  <w:vAlign w:val="center"/>
                </w:tcPr>
                <w:p w14:paraId="29F8C3AF">
                  <w:pPr>
                    <w:pStyle w:val="49"/>
                    <w:rPr>
                      <w:sz w:val="21"/>
                      <w:szCs w:val="21"/>
                    </w:rPr>
                  </w:pPr>
                  <w:r>
                    <w:rPr>
                      <w:rFonts w:hint="eastAsia"/>
                      <w:sz w:val="21"/>
                      <w:szCs w:val="21"/>
                    </w:rPr>
                    <w:t>水泵房</w:t>
                  </w:r>
                </w:p>
              </w:tc>
              <w:tc>
                <w:tcPr>
                  <w:tcW w:w="3653" w:type="pct"/>
                  <w:vAlign w:val="center"/>
                </w:tcPr>
                <w:p w14:paraId="4777D489">
                  <w:pPr>
                    <w:pStyle w:val="49"/>
                    <w:jc w:val="both"/>
                    <w:rPr>
                      <w:sz w:val="21"/>
                      <w:szCs w:val="21"/>
                    </w:rPr>
                  </w:pPr>
                  <w:r>
                    <w:rPr>
                      <w:rFonts w:hint="eastAsia"/>
                      <w:color w:val="000000"/>
                      <w:kern w:val="0"/>
                      <w:sz w:val="21"/>
                      <w:szCs w:val="21"/>
                    </w:rPr>
                    <w:t>面积</w:t>
                  </w:r>
                  <w:r>
                    <w:rPr>
                      <w:rFonts w:hint="eastAsia"/>
                      <w:color w:val="000000"/>
                      <w:kern w:val="0"/>
                      <w:sz w:val="21"/>
                      <w:szCs w:val="21"/>
                      <w:lang w:val="en-US" w:eastAsia="zh-CN"/>
                    </w:rPr>
                    <w:t>616</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rPr>
                    <w:t>，</w:t>
                  </w:r>
                  <w:r>
                    <w:rPr>
                      <w:color w:val="000000"/>
                      <w:kern w:val="0"/>
                      <w:sz w:val="21"/>
                      <w:szCs w:val="21"/>
                    </w:rPr>
                    <w:t>内设两台水泵，型号为XBD6.0/40-125-220Q=50L/S，H=60m，N=37kW，一用一备</w:t>
                  </w:r>
                  <w:r>
                    <w:rPr>
                      <w:rFonts w:hint="eastAsia"/>
                      <w:color w:val="000000"/>
                      <w:kern w:val="0"/>
                      <w:sz w:val="21"/>
                      <w:szCs w:val="21"/>
                    </w:rPr>
                    <w:t>。</w:t>
                  </w:r>
                </w:p>
              </w:tc>
              <w:tc>
                <w:tcPr>
                  <w:tcW w:w="393" w:type="pct"/>
                  <w:vAlign w:val="center"/>
                </w:tcPr>
                <w:p w14:paraId="5B215BF1">
                  <w:pPr>
                    <w:pStyle w:val="49"/>
                    <w:rPr>
                      <w:sz w:val="21"/>
                      <w:szCs w:val="21"/>
                    </w:rPr>
                  </w:pPr>
                  <w:r>
                    <w:rPr>
                      <w:rFonts w:hint="eastAsia"/>
                      <w:sz w:val="21"/>
                      <w:szCs w:val="21"/>
                    </w:rPr>
                    <w:t>新建</w:t>
                  </w:r>
                </w:p>
              </w:tc>
            </w:tr>
            <w:tr w14:paraId="7E4A5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216FB7DF">
                  <w:pPr>
                    <w:pStyle w:val="49"/>
                    <w:rPr>
                      <w:sz w:val="21"/>
                      <w:szCs w:val="21"/>
                    </w:rPr>
                  </w:pPr>
                </w:p>
              </w:tc>
              <w:tc>
                <w:tcPr>
                  <w:tcW w:w="521" w:type="pct"/>
                  <w:vAlign w:val="center"/>
                </w:tcPr>
                <w:p w14:paraId="55EDA7F3">
                  <w:pPr>
                    <w:pStyle w:val="49"/>
                    <w:rPr>
                      <w:sz w:val="21"/>
                      <w:szCs w:val="21"/>
                    </w:rPr>
                  </w:pPr>
                  <w:r>
                    <w:rPr>
                      <w:rFonts w:hint="eastAsia"/>
                      <w:sz w:val="21"/>
                      <w:szCs w:val="21"/>
                    </w:rPr>
                    <w:t>翻车房</w:t>
                  </w:r>
                </w:p>
              </w:tc>
              <w:tc>
                <w:tcPr>
                  <w:tcW w:w="3653" w:type="pct"/>
                  <w:vAlign w:val="center"/>
                </w:tcPr>
                <w:p w14:paraId="1950E920">
                  <w:pPr>
                    <w:pStyle w:val="49"/>
                    <w:jc w:val="both"/>
                    <w:rPr>
                      <w:color w:val="000000"/>
                      <w:kern w:val="0"/>
                      <w:sz w:val="21"/>
                      <w:szCs w:val="21"/>
                    </w:rPr>
                  </w:pPr>
                  <w:r>
                    <w:rPr>
                      <w:rFonts w:hint="eastAsia"/>
                      <w:color w:val="000000"/>
                      <w:kern w:val="0"/>
                      <w:sz w:val="21"/>
                      <w:szCs w:val="21"/>
                    </w:rPr>
                    <w:t>面积</w:t>
                  </w:r>
                  <w:r>
                    <w:rPr>
                      <w:color w:val="000000"/>
                      <w:kern w:val="0"/>
                      <w:sz w:val="21"/>
                      <w:szCs w:val="21"/>
                    </w:rPr>
                    <w:t>40</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rPr>
                    <w:t>，位于矸石仓上方，井下矸石在翻车房内落入矸石仓内。</w:t>
                  </w:r>
                </w:p>
              </w:tc>
              <w:tc>
                <w:tcPr>
                  <w:tcW w:w="393" w:type="pct"/>
                  <w:vAlign w:val="center"/>
                </w:tcPr>
                <w:p w14:paraId="500C2DEA">
                  <w:pPr>
                    <w:pStyle w:val="49"/>
                    <w:rPr>
                      <w:sz w:val="21"/>
                      <w:szCs w:val="21"/>
                    </w:rPr>
                  </w:pPr>
                  <w:r>
                    <w:rPr>
                      <w:rFonts w:hint="eastAsia"/>
                      <w:sz w:val="21"/>
                      <w:szCs w:val="21"/>
                    </w:rPr>
                    <w:t>新建</w:t>
                  </w:r>
                </w:p>
              </w:tc>
            </w:tr>
            <w:tr w14:paraId="15DE4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058EB188">
                  <w:pPr>
                    <w:pStyle w:val="49"/>
                    <w:rPr>
                      <w:sz w:val="21"/>
                      <w:szCs w:val="21"/>
                    </w:rPr>
                  </w:pPr>
                </w:p>
              </w:tc>
              <w:tc>
                <w:tcPr>
                  <w:tcW w:w="521" w:type="pct"/>
                  <w:vAlign w:val="center"/>
                </w:tcPr>
                <w:p w14:paraId="4E3D5C09">
                  <w:pPr>
                    <w:pStyle w:val="49"/>
                    <w:rPr>
                      <w:rFonts w:hint="default" w:eastAsia="宋体"/>
                      <w:sz w:val="21"/>
                      <w:szCs w:val="21"/>
                      <w:lang w:val="en-US" w:eastAsia="zh-CN"/>
                    </w:rPr>
                  </w:pPr>
                  <w:r>
                    <w:rPr>
                      <w:rFonts w:hint="eastAsia"/>
                      <w:sz w:val="21"/>
                      <w:szCs w:val="21"/>
                      <w:lang w:val="en-US" w:eastAsia="zh-CN"/>
                    </w:rPr>
                    <w:t>井口房</w:t>
                  </w:r>
                </w:p>
              </w:tc>
              <w:tc>
                <w:tcPr>
                  <w:tcW w:w="3653" w:type="pct"/>
                  <w:vAlign w:val="center"/>
                </w:tcPr>
                <w:p w14:paraId="2300B6DD">
                  <w:pPr>
                    <w:pStyle w:val="49"/>
                    <w:jc w:val="both"/>
                    <w:rPr>
                      <w:sz w:val="21"/>
                      <w:szCs w:val="21"/>
                    </w:rPr>
                  </w:pPr>
                  <w:r>
                    <w:rPr>
                      <w:rFonts w:hint="eastAsia"/>
                      <w:color w:val="000000"/>
                      <w:kern w:val="0"/>
                      <w:sz w:val="21"/>
                      <w:szCs w:val="21"/>
                      <w:lang w:val="en-US" w:eastAsia="zh-CN"/>
                    </w:rPr>
                    <w:t>三座，</w:t>
                  </w:r>
                  <w:r>
                    <w:rPr>
                      <w:rFonts w:hint="eastAsia"/>
                      <w:color w:val="000000"/>
                      <w:kern w:val="0"/>
                      <w:sz w:val="21"/>
                      <w:szCs w:val="21"/>
                    </w:rPr>
                    <w:t>面积</w:t>
                  </w:r>
                  <w:r>
                    <w:rPr>
                      <w:rFonts w:hint="eastAsia"/>
                      <w:color w:val="000000"/>
                      <w:kern w:val="0"/>
                      <w:sz w:val="21"/>
                      <w:szCs w:val="21"/>
                      <w:lang w:val="en-US" w:eastAsia="zh-CN"/>
                    </w:rPr>
                    <w:t>分别为243</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lang w:eastAsia="zh-CN"/>
                    </w:rPr>
                    <w:t>、</w:t>
                  </w:r>
                  <w:r>
                    <w:rPr>
                      <w:rFonts w:hint="eastAsia"/>
                      <w:color w:val="000000"/>
                      <w:kern w:val="0"/>
                      <w:sz w:val="21"/>
                      <w:szCs w:val="21"/>
                      <w:lang w:val="en-US" w:eastAsia="zh-CN"/>
                    </w:rPr>
                    <w:t>391</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lang w:eastAsia="zh-CN"/>
                    </w:rPr>
                    <w:t>、</w:t>
                  </w:r>
                  <w:r>
                    <w:rPr>
                      <w:rFonts w:hint="eastAsia"/>
                      <w:color w:val="000000"/>
                      <w:kern w:val="0"/>
                      <w:sz w:val="21"/>
                      <w:szCs w:val="21"/>
                      <w:lang w:val="en-US" w:eastAsia="zh-CN"/>
                    </w:rPr>
                    <w:t>694</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rPr>
                    <w:t>，</w:t>
                  </w:r>
                  <w:r>
                    <w:rPr>
                      <w:sz w:val="21"/>
                      <w:szCs w:val="21"/>
                    </w:rPr>
                    <w:t>位于井口</w:t>
                  </w:r>
                  <w:r>
                    <w:rPr>
                      <w:rFonts w:hint="eastAsia"/>
                      <w:sz w:val="21"/>
                      <w:szCs w:val="21"/>
                      <w:lang w:val="en-US" w:eastAsia="zh-CN"/>
                    </w:rPr>
                    <w:t>处</w:t>
                  </w:r>
                  <w:r>
                    <w:rPr>
                      <w:sz w:val="21"/>
                      <w:szCs w:val="21"/>
                    </w:rPr>
                    <w:t>。</w:t>
                  </w:r>
                </w:p>
              </w:tc>
              <w:tc>
                <w:tcPr>
                  <w:tcW w:w="393" w:type="pct"/>
                  <w:vAlign w:val="center"/>
                </w:tcPr>
                <w:p w14:paraId="6D73FDD8">
                  <w:pPr>
                    <w:pStyle w:val="49"/>
                    <w:rPr>
                      <w:sz w:val="21"/>
                      <w:szCs w:val="21"/>
                    </w:rPr>
                  </w:pPr>
                  <w:r>
                    <w:rPr>
                      <w:rFonts w:hint="eastAsia"/>
                      <w:sz w:val="21"/>
                      <w:szCs w:val="21"/>
                    </w:rPr>
                    <w:t>新建</w:t>
                  </w:r>
                </w:p>
              </w:tc>
            </w:tr>
            <w:tr w14:paraId="01158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36C0B54F">
                  <w:pPr>
                    <w:pStyle w:val="49"/>
                    <w:rPr>
                      <w:sz w:val="21"/>
                      <w:szCs w:val="21"/>
                    </w:rPr>
                  </w:pPr>
                </w:p>
              </w:tc>
              <w:tc>
                <w:tcPr>
                  <w:tcW w:w="521" w:type="pct"/>
                  <w:vAlign w:val="center"/>
                </w:tcPr>
                <w:p w14:paraId="58D3CBE8">
                  <w:pPr>
                    <w:pStyle w:val="49"/>
                    <w:rPr>
                      <w:rFonts w:hint="default" w:eastAsia="宋体"/>
                      <w:sz w:val="21"/>
                      <w:szCs w:val="21"/>
                      <w:lang w:val="en-US" w:eastAsia="zh-CN"/>
                    </w:rPr>
                  </w:pPr>
                  <w:r>
                    <w:rPr>
                      <w:rFonts w:hint="eastAsia"/>
                      <w:sz w:val="21"/>
                      <w:szCs w:val="21"/>
                      <w:lang w:val="en-US" w:eastAsia="zh-CN"/>
                    </w:rPr>
                    <w:t>空气加热室</w:t>
                  </w:r>
                </w:p>
              </w:tc>
              <w:tc>
                <w:tcPr>
                  <w:tcW w:w="3653" w:type="pct"/>
                  <w:vAlign w:val="center"/>
                </w:tcPr>
                <w:p w14:paraId="0611DEA4">
                  <w:pPr>
                    <w:pStyle w:val="49"/>
                    <w:jc w:val="both"/>
                    <w:rPr>
                      <w:rFonts w:hint="default"/>
                      <w:color w:val="000000"/>
                      <w:kern w:val="0"/>
                      <w:sz w:val="21"/>
                      <w:szCs w:val="21"/>
                      <w:lang w:val="en-US"/>
                    </w:rPr>
                  </w:pPr>
                  <w:r>
                    <w:rPr>
                      <w:rFonts w:hint="eastAsia"/>
                      <w:sz w:val="21"/>
                      <w:szCs w:val="21"/>
                      <w:lang w:val="en-US" w:eastAsia="zh-CN"/>
                    </w:rPr>
                    <w:t>两座，均为</w:t>
                  </w:r>
                  <w:r>
                    <w:rPr>
                      <w:rFonts w:hint="eastAsia"/>
                      <w:color w:val="000000"/>
                      <w:kern w:val="0"/>
                      <w:sz w:val="21"/>
                      <w:szCs w:val="21"/>
                      <w:lang w:val="en-US" w:eastAsia="zh-CN"/>
                    </w:rPr>
                    <w:t>133</w:t>
                  </w:r>
                  <w:r>
                    <w:rPr>
                      <w:rFonts w:hint="eastAsia"/>
                      <w:color w:val="000000"/>
                      <w:kern w:val="0"/>
                      <w:sz w:val="21"/>
                      <w:szCs w:val="21"/>
                    </w:rPr>
                    <w:t>m</w:t>
                  </w:r>
                  <w:r>
                    <w:rPr>
                      <w:color w:val="000000"/>
                      <w:kern w:val="0"/>
                      <w:sz w:val="21"/>
                      <w:szCs w:val="21"/>
                      <w:vertAlign w:val="superscript"/>
                    </w:rPr>
                    <w:t>2</w:t>
                  </w:r>
                  <w:r>
                    <w:rPr>
                      <w:rFonts w:hint="eastAsia"/>
                      <w:sz w:val="21"/>
                      <w:szCs w:val="21"/>
                      <w:lang w:val="en-US" w:eastAsia="zh-CN"/>
                    </w:rPr>
                    <w:t>。</w:t>
                  </w:r>
                </w:p>
              </w:tc>
              <w:tc>
                <w:tcPr>
                  <w:tcW w:w="393" w:type="pct"/>
                  <w:shd w:val="clear" w:color="auto" w:fill="auto"/>
                  <w:vAlign w:val="center"/>
                </w:tcPr>
                <w:p w14:paraId="14032948">
                  <w:pPr>
                    <w:pStyle w:val="49"/>
                    <w:rPr>
                      <w:rFonts w:hint="eastAsia" w:ascii="Times New Roman" w:hAnsi="Times New Roman" w:eastAsia="宋体" w:cs="Times New Roman"/>
                      <w:kern w:val="2"/>
                      <w:sz w:val="21"/>
                      <w:szCs w:val="21"/>
                      <w:lang w:val="en-US" w:eastAsia="zh-CN" w:bidi="ar-SA"/>
                    </w:rPr>
                  </w:pPr>
                  <w:r>
                    <w:rPr>
                      <w:rFonts w:hint="eastAsia"/>
                      <w:sz w:val="21"/>
                      <w:szCs w:val="21"/>
                    </w:rPr>
                    <w:t>新建</w:t>
                  </w:r>
                </w:p>
              </w:tc>
            </w:tr>
            <w:tr w14:paraId="5DFE1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restart"/>
                  <w:vAlign w:val="center"/>
                </w:tcPr>
                <w:p w14:paraId="599B1E93">
                  <w:pPr>
                    <w:pStyle w:val="49"/>
                    <w:rPr>
                      <w:sz w:val="21"/>
                      <w:szCs w:val="21"/>
                    </w:rPr>
                  </w:pPr>
                  <w:r>
                    <w:rPr>
                      <w:rFonts w:hint="eastAsia"/>
                      <w:sz w:val="21"/>
                      <w:szCs w:val="21"/>
                    </w:rPr>
                    <w:t>储运</w:t>
                  </w:r>
                  <w:r>
                    <w:rPr>
                      <w:sz w:val="21"/>
                      <w:szCs w:val="21"/>
                    </w:rPr>
                    <w:t>工程</w:t>
                  </w:r>
                </w:p>
              </w:tc>
              <w:tc>
                <w:tcPr>
                  <w:tcW w:w="521" w:type="pct"/>
                  <w:vAlign w:val="center"/>
                </w:tcPr>
                <w:p w14:paraId="2EF0E0B8">
                  <w:pPr>
                    <w:pStyle w:val="49"/>
                    <w:rPr>
                      <w:sz w:val="21"/>
                      <w:szCs w:val="21"/>
                    </w:rPr>
                  </w:pPr>
                  <w:r>
                    <w:rPr>
                      <w:rFonts w:hint="eastAsia"/>
                      <w:sz w:val="21"/>
                      <w:szCs w:val="21"/>
                    </w:rPr>
                    <w:t>矸石储运</w:t>
                  </w:r>
                </w:p>
              </w:tc>
              <w:tc>
                <w:tcPr>
                  <w:tcW w:w="3653" w:type="pct"/>
                  <w:vAlign w:val="center"/>
                </w:tcPr>
                <w:p w14:paraId="69E9BB39">
                  <w:pPr>
                    <w:pStyle w:val="49"/>
                    <w:jc w:val="both"/>
                    <w:rPr>
                      <w:sz w:val="21"/>
                      <w:szCs w:val="21"/>
                    </w:rPr>
                  </w:pPr>
                  <w:r>
                    <w:rPr>
                      <w:rFonts w:hint="eastAsia"/>
                      <w:sz w:val="21"/>
                      <w:szCs w:val="21"/>
                    </w:rPr>
                    <w:t>设置一座矸石仓，</w:t>
                  </w:r>
                  <w:r>
                    <w:rPr>
                      <w:sz w:val="21"/>
                      <w:szCs w:val="21"/>
                    </w:rPr>
                    <w:t>矸石仓为</w:t>
                  </w:r>
                  <w:r>
                    <w:rPr>
                      <w:rFonts w:hint="eastAsia"/>
                      <w:sz w:val="21"/>
                      <w:szCs w:val="21"/>
                    </w:rPr>
                    <w:t>直径1</w:t>
                  </w:r>
                  <w:r>
                    <w:rPr>
                      <w:rFonts w:hint="eastAsia"/>
                      <w:sz w:val="21"/>
                      <w:szCs w:val="21"/>
                      <w:lang w:val="en-US" w:eastAsia="zh-CN"/>
                    </w:rPr>
                    <w:t>5</w:t>
                  </w:r>
                  <w:r>
                    <w:rPr>
                      <w:rFonts w:hint="eastAsia"/>
                      <w:sz w:val="21"/>
                      <w:szCs w:val="21"/>
                    </w:rPr>
                    <w:t>m</w:t>
                  </w:r>
                  <w:r>
                    <w:rPr>
                      <w:sz w:val="21"/>
                      <w:szCs w:val="21"/>
                    </w:rPr>
                    <w:t>的钢筋砼</w:t>
                  </w:r>
                  <w:r>
                    <w:rPr>
                      <w:rFonts w:hint="eastAsia"/>
                      <w:sz w:val="21"/>
                      <w:szCs w:val="21"/>
                    </w:rPr>
                    <w:t>圆</w:t>
                  </w:r>
                  <w:r>
                    <w:rPr>
                      <w:sz w:val="21"/>
                      <w:szCs w:val="21"/>
                    </w:rPr>
                    <w:t>仓，</w:t>
                  </w:r>
                  <w:r>
                    <w:rPr>
                      <w:rFonts w:hint="eastAsia"/>
                      <w:sz w:val="21"/>
                      <w:szCs w:val="21"/>
                      <w:lang w:val="en-US" w:eastAsia="zh-CN"/>
                    </w:rPr>
                    <w:t>高26m，</w:t>
                  </w:r>
                  <w:r>
                    <w:rPr>
                      <w:sz w:val="21"/>
                      <w:szCs w:val="21"/>
                    </w:rPr>
                    <w:t>最大容量</w:t>
                  </w:r>
                  <w:r>
                    <w:rPr>
                      <w:rFonts w:hint="eastAsia"/>
                      <w:sz w:val="21"/>
                      <w:szCs w:val="21"/>
                      <w:lang w:val="en-US" w:eastAsia="zh-CN"/>
                    </w:rPr>
                    <w:t>4628</w:t>
                  </w:r>
                  <w:r>
                    <w:rPr>
                      <w:rFonts w:hint="eastAsia"/>
                      <w:color w:val="000000"/>
                      <w:kern w:val="0"/>
                      <w:sz w:val="21"/>
                      <w:szCs w:val="21"/>
                    </w:rPr>
                    <w:t>m</w:t>
                  </w:r>
                  <w:r>
                    <w:rPr>
                      <w:color w:val="000000"/>
                      <w:kern w:val="0"/>
                      <w:sz w:val="21"/>
                      <w:szCs w:val="21"/>
                      <w:vertAlign w:val="superscript"/>
                    </w:rPr>
                    <w:t>2</w:t>
                  </w:r>
                  <w:r>
                    <w:rPr>
                      <w:sz w:val="21"/>
                      <w:szCs w:val="21"/>
                    </w:rPr>
                    <w:t>，</w:t>
                  </w:r>
                  <w:r>
                    <w:rPr>
                      <w:rFonts w:hint="eastAsia"/>
                      <w:sz w:val="21"/>
                      <w:szCs w:val="21"/>
                    </w:rPr>
                    <w:t>大于</w:t>
                  </w:r>
                  <w:r>
                    <w:rPr>
                      <w:sz w:val="21"/>
                      <w:szCs w:val="21"/>
                    </w:rPr>
                    <w:t>矿井一天的排矸量</w:t>
                  </w:r>
                  <w:r>
                    <w:rPr>
                      <w:rFonts w:hint="eastAsia"/>
                      <w:sz w:val="21"/>
                      <w:szCs w:val="21"/>
                    </w:rPr>
                    <w:t>，井口至矸石仓之间设置一条</w:t>
                  </w:r>
                  <w:r>
                    <w:rPr>
                      <w:rFonts w:hint="eastAsia"/>
                      <w:sz w:val="21"/>
                      <w:szCs w:val="21"/>
                      <w:lang w:val="en-US" w:eastAsia="zh-CN"/>
                    </w:rPr>
                    <w:t>62</w:t>
                  </w:r>
                  <w:r>
                    <w:rPr>
                      <w:rFonts w:hint="eastAsia"/>
                      <w:sz w:val="21"/>
                      <w:szCs w:val="21"/>
                    </w:rPr>
                    <w:t>m的密闭结构的走廊。</w:t>
                  </w:r>
                  <w:r>
                    <w:rPr>
                      <w:sz w:val="21"/>
                      <w:szCs w:val="21"/>
                    </w:rPr>
                    <w:t>矸石矿车通过罐笼由井下提至井上，</w:t>
                  </w:r>
                  <w:r>
                    <w:rPr>
                      <w:rFonts w:hint="eastAsia"/>
                      <w:sz w:val="21"/>
                      <w:szCs w:val="21"/>
                    </w:rPr>
                    <w:t>经密闭走廊输送机输送至翻车房，</w:t>
                  </w:r>
                  <w:r>
                    <w:rPr>
                      <w:sz w:val="21"/>
                      <w:szCs w:val="21"/>
                    </w:rPr>
                    <w:t>经翻车机卸至缓冲仓内，再通过仓下给料机给至矸石上仓胶带输送机运至矸石仓内储存</w:t>
                  </w:r>
                  <w:r>
                    <w:rPr>
                      <w:rFonts w:hint="eastAsia"/>
                      <w:sz w:val="21"/>
                      <w:szCs w:val="21"/>
                    </w:rPr>
                    <w:t>。</w:t>
                  </w:r>
                </w:p>
              </w:tc>
              <w:tc>
                <w:tcPr>
                  <w:tcW w:w="393" w:type="pct"/>
                  <w:vAlign w:val="center"/>
                </w:tcPr>
                <w:p w14:paraId="46C06561">
                  <w:pPr>
                    <w:pStyle w:val="49"/>
                    <w:rPr>
                      <w:sz w:val="21"/>
                      <w:szCs w:val="21"/>
                    </w:rPr>
                  </w:pPr>
                  <w:r>
                    <w:rPr>
                      <w:rFonts w:hint="eastAsia"/>
                      <w:sz w:val="21"/>
                      <w:szCs w:val="21"/>
                    </w:rPr>
                    <w:t>新建</w:t>
                  </w:r>
                </w:p>
              </w:tc>
            </w:tr>
            <w:tr w14:paraId="1A134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776EF3C5">
                  <w:pPr>
                    <w:pStyle w:val="49"/>
                    <w:rPr>
                      <w:sz w:val="21"/>
                      <w:szCs w:val="21"/>
                    </w:rPr>
                  </w:pPr>
                </w:p>
              </w:tc>
              <w:tc>
                <w:tcPr>
                  <w:tcW w:w="521" w:type="pct"/>
                  <w:vAlign w:val="center"/>
                </w:tcPr>
                <w:p w14:paraId="768ACD97">
                  <w:pPr>
                    <w:pStyle w:val="49"/>
                    <w:rPr>
                      <w:sz w:val="21"/>
                      <w:szCs w:val="21"/>
                    </w:rPr>
                  </w:pPr>
                  <w:r>
                    <w:rPr>
                      <w:rFonts w:hint="eastAsia"/>
                      <w:sz w:val="21"/>
                      <w:szCs w:val="21"/>
                    </w:rPr>
                    <w:t>消防材料库</w:t>
                  </w:r>
                </w:p>
              </w:tc>
              <w:tc>
                <w:tcPr>
                  <w:tcW w:w="3653" w:type="pct"/>
                  <w:vAlign w:val="center"/>
                </w:tcPr>
                <w:p w14:paraId="45FE11F7">
                  <w:pPr>
                    <w:pStyle w:val="49"/>
                    <w:jc w:val="both"/>
                    <w:rPr>
                      <w:sz w:val="21"/>
                      <w:szCs w:val="21"/>
                    </w:rPr>
                  </w:pPr>
                  <w:r>
                    <w:rPr>
                      <w:rFonts w:hint="eastAsia"/>
                      <w:color w:val="000000"/>
                      <w:kern w:val="0"/>
                      <w:sz w:val="21"/>
                      <w:szCs w:val="21"/>
                    </w:rPr>
                    <w:t>面积</w:t>
                  </w:r>
                  <w:r>
                    <w:rPr>
                      <w:color w:val="000000"/>
                      <w:kern w:val="0"/>
                      <w:sz w:val="21"/>
                      <w:szCs w:val="21"/>
                    </w:rPr>
                    <w:t>84</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rPr>
                    <w:t>，存储消防材料。</w:t>
                  </w:r>
                </w:p>
              </w:tc>
              <w:tc>
                <w:tcPr>
                  <w:tcW w:w="393" w:type="pct"/>
                  <w:vAlign w:val="center"/>
                </w:tcPr>
                <w:p w14:paraId="3F04112A">
                  <w:pPr>
                    <w:pStyle w:val="49"/>
                    <w:rPr>
                      <w:sz w:val="21"/>
                      <w:szCs w:val="21"/>
                    </w:rPr>
                  </w:pPr>
                  <w:r>
                    <w:rPr>
                      <w:rFonts w:hint="eastAsia"/>
                      <w:sz w:val="21"/>
                      <w:szCs w:val="21"/>
                    </w:rPr>
                    <w:t>新建</w:t>
                  </w:r>
                </w:p>
              </w:tc>
            </w:tr>
            <w:tr w14:paraId="3A796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0301C70A">
                  <w:pPr>
                    <w:pStyle w:val="49"/>
                    <w:rPr>
                      <w:sz w:val="21"/>
                      <w:szCs w:val="21"/>
                    </w:rPr>
                  </w:pPr>
                </w:p>
              </w:tc>
              <w:tc>
                <w:tcPr>
                  <w:tcW w:w="521" w:type="pct"/>
                  <w:vAlign w:val="center"/>
                </w:tcPr>
                <w:p w14:paraId="763D6DB3">
                  <w:pPr>
                    <w:pStyle w:val="49"/>
                    <w:rPr>
                      <w:sz w:val="21"/>
                      <w:szCs w:val="21"/>
                    </w:rPr>
                  </w:pPr>
                  <w:r>
                    <w:rPr>
                      <w:rFonts w:hint="eastAsia"/>
                      <w:sz w:val="21"/>
                      <w:szCs w:val="21"/>
                    </w:rPr>
                    <w:t>岩粉库</w:t>
                  </w:r>
                </w:p>
              </w:tc>
              <w:tc>
                <w:tcPr>
                  <w:tcW w:w="3653" w:type="pct"/>
                  <w:vAlign w:val="center"/>
                </w:tcPr>
                <w:p w14:paraId="2DA651AB">
                  <w:pPr>
                    <w:pStyle w:val="49"/>
                    <w:jc w:val="both"/>
                    <w:rPr>
                      <w:color w:val="000000"/>
                      <w:kern w:val="0"/>
                      <w:sz w:val="21"/>
                      <w:szCs w:val="21"/>
                    </w:rPr>
                  </w:pPr>
                  <w:r>
                    <w:rPr>
                      <w:rFonts w:hint="eastAsia"/>
                      <w:color w:val="000000"/>
                      <w:kern w:val="0"/>
                      <w:sz w:val="21"/>
                      <w:szCs w:val="21"/>
                    </w:rPr>
                    <w:t>面积</w:t>
                  </w:r>
                  <w:r>
                    <w:rPr>
                      <w:color w:val="000000"/>
                      <w:kern w:val="0"/>
                      <w:sz w:val="21"/>
                      <w:szCs w:val="21"/>
                    </w:rPr>
                    <w:t>56</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rPr>
                    <w:t>，存储井下用石子。</w:t>
                  </w:r>
                </w:p>
              </w:tc>
              <w:tc>
                <w:tcPr>
                  <w:tcW w:w="393" w:type="pct"/>
                  <w:vAlign w:val="center"/>
                </w:tcPr>
                <w:p w14:paraId="6097CBFC">
                  <w:pPr>
                    <w:pStyle w:val="49"/>
                    <w:rPr>
                      <w:sz w:val="21"/>
                      <w:szCs w:val="21"/>
                    </w:rPr>
                  </w:pPr>
                  <w:r>
                    <w:rPr>
                      <w:rFonts w:hint="eastAsia"/>
                      <w:sz w:val="21"/>
                      <w:szCs w:val="21"/>
                    </w:rPr>
                    <w:t>新建</w:t>
                  </w:r>
                </w:p>
              </w:tc>
            </w:tr>
            <w:tr w14:paraId="40CAB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70F109E2">
                  <w:pPr>
                    <w:pStyle w:val="49"/>
                    <w:rPr>
                      <w:sz w:val="21"/>
                      <w:szCs w:val="21"/>
                    </w:rPr>
                  </w:pPr>
                </w:p>
              </w:tc>
              <w:tc>
                <w:tcPr>
                  <w:tcW w:w="521" w:type="pct"/>
                  <w:vAlign w:val="center"/>
                </w:tcPr>
                <w:p w14:paraId="6A15124B">
                  <w:pPr>
                    <w:pStyle w:val="49"/>
                    <w:rPr>
                      <w:sz w:val="21"/>
                      <w:szCs w:val="21"/>
                    </w:rPr>
                  </w:pPr>
                  <w:r>
                    <w:rPr>
                      <w:rFonts w:hint="eastAsia"/>
                      <w:sz w:val="21"/>
                      <w:szCs w:val="21"/>
                    </w:rPr>
                    <w:t>油脂库</w:t>
                  </w:r>
                </w:p>
              </w:tc>
              <w:tc>
                <w:tcPr>
                  <w:tcW w:w="3653" w:type="pct"/>
                  <w:vAlign w:val="center"/>
                </w:tcPr>
                <w:p w14:paraId="456BB65D">
                  <w:pPr>
                    <w:pStyle w:val="49"/>
                    <w:jc w:val="both"/>
                    <w:rPr>
                      <w:sz w:val="21"/>
                      <w:szCs w:val="21"/>
                    </w:rPr>
                  </w:pPr>
                  <w:r>
                    <w:rPr>
                      <w:rFonts w:hint="eastAsia"/>
                      <w:color w:val="000000"/>
                      <w:kern w:val="0"/>
                      <w:sz w:val="21"/>
                      <w:szCs w:val="21"/>
                    </w:rPr>
                    <w:t>面积</w:t>
                  </w:r>
                  <w:r>
                    <w:rPr>
                      <w:color w:val="000000"/>
                      <w:kern w:val="0"/>
                      <w:sz w:val="21"/>
                      <w:szCs w:val="21"/>
                    </w:rPr>
                    <w:t>84</w:t>
                  </w:r>
                  <w:r>
                    <w:rPr>
                      <w:rFonts w:hint="eastAsia"/>
                      <w:color w:val="000000"/>
                      <w:kern w:val="0"/>
                      <w:sz w:val="21"/>
                      <w:szCs w:val="21"/>
                    </w:rPr>
                    <w:t>m</w:t>
                  </w:r>
                  <w:r>
                    <w:rPr>
                      <w:color w:val="000000"/>
                      <w:kern w:val="0"/>
                      <w:sz w:val="21"/>
                      <w:szCs w:val="21"/>
                      <w:vertAlign w:val="superscript"/>
                    </w:rPr>
                    <w:t>2</w:t>
                  </w:r>
                  <w:r>
                    <w:rPr>
                      <w:rFonts w:hint="eastAsia"/>
                      <w:color w:val="000000"/>
                      <w:kern w:val="0"/>
                      <w:sz w:val="21"/>
                      <w:szCs w:val="21"/>
                    </w:rPr>
                    <w:t>，主要存储</w:t>
                  </w:r>
                  <w:r>
                    <w:rPr>
                      <w:sz w:val="21"/>
                      <w:szCs w:val="21"/>
                    </w:rPr>
                    <w:t>液压油，</w:t>
                  </w:r>
                  <w:r>
                    <w:rPr>
                      <w:rFonts w:hint="eastAsia"/>
                      <w:sz w:val="21"/>
                      <w:szCs w:val="21"/>
                    </w:rPr>
                    <w:t>采用200L的铁质油桶</w:t>
                  </w:r>
                  <w:r>
                    <w:rPr>
                      <w:sz w:val="21"/>
                      <w:szCs w:val="21"/>
                    </w:rPr>
                    <w:t>存储，</w:t>
                  </w:r>
                  <w:r>
                    <w:rPr>
                      <w:rFonts w:hint="eastAsia"/>
                      <w:sz w:val="21"/>
                      <w:szCs w:val="21"/>
                    </w:rPr>
                    <w:t>日常</w:t>
                  </w:r>
                  <w:r>
                    <w:rPr>
                      <w:sz w:val="21"/>
                      <w:szCs w:val="21"/>
                    </w:rPr>
                    <w:t>存储量约为0.36t</w:t>
                  </w:r>
                  <w:r>
                    <w:rPr>
                      <w:rFonts w:hint="eastAsia"/>
                      <w:color w:val="000000"/>
                      <w:kern w:val="0"/>
                      <w:sz w:val="21"/>
                      <w:szCs w:val="21"/>
                    </w:rPr>
                    <w:t>。</w:t>
                  </w:r>
                </w:p>
              </w:tc>
              <w:tc>
                <w:tcPr>
                  <w:tcW w:w="393" w:type="pct"/>
                  <w:vAlign w:val="center"/>
                </w:tcPr>
                <w:p w14:paraId="503FF5EF">
                  <w:pPr>
                    <w:pStyle w:val="49"/>
                    <w:rPr>
                      <w:sz w:val="21"/>
                      <w:szCs w:val="21"/>
                    </w:rPr>
                  </w:pPr>
                  <w:r>
                    <w:rPr>
                      <w:rFonts w:hint="eastAsia"/>
                      <w:sz w:val="21"/>
                      <w:szCs w:val="21"/>
                    </w:rPr>
                    <w:t>新建</w:t>
                  </w:r>
                </w:p>
              </w:tc>
            </w:tr>
            <w:tr w14:paraId="5E5DA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129944AA">
                  <w:pPr>
                    <w:pStyle w:val="49"/>
                    <w:rPr>
                      <w:sz w:val="21"/>
                      <w:szCs w:val="21"/>
                    </w:rPr>
                  </w:pPr>
                </w:p>
              </w:tc>
              <w:tc>
                <w:tcPr>
                  <w:tcW w:w="521" w:type="pct"/>
                  <w:vAlign w:val="center"/>
                </w:tcPr>
                <w:p w14:paraId="5665B732">
                  <w:pPr>
                    <w:pStyle w:val="49"/>
                    <w:rPr>
                      <w:rFonts w:hint="default" w:eastAsia="宋体"/>
                      <w:sz w:val="21"/>
                      <w:szCs w:val="21"/>
                      <w:lang w:val="en-US" w:eastAsia="zh-CN"/>
                    </w:rPr>
                  </w:pPr>
                  <w:r>
                    <w:rPr>
                      <w:rFonts w:hint="eastAsia"/>
                      <w:sz w:val="21"/>
                      <w:szCs w:val="21"/>
                      <w:lang w:val="en-US" w:eastAsia="zh-CN"/>
                    </w:rPr>
                    <w:t>厂外道路</w:t>
                  </w:r>
                </w:p>
              </w:tc>
              <w:tc>
                <w:tcPr>
                  <w:tcW w:w="3653" w:type="pct"/>
                  <w:vAlign w:val="center"/>
                </w:tcPr>
                <w:p w14:paraId="4719456D">
                  <w:pPr>
                    <w:pStyle w:val="49"/>
                    <w:jc w:val="both"/>
                    <w:rPr>
                      <w:rFonts w:hint="default" w:eastAsia="宋体"/>
                      <w:color w:val="000000"/>
                      <w:kern w:val="0"/>
                      <w:sz w:val="21"/>
                      <w:szCs w:val="21"/>
                      <w:lang w:val="en-US" w:eastAsia="zh-CN"/>
                    </w:rPr>
                  </w:pPr>
                  <w:r>
                    <w:rPr>
                      <w:rFonts w:hint="eastAsia"/>
                      <w:color w:val="000000"/>
                      <w:kern w:val="0"/>
                      <w:sz w:val="21"/>
                      <w:szCs w:val="21"/>
                      <w:lang w:val="en-US" w:eastAsia="zh-CN"/>
                    </w:rPr>
                    <w:t>面积</w:t>
                  </w:r>
                  <w:r>
                    <w:rPr>
                      <w:rFonts w:hint="eastAsia"/>
                      <w:sz w:val="21"/>
                      <w:szCs w:val="21"/>
                      <w:lang w:val="en-US" w:eastAsia="zh-CN"/>
                    </w:rPr>
                    <w:t>10624</w:t>
                  </w:r>
                  <w:r>
                    <w:rPr>
                      <w:rFonts w:hint="eastAsia"/>
                      <w:sz w:val="21"/>
                      <w:szCs w:val="21"/>
                    </w:rPr>
                    <w:t>m</w:t>
                  </w:r>
                  <w:r>
                    <w:rPr>
                      <w:sz w:val="21"/>
                      <w:szCs w:val="21"/>
                      <w:vertAlign w:val="superscript"/>
                    </w:rPr>
                    <w:t>2</w:t>
                  </w:r>
                  <w:r>
                    <w:rPr>
                      <w:rFonts w:hint="eastAsia"/>
                      <w:sz w:val="21"/>
                      <w:szCs w:val="21"/>
                      <w:vertAlign w:val="baseline"/>
                      <w:lang w:eastAsia="zh-CN"/>
                    </w:rPr>
                    <w:t>，</w:t>
                  </w:r>
                  <w:r>
                    <w:rPr>
                      <w:rFonts w:hint="eastAsia"/>
                      <w:sz w:val="21"/>
                      <w:szCs w:val="21"/>
                      <w:vertAlign w:val="baseline"/>
                      <w:lang w:val="en-US" w:eastAsia="zh-CN"/>
                    </w:rPr>
                    <w:t>宽13m，长817.2m，采取混凝土硬化路面。</w:t>
                  </w:r>
                </w:p>
              </w:tc>
              <w:tc>
                <w:tcPr>
                  <w:tcW w:w="393" w:type="pct"/>
                  <w:vAlign w:val="center"/>
                </w:tcPr>
                <w:p w14:paraId="1AA1E1A5">
                  <w:pPr>
                    <w:pStyle w:val="49"/>
                    <w:rPr>
                      <w:rFonts w:hint="eastAsia"/>
                      <w:sz w:val="21"/>
                      <w:szCs w:val="21"/>
                    </w:rPr>
                  </w:pPr>
                </w:p>
              </w:tc>
            </w:tr>
            <w:tr w14:paraId="185A9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restart"/>
                  <w:vAlign w:val="center"/>
                </w:tcPr>
                <w:p w14:paraId="3CEB8A9E">
                  <w:pPr>
                    <w:pStyle w:val="49"/>
                    <w:rPr>
                      <w:sz w:val="21"/>
                      <w:szCs w:val="21"/>
                    </w:rPr>
                  </w:pPr>
                  <w:r>
                    <w:rPr>
                      <w:sz w:val="21"/>
                      <w:szCs w:val="21"/>
                    </w:rPr>
                    <w:t>公用</w:t>
                  </w:r>
                </w:p>
                <w:p w14:paraId="33319874">
                  <w:pPr>
                    <w:pStyle w:val="49"/>
                    <w:rPr>
                      <w:sz w:val="21"/>
                      <w:szCs w:val="21"/>
                    </w:rPr>
                  </w:pPr>
                  <w:r>
                    <w:rPr>
                      <w:sz w:val="21"/>
                      <w:szCs w:val="21"/>
                    </w:rPr>
                    <w:t>工程</w:t>
                  </w:r>
                </w:p>
              </w:tc>
              <w:tc>
                <w:tcPr>
                  <w:tcW w:w="521" w:type="pct"/>
                  <w:vAlign w:val="center"/>
                </w:tcPr>
                <w:p w14:paraId="10B277CE">
                  <w:pPr>
                    <w:pStyle w:val="49"/>
                    <w:rPr>
                      <w:sz w:val="21"/>
                      <w:szCs w:val="21"/>
                    </w:rPr>
                  </w:pPr>
                  <w:r>
                    <w:rPr>
                      <w:sz w:val="21"/>
                      <w:szCs w:val="21"/>
                    </w:rPr>
                    <w:t>给水</w:t>
                  </w:r>
                </w:p>
              </w:tc>
              <w:tc>
                <w:tcPr>
                  <w:tcW w:w="3653" w:type="pct"/>
                  <w:vAlign w:val="center"/>
                </w:tcPr>
                <w:p w14:paraId="29AACF43">
                  <w:pPr>
                    <w:pStyle w:val="49"/>
                    <w:jc w:val="both"/>
                    <w:rPr>
                      <w:sz w:val="21"/>
                      <w:szCs w:val="21"/>
                    </w:rPr>
                  </w:pPr>
                  <w:r>
                    <w:rPr>
                      <w:bCs/>
                      <w:color w:val="000000"/>
                      <w:kern w:val="0"/>
                      <w:sz w:val="21"/>
                      <w:szCs w:val="21"/>
                    </w:rPr>
                    <w:t>工业场地生产、消防用水、井下消防洒水</w:t>
                  </w:r>
                  <w:r>
                    <w:rPr>
                      <w:rFonts w:hint="eastAsia"/>
                      <w:bCs/>
                      <w:color w:val="000000"/>
                      <w:kern w:val="0"/>
                      <w:sz w:val="21"/>
                      <w:szCs w:val="21"/>
                    </w:rPr>
                    <w:t>等用水</w:t>
                  </w:r>
                  <w:r>
                    <w:rPr>
                      <w:color w:val="000000"/>
                      <w:kern w:val="0"/>
                      <w:sz w:val="21"/>
                      <w:szCs w:val="21"/>
                    </w:rPr>
                    <w:t>引自穆棱河水源地渗水井</w:t>
                  </w:r>
                  <w:r>
                    <w:rPr>
                      <w:rFonts w:hint="eastAsia"/>
                      <w:color w:val="000000"/>
                      <w:kern w:val="0"/>
                      <w:sz w:val="21"/>
                      <w:szCs w:val="21"/>
                    </w:rPr>
                    <w:t>、平岗煤矿原有净水厂出水补充</w:t>
                  </w:r>
                  <w:r>
                    <w:rPr>
                      <w:color w:val="000000"/>
                      <w:kern w:val="0"/>
                      <w:sz w:val="21"/>
                      <w:szCs w:val="21"/>
                    </w:rPr>
                    <w:t>。矿井地面设</w:t>
                  </w:r>
                  <w:r>
                    <w:rPr>
                      <w:rFonts w:hint="eastAsia"/>
                      <w:color w:val="000000"/>
                      <w:kern w:val="0"/>
                      <w:sz w:val="21"/>
                      <w:szCs w:val="21"/>
                      <w:lang w:val="en-US" w:eastAsia="zh-CN"/>
                    </w:rPr>
                    <w:t>一</w:t>
                  </w:r>
                  <w:r>
                    <w:rPr>
                      <w:color w:val="000000"/>
                      <w:kern w:val="0"/>
                      <w:sz w:val="21"/>
                      <w:szCs w:val="21"/>
                    </w:rPr>
                    <w:t>座</w:t>
                  </w:r>
                  <w:r>
                    <w:rPr>
                      <w:rFonts w:hint="eastAsia"/>
                      <w:color w:val="000000"/>
                      <w:kern w:val="0"/>
                      <w:sz w:val="21"/>
                      <w:szCs w:val="21"/>
                      <w:lang w:val="en-US" w:eastAsia="zh-CN"/>
                    </w:rPr>
                    <w:t>1625</w:t>
                  </w:r>
                  <w:r>
                    <w:rPr>
                      <w:color w:val="000000"/>
                      <w:kern w:val="0"/>
                      <w:sz w:val="21"/>
                      <w:szCs w:val="21"/>
                    </w:rPr>
                    <w:t>m</w:t>
                  </w:r>
                  <w:r>
                    <w:rPr>
                      <w:color w:val="000000"/>
                      <w:kern w:val="0"/>
                      <w:sz w:val="21"/>
                      <w:szCs w:val="21"/>
                      <w:vertAlign w:val="superscript"/>
                    </w:rPr>
                    <w:t>3</w:t>
                  </w:r>
                  <w:r>
                    <w:rPr>
                      <w:color w:val="000000"/>
                      <w:kern w:val="0"/>
                      <w:sz w:val="21"/>
                      <w:szCs w:val="21"/>
                    </w:rPr>
                    <w:t>蓄水池</w:t>
                  </w:r>
                  <w:r>
                    <w:rPr>
                      <w:rFonts w:hint="eastAsia"/>
                      <w:color w:val="000000"/>
                      <w:kern w:val="0"/>
                      <w:sz w:val="21"/>
                      <w:szCs w:val="21"/>
                    </w:rPr>
                    <w:t>（</w:t>
                  </w:r>
                  <w:r>
                    <w:rPr>
                      <w:color w:val="000000"/>
                      <w:kern w:val="0"/>
                      <w:sz w:val="21"/>
                      <w:szCs w:val="21"/>
                    </w:rPr>
                    <w:t>消防水池</w:t>
                  </w:r>
                  <w:r>
                    <w:rPr>
                      <w:rFonts w:hint="eastAsia"/>
                      <w:color w:val="000000"/>
                      <w:kern w:val="0"/>
                      <w:sz w:val="21"/>
                      <w:szCs w:val="21"/>
                    </w:rPr>
                    <w:t>）。</w:t>
                  </w:r>
                </w:p>
              </w:tc>
              <w:tc>
                <w:tcPr>
                  <w:tcW w:w="393" w:type="pct"/>
                  <w:vAlign w:val="center"/>
                </w:tcPr>
                <w:p w14:paraId="18DE0460">
                  <w:pPr>
                    <w:pStyle w:val="49"/>
                    <w:rPr>
                      <w:sz w:val="21"/>
                      <w:szCs w:val="21"/>
                    </w:rPr>
                  </w:pPr>
                  <w:r>
                    <w:rPr>
                      <w:rFonts w:hint="eastAsia"/>
                      <w:sz w:val="21"/>
                      <w:szCs w:val="21"/>
                    </w:rPr>
                    <w:t>依托</w:t>
                  </w:r>
                </w:p>
              </w:tc>
            </w:tr>
            <w:tr w14:paraId="11E64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6599E36F">
                  <w:pPr>
                    <w:pStyle w:val="49"/>
                    <w:rPr>
                      <w:sz w:val="21"/>
                      <w:szCs w:val="21"/>
                    </w:rPr>
                  </w:pPr>
                </w:p>
              </w:tc>
              <w:tc>
                <w:tcPr>
                  <w:tcW w:w="521" w:type="pct"/>
                  <w:vAlign w:val="center"/>
                </w:tcPr>
                <w:p w14:paraId="5BB6FC9A">
                  <w:pPr>
                    <w:pStyle w:val="49"/>
                    <w:rPr>
                      <w:sz w:val="21"/>
                      <w:szCs w:val="21"/>
                    </w:rPr>
                  </w:pPr>
                  <w:r>
                    <w:rPr>
                      <w:sz w:val="21"/>
                      <w:szCs w:val="21"/>
                    </w:rPr>
                    <w:t>排水</w:t>
                  </w:r>
                </w:p>
              </w:tc>
              <w:tc>
                <w:tcPr>
                  <w:tcW w:w="3653" w:type="pct"/>
                  <w:vAlign w:val="center"/>
                </w:tcPr>
                <w:p w14:paraId="160593A3">
                  <w:pPr>
                    <w:pStyle w:val="49"/>
                    <w:jc w:val="both"/>
                    <w:rPr>
                      <w:sz w:val="21"/>
                      <w:szCs w:val="21"/>
                    </w:rPr>
                  </w:pPr>
                  <w:r>
                    <w:rPr>
                      <w:bCs/>
                      <w:color w:val="000000"/>
                      <w:kern w:val="0"/>
                      <w:sz w:val="21"/>
                      <w:szCs w:val="21"/>
                    </w:rPr>
                    <w:t>工业场地生产、消防用水、井下消防洒水</w:t>
                  </w:r>
                  <w:r>
                    <w:rPr>
                      <w:rFonts w:hint="eastAsia"/>
                      <w:bCs/>
                      <w:color w:val="000000"/>
                      <w:kern w:val="0"/>
                      <w:sz w:val="21"/>
                      <w:szCs w:val="21"/>
                    </w:rPr>
                    <w:t>等用水全部损耗，不排放。</w:t>
                  </w:r>
                </w:p>
              </w:tc>
              <w:tc>
                <w:tcPr>
                  <w:tcW w:w="393" w:type="pct"/>
                  <w:vAlign w:val="center"/>
                </w:tcPr>
                <w:p w14:paraId="6EFD9912">
                  <w:pPr>
                    <w:pStyle w:val="49"/>
                    <w:rPr>
                      <w:sz w:val="21"/>
                      <w:szCs w:val="21"/>
                    </w:rPr>
                  </w:pPr>
                  <w:r>
                    <w:rPr>
                      <w:rFonts w:hint="eastAsia"/>
                      <w:sz w:val="21"/>
                      <w:szCs w:val="21"/>
                    </w:rPr>
                    <w:t>/</w:t>
                  </w:r>
                </w:p>
              </w:tc>
            </w:tr>
            <w:tr w14:paraId="23D9E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49F0BAA1">
                  <w:pPr>
                    <w:pStyle w:val="49"/>
                    <w:rPr>
                      <w:sz w:val="21"/>
                      <w:szCs w:val="21"/>
                    </w:rPr>
                  </w:pPr>
                </w:p>
              </w:tc>
              <w:tc>
                <w:tcPr>
                  <w:tcW w:w="521" w:type="pct"/>
                  <w:vAlign w:val="center"/>
                </w:tcPr>
                <w:p w14:paraId="333498D7">
                  <w:pPr>
                    <w:pStyle w:val="49"/>
                    <w:rPr>
                      <w:sz w:val="21"/>
                      <w:szCs w:val="21"/>
                    </w:rPr>
                  </w:pPr>
                  <w:r>
                    <w:rPr>
                      <w:rFonts w:hint="eastAsia"/>
                      <w:sz w:val="21"/>
                      <w:szCs w:val="21"/>
                    </w:rPr>
                    <w:t>供电</w:t>
                  </w:r>
                </w:p>
              </w:tc>
              <w:tc>
                <w:tcPr>
                  <w:tcW w:w="3653" w:type="pct"/>
                  <w:vAlign w:val="center"/>
                </w:tcPr>
                <w:p w14:paraId="03D84E98">
                  <w:pPr>
                    <w:pStyle w:val="49"/>
                    <w:jc w:val="left"/>
                    <w:rPr>
                      <w:sz w:val="21"/>
                      <w:szCs w:val="21"/>
                    </w:rPr>
                  </w:pPr>
                  <w:r>
                    <w:rPr>
                      <w:rFonts w:hint="eastAsia"/>
                      <w:color w:val="000000"/>
                      <w:sz w:val="21"/>
                      <w:szCs w:val="21"/>
                    </w:rPr>
                    <w:t>供电</w:t>
                  </w:r>
                  <w:r>
                    <w:rPr>
                      <w:color w:val="000000"/>
                      <w:sz w:val="21"/>
                      <w:szCs w:val="21"/>
                    </w:rPr>
                    <w:t>为双重电源供电，由平岗矿山下66kV变电所6kV侧不同母线段引来，供电电压均为6kV，供电距离均为3km。导线为LGJ-240mm</w:t>
                  </w:r>
                  <w:r>
                    <w:rPr>
                      <w:color w:val="000000"/>
                      <w:sz w:val="21"/>
                      <w:szCs w:val="21"/>
                      <w:vertAlign w:val="superscript"/>
                    </w:rPr>
                    <w:t>2</w:t>
                  </w:r>
                  <w:r>
                    <w:rPr>
                      <w:color w:val="000000"/>
                      <w:sz w:val="21"/>
                      <w:szCs w:val="21"/>
                    </w:rPr>
                    <w:t>砼杆架空线引至该矿，运行方式为一回工作一回备用，当一路断电时，另一回路可以保证矿井供电需求。</w:t>
                  </w:r>
                </w:p>
              </w:tc>
              <w:tc>
                <w:tcPr>
                  <w:tcW w:w="393" w:type="pct"/>
                  <w:vAlign w:val="center"/>
                </w:tcPr>
                <w:p w14:paraId="1C4BD292">
                  <w:pPr>
                    <w:pStyle w:val="49"/>
                    <w:rPr>
                      <w:sz w:val="21"/>
                      <w:szCs w:val="21"/>
                    </w:rPr>
                  </w:pPr>
                  <w:r>
                    <w:rPr>
                      <w:rFonts w:hint="eastAsia"/>
                      <w:sz w:val="21"/>
                      <w:szCs w:val="21"/>
                    </w:rPr>
                    <w:t>依托</w:t>
                  </w:r>
                </w:p>
              </w:tc>
            </w:tr>
            <w:tr w14:paraId="40923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7A1D29E5">
                  <w:pPr>
                    <w:pStyle w:val="49"/>
                    <w:rPr>
                      <w:sz w:val="21"/>
                      <w:szCs w:val="21"/>
                    </w:rPr>
                  </w:pPr>
                </w:p>
              </w:tc>
              <w:tc>
                <w:tcPr>
                  <w:tcW w:w="521" w:type="pct"/>
                  <w:vAlign w:val="center"/>
                </w:tcPr>
                <w:p w14:paraId="4BDD3425">
                  <w:pPr>
                    <w:pStyle w:val="49"/>
                    <w:rPr>
                      <w:sz w:val="21"/>
                      <w:szCs w:val="21"/>
                    </w:rPr>
                  </w:pPr>
                  <w:r>
                    <w:rPr>
                      <w:rFonts w:hint="eastAsia"/>
                      <w:sz w:val="21"/>
                      <w:szCs w:val="21"/>
                    </w:rPr>
                    <w:t>供暖</w:t>
                  </w:r>
                </w:p>
              </w:tc>
              <w:tc>
                <w:tcPr>
                  <w:tcW w:w="3653" w:type="pct"/>
                  <w:vAlign w:val="center"/>
                </w:tcPr>
                <w:p w14:paraId="00265652">
                  <w:pPr>
                    <w:pStyle w:val="49"/>
                    <w:jc w:val="left"/>
                    <w:rPr>
                      <w:sz w:val="21"/>
                      <w:szCs w:val="21"/>
                    </w:rPr>
                  </w:pPr>
                  <w:r>
                    <w:rPr>
                      <w:rFonts w:hint="eastAsia"/>
                      <w:sz w:val="21"/>
                      <w:szCs w:val="21"/>
                    </w:rPr>
                    <w:t>由</w:t>
                  </w:r>
                  <w:r>
                    <w:rPr>
                      <w:color w:val="000000"/>
                      <w:sz w:val="21"/>
                      <w:szCs w:val="21"/>
                    </w:rPr>
                    <w:t>平岗南风井瓦斯氧化发电余热提供</w:t>
                  </w:r>
                  <w:r>
                    <w:rPr>
                      <w:rFonts w:hint="eastAsia"/>
                      <w:color w:val="000000"/>
                      <w:sz w:val="21"/>
                      <w:szCs w:val="21"/>
                    </w:rPr>
                    <w:t>。</w:t>
                  </w:r>
                </w:p>
              </w:tc>
              <w:tc>
                <w:tcPr>
                  <w:tcW w:w="393" w:type="pct"/>
                  <w:vAlign w:val="center"/>
                </w:tcPr>
                <w:p w14:paraId="59CA4A53">
                  <w:pPr>
                    <w:pStyle w:val="49"/>
                    <w:rPr>
                      <w:sz w:val="21"/>
                      <w:szCs w:val="21"/>
                    </w:rPr>
                  </w:pPr>
                  <w:r>
                    <w:rPr>
                      <w:rFonts w:hint="eastAsia"/>
                      <w:sz w:val="21"/>
                      <w:szCs w:val="21"/>
                    </w:rPr>
                    <w:t>依托</w:t>
                  </w:r>
                </w:p>
              </w:tc>
            </w:tr>
            <w:tr w14:paraId="56FA7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restart"/>
                  <w:vAlign w:val="center"/>
                </w:tcPr>
                <w:p w14:paraId="44637BAD">
                  <w:pPr>
                    <w:pStyle w:val="49"/>
                    <w:rPr>
                      <w:sz w:val="21"/>
                      <w:szCs w:val="21"/>
                    </w:rPr>
                  </w:pPr>
                  <w:r>
                    <w:rPr>
                      <w:sz w:val="21"/>
                      <w:szCs w:val="21"/>
                    </w:rPr>
                    <w:t>环保工程</w:t>
                  </w:r>
                </w:p>
              </w:tc>
              <w:tc>
                <w:tcPr>
                  <w:tcW w:w="521" w:type="pct"/>
                  <w:vAlign w:val="center"/>
                </w:tcPr>
                <w:p w14:paraId="378C63DB">
                  <w:pPr>
                    <w:pStyle w:val="49"/>
                    <w:rPr>
                      <w:sz w:val="21"/>
                      <w:szCs w:val="21"/>
                    </w:rPr>
                  </w:pPr>
                  <w:r>
                    <w:rPr>
                      <w:rFonts w:hint="eastAsia"/>
                      <w:sz w:val="21"/>
                      <w:szCs w:val="21"/>
                    </w:rPr>
                    <w:t>废水</w:t>
                  </w:r>
                  <w:r>
                    <w:rPr>
                      <w:sz w:val="21"/>
                      <w:szCs w:val="21"/>
                    </w:rPr>
                    <w:t>处理</w:t>
                  </w:r>
                </w:p>
              </w:tc>
              <w:tc>
                <w:tcPr>
                  <w:tcW w:w="3653" w:type="pct"/>
                  <w:vAlign w:val="center"/>
                </w:tcPr>
                <w:p w14:paraId="0B5D4CFD">
                  <w:pPr>
                    <w:jc w:val="left"/>
                    <w:rPr>
                      <w:sz w:val="21"/>
                      <w:szCs w:val="21"/>
                    </w:rPr>
                  </w:pPr>
                  <w:r>
                    <w:rPr>
                      <w:rFonts w:hint="eastAsia"/>
                      <w:sz w:val="21"/>
                      <w:szCs w:val="21"/>
                    </w:rPr>
                    <w:t>施工期：施工生活污水排入防渗旱厕，定期清掏堆肥；施工废水经沉淀后，回用于场地降尘。</w:t>
                  </w:r>
                </w:p>
                <w:p w14:paraId="1FDF9164">
                  <w:pPr>
                    <w:jc w:val="left"/>
                    <w:rPr>
                      <w:sz w:val="21"/>
                      <w:szCs w:val="21"/>
                    </w:rPr>
                  </w:pPr>
                  <w:r>
                    <w:rPr>
                      <w:rFonts w:hint="eastAsia"/>
                      <w:sz w:val="21"/>
                      <w:szCs w:val="21"/>
                    </w:rPr>
                    <w:t>运营期：本项目自身无废水排放，</w:t>
                  </w:r>
                  <w:r>
                    <w:rPr>
                      <w:bCs/>
                      <w:color w:val="000000"/>
                      <w:kern w:val="0"/>
                      <w:sz w:val="21"/>
                      <w:szCs w:val="21"/>
                    </w:rPr>
                    <w:t>工业场地生产、消防用水、井下消防洒水</w:t>
                  </w:r>
                  <w:r>
                    <w:rPr>
                      <w:rFonts w:hint="eastAsia"/>
                      <w:bCs/>
                      <w:color w:val="000000"/>
                      <w:kern w:val="0"/>
                      <w:sz w:val="21"/>
                      <w:szCs w:val="21"/>
                    </w:rPr>
                    <w:t>等用水全部损耗，不排放。</w:t>
                  </w:r>
                </w:p>
              </w:tc>
              <w:tc>
                <w:tcPr>
                  <w:tcW w:w="393" w:type="pct"/>
                  <w:vAlign w:val="center"/>
                </w:tcPr>
                <w:p w14:paraId="5ED97215">
                  <w:pPr>
                    <w:jc w:val="center"/>
                    <w:rPr>
                      <w:sz w:val="21"/>
                      <w:szCs w:val="21"/>
                    </w:rPr>
                  </w:pPr>
                  <w:r>
                    <w:rPr>
                      <w:rFonts w:hint="eastAsia"/>
                      <w:sz w:val="21"/>
                      <w:szCs w:val="21"/>
                    </w:rPr>
                    <w:t>/</w:t>
                  </w:r>
                </w:p>
              </w:tc>
            </w:tr>
            <w:tr w14:paraId="747FA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61D1F990">
                  <w:pPr>
                    <w:pStyle w:val="49"/>
                    <w:rPr>
                      <w:sz w:val="21"/>
                      <w:szCs w:val="21"/>
                    </w:rPr>
                  </w:pPr>
                </w:p>
              </w:tc>
              <w:tc>
                <w:tcPr>
                  <w:tcW w:w="521" w:type="pct"/>
                  <w:vAlign w:val="center"/>
                </w:tcPr>
                <w:p w14:paraId="4F5FF535">
                  <w:pPr>
                    <w:pStyle w:val="49"/>
                    <w:rPr>
                      <w:sz w:val="21"/>
                      <w:szCs w:val="21"/>
                    </w:rPr>
                  </w:pPr>
                  <w:r>
                    <w:rPr>
                      <w:sz w:val="21"/>
                      <w:szCs w:val="21"/>
                    </w:rPr>
                    <w:t>大气治理</w:t>
                  </w:r>
                </w:p>
              </w:tc>
              <w:tc>
                <w:tcPr>
                  <w:tcW w:w="3653" w:type="pct"/>
                  <w:vAlign w:val="center"/>
                </w:tcPr>
                <w:p w14:paraId="0C8D0270">
                  <w:pPr>
                    <w:pStyle w:val="49"/>
                    <w:jc w:val="both"/>
                    <w:rPr>
                      <w:sz w:val="21"/>
                      <w:szCs w:val="21"/>
                    </w:rPr>
                  </w:pPr>
                  <w:r>
                    <w:rPr>
                      <w:rFonts w:hint="eastAsia"/>
                      <w:sz w:val="21"/>
                      <w:szCs w:val="21"/>
                    </w:rPr>
                    <w:t>施工期：运输物料车辆均采取篷布覆盖措施；进场道路以及场内道路及时清扫、洒水降尘；施工场界设防尘围挡。</w:t>
                  </w:r>
                </w:p>
                <w:p w14:paraId="2F4EE1AC">
                  <w:pPr>
                    <w:pStyle w:val="49"/>
                    <w:jc w:val="both"/>
                    <w:rPr>
                      <w:sz w:val="21"/>
                      <w:szCs w:val="21"/>
                    </w:rPr>
                  </w:pPr>
                  <w:r>
                    <w:rPr>
                      <w:rFonts w:hint="eastAsia"/>
                      <w:sz w:val="21"/>
                      <w:szCs w:val="21"/>
                    </w:rPr>
                    <w:t>运营期：运输物料车辆均采取篷布覆盖措施；进场道路以及场内道路及时清扫、洒水降尘；</w:t>
                  </w:r>
                  <w:r>
                    <w:rPr>
                      <w:color w:val="000000"/>
                      <w:sz w:val="21"/>
                      <w:szCs w:val="21"/>
                    </w:rPr>
                    <w:t>矸石矿车通过罐笼由井下提至井上，</w:t>
                  </w:r>
                  <w:r>
                    <w:rPr>
                      <w:rFonts w:hint="eastAsia"/>
                      <w:color w:val="000000"/>
                      <w:sz w:val="21"/>
                      <w:szCs w:val="21"/>
                    </w:rPr>
                    <w:t>经密闭走廊输送机输送至翻车房，</w:t>
                  </w:r>
                  <w:r>
                    <w:rPr>
                      <w:color w:val="000000"/>
                      <w:sz w:val="21"/>
                      <w:szCs w:val="21"/>
                    </w:rPr>
                    <w:t>经翻车机卸至缓冲仓内，再通过仓下给料机给至矸石上仓胶带输送机运至矸石仓内储存</w:t>
                  </w:r>
                  <w:r>
                    <w:rPr>
                      <w:rFonts w:hint="eastAsia"/>
                      <w:color w:val="000000"/>
                      <w:sz w:val="21"/>
                      <w:szCs w:val="21"/>
                    </w:rPr>
                    <w:t>，</w:t>
                  </w:r>
                  <w:r>
                    <w:rPr>
                      <w:rFonts w:hint="eastAsia"/>
                      <w:sz w:val="21"/>
                      <w:szCs w:val="21"/>
                    </w:rPr>
                    <w:t>矸石装车过程采取喷淋降尘措施。</w:t>
                  </w:r>
                </w:p>
              </w:tc>
              <w:tc>
                <w:tcPr>
                  <w:tcW w:w="393" w:type="pct"/>
                  <w:vAlign w:val="center"/>
                </w:tcPr>
                <w:p w14:paraId="00346126">
                  <w:pPr>
                    <w:pStyle w:val="49"/>
                    <w:rPr>
                      <w:sz w:val="21"/>
                      <w:szCs w:val="21"/>
                    </w:rPr>
                  </w:pPr>
                  <w:r>
                    <w:rPr>
                      <w:rFonts w:hint="eastAsia"/>
                      <w:sz w:val="21"/>
                      <w:szCs w:val="21"/>
                    </w:rPr>
                    <w:t>/</w:t>
                  </w:r>
                </w:p>
              </w:tc>
            </w:tr>
            <w:tr w14:paraId="5B410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5FCC3277">
                  <w:pPr>
                    <w:pStyle w:val="49"/>
                    <w:rPr>
                      <w:sz w:val="21"/>
                      <w:szCs w:val="21"/>
                    </w:rPr>
                  </w:pPr>
                </w:p>
              </w:tc>
              <w:tc>
                <w:tcPr>
                  <w:tcW w:w="521" w:type="pct"/>
                  <w:vAlign w:val="center"/>
                </w:tcPr>
                <w:p w14:paraId="37B8EEF3">
                  <w:pPr>
                    <w:pStyle w:val="49"/>
                    <w:rPr>
                      <w:sz w:val="21"/>
                      <w:szCs w:val="21"/>
                    </w:rPr>
                  </w:pPr>
                  <w:r>
                    <w:rPr>
                      <w:sz w:val="21"/>
                      <w:szCs w:val="21"/>
                    </w:rPr>
                    <w:t>噪声防治</w:t>
                  </w:r>
                </w:p>
              </w:tc>
              <w:tc>
                <w:tcPr>
                  <w:tcW w:w="3653" w:type="pct"/>
                  <w:vAlign w:val="center"/>
                </w:tcPr>
                <w:p w14:paraId="746B4B35">
                  <w:pPr>
                    <w:pStyle w:val="49"/>
                    <w:jc w:val="both"/>
                    <w:rPr>
                      <w:sz w:val="21"/>
                      <w:szCs w:val="21"/>
                    </w:rPr>
                  </w:pPr>
                  <w:r>
                    <w:rPr>
                      <w:rFonts w:hint="eastAsia"/>
                      <w:sz w:val="21"/>
                      <w:szCs w:val="21"/>
                    </w:rPr>
                    <w:t>施工期：选择低噪声设备、厂界设隔声围挡、合理安排</w:t>
                  </w:r>
                  <w:r>
                    <w:rPr>
                      <w:rFonts w:hint="eastAsia"/>
                      <w:sz w:val="21"/>
                      <w:szCs w:val="21"/>
                      <w:lang w:eastAsia="zh-CN"/>
                    </w:rPr>
                    <w:t>施工时间</w:t>
                  </w:r>
                  <w:r>
                    <w:rPr>
                      <w:rFonts w:hint="eastAsia"/>
                      <w:sz w:val="21"/>
                      <w:szCs w:val="21"/>
                    </w:rPr>
                    <w:t>等。</w:t>
                  </w:r>
                </w:p>
                <w:p w14:paraId="4CB3B373">
                  <w:pPr>
                    <w:pStyle w:val="49"/>
                    <w:jc w:val="both"/>
                    <w:rPr>
                      <w:sz w:val="21"/>
                      <w:szCs w:val="21"/>
                    </w:rPr>
                  </w:pPr>
                  <w:r>
                    <w:rPr>
                      <w:rFonts w:hint="eastAsia"/>
                      <w:sz w:val="21"/>
                      <w:szCs w:val="21"/>
                    </w:rPr>
                    <w:t>运营期：选择低噪声设备、基础减震、隔声、消声等。</w:t>
                  </w:r>
                </w:p>
              </w:tc>
              <w:tc>
                <w:tcPr>
                  <w:tcW w:w="393" w:type="pct"/>
                  <w:vAlign w:val="center"/>
                </w:tcPr>
                <w:p w14:paraId="24F80E15">
                  <w:pPr>
                    <w:pStyle w:val="49"/>
                    <w:rPr>
                      <w:sz w:val="21"/>
                      <w:szCs w:val="21"/>
                    </w:rPr>
                  </w:pPr>
                  <w:r>
                    <w:rPr>
                      <w:rFonts w:hint="eastAsia"/>
                      <w:sz w:val="21"/>
                      <w:szCs w:val="21"/>
                    </w:rPr>
                    <w:t>/</w:t>
                  </w:r>
                </w:p>
              </w:tc>
            </w:tr>
            <w:tr w14:paraId="5FAA9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68496C23">
                  <w:pPr>
                    <w:pStyle w:val="49"/>
                    <w:rPr>
                      <w:sz w:val="21"/>
                      <w:szCs w:val="21"/>
                    </w:rPr>
                  </w:pPr>
                </w:p>
              </w:tc>
              <w:tc>
                <w:tcPr>
                  <w:tcW w:w="521" w:type="pct"/>
                  <w:vAlign w:val="center"/>
                </w:tcPr>
                <w:p w14:paraId="63C67359">
                  <w:pPr>
                    <w:pStyle w:val="49"/>
                    <w:rPr>
                      <w:sz w:val="21"/>
                      <w:szCs w:val="21"/>
                    </w:rPr>
                  </w:pPr>
                  <w:r>
                    <w:rPr>
                      <w:sz w:val="21"/>
                      <w:szCs w:val="21"/>
                    </w:rPr>
                    <w:t>固体废物</w:t>
                  </w:r>
                </w:p>
              </w:tc>
              <w:tc>
                <w:tcPr>
                  <w:tcW w:w="3653" w:type="pct"/>
                  <w:vAlign w:val="center"/>
                </w:tcPr>
                <w:p w14:paraId="661B4707">
                  <w:pPr>
                    <w:pStyle w:val="49"/>
                    <w:jc w:val="both"/>
                    <w:rPr>
                      <w:sz w:val="21"/>
                      <w:szCs w:val="21"/>
                    </w:rPr>
                  </w:pPr>
                  <w:r>
                    <w:rPr>
                      <w:rFonts w:hint="eastAsia"/>
                      <w:sz w:val="21"/>
                      <w:szCs w:val="21"/>
                    </w:rPr>
                    <w:t>施工期：</w:t>
                  </w:r>
                  <w:r>
                    <w:rPr>
                      <w:snapToGrid w:val="0"/>
                      <w:sz w:val="21"/>
                      <w:szCs w:val="21"/>
                    </w:rPr>
                    <w:t>井筒开凿</w:t>
                  </w:r>
                  <w:r>
                    <w:rPr>
                      <w:sz w:val="21"/>
                      <w:szCs w:val="21"/>
                    </w:rPr>
                    <w:t>岩土</w:t>
                  </w:r>
                  <w:r>
                    <w:rPr>
                      <w:rFonts w:hint="eastAsia"/>
                      <w:color w:val="000000"/>
                      <w:sz w:val="21"/>
                      <w:szCs w:val="21"/>
                    </w:rPr>
                    <w:t>一部分用于地面工程填方，剩余部分用于周边道路垫道使用；</w:t>
                  </w:r>
                  <w:r>
                    <w:rPr>
                      <w:rFonts w:hint="eastAsia"/>
                      <w:sz w:val="21"/>
                      <w:szCs w:val="21"/>
                    </w:rPr>
                    <w:t>建筑垃圾中废弃的砖、石、夯块等作为地基的填筑料，各类包装箱、纸有专人负责收集分类存放，统一运往废品站进行回收利用</w:t>
                  </w:r>
                  <w:r>
                    <w:rPr>
                      <w:rFonts w:hint="eastAsia"/>
                      <w:color w:val="000000"/>
                      <w:sz w:val="21"/>
                      <w:szCs w:val="21"/>
                    </w:rPr>
                    <w:t>；生活垃圾送往</w:t>
                  </w:r>
                  <w:r>
                    <w:rPr>
                      <w:rFonts w:hint="eastAsia"/>
                      <w:color w:val="000000"/>
                      <w:sz w:val="21"/>
                      <w:szCs w:val="21"/>
                      <w:lang w:val="en-US" w:eastAsia="zh-CN"/>
                    </w:rPr>
                    <w:t>生活垃圾指定堆放地点</w:t>
                  </w:r>
                  <w:r>
                    <w:rPr>
                      <w:rFonts w:hint="eastAsia"/>
                      <w:color w:val="000000"/>
                      <w:sz w:val="21"/>
                      <w:szCs w:val="21"/>
                    </w:rPr>
                    <w:t>。</w:t>
                  </w:r>
                </w:p>
                <w:p w14:paraId="4F44081B">
                  <w:pPr>
                    <w:pStyle w:val="49"/>
                    <w:jc w:val="both"/>
                    <w:rPr>
                      <w:sz w:val="21"/>
                      <w:szCs w:val="21"/>
                    </w:rPr>
                  </w:pPr>
                  <w:r>
                    <w:rPr>
                      <w:rFonts w:hint="eastAsia"/>
                      <w:sz w:val="21"/>
                      <w:szCs w:val="21"/>
                    </w:rPr>
                    <w:t>运营期：矸石外运综合利用。</w:t>
                  </w:r>
                </w:p>
              </w:tc>
              <w:tc>
                <w:tcPr>
                  <w:tcW w:w="393" w:type="pct"/>
                  <w:vAlign w:val="center"/>
                </w:tcPr>
                <w:p w14:paraId="7FF7C76D">
                  <w:pPr>
                    <w:pStyle w:val="49"/>
                    <w:rPr>
                      <w:sz w:val="21"/>
                      <w:szCs w:val="21"/>
                    </w:rPr>
                  </w:pPr>
                  <w:r>
                    <w:rPr>
                      <w:rFonts w:hint="eastAsia"/>
                      <w:sz w:val="21"/>
                      <w:szCs w:val="21"/>
                    </w:rPr>
                    <w:t>/</w:t>
                  </w:r>
                </w:p>
              </w:tc>
            </w:tr>
            <w:tr w14:paraId="2D0B7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2" w:type="pct"/>
                  <w:vMerge w:val="continue"/>
                  <w:vAlign w:val="center"/>
                </w:tcPr>
                <w:p w14:paraId="2E3E3D5C">
                  <w:pPr>
                    <w:pStyle w:val="49"/>
                    <w:rPr>
                      <w:sz w:val="21"/>
                      <w:szCs w:val="21"/>
                    </w:rPr>
                  </w:pPr>
                </w:p>
              </w:tc>
              <w:tc>
                <w:tcPr>
                  <w:tcW w:w="521" w:type="pct"/>
                  <w:vAlign w:val="center"/>
                </w:tcPr>
                <w:p w14:paraId="24C4CEE3">
                  <w:pPr>
                    <w:pStyle w:val="49"/>
                    <w:rPr>
                      <w:sz w:val="21"/>
                      <w:szCs w:val="21"/>
                    </w:rPr>
                  </w:pPr>
                  <w:r>
                    <w:rPr>
                      <w:sz w:val="21"/>
                      <w:szCs w:val="21"/>
                    </w:rPr>
                    <w:t>生态恢复</w:t>
                  </w:r>
                </w:p>
              </w:tc>
              <w:tc>
                <w:tcPr>
                  <w:tcW w:w="3653" w:type="pct"/>
                  <w:vAlign w:val="center"/>
                </w:tcPr>
                <w:p w14:paraId="26908B05">
                  <w:pPr>
                    <w:pStyle w:val="49"/>
                    <w:jc w:val="both"/>
                    <w:rPr>
                      <w:sz w:val="21"/>
                      <w:szCs w:val="21"/>
                    </w:rPr>
                  </w:pPr>
                  <w:r>
                    <w:rPr>
                      <w:rFonts w:hint="eastAsia"/>
                      <w:sz w:val="21"/>
                      <w:szCs w:val="21"/>
                    </w:rPr>
                    <w:t>施工期：</w:t>
                  </w:r>
                  <w:r>
                    <w:rPr>
                      <w:sz w:val="21"/>
                      <w:szCs w:val="21"/>
                    </w:rPr>
                    <w:t>严格控制施工界限</w:t>
                  </w:r>
                  <w:r>
                    <w:rPr>
                      <w:rFonts w:hint="eastAsia"/>
                      <w:sz w:val="21"/>
                      <w:szCs w:val="21"/>
                    </w:rPr>
                    <w:t>；</w:t>
                  </w:r>
                  <w:r>
                    <w:rPr>
                      <w:sz w:val="21"/>
                      <w:szCs w:val="21"/>
                    </w:rPr>
                    <w:t>合理安排施工时期</w:t>
                  </w:r>
                  <w:r>
                    <w:rPr>
                      <w:rFonts w:hint="eastAsia"/>
                      <w:sz w:val="21"/>
                      <w:szCs w:val="21"/>
                    </w:rPr>
                    <w:t>；表土剥离，用于后期场地绿化用土；</w:t>
                  </w:r>
                  <w:r>
                    <w:rPr>
                      <w:sz w:val="21"/>
                      <w:szCs w:val="21"/>
                    </w:rPr>
                    <w:t>避开暴雨季节施工可避免土壤和</w:t>
                  </w:r>
                  <w:r>
                    <w:rPr>
                      <w:rFonts w:hint="eastAsia"/>
                      <w:sz w:val="21"/>
                      <w:szCs w:val="21"/>
                      <w:lang w:eastAsia="zh-CN"/>
                    </w:rPr>
                    <w:t>水土流失</w:t>
                  </w:r>
                  <w:r>
                    <w:rPr>
                      <w:sz w:val="21"/>
                      <w:szCs w:val="21"/>
                    </w:rPr>
                    <w:t>；避开大风季节施工可避免土壤风蚀吹失。使用挡护设备，覆盖施工作业破坏面和松土层，防止土壤流失。及早进行绿化、硬化以减少裸露面积。</w:t>
                  </w:r>
                </w:p>
                <w:p w14:paraId="47C3DEA7">
                  <w:pPr>
                    <w:pStyle w:val="49"/>
                    <w:jc w:val="both"/>
                    <w:rPr>
                      <w:sz w:val="21"/>
                      <w:szCs w:val="21"/>
                    </w:rPr>
                  </w:pPr>
                  <w:r>
                    <w:rPr>
                      <w:rFonts w:hint="eastAsia"/>
                      <w:sz w:val="21"/>
                      <w:szCs w:val="21"/>
                    </w:rPr>
                    <w:t>运营期：加强厂区绿化、硬化，减少水土流失。</w:t>
                  </w:r>
                </w:p>
              </w:tc>
              <w:tc>
                <w:tcPr>
                  <w:tcW w:w="393" w:type="pct"/>
                  <w:vAlign w:val="center"/>
                </w:tcPr>
                <w:p w14:paraId="40418802">
                  <w:pPr>
                    <w:pStyle w:val="49"/>
                    <w:rPr>
                      <w:sz w:val="21"/>
                      <w:szCs w:val="21"/>
                    </w:rPr>
                  </w:pPr>
                  <w:r>
                    <w:rPr>
                      <w:rFonts w:hint="eastAsia"/>
                      <w:sz w:val="21"/>
                      <w:szCs w:val="21"/>
                    </w:rPr>
                    <w:t>/</w:t>
                  </w:r>
                </w:p>
              </w:tc>
            </w:tr>
          </w:tbl>
          <w:p w14:paraId="2C1368C2">
            <w:pPr>
              <w:pStyle w:val="45"/>
              <w:ind w:firstLine="480"/>
            </w:pPr>
            <w:r>
              <w:t>4、建设规模</w:t>
            </w:r>
          </w:p>
          <w:p w14:paraId="6C79FD82">
            <w:pPr>
              <w:pStyle w:val="53"/>
              <w:ind w:firstLine="480"/>
            </w:pPr>
            <w:r>
              <w:rPr>
                <w:rFonts w:hint="eastAsia"/>
              </w:rPr>
              <w:t>本工程新建一条副立井，煤矿产能及其余井筒无变化。</w:t>
            </w:r>
          </w:p>
          <w:p w14:paraId="1EFF5B24">
            <w:pPr>
              <w:pStyle w:val="53"/>
              <w:ind w:firstLine="480"/>
            </w:pPr>
            <w:r>
              <w:rPr>
                <w:rFonts w:hint="eastAsia"/>
              </w:rPr>
              <w:t>4</w:t>
            </w:r>
            <w:r>
              <w:t>.1</w:t>
            </w:r>
            <w:r>
              <w:rPr>
                <w:rFonts w:hint="eastAsia"/>
              </w:rPr>
              <w:t>新建一条副立井</w:t>
            </w:r>
          </w:p>
          <w:p w14:paraId="455831BE">
            <w:pPr>
              <w:pStyle w:val="53"/>
              <w:ind w:firstLine="480"/>
            </w:pPr>
            <w:r>
              <w:rPr>
                <w:rFonts w:hint="eastAsia"/>
              </w:rPr>
              <w:t>（1）新建副立井位置</w:t>
            </w:r>
          </w:p>
          <w:p w14:paraId="637932AB">
            <w:pPr>
              <w:pStyle w:val="53"/>
              <w:ind w:firstLine="480"/>
            </w:pPr>
            <w:r>
              <w:rPr>
                <w:rFonts w:hint="eastAsia"/>
              </w:rPr>
              <w:t>新建副立井位置选择在现主斜井南侧2500m、89-29钻孔附近。井筒中心坐标为：X=4999829.79、Y=44404010.55、Z=+371.0m。井筒内布置一宽一窄双层四车罐笼，担负全矿人员、材料、设备、矸石等提升任务，同时作为入风井。</w:t>
            </w:r>
          </w:p>
          <w:p w14:paraId="3B99B27F">
            <w:pPr>
              <w:pStyle w:val="53"/>
              <w:ind w:firstLine="480"/>
            </w:pPr>
            <w:r>
              <w:rPr>
                <w:rFonts w:hint="eastAsia"/>
              </w:rPr>
              <w:t>（</w:t>
            </w:r>
            <w:r>
              <w:t>2</w:t>
            </w:r>
            <w:r>
              <w:rPr>
                <w:rFonts w:hint="eastAsia"/>
              </w:rPr>
              <w:t>）副立井概况</w:t>
            </w:r>
          </w:p>
          <w:p w14:paraId="12618CF4">
            <w:pPr>
              <w:pStyle w:val="53"/>
              <w:ind w:firstLine="480"/>
            </w:pPr>
            <w:r>
              <w:rPr>
                <w:rFonts w:hint="eastAsia"/>
              </w:rPr>
              <w:t>副立井井筒净直径8.0m，井底至二水平-250m标高</w:t>
            </w:r>
            <w:r>
              <w:rPr>
                <w:rFonts w:hint="eastAsia"/>
                <w:lang w:eastAsia="zh-CN"/>
              </w:rPr>
              <w:t>，</w:t>
            </w:r>
            <w:r>
              <w:rPr>
                <w:rFonts w:hint="eastAsia"/>
              </w:rPr>
              <w:t>井底水仓标高-285m，井筒深度656m。井筒内装备钢罐道、罐道梁，罐道梁采用树脂锚杆、金属托架固定。井筒内设有梯子间，作为矿井安全出口。敷设排水、消防、洒水管路以及动力、通讯、信号等电缆。副立井提升矸石采用MGC1.7-61.5t型固定厢式矿车。</w:t>
            </w:r>
          </w:p>
          <w:p w14:paraId="436925D0">
            <w:pPr>
              <w:pStyle w:val="53"/>
              <w:ind w:firstLine="480"/>
            </w:pPr>
            <w:r>
              <w:rPr>
                <w:rFonts w:hint="eastAsia"/>
              </w:rPr>
              <w:t>副立井井底二水平-250m标高采用尽头环形式车场布置方式，同时布置马头门、信号硐室、设备操纵硐室、等候硐室、变电硐室及清</w:t>
            </w:r>
            <w:r>
              <w:rPr>
                <w:rFonts w:hint="eastAsia"/>
                <w:lang w:eastAsia="zh-CN"/>
              </w:rPr>
              <w:t>洒</w:t>
            </w:r>
            <w:r>
              <w:rPr>
                <w:rFonts w:hint="eastAsia"/>
              </w:rPr>
              <w:t>斜下等硐室。马头门附近布置有进车线及出车线车场，回车线环形绕道。在进车线车场东侧布置轨道运输大巷与平岗煤矿东二采区二水平运输大巷连接。</w:t>
            </w:r>
          </w:p>
          <w:p w14:paraId="23B41B99">
            <w:pPr>
              <w:pStyle w:val="53"/>
              <w:ind w:firstLine="480"/>
            </w:pPr>
            <w:r>
              <w:t>4.2</w:t>
            </w:r>
            <w:r>
              <w:rPr>
                <w:rFonts w:hint="eastAsia"/>
              </w:rPr>
              <w:t>井筒功能与数量变化</w:t>
            </w:r>
          </w:p>
          <w:p w14:paraId="17B891D6">
            <w:pPr>
              <w:pStyle w:val="53"/>
              <w:ind w:firstLine="480"/>
            </w:pPr>
            <w:r>
              <w:rPr>
                <w:rFonts w:hint="eastAsia"/>
              </w:rPr>
              <w:t>矿井采用斜、立井筒混合开拓方式。本次设计新建副立井投入使用后，全矿井共有6条井筒，分别为皮带井、排矸井、下料斜井、副立井（新建）四条入风井，东部立风井与南部立风井两条回风立井。</w:t>
            </w:r>
          </w:p>
          <w:p w14:paraId="13CCD4BD">
            <w:pPr>
              <w:pStyle w:val="74"/>
              <w:bidi w:val="0"/>
            </w:pPr>
            <w:r>
              <w:t>表</w:t>
            </w:r>
            <w:r>
              <w:rPr>
                <w:rFonts w:hint="eastAsia"/>
              </w:rPr>
              <w:t>2</w:t>
            </w:r>
            <w:r>
              <w:t xml:space="preserve">-2  </w:t>
            </w:r>
            <w:r>
              <w:rPr>
                <w:rFonts w:hint="eastAsia"/>
              </w:rPr>
              <w:t>井筒特征表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
              <w:gridCol w:w="889"/>
              <w:gridCol w:w="437"/>
              <w:gridCol w:w="1089"/>
              <w:gridCol w:w="1057"/>
              <w:gridCol w:w="936"/>
              <w:gridCol w:w="1158"/>
              <w:gridCol w:w="1057"/>
              <w:gridCol w:w="1117"/>
            </w:tblGrid>
            <w:tr w14:paraId="2B2EA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restart"/>
                  <w:vAlign w:val="center"/>
                </w:tcPr>
                <w:p w14:paraId="73D22823">
                  <w:pPr>
                    <w:pStyle w:val="49"/>
                    <w:rPr>
                      <w:sz w:val="18"/>
                      <w:szCs w:val="18"/>
                    </w:rPr>
                  </w:pPr>
                  <w:r>
                    <w:rPr>
                      <w:rFonts w:hint="eastAsia"/>
                      <w:sz w:val="18"/>
                      <w:szCs w:val="18"/>
                    </w:rPr>
                    <w:t>序号</w:t>
                  </w:r>
                </w:p>
              </w:tc>
              <w:tc>
                <w:tcPr>
                  <w:tcW w:w="812" w:type="pct"/>
                  <w:gridSpan w:val="2"/>
                  <w:vMerge w:val="restart"/>
                  <w:vAlign w:val="center"/>
                </w:tcPr>
                <w:p w14:paraId="0A519D53">
                  <w:pPr>
                    <w:pStyle w:val="49"/>
                    <w:rPr>
                      <w:sz w:val="18"/>
                      <w:szCs w:val="18"/>
                    </w:rPr>
                  </w:pPr>
                  <w:r>
                    <w:rPr>
                      <w:rFonts w:hint="eastAsia"/>
                      <w:sz w:val="18"/>
                      <w:szCs w:val="18"/>
                    </w:rPr>
                    <w:t>井筒特征</w:t>
                  </w:r>
                </w:p>
              </w:tc>
              <w:tc>
                <w:tcPr>
                  <w:tcW w:w="3933" w:type="pct"/>
                  <w:gridSpan w:val="6"/>
                  <w:vAlign w:val="center"/>
                </w:tcPr>
                <w:p w14:paraId="7442366B">
                  <w:pPr>
                    <w:pStyle w:val="49"/>
                    <w:rPr>
                      <w:sz w:val="18"/>
                      <w:szCs w:val="18"/>
                    </w:rPr>
                  </w:pPr>
                  <w:r>
                    <w:rPr>
                      <w:rFonts w:hint="eastAsia"/>
                      <w:sz w:val="18"/>
                      <w:szCs w:val="18"/>
                    </w:rPr>
                    <w:t>井筒名称</w:t>
                  </w:r>
                </w:p>
              </w:tc>
            </w:tr>
            <w:tr w14:paraId="1BF87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37259D27">
                  <w:pPr>
                    <w:pStyle w:val="49"/>
                    <w:rPr>
                      <w:sz w:val="18"/>
                      <w:szCs w:val="18"/>
                    </w:rPr>
                  </w:pPr>
                </w:p>
              </w:tc>
              <w:tc>
                <w:tcPr>
                  <w:tcW w:w="812" w:type="pct"/>
                  <w:gridSpan w:val="2"/>
                  <w:vMerge w:val="continue"/>
                  <w:vAlign w:val="center"/>
                </w:tcPr>
                <w:p w14:paraId="2F10D028">
                  <w:pPr>
                    <w:pStyle w:val="49"/>
                    <w:rPr>
                      <w:sz w:val="18"/>
                      <w:szCs w:val="18"/>
                    </w:rPr>
                  </w:pPr>
                </w:p>
              </w:tc>
              <w:tc>
                <w:tcPr>
                  <w:tcW w:w="668" w:type="pct"/>
                  <w:vAlign w:val="center"/>
                </w:tcPr>
                <w:p w14:paraId="390AA401">
                  <w:pPr>
                    <w:pStyle w:val="49"/>
                    <w:rPr>
                      <w:sz w:val="18"/>
                      <w:szCs w:val="18"/>
                    </w:rPr>
                  </w:pPr>
                  <w:r>
                    <w:rPr>
                      <w:rFonts w:hint="eastAsia"/>
                      <w:sz w:val="18"/>
                      <w:szCs w:val="18"/>
                    </w:rPr>
                    <w:t>皮带井</w:t>
                  </w:r>
                </w:p>
              </w:tc>
              <w:tc>
                <w:tcPr>
                  <w:tcW w:w="648" w:type="pct"/>
                  <w:vAlign w:val="center"/>
                </w:tcPr>
                <w:p w14:paraId="68429519">
                  <w:pPr>
                    <w:pStyle w:val="49"/>
                    <w:rPr>
                      <w:sz w:val="18"/>
                      <w:szCs w:val="18"/>
                    </w:rPr>
                  </w:pPr>
                  <w:r>
                    <w:rPr>
                      <w:rFonts w:hint="eastAsia"/>
                      <w:sz w:val="18"/>
                      <w:szCs w:val="18"/>
                    </w:rPr>
                    <w:t>排矸井</w:t>
                  </w:r>
                </w:p>
              </w:tc>
              <w:tc>
                <w:tcPr>
                  <w:tcW w:w="574" w:type="pct"/>
                  <w:vAlign w:val="center"/>
                </w:tcPr>
                <w:p w14:paraId="5D5EDF02">
                  <w:pPr>
                    <w:pStyle w:val="49"/>
                    <w:rPr>
                      <w:sz w:val="18"/>
                      <w:szCs w:val="18"/>
                    </w:rPr>
                  </w:pPr>
                  <w:r>
                    <w:rPr>
                      <w:rFonts w:hint="eastAsia"/>
                      <w:sz w:val="18"/>
                      <w:szCs w:val="18"/>
                    </w:rPr>
                    <w:t>下料斜井</w:t>
                  </w:r>
                </w:p>
              </w:tc>
              <w:tc>
                <w:tcPr>
                  <w:tcW w:w="710" w:type="pct"/>
                  <w:vAlign w:val="center"/>
                </w:tcPr>
                <w:p w14:paraId="04C58DA3">
                  <w:pPr>
                    <w:rPr>
                      <w:b/>
                      <w:sz w:val="18"/>
                      <w:szCs w:val="18"/>
                    </w:rPr>
                  </w:pPr>
                  <w:r>
                    <w:rPr>
                      <w:rFonts w:hint="eastAsia"/>
                      <w:b/>
                      <w:sz w:val="18"/>
                      <w:szCs w:val="18"/>
                    </w:rPr>
                    <w:t>副立井</w:t>
                  </w:r>
                </w:p>
                <w:p w14:paraId="1B9E4464">
                  <w:pPr>
                    <w:rPr>
                      <w:sz w:val="18"/>
                      <w:szCs w:val="18"/>
                    </w:rPr>
                  </w:pPr>
                  <w:r>
                    <w:rPr>
                      <w:rFonts w:hint="eastAsia"/>
                      <w:b/>
                      <w:sz w:val="18"/>
                      <w:szCs w:val="18"/>
                    </w:rPr>
                    <w:t>（新建）</w:t>
                  </w:r>
                </w:p>
              </w:tc>
              <w:tc>
                <w:tcPr>
                  <w:tcW w:w="648" w:type="pct"/>
                  <w:vAlign w:val="center"/>
                </w:tcPr>
                <w:p w14:paraId="21B2830D">
                  <w:pPr>
                    <w:pStyle w:val="49"/>
                    <w:rPr>
                      <w:sz w:val="18"/>
                      <w:szCs w:val="18"/>
                    </w:rPr>
                  </w:pPr>
                  <w:r>
                    <w:rPr>
                      <w:rFonts w:hint="eastAsia"/>
                      <w:sz w:val="18"/>
                      <w:szCs w:val="18"/>
                    </w:rPr>
                    <w:t>南立风井</w:t>
                  </w:r>
                </w:p>
              </w:tc>
              <w:tc>
                <w:tcPr>
                  <w:tcW w:w="685" w:type="pct"/>
                  <w:vAlign w:val="center"/>
                </w:tcPr>
                <w:p w14:paraId="585A5194">
                  <w:pPr>
                    <w:pStyle w:val="49"/>
                    <w:rPr>
                      <w:sz w:val="18"/>
                      <w:szCs w:val="18"/>
                    </w:rPr>
                  </w:pPr>
                  <w:r>
                    <w:rPr>
                      <w:rFonts w:hint="eastAsia"/>
                      <w:sz w:val="18"/>
                      <w:szCs w:val="18"/>
                    </w:rPr>
                    <w:t>东立风井</w:t>
                  </w:r>
                </w:p>
              </w:tc>
            </w:tr>
            <w:tr w14:paraId="627EB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restart"/>
                  <w:vAlign w:val="center"/>
                </w:tcPr>
                <w:p w14:paraId="26BAC32E">
                  <w:pPr>
                    <w:pStyle w:val="49"/>
                    <w:rPr>
                      <w:sz w:val="18"/>
                      <w:szCs w:val="18"/>
                    </w:rPr>
                  </w:pPr>
                  <w:r>
                    <w:rPr>
                      <w:rFonts w:hint="eastAsia"/>
                      <w:sz w:val="18"/>
                      <w:szCs w:val="18"/>
                    </w:rPr>
                    <w:t>1</w:t>
                  </w:r>
                </w:p>
              </w:tc>
              <w:tc>
                <w:tcPr>
                  <w:tcW w:w="545" w:type="pct"/>
                  <w:vMerge w:val="restart"/>
                  <w:vAlign w:val="center"/>
                </w:tcPr>
                <w:p w14:paraId="128E6AF5">
                  <w:pPr>
                    <w:rPr>
                      <w:sz w:val="18"/>
                      <w:szCs w:val="18"/>
                    </w:rPr>
                  </w:pPr>
                  <w:r>
                    <w:rPr>
                      <w:rFonts w:hint="eastAsia"/>
                      <w:sz w:val="18"/>
                      <w:szCs w:val="18"/>
                    </w:rPr>
                    <w:t>井筒</w:t>
                  </w:r>
                </w:p>
                <w:p w14:paraId="4B2E5187">
                  <w:pPr>
                    <w:pStyle w:val="49"/>
                    <w:rPr>
                      <w:sz w:val="18"/>
                      <w:szCs w:val="18"/>
                    </w:rPr>
                  </w:pPr>
                  <w:r>
                    <w:rPr>
                      <w:rFonts w:hint="eastAsia"/>
                      <w:sz w:val="18"/>
                      <w:szCs w:val="18"/>
                    </w:rPr>
                    <w:t>坐标</w:t>
                  </w:r>
                </w:p>
              </w:tc>
              <w:tc>
                <w:tcPr>
                  <w:tcW w:w="268" w:type="pct"/>
                  <w:vAlign w:val="center"/>
                </w:tcPr>
                <w:p w14:paraId="43036F6F">
                  <w:pPr>
                    <w:pStyle w:val="49"/>
                    <w:rPr>
                      <w:sz w:val="18"/>
                      <w:szCs w:val="18"/>
                    </w:rPr>
                  </w:pPr>
                  <w:r>
                    <w:rPr>
                      <w:rFonts w:hint="eastAsia"/>
                      <w:sz w:val="18"/>
                      <w:szCs w:val="18"/>
                    </w:rPr>
                    <w:t>经度</w:t>
                  </w:r>
                </w:p>
              </w:tc>
              <w:tc>
                <w:tcPr>
                  <w:tcW w:w="668" w:type="pct"/>
                  <w:vAlign w:val="center"/>
                </w:tcPr>
                <w:p w14:paraId="65DE7CBF">
                  <w:pPr>
                    <w:pStyle w:val="49"/>
                    <w:rPr>
                      <w:sz w:val="18"/>
                      <w:szCs w:val="18"/>
                    </w:rPr>
                  </w:pPr>
                  <w:r>
                    <w:rPr>
                      <w:rFonts w:hint="eastAsia"/>
                      <w:sz w:val="18"/>
                      <w:szCs w:val="18"/>
                    </w:rPr>
                    <w:t>44403133</w:t>
                  </w:r>
                </w:p>
              </w:tc>
              <w:tc>
                <w:tcPr>
                  <w:tcW w:w="648" w:type="pct"/>
                  <w:vAlign w:val="center"/>
                </w:tcPr>
                <w:p w14:paraId="23649EB4">
                  <w:pPr>
                    <w:pStyle w:val="49"/>
                    <w:rPr>
                      <w:sz w:val="18"/>
                      <w:szCs w:val="18"/>
                    </w:rPr>
                  </w:pPr>
                  <w:r>
                    <w:rPr>
                      <w:rFonts w:hint="eastAsia"/>
                      <w:sz w:val="18"/>
                      <w:szCs w:val="18"/>
                    </w:rPr>
                    <w:t>44403220</w:t>
                  </w:r>
                </w:p>
              </w:tc>
              <w:tc>
                <w:tcPr>
                  <w:tcW w:w="574" w:type="pct"/>
                  <w:vAlign w:val="center"/>
                </w:tcPr>
                <w:p w14:paraId="662927C5">
                  <w:pPr>
                    <w:pStyle w:val="49"/>
                    <w:rPr>
                      <w:sz w:val="18"/>
                      <w:szCs w:val="18"/>
                    </w:rPr>
                  </w:pPr>
                  <w:r>
                    <w:rPr>
                      <w:rFonts w:hint="eastAsia"/>
                      <w:sz w:val="18"/>
                      <w:szCs w:val="18"/>
                    </w:rPr>
                    <w:t>44402265</w:t>
                  </w:r>
                </w:p>
              </w:tc>
              <w:tc>
                <w:tcPr>
                  <w:tcW w:w="710" w:type="pct"/>
                  <w:vAlign w:val="center"/>
                </w:tcPr>
                <w:p w14:paraId="53E79C3D">
                  <w:pPr>
                    <w:pStyle w:val="49"/>
                    <w:rPr>
                      <w:sz w:val="18"/>
                      <w:szCs w:val="18"/>
                    </w:rPr>
                  </w:pPr>
                  <w:r>
                    <w:rPr>
                      <w:rFonts w:hint="eastAsia"/>
                      <w:sz w:val="18"/>
                      <w:szCs w:val="18"/>
                    </w:rPr>
                    <w:t>44404010</w:t>
                  </w:r>
                </w:p>
              </w:tc>
              <w:tc>
                <w:tcPr>
                  <w:tcW w:w="648" w:type="pct"/>
                  <w:vAlign w:val="center"/>
                </w:tcPr>
                <w:p w14:paraId="7761AAAC">
                  <w:pPr>
                    <w:pStyle w:val="49"/>
                    <w:rPr>
                      <w:sz w:val="18"/>
                      <w:szCs w:val="18"/>
                    </w:rPr>
                  </w:pPr>
                  <w:r>
                    <w:rPr>
                      <w:rFonts w:hint="eastAsia"/>
                      <w:sz w:val="18"/>
                      <w:szCs w:val="18"/>
                    </w:rPr>
                    <w:t>44403580</w:t>
                  </w:r>
                </w:p>
              </w:tc>
              <w:tc>
                <w:tcPr>
                  <w:tcW w:w="685" w:type="pct"/>
                  <w:vAlign w:val="center"/>
                </w:tcPr>
                <w:p w14:paraId="78DD7281">
                  <w:pPr>
                    <w:pStyle w:val="49"/>
                    <w:rPr>
                      <w:sz w:val="18"/>
                      <w:szCs w:val="18"/>
                    </w:rPr>
                  </w:pPr>
                  <w:r>
                    <w:rPr>
                      <w:rFonts w:hint="eastAsia"/>
                      <w:sz w:val="18"/>
                      <w:szCs w:val="18"/>
                    </w:rPr>
                    <w:t>44404251</w:t>
                  </w:r>
                </w:p>
              </w:tc>
            </w:tr>
            <w:tr w14:paraId="3C4AB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33973F5F">
                  <w:pPr>
                    <w:pStyle w:val="49"/>
                    <w:rPr>
                      <w:sz w:val="18"/>
                      <w:szCs w:val="18"/>
                    </w:rPr>
                  </w:pPr>
                </w:p>
              </w:tc>
              <w:tc>
                <w:tcPr>
                  <w:tcW w:w="545" w:type="pct"/>
                  <w:vMerge w:val="continue"/>
                  <w:vAlign w:val="center"/>
                </w:tcPr>
                <w:p w14:paraId="0807C4C2">
                  <w:pPr>
                    <w:pStyle w:val="49"/>
                    <w:rPr>
                      <w:sz w:val="18"/>
                      <w:szCs w:val="18"/>
                    </w:rPr>
                  </w:pPr>
                </w:p>
              </w:tc>
              <w:tc>
                <w:tcPr>
                  <w:tcW w:w="268" w:type="pct"/>
                  <w:vAlign w:val="center"/>
                </w:tcPr>
                <w:p w14:paraId="13CCDE48">
                  <w:pPr>
                    <w:pStyle w:val="49"/>
                    <w:rPr>
                      <w:sz w:val="18"/>
                      <w:szCs w:val="18"/>
                    </w:rPr>
                  </w:pPr>
                  <w:r>
                    <w:rPr>
                      <w:rFonts w:hint="eastAsia"/>
                      <w:sz w:val="18"/>
                      <w:szCs w:val="18"/>
                    </w:rPr>
                    <w:t>纬度</w:t>
                  </w:r>
                </w:p>
              </w:tc>
              <w:tc>
                <w:tcPr>
                  <w:tcW w:w="668" w:type="pct"/>
                  <w:vAlign w:val="center"/>
                </w:tcPr>
                <w:p w14:paraId="4C66F4C8">
                  <w:pPr>
                    <w:pStyle w:val="49"/>
                    <w:rPr>
                      <w:sz w:val="18"/>
                      <w:szCs w:val="18"/>
                    </w:rPr>
                  </w:pPr>
                  <w:r>
                    <w:rPr>
                      <w:rFonts w:hint="eastAsia"/>
                      <w:sz w:val="18"/>
                      <w:szCs w:val="18"/>
                    </w:rPr>
                    <w:t>5002155</w:t>
                  </w:r>
                </w:p>
              </w:tc>
              <w:tc>
                <w:tcPr>
                  <w:tcW w:w="648" w:type="pct"/>
                  <w:vAlign w:val="center"/>
                </w:tcPr>
                <w:p w14:paraId="24C96B42">
                  <w:pPr>
                    <w:pStyle w:val="49"/>
                    <w:rPr>
                      <w:sz w:val="18"/>
                      <w:szCs w:val="18"/>
                    </w:rPr>
                  </w:pPr>
                  <w:r>
                    <w:rPr>
                      <w:rFonts w:hint="eastAsia"/>
                      <w:sz w:val="18"/>
                      <w:szCs w:val="18"/>
                    </w:rPr>
                    <w:t>5001817</w:t>
                  </w:r>
                </w:p>
              </w:tc>
              <w:tc>
                <w:tcPr>
                  <w:tcW w:w="574" w:type="pct"/>
                  <w:vAlign w:val="center"/>
                </w:tcPr>
                <w:p w14:paraId="5E248B35">
                  <w:pPr>
                    <w:pStyle w:val="49"/>
                    <w:rPr>
                      <w:sz w:val="18"/>
                      <w:szCs w:val="18"/>
                    </w:rPr>
                  </w:pPr>
                  <w:r>
                    <w:rPr>
                      <w:rFonts w:hint="eastAsia"/>
                      <w:sz w:val="18"/>
                      <w:szCs w:val="18"/>
                    </w:rPr>
                    <w:t>4999870</w:t>
                  </w:r>
                </w:p>
              </w:tc>
              <w:tc>
                <w:tcPr>
                  <w:tcW w:w="710" w:type="pct"/>
                  <w:vAlign w:val="center"/>
                </w:tcPr>
                <w:p w14:paraId="3AFD4DFD">
                  <w:pPr>
                    <w:pStyle w:val="49"/>
                    <w:rPr>
                      <w:sz w:val="18"/>
                      <w:szCs w:val="18"/>
                    </w:rPr>
                  </w:pPr>
                  <w:r>
                    <w:rPr>
                      <w:rFonts w:hint="eastAsia"/>
                      <w:sz w:val="18"/>
                      <w:szCs w:val="18"/>
                    </w:rPr>
                    <w:t>4999829</w:t>
                  </w:r>
                </w:p>
              </w:tc>
              <w:tc>
                <w:tcPr>
                  <w:tcW w:w="648" w:type="pct"/>
                  <w:vAlign w:val="center"/>
                </w:tcPr>
                <w:p w14:paraId="22A5C5AB">
                  <w:pPr>
                    <w:pStyle w:val="49"/>
                    <w:rPr>
                      <w:sz w:val="18"/>
                      <w:szCs w:val="18"/>
                    </w:rPr>
                  </w:pPr>
                  <w:r>
                    <w:rPr>
                      <w:rFonts w:hint="eastAsia"/>
                      <w:sz w:val="18"/>
                      <w:szCs w:val="18"/>
                    </w:rPr>
                    <w:t>5000787</w:t>
                  </w:r>
                </w:p>
              </w:tc>
              <w:tc>
                <w:tcPr>
                  <w:tcW w:w="685" w:type="pct"/>
                  <w:vAlign w:val="center"/>
                </w:tcPr>
                <w:p w14:paraId="4C9CF408">
                  <w:pPr>
                    <w:pStyle w:val="49"/>
                    <w:rPr>
                      <w:sz w:val="18"/>
                      <w:szCs w:val="18"/>
                    </w:rPr>
                  </w:pPr>
                  <w:r>
                    <w:rPr>
                      <w:rFonts w:hint="eastAsia"/>
                      <w:sz w:val="18"/>
                      <w:szCs w:val="18"/>
                    </w:rPr>
                    <w:t>5003039</w:t>
                  </w:r>
                </w:p>
              </w:tc>
            </w:tr>
            <w:tr w14:paraId="5DECB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Align w:val="center"/>
                </w:tcPr>
                <w:p w14:paraId="1999337B">
                  <w:pPr>
                    <w:pStyle w:val="49"/>
                    <w:rPr>
                      <w:sz w:val="18"/>
                      <w:szCs w:val="18"/>
                    </w:rPr>
                  </w:pPr>
                  <w:r>
                    <w:rPr>
                      <w:rFonts w:hint="eastAsia"/>
                      <w:sz w:val="18"/>
                      <w:szCs w:val="18"/>
                    </w:rPr>
                    <w:t>2</w:t>
                  </w:r>
                </w:p>
              </w:tc>
              <w:tc>
                <w:tcPr>
                  <w:tcW w:w="812" w:type="pct"/>
                  <w:gridSpan w:val="2"/>
                  <w:vAlign w:val="center"/>
                </w:tcPr>
                <w:p w14:paraId="04D04CEA">
                  <w:pPr>
                    <w:pStyle w:val="49"/>
                    <w:rPr>
                      <w:sz w:val="18"/>
                      <w:szCs w:val="18"/>
                    </w:rPr>
                  </w:pPr>
                  <w:r>
                    <w:rPr>
                      <w:rFonts w:hint="eastAsia"/>
                      <w:sz w:val="18"/>
                      <w:szCs w:val="18"/>
                    </w:rPr>
                    <w:t>提升方位角（°）</w:t>
                  </w:r>
                </w:p>
              </w:tc>
              <w:tc>
                <w:tcPr>
                  <w:tcW w:w="668" w:type="pct"/>
                  <w:vAlign w:val="center"/>
                </w:tcPr>
                <w:p w14:paraId="2558C45C">
                  <w:pPr>
                    <w:pStyle w:val="49"/>
                    <w:rPr>
                      <w:sz w:val="18"/>
                      <w:szCs w:val="18"/>
                    </w:rPr>
                  </w:pPr>
                </w:p>
              </w:tc>
              <w:tc>
                <w:tcPr>
                  <w:tcW w:w="648" w:type="pct"/>
                  <w:vAlign w:val="center"/>
                </w:tcPr>
                <w:p w14:paraId="5971CC9F">
                  <w:pPr>
                    <w:pStyle w:val="49"/>
                    <w:rPr>
                      <w:sz w:val="18"/>
                      <w:szCs w:val="18"/>
                    </w:rPr>
                  </w:pPr>
                </w:p>
              </w:tc>
              <w:tc>
                <w:tcPr>
                  <w:tcW w:w="574" w:type="pct"/>
                  <w:vAlign w:val="center"/>
                </w:tcPr>
                <w:p w14:paraId="7DC3C95F">
                  <w:pPr>
                    <w:pStyle w:val="49"/>
                    <w:rPr>
                      <w:sz w:val="18"/>
                      <w:szCs w:val="18"/>
                    </w:rPr>
                  </w:pPr>
                </w:p>
              </w:tc>
              <w:tc>
                <w:tcPr>
                  <w:tcW w:w="710" w:type="pct"/>
                  <w:vAlign w:val="center"/>
                </w:tcPr>
                <w:p w14:paraId="5B114B01">
                  <w:pPr>
                    <w:pStyle w:val="49"/>
                    <w:rPr>
                      <w:sz w:val="18"/>
                      <w:szCs w:val="18"/>
                    </w:rPr>
                  </w:pPr>
                </w:p>
              </w:tc>
              <w:tc>
                <w:tcPr>
                  <w:tcW w:w="648" w:type="pct"/>
                  <w:vAlign w:val="center"/>
                </w:tcPr>
                <w:p w14:paraId="41774B31">
                  <w:pPr>
                    <w:pStyle w:val="49"/>
                    <w:rPr>
                      <w:sz w:val="18"/>
                      <w:szCs w:val="18"/>
                    </w:rPr>
                  </w:pPr>
                </w:p>
              </w:tc>
              <w:tc>
                <w:tcPr>
                  <w:tcW w:w="685" w:type="pct"/>
                  <w:vAlign w:val="center"/>
                </w:tcPr>
                <w:p w14:paraId="188C6AE0">
                  <w:pPr>
                    <w:pStyle w:val="49"/>
                    <w:rPr>
                      <w:sz w:val="18"/>
                      <w:szCs w:val="18"/>
                    </w:rPr>
                  </w:pPr>
                </w:p>
              </w:tc>
            </w:tr>
            <w:tr w14:paraId="2862C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54" w:type="pct"/>
                  <w:vAlign w:val="center"/>
                </w:tcPr>
                <w:p w14:paraId="356392F6">
                  <w:pPr>
                    <w:pStyle w:val="49"/>
                    <w:rPr>
                      <w:sz w:val="18"/>
                      <w:szCs w:val="18"/>
                    </w:rPr>
                  </w:pPr>
                  <w:r>
                    <w:rPr>
                      <w:rFonts w:hint="eastAsia"/>
                      <w:sz w:val="18"/>
                      <w:szCs w:val="18"/>
                    </w:rPr>
                    <w:t>3</w:t>
                  </w:r>
                </w:p>
              </w:tc>
              <w:tc>
                <w:tcPr>
                  <w:tcW w:w="812" w:type="pct"/>
                  <w:gridSpan w:val="2"/>
                  <w:vAlign w:val="center"/>
                </w:tcPr>
                <w:p w14:paraId="4809B07E">
                  <w:pPr>
                    <w:pStyle w:val="49"/>
                    <w:rPr>
                      <w:sz w:val="18"/>
                      <w:szCs w:val="18"/>
                    </w:rPr>
                  </w:pPr>
                  <w:r>
                    <w:rPr>
                      <w:rFonts w:hint="eastAsia"/>
                      <w:sz w:val="18"/>
                      <w:szCs w:val="18"/>
                    </w:rPr>
                    <w:t>井筒倾角（°）</w:t>
                  </w:r>
                </w:p>
              </w:tc>
              <w:tc>
                <w:tcPr>
                  <w:tcW w:w="668" w:type="pct"/>
                  <w:vAlign w:val="center"/>
                </w:tcPr>
                <w:p w14:paraId="36C4A578">
                  <w:pPr>
                    <w:pStyle w:val="49"/>
                    <w:rPr>
                      <w:sz w:val="18"/>
                      <w:szCs w:val="18"/>
                    </w:rPr>
                  </w:pPr>
                  <w:r>
                    <w:rPr>
                      <w:rFonts w:hint="eastAsia"/>
                      <w:sz w:val="18"/>
                      <w:szCs w:val="18"/>
                    </w:rPr>
                    <w:t>16.5</w:t>
                  </w:r>
                </w:p>
              </w:tc>
              <w:tc>
                <w:tcPr>
                  <w:tcW w:w="648" w:type="pct"/>
                  <w:vAlign w:val="center"/>
                </w:tcPr>
                <w:p w14:paraId="310CC250">
                  <w:pPr>
                    <w:pStyle w:val="49"/>
                    <w:rPr>
                      <w:sz w:val="18"/>
                      <w:szCs w:val="18"/>
                    </w:rPr>
                  </w:pPr>
                  <w:r>
                    <w:rPr>
                      <w:rFonts w:hint="eastAsia"/>
                      <w:sz w:val="18"/>
                      <w:szCs w:val="18"/>
                    </w:rPr>
                    <w:t>24</w:t>
                  </w:r>
                </w:p>
              </w:tc>
              <w:tc>
                <w:tcPr>
                  <w:tcW w:w="574" w:type="pct"/>
                  <w:vAlign w:val="center"/>
                </w:tcPr>
                <w:p w14:paraId="5187491C">
                  <w:pPr>
                    <w:pStyle w:val="49"/>
                    <w:rPr>
                      <w:sz w:val="18"/>
                      <w:szCs w:val="18"/>
                    </w:rPr>
                  </w:pPr>
                  <w:r>
                    <w:rPr>
                      <w:rFonts w:hint="eastAsia"/>
                      <w:sz w:val="18"/>
                      <w:szCs w:val="18"/>
                    </w:rPr>
                    <w:t>25</w:t>
                  </w:r>
                </w:p>
              </w:tc>
              <w:tc>
                <w:tcPr>
                  <w:tcW w:w="710" w:type="pct"/>
                  <w:vAlign w:val="center"/>
                </w:tcPr>
                <w:p w14:paraId="4E0C8D0A">
                  <w:pPr>
                    <w:pStyle w:val="49"/>
                    <w:rPr>
                      <w:sz w:val="18"/>
                      <w:szCs w:val="18"/>
                    </w:rPr>
                  </w:pPr>
                  <w:r>
                    <w:rPr>
                      <w:rFonts w:hint="eastAsia"/>
                      <w:sz w:val="18"/>
                      <w:szCs w:val="18"/>
                    </w:rPr>
                    <w:t>90</w:t>
                  </w:r>
                </w:p>
              </w:tc>
              <w:tc>
                <w:tcPr>
                  <w:tcW w:w="648" w:type="pct"/>
                  <w:vAlign w:val="center"/>
                </w:tcPr>
                <w:p w14:paraId="528B989D">
                  <w:pPr>
                    <w:pStyle w:val="49"/>
                    <w:rPr>
                      <w:sz w:val="18"/>
                      <w:szCs w:val="18"/>
                    </w:rPr>
                  </w:pPr>
                  <w:r>
                    <w:rPr>
                      <w:rFonts w:hint="eastAsia"/>
                      <w:sz w:val="18"/>
                      <w:szCs w:val="18"/>
                    </w:rPr>
                    <w:t>90</w:t>
                  </w:r>
                </w:p>
              </w:tc>
              <w:tc>
                <w:tcPr>
                  <w:tcW w:w="685" w:type="pct"/>
                  <w:vAlign w:val="center"/>
                </w:tcPr>
                <w:p w14:paraId="506AB306">
                  <w:pPr>
                    <w:pStyle w:val="49"/>
                    <w:rPr>
                      <w:sz w:val="18"/>
                      <w:szCs w:val="18"/>
                    </w:rPr>
                  </w:pPr>
                  <w:r>
                    <w:rPr>
                      <w:rFonts w:hint="eastAsia"/>
                      <w:sz w:val="18"/>
                      <w:szCs w:val="18"/>
                    </w:rPr>
                    <w:t>90</w:t>
                  </w:r>
                </w:p>
              </w:tc>
            </w:tr>
            <w:tr w14:paraId="1DCE8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Align w:val="center"/>
                </w:tcPr>
                <w:p w14:paraId="5E70380F">
                  <w:pPr>
                    <w:pStyle w:val="49"/>
                    <w:rPr>
                      <w:sz w:val="18"/>
                      <w:szCs w:val="18"/>
                    </w:rPr>
                  </w:pPr>
                  <w:r>
                    <w:rPr>
                      <w:sz w:val="18"/>
                      <w:szCs w:val="18"/>
                    </w:rPr>
                    <w:t>4</w:t>
                  </w:r>
                </w:p>
              </w:tc>
              <w:tc>
                <w:tcPr>
                  <w:tcW w:w="812" w:type="pct"/>
                  <w:gridSpan w:val="2"/>
                  <w:vAlign w:val="center"/>
                </w:tcPr>
                <w:p w14:paraId="512EAEB7">
                  <w:pPr>
                    <w:pStyle w:val="49"/>
                    <w:rPr>
                      <w:sz w:val="18"/>
                      <w:szCs w:val="18"/>
                    </w:rPr>
                  </w:pPr>
                  <w:r>
                    <w:rPr>
                      <w:rFonts w:hint="eastAsia"/>
                      <w:sz w:val="18"/>
                      <w:szCs w:val="18"/>
                    </w:rPr>
                    <w:t>井口标高（m）</w:t>
                  </w:r>
                </w:p>
              </w:tc>
              <w:tc>
                <w:tcPr>
                  <w:tcW w:w="668" w:type="pct"/>
                  <w:vAlign w:val="center"/>
                </w:tcPr>
                <w:p w14:paraId="12236F32">
                  <w:pPr>
                    <w:pStyle w:val="49"/>
                    <w:rPr>
                      <w:sz w:val="18"/>
                      <w:szCs w:val="18"/>
                    </w:rPr>
                  </w:pPr>
                  <w:r>
                    <w:rPr>
                      <w:rFonts w:hint="eastAsia"/>
                      <w:sz w:val="18"/>
                      <w:szCs w:val="18"/>
                    </w:rPr>
                    <w:t>+344.3</w:t>
                  </w:r>
                </w:p>
              </w:tc>
              <w:tc>
                <w:tcPr>
                  <w:tcW w:w="648" w:type="pct"/>
                  <w:vAlign w:val="center"/>
                </w:tcPr>
                <w:p w14:paraId="746D792C">
                  <w:pPr>
                    <w:pStyle w:val="49"/>
                    <w:rPr>
                      <w:sz w:val="18"/>
                      <w:szCs w:val="18"/>
                    </w:rPr>
                  </w:pPr>
                  <w:r>
                    <w:rPr>
                      <w:rFonts w:hint="eastAsia"/>
                      <w:sz w:val="18"/>
                      <w:szCs w:val="18"/>
                    </w:rPr>
                    <w:t>+322.5</w:t>
                  </w:r>
                </w:p>
              </w:tc>
              <w:tc>
                <w:tcPr>
                  <w:tcW w:w="574" w:type="pct"/>
                  <w:vAlign w:val="center"/>
                </w:tcPr>
                <w:p w14:paraId="26CE8D0A">
                  <w:pPr>
                    <w:pStyle w:val="49"/>
                    <w:rPr>
                      <w:sz w:val="18"/>
                      <w:szCs w:val="18"/>
                    </w:rPr>
                  </w:pPr>
                  <w:r>
                    <w:rPr>
                      <w:rFonts w:hint="eastAsia"/>
                      <w:sz w:val="18"/>
                      <w:szCs w:val="18"/>
                    </w:rPr>
                    <w:t>+312.9</w:t>
                  </w:r>
                </w:p>
              </w:tc>
              <w:tc>
                <w:tcPr>
                  <w:tcW w:w="710" w:type="pct"/>
                  <w:vAlign w:val="center"/>
                </w:tcPr>
                <w:p w14:paraId="5D057C71">
                  <w:pPr>
                    <w:pStyle w:val="49"/>
                    <w:rPr>
                      <w:sz w:val="18"/>
                      <w:szCs w:val="18"/>
                    </w:rPr>
                  </w:pPr>
                  <w:r>
                    <w:rPr>
                      <w:rFonts w:hint="eastAsia"/>
                      <w:sz w:val="18"/>
                      <w:szCs w:val="18"/>
                    </w:rPr>
                    <w:t>+371</w:t>
                  </w:r>
                </w:p>
              </w:tc>
              <w:tc>
                <w:tcPr>
                  <w:tcW w:w="648" w:type="pct"/>
                  <w:vAlign w:val="center"/>
                </w:tcPr>
                <w:p w14:paraId="3683E3A7">
                  <w:pPr>
                    <w:pStyle w:val="49"/>
                    <w:rPr>
                      <w:sz w:val="18"/>
                      <w:szCs w:val="18"/>
                    </w:rPr>
                  </w:pPr>
                  <w:r>
                    <w:rPr>
                      <w:rFonts w:hint="eastAsia"/>
                      <w:sz w:val="18"/>
                      <w:szCs w:val="18"/>
                    </w:rPr>
                    <w:t>+324.71</w:t>
                  </w:r>
                </w:p>
              </w:tc>
              <w:tc>
                <w:tcPr>
                  <w:tcW w:w="685" w:type="pct"/>
                  <w:vAlign w:val="center"/>
                </w:tcPr>
                <w:p w14:paraId="7CC14705">
                  <w:pPr>
                    <w:pStyle w:val="49"/>
                    <w:rPr>
                      <w:sz w:val="18"/>
                      <w:szCs w:val="18"/>
                    </w:rPr>
                  </w:pPr>
                  <w:r>
                    <w:rPr>
                      <w:rFonts w:hint="eastAsia"/>
                      <w:sz w:val="18"/>
                      <w:szCs w:val="18"/>
                    </w:rPr>
                    <w:t>+325.0</w:t>
                  </w:r>
                </w:p>
              </w:tc>
            </w:tr>
            <w:tr w14:paraId="68B59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restart"/>
                  <w:vAlign w:val="center"/>
                </w:tcPr>
                <w:p w14:paraId="71C9E366">
                  <w:pPr>
                    <w:pStyle w:val="49"/>
                    <w:rPr>
                      <w:sz w:val="18"/>
                      <w:szCs w:val="18"/>
                    </w:rPr>
                  </w:pPr>
                  <w:r>
                    <w:rPr>
                      <w:sz w:val="18"/>
                      <w:szCs w:val="18"/>
                    </w:rPr>
                    <w:t>5</w:t>
                  </w:r>
                </w:p>
              </w:tc>
              <w:tc>
                <w:tcPr>
                  <w:tcW w:w="545" w:type="pct"/>
                  <w:vMerge w:val="restart"/>
                  <w:vAlign w:val="center"/>
                </w:tcPr>
                <w:p w14:paraId="0DA04CE0">
                  <w:pPr>
                    <w:pStyle w:val="49"/>
                    <w:rPr>
                      <w:sz w:val="18"/>
                      <w:szCs w:val="18"/>
                    </w:rPr>
                  </w:pPr>
                  <w:r>
                    <w:rPr>
                      <w:rFonts w:hint="eastAsia"/>
                      <w:sz w:val="18"/>
                      <w:szCs w:val="18"/>
                    </w:rPr>
                    <w:t>水平标高（m）</w:t>
                  </w:r>
                </w:p>
              </w:tc>
              <w:tc>
                <w:tcPr>
                  <w:tcW w:w="268" w:type="pct"/>
                  <w:vAlign w:val="center"/>
                </w:tcPr>
                <w:p w14:paraId="10CB7B9E">
                  <w:pPr>
                    <w:pStyle w:val="49"/>
                    <w:rPr>
                      <w:sz w:val="18"/>
                      <w:szCs w:val="18"/>
                    </w:rPr>
                  </w:pPr>
                  <w:r>
                    <w:rPr>
                      <w:rFonts w:hint="eastAsia"/>
                      <w:sz w:val="18"/>
                      <w:szCs w:val="18"/>
                    </w:rPr>
                    <w:t>一水平</w:t>
                  </w:r>
                </w:p>
              </w:tc>
              <w:tc>
                <w:tcPr>
                  <w:tcW w:w="668" w:type="pct"/>
                  <w:vAlign w:val="center"/>
                </w:tcPr>
                <w:p w14:paraId="6925B65D">
                  <w:pPr>
                    <w:pStyle w:val="49"/>
                    <w:rPr>
                      <w:sz w:val="18"/>
                      <w:szCs w:val="18"/>
                    </w:rPr>
                  </w:pPr>
                  <w:r>
                    <w:rPr>
                      <w:rFonts w:hint="eastAsia"/>
                      <w:sz w:val="18"/>
                      <w:szCs w:val="18"/>
                    </w:rPr>
                    <w:t>+100</w:t>
                  </w:r>
                </w:p>
              </w:tc>
              <w:tc>
                <w:tcPr>
                  <w:tcW w:w="648" w:type="pct"/>
                  <w:vAlign w:val="center"/>
                </w:tcPr>
                <w:p w14:paraId="66D206CB">
                  <w:pPr>
                    <w:pStyle w:val="49"/>
                    <w:rPr>
                      <w:sz w:val="18"/>
                      <w:szCs w:val="18"/>
                    </w:rPr>
                  </w:pPr>
                </w:p>
              </w:tc>
              <w:tc>
                <w:tcPr>
                  <w:tcW w:w="574" w:type="pct"/>
                  <w:vAlign w:val="center"/>
                </w:tcPr>
                <w:p w14:paraId="225B8100">
                  <w:pPr>
                    <w:pStyle w:val="49"/>
                    <w:rPr>
                      <w:sz w:val="18"/>
                      <w:szCs w:val="18"/>
                    </w:rPr>
                  </w:pPr>
                </w:p>
              </w:tc>
              <w:tc>
                <w:tcPr>
                  <w:tcW w:w="710" w:type="pct"/>
                  <w:vAlign w:val="center"/>
                </w:tcPr>
                <w:p w14:paraId="2B709C04">
                  <w:pPr>
                    <w:pStyle w:val="49"/>
                    <w:rPr>
                      <w:sz w:val="18"/>
                      <w:szCs w:val="18"/>
                    </w:rPr>
                  </w:pPr>
                </w:p>
              </w:tc>
              <w:tc>
                <w:tcPr>
                  <w:tcW w:w="648" w:type="pct"/>
                  <w:vAlign w:val="center"/>
                </w:tcPr>
                <w:p w14:paraId="1A1E1614">
                  <w:pPr>
                    <w:pStyle w:val="49"/>
                    <w:rPr>
                      <w:sz w:val="18"/>
                      <w:szCs w:val="18"/>
                    </w:rPr>
                  </w:pPr>
                  <w:r>
                    <w:rPr>
                      <w:rFonts w:hint="eastAsia"/>
                      <w:sz w:val="18"/>
                      <w:szCs w:val="18"/>
                    </w:rPr>
                    <w:t>+60</w:t>
                  </w:r>
                </w:p>
              </w:tc>
              <w:tc>
                <w:tcPr>
                  <w:tcW w:w="685" w:type="pct"/>
                  <w:vAlign w:val="center"/>
                </w:tcPr>
                <w:p w14:paraId="0F41C1D4">
                  <w:pPr>
                    <w:pStyle w:val="49"/>
                    <w:rPr>
                      <w:sz w:val="18"/>
                      <w:szCs w:val="18"/>
                    </w:rPr>
                  </w:pPr>
                  <w:r>
                    <w:rPr>
                      <w:rFonts w:hint="eastAsia"/>
                      <w:sz w:val="18"/>
                      <w:szCs w:val="18"/>
                    </w:rPr>
                    <w:t>+60</w:t>
                  </w:r>
                </w:p>
              </w:tc>
            </w:tr>
            <w:tr w14:paraId="0D2F6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1A5CE721">
                  <w:pPr>
                    <w:pStyle w:val="49"/>
                    <w:rPr>
                      <w:sz w:val="18"/>
                      <w:szCs w:val="18"/>
                    </w:rPr>
                  </w:pPr>
                </w:p>
              </w:tc>
              <w:tc>
                <w:tcPr>
                  <w:tcW w:w="545" w:type="pct"/>
                  <w:vMerge w:val="continue"/>
                  <w:vAlign w:val="center"/>
                </w:tcPr>
                <w:p w14:paraId="191730D8">
                  <w:pPr>
                    <w:pStyle w:val="49"/>
                    <w:rPr>
                      <w:sz w:val="18"/>
                      <w:szCs w:val="18"/>
                    </w:rPr>
                  </w:pPr>
                </w:p>
              </w:tc>
              <w:tc>
                <w:tcPr>
                  <w:tcW w:w="268" w:type="pct"/>
                  <w:vAlign w:val="center"/>
                </w:tcPr>
                <w:p w14:paraId="1ED44937">
                  <w:pPr>
                    <w:pStyle w:val="49"/>
                    <w:rPr>
                      <w:sz w:val="18"/>
                      <w:szCs w:val="18"/>
                    </w:rPr>
                  </w:pPr>
                  <w:r>
                    <w:rPr>
                      <w:rFonts w:hint="eastAsia"/>
                      <w:sz w:val="18"/>
                      <w:szCs w:val="18"/>
                    </w:rPr>
                    <w:t>二水平</w:t>
                  </w:r>
                </w:p>
              </w:tc>
              <w:tc>
                <w:tcPr>
                  <w:tcW w:w="668" w:type="pct"/>
                  <w:vAlign w:val="center"/>
                </w:tcPr>
                <w:p w14:paraId="791B8D8A">
                  <w:pPr>
                    <w:pStyle w:val="49"/>
                    <w:rPr>
                      <w:sz w:val="18"/>
                      <w:szCs w:val="18"/>
                    </w:rPr>
                  </w:pPr>
                  <w:r>
                    <w:rPr>
                      <w:rFonts w:hint="eastAsia"/>
                      <w:sz w:val="18"/>
                      <w:szCs w:val="18"/>
                    </w:rPr>
                    <w:t>-250</w:t>
                  </w:r>
                </w:p>
              </w:tc>
              <w:tc>
                <w:tcPr>
                  <w:tcW w:w="648" w:type="pct"/>
                  <w:vAlign w:val="center"/>
                </w:tcPr>
                <w:p w14:paraId="3111DBF2">
                  <w:pPr>
                    <w:pStyle w:val="49"/>
                    <w:rPr>
                      <w:sz w:val="18"/>
                      <w:szCs w:val="18"/>
                    </w:rPr>
                  </w:pPr>
                  <w:r>
                    <w:rPr>
                      <w:rFonts w:hint="eastAsia"/>
                      <w:sz w:val="18"/>
                      <w:szCs w:val="18"/>
                    </w:rPr>
                    <w:t>-250</w:t>
                  </w:r>
                </w:p>
              </w:tc>
              <w:tc>
                <w:tcPr>
                  <w:tcW w:w="574" w:type="pct"/>
                  <w:vAlign w:val="center"/>
                </w:tcPr>
                <w:p w14:paraId="152FB3A6">
                  <w:pPr>
                    <w:pStyle w:val="49"/>
                    <w:rPr>
                      <w:sz w:val="18"/>
                      <w:szCs w:val="18"/>
                    </w:rPr>
                  </w:pPr>
                  <w:r>
                    <w:rPr>
                      <w:rFonts w:hint="eastAsia"/>
                      <w:sz w:val="18"/>
                      <w:szCs w:val="18"/>
                    </w:rPr>
                    <w:t>-250</w:t>
                  </w:r>
                </w:p>
              </w:tc>
              <w:tc>
                <w:tcPr>
                  <w:tcW w:w="710" w:type="pct"/>
                  <w:vAlign w:val="center"/>
                </w:tcPr>
                <w:p w14:paraId="620BADE3">
                  <w:pPr>
                    <w:pStyle w:val="49"/>
                    <w:rPr>
                      <w:sz w:val="18"/>
                      <w:szCs w:val="18"/>
                    </w:rPr>
                  </w:pPr>
                  <w:r>
                    <w:rPr>
                      <w:rFonts w:hint="eastAsia"/>
                      <w:sz w:val="18"/>
                      <w:szCs w:val="18"/>
                    </w:rPr>
                    <w:t>-250</w:t>
                  </w:r>
                </w:p>
              </w:tc>
              <w:tc>
                <w:tcPr>
                  <w:tcW w:w="648" w:type="pct"/>
                  <w:vAlign w:val="center"/>
                </w:tcPr>
                <w:p w14:paraId="751ABB59">
                  <w:pPr>
                    <w:pStyle w:val="49"/>
                    <w:rPr>
                      <w:sz w:val="18"/>
                      <w:szCs w:val="18"/>
                    </w:rPr>
                  </w:pPr>
                  <w:r>
                    <w:rPr>
                      <w:rFonts w:hint="eastAsia"/>
                      <w:sz w:val="18"/>
                      <w:szCs w:val="18"/>
                    </w:rPr>
                    <w:t>-250</w:t>
                  </w:r>
                </w:p>
              </w:tc>
              <w:tc>
                <w:tcPr>
                  <w:tcW w:w="685" w:type="pct"/>
                  <w:vAlign w:val="center"/>
                </w:tcPr>
                <w:p w14:paraId="1D923607">
                  <w:pPr>
                    <w:pStyle w:val="49"/>
                    <w:rPr>
                      <w:sz w:val="18"/>
                      <w:szCs w:val="18"/>
                    </w:rPr>
                  </w:pPr>
                  <w:r>
                    <w:rPr>
                      <w:rFonts w:hint="eastAsia"/>
                      <w:sz w:val="18"/>
                      <w:szCs w:val="18"/>
                    </w:rPr>
                    <w:t>-250</w:t>
                  </w:r>
                </w:p>
              </w:tc>
            </w:tr>
            <w:tr w14:paraId="66228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Align w:val="center"/>
                </w:tcPr>
                <w:p w14:paraId="6E4AAB12">
                  <w:pPr>
                    <w:pStyle w:val="49"/>
                    <w:rPr>
                      <w:sz w:val="18"/>
                      <w:szCs w:val="18"/>
                    </w:rPr>
                  </w:pPr>
                  <w:r>
                    <w:rPr>
                      <w:sz w:val="18"/>
                      <w:szCs w:val="18"/>
                    </w:rPr>
                    <w:t>6</w:t>
                  </w:r>
                </w:p>
              </w:tc>
              <w:tc>
                <w:tcPr>
                  <w:tcW w:w="545" w:type="pct"/>
                  <w:vAlign w:val="center"/>
                </w:tcPr>
                <w:p w14:paraId="4CB812B7">
                  <w:pPr>
                    <w:pStyle w:val="49"/>
                    <w:rPr>
                      <w:sz w:val="18"/>
                      <w:szCs w:val="18"/>
                    </w:rPr>
                  </w:pPr>
                  <w:r>
                    <w:rPr>
                      <w:rFonts w:hint="eastAsia"/>
                      <w:sz w:val="18"/>
                      <w:szCs w:val="18"/>
                    </w:rPr>
                    <w:t>井筒深度（m）</w:t>
                  </w:r>
                </w:p>
              </w:tc>
              <w:tc>
                <w:tcPr>
                  <w:tcW w:w="268" w:type="pct"/>
                  <w:vAlign w:val="center"/>
                </w:tcPr>
                <w:p w14:paraId="1AE27729">
                  <w:pPr>
                    <w:pStyle w:val="49"/>
                    <w:rPr>
                      <w:sz w:val="18"/>
                      <w:szCs w:val="18"/>
                    </w:rPr>
                  </w:pPr>
                  <w:r>
                    <w:rPr>
                      <w:rFonts w:hint="eastAsia"/>
                      <w:sz w:val="18"/>
                      <w:szCs w:val="18"/>
                    </w:rPr>
                    <w:t>二水平</w:t>
                  </w:r>
                </w:p>
              </w:tc>
              <w:tc>
                <w:tcPr>
                  <w:tcW w:w="668" w:type="pct"/>
                  <w:vAlign w:val="center"/>
                </w:tcPr>
                <w:p w14:paraId="4191C54E">
                  <w:pPr>
                    <w:pStyle w:val="49"/>
                    <w:rPr>
                      <w:sz w:val="18"/>
                      <w:szCs w:val="18"/>
                    </w:rPr>
                  </w:pPr>
                </w:p>
              </w:tc>
              <w:tc>
                <w:tcPr>
                  <w:tcW w:w="648" w:type="pct"/>
                  <w:vAlign w:val="center"/>
                </w:tcPr>
                <w:p w14:paraId="104B0D3E">
                  <w:pPr>
                    <w:pStyle w:val="49"/>
                    <w:rPr>
                      <w:sz w:val="18"/>
                      <w:szCs w:val="18"/>
                    </w:rPr>
                  </w:pPr>
                </w:p>
              </w:tc>
              <w:tc>
                <w:tcPr>
                  <w:tcW w:w="574" w:type="pct"/>
                  <w:vAlign w:val="center"/>
                </w:tcPr>
                <w:p w14:paraId="2A47B713">
                  <w:pPr>
                    <w:pStyle w:val="49"/>
                    <w:rPr>
                      <w:sz w:val="18"/>
                      <w:szCs w:val="18"/>
                    </w:rPr>
                  </w:pPr>
                </w:p>
              </w:tc>
              <w:tc>
                <w:tcPr>
                  <w:tcW w:w="710" w:type="pct"/>
                  <w:vAlign w:val="center"/>
                </w:tcPr>
                <w:p w14:paraId="1C472C8C">
                  <w:pPr>
                    <w:pStyle w:val="49"/>
                    <w:rPr>
                      <w:sz w:val="18"/>
                      <w:szCs w:val="18"/>
                    </w:rPr>
                  </w:pPr>
                  <w:r>
                    <w:rPr>
                      <w:rFonts w:hint="eastAsia"/>
                      <w:sz w:val="18"/>
                      <w:szCs w:val="18"/>
                    </w:rPr>
                    <w:t>656到井底水窝</w:t>
                  </w:r>
                </w:p>
              </w:tc>
              <w:tc>
                <w:tcPr>
                  <w:tcW w:w="648" w:type="pct"/>
                  <w:vAlign w:val="center"/>
                </w:tcPr>
                <w:p w14:paraId="7184A5C3">
                  <w:pPr>
                    <w:pStyle w:val="49"/>
                    <w:rPr>
                      <w:sz w:val="18"/>
                      <w:szCs w:val="18"/>
                    </w:rPr>
                  </w:pPr>
                </w:p>
              </w:tc>
              <w:tc>
                <w:tcPr>
                  <w:tcW w:w="685" w:type="pct"/>
                  <w:vAlign w:val="center"/>
                </w:tcPr>
                <w:p w14:paraId="08D81ECE">
                  <w:pPr>
                    <w:pStyle w:val="49"/>
                    <w:rPr>
                      <w:sz w:val="18"/>
                      <w:szCs w:val="18"/>
                    </w:rPr>
                  </w:pPr>
                </w:p>
              </w:tc>
            </w:tr>
            <w:tr w14:paraId="37F05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restart"/>
                  <w:vAlign w:val="center"/>
                </w:tcPr>
                <w:p w14:paraId="568D82C8">
                  <w:pPr>
                    <w:pStyle w:val="49"/>
                    <w:rPr>
                      <w:sz w:val="18"/>
                      <w:szCs w:val="18"/>
                    </w:rPr>
                  </w:pPr>
                  <w:r>
                    <w:rPr>
                      <w:sz w:val="18"/>
                      <w:szCs w:val="18"/>
                    </w:rPr>
                    <w:t>7</w:t>
                  </w:r>
                </w:p>
              </w:tc>
              <w:tc>
                <w:tcPr>
                  <w:tcW w:w="545" w:type="pct"/>
                  <w:vMerge w:val="restart"/>
                  <w:vAlign w:val="center"/>
                </w:tcPr>
                <w:p w14:paraId="037B8521">
                  <w:pPr>
                    <w:pStyle w:val="49"/>
                    <w:rPr>
                      <w:sz w:val="18"/>
                      <w:szCs w:val="18"/>
                    </w:rPr>
                  </w:pPr>
                  <w:r>
                    <w:rPr>
                      <w:rFonts w:hint="eastAsia"/>
                      <w:sz w:val="18"/>
                      <w:szCs w:val="18"/>
                    </w:rPr>
                    <w:t>井筒直径（m）</w:t>
                  </w:r>
                </w:p>
              </w:tc>
              <w:tc>
                <w:tcPr>
                  <w:tcW w:w="268" w:type="pct"/>
                  <w:vAlign w:val="center"/>
                </w:tcPr>
                <w:p w14:paraId="358C9296">
                  <w:pPr>
                    <w:pStyle w:val="49"/>
                    <w:rPr>
                      <w:sz w:val="18"/>
                      <w:szCs w:val="18"/>
                    </w:rPr>
                  </w:pPr>
                  <w:r>
                    <w:rPr>
                      <w:rFonts w:hint="eastAsia"/>
                      <w:sz w:val="18"/>
                      <w:szCs w:val="18"/>
                    </w:rPr>
                    <w:t>净</w:t>
                  </w:r>
                </w:p>
              </w:tc>
              <w:tc>
                <w:tcPr>
                  <w:tcW w:w="668" w:type="pct"/>
                  <w:vAlign w:val="center"/>
                </w:tcPr>
                <w:p w14:paraId="0DDF114B">
                  <w:pPr>
                    <w:pStyle w:val="49"/>
                    <w:rPr>
                      <w:sz w:val="18"/>
                      <w:szCs w:val="18"/>
                    </w:rPr>
                  </w:pPr>
                </w:p>
              </w:tc>
              <w:tc>
                <w:tcPr>
                  <w:tcW w:w="648" w:type="pct"/>
                  <w:vAlign w:val="center"/>
                </w:tcPr>
                <w:p w14:paraId="41A72D88">
                  <w:pPr>
                    <w:pStyle w:val="49"/>
                    <w:rPr>
                      <w:sz w:val="18"/>
                      <w:szCs w:val="18"/>
                    </w:rPr>
                  </w:pPr>
                </w:p>
              </w:tc>
              <w:tc>
                <w:tcPr>
                  <w:tcW w:w="574" w:type="pct"/>
                  <w:vAlign w:val="center"/>
                </w:tcPr>
                <w:p w14:paraId="458A9897">
                  <w:pPr>
                    <w:pStyle w:val="49"/>
                    <w:rPr>
                      <w:sz w:val="18"/>
                      <w:szCs w:val="18"/>
                    </w:rPr>
                  </w:pPr>
                </w:p>
              </w:tc>
              <w:tc>
                <w:tcPr>
                  <w:tcW w:w="710" w:type="pct"/>
                  <w:vAlign w:val="center"/>
                </w:tcPr>
                <w:p w14:paraId="710CBF0E">
                  <w:pPr>
                    <w:pStyle w:val="49"/>
                    <w:rPr>
                      <w:sz w:val="18"/>
                      <w:szCs w:val="18"/>
                    </w:rPr>
                  </w:pPr>
                  <w:r>
                    <w:rPr>
                      <w:rFonts w:hint="eastAsia"/>
                      <w:sz w:val="18"/>
                      <w:szCs w:val="18"/>
                    </w:rPr>
                    <w:t>8.0</w:t>
                  </w:r>
                </w:p>
              </w:tc>
              <w:tc>
                <w:tcPr>
                  <w:tcW w:w="648" w:type="pct"/>
                  <w:vAlign w:val="center"/>
                </w:tcPr>
                <w:p w14:paraId="110A7300">
                  <w:pPr>
                    <w:pStyle w:val="49"/>
                    <w:rPr>
                      <w:sz w:val="18"/>
                      <w:szCs w:val="18"/>
                    </w:rPr>
                  </w:pPr>
                  <w:r>
                    <w:rPr>
                      <w:rFonts w:hint="eastAsia"/>
                      <w:sz w:val="18"/>
                      <w:szCs w:val="18"/>
                    </w:rPr>
                    <w:t>5.0</w:t>
                  </w:r>
                </w:p>
              </w:tc>
              <w:tc>
                <w:tcPr>
                  <w:tcW w:w="685" w:type="pct"/>
                  <w:vAlign w:val="center"/>
                </w:tcPr>
                <w:p w14:paraId="58EA84AA">
                  <w:pPr>
                    <w:pStyle w:val="49"/>
                    <w:rPr>
                      <w:sz w:val="18"/>
                      <w:szCs w:val="18"/>
                    </w:rPr>
                  </w:pPr>
                  <w:r>
                    <w:rPr>
                      <w:rFonts w:hint="eastAsia"/>
                      <w:sz w:val="18"/>
                      <w:szCs w:val="18"/>
                    </w:rPr>
                    <w:t>6.0</w:t>
                  </w:r>
                </w:p>
              </w:tc>
            </w:tr>
            <w:tr w14:paraId="26D73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1AC909CC">
                  <w:pPr>
                    <w:pStyle w:val="49"/>
                    <w:rPr>
                      <w:sz w:val="18"/>
                      <w:szCs w:val="18"/>
                    </w:rPr>
                  </w:pPr>
                </w:p>
              </w:tc>
              <w:tc>
                <w:tcPr>
                  <w:tcW w:w="545" w:type="pct"/>
                  <w:vMerge w:val="continue"/>
                  <w:vAlign w:val="center"/>
                </w:tcPr>
                <w:p w14:paraId="359CB723">
                  <w:pPr>
                    <w:pStyle w:val="49"/>
                    <w:rPr>
                      <w:sz w:val="18"/>
                      <w:szCs w:val="18"/>
                    </w:rPr>
                  </w:pPr>
                </w:p>
              </w:tc>
              <w:tc>
                <w:tcPr>
                  <w:tcW w:w="268" w:type="pct"/>
                  <w:vAlign w:val="center"/>
                </w:tcPr>
                <w:p w14:paraId="55C07AE8">
                  <w:pPr>
                    <w:pStyle w:val="49"/>
                    <w:rPr>
                      <w:sz w:val="18"/>
                      <w:szCs w:val="18"/>
                    </w:rPr>
                  </w:pPr>
                  <w:r>
                    <w:rPr>
                      <w:rFonts w:hint="eastAsia"/>
                      <w:sz w:val="18"/>
                      <w:szCs w:val="18"/>
                    </w:rPr>
                    <w:t>掘进</w:t>
                  </w:r>
                </w:p>
              </w:tc>
              <w:tc>
                <w:tcPr>
                  <w:tcW w:w="668" w:type="pct"/>
                  <w:vAlign w:val="center"/>
                </w:tcPr>
                <w:p w14:paraId="2D898B90">
                  <w:pPr>
                    <w:pStyle w:val="49"/>
                    <w:rPr>
                      <w:sz w:val="18"/>
                      <w:szCs w:val="18"/>
                    </w:rPr>
                  </w:pPr>
                </w:p>
              </w:tc>
              <w:tc>
                <w:tcPr>
                  <w:tcW w:w="648" w:type="pct"/>
                  <w:vAlign w:val="center"/>
                </w:tcPr>
                <w:p w14:paraId="10BBCC7C">
                  <w:pPr>
                    <w:pStyle w:val="49"/>
                    <w:rPr>
                      <w:sz w:val="18"/>
                      <w:szCs w:val="18"/>
                    </w:rPr>
                  </w:pPr>
                </w:p>
              </w:tc>
              <w:tc>
                <w:tcPr>
                  <w:tcW w:w="574" w:type="pct"/>
                  <w:vAlign w:val="center"/>
                </w:tcPr>
                <w:p w14:paraId="0FA07B3B">
                  <w:pPr>
                    <w:pStyle w:val="49"/>
                    <w:rPr>
                      <w:sz w:val="18"/>
                      <w:szCs w:val="18"/>
                    </w:rPr>
                  </w:pPr>
                </w:p>
              </w:tc>
              <w:tc>
                <w:tcPr>
                  <w:tcW w:w="710" w:type="pct"/>
                  <w:vAlign w:val="center"/>
                </w:tcPr>
                <w:p w14:paraId="1AA4332B">
                  <w:pPr>
                    <w:pStyle w:val="49"/>
                    <w:rPr>
                      <w:sz w:val="18"/>
                      <w:szCs w:val="18"/>
                    </w:rPr>
                  </w:pPr>
                  <w:r>
                    <w:rPr>
                      <w:rFonts w:hint="eastAsia"/>
                      <w:sz w:val="18"/>
                      <w:szCs w:val="18"/>
                    </w:rPr>
                    <w:t>9.0</w:t>
                  </w:r>
                </w:p>
              </w:tc>
              <w:tc>
                <w:tcPr>
                  <w:tcW w:w="648" w:type="pct"/>
                  <w:vAlign w:val="center"/>
                </w:tcPr>
                <w:p w14:paraId="284BBCF5">
                  <w:pPr>
                    <w:pStyle w:val="49"/>
                    <w:rPr>
                      <w:sz w:val="18"/>
                      <w:szCs w:val="18"/>
                    </w:rPr>
                  </w:pPr>
                </w:p>
              </w:tc>
              <w:tc>
                <w:tcPr>
                  <w:tcW w:w="685" w:type="pct"/>
                  <w:vAlign w:val="center"/>
                </w:tcPr>
                <w:p w14:paraId="7C9CCFA7">
                  <w:pPr>
                    <w:pStyle w:val="49"/>
                    <w:rPr>
                      <w:sz w:val="18"/>
                      <w:szCs w:val="18"/>
                    </w:rPr>
                  </w:pPr>
                </w:p>
              </w:tc>
            </w:tr>
            <w:tr w14:paraId="50213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restart"/>
                  <w:vAlign w:val="center"/>
                </w:tcPr>
                <w:p w14:paraId="28C89DDD">
                  <w:pPr>
                    <w:pStyle w:val="49"/>
                    <w:rPr>
                      <w:sz w:val="18"/>
                      <w:szCs w:val="18"/>
                    </w:rPr>
                  </w:pPr>
                  <w:r>
                    <w:rPr>
                      <w:rFonts w:hint="eastAsia"/>
                      <w:sz w:val="18"/>
                      <w:szCs w:val="18"/>
                    </w:rPr>
                    <w:t>8</w:t>
                  </w:r>
                </w:p>
              </w:tc>
              <w:tc>
                <w:tcPr>
                  <w:tcW w:w="545" w:type="pct"/>
                  <w:vMerge w:val="restart"/>
                  <w:vAlign w:val="center"/>
                </w:tcPr>
                <w:p w14:paraId="7531D755">
                  <w:pPr>
                    <w:pStyle w:val="49"/>
                    <w:rPr>
                      <w:sz w:val="18"/>
                      <w:szCs w:val="18"/>
                    </w:rPr>
                  </w:pPr>
                  <w:r>
                    <w:rPr>
                      <w:rFonts w:hint="eastAsia"/>
                      <w:sz w:val="18"/>
                      <w:szCs w:val="18"/>
                    </w:rPr>
                    <w:t>井筒断面（m</w:t>
                  </w:r>
                  <w:r>
                    <w:rPr>
                      <w:rFonts w:hint="eastAsia"/>
                      <w:sz w:val="18"/>
                      <w:szCs w:val="18"/>
                      <w:vertAlign w:val="superscript"/>
                    </w:rPr>
                    <w:t>2</w:t>
                  </w:r>
                  <w:r>
                    <w:rPr>
                      <w:rFonts w:hint="eastAsia"/>
                      <w:sz w:val="18"/>
                      <w:szCs w:val="18"/>
                    </w:rPr>
                    <w:t>）</w:t>
                  </w:r>
                </w:p>
              </w:tc>
              <w:tc>
                <w:tcPr>
                  <w:tcW w:w="268" w:type="pct"/>
                  <w:vAlign w:val="center"/>
                </w:tcPr>
                <w:p w14:paraId="582080E3">
                  <w:pPr>
                    <w:pStyle w:val="49"/>
                    <w:rPr>
                      <w:sz w:val="18"/>
                      <w:szCs w:val="18"/>
                    </w:rPr>
                  </w:pPr>
                  <w:r>
                    <w:rPr>
                      <w:rFonts w:hint="eastAsia"/>
                      <w:sz w:val="18"/>
                      <w:szCs w:val="18"/>
                    </w:rPr>
                    <w:t>净</w:t>
                  </w:r>
                </w:p>
              </w:tc>
              <w:tc>
                <w:tcPr>
                  <w:tcW w:w="668" w:type="pct"/>
                  <w:vAlign w:val="center"/>
                </w:tcPr>
                <w:p w14:paraId="335CE7E0">
                  <w:pPr>
                    <w:pStyle w:val="49"/>
                    <w:rPr>
                      <w:sz w:val="18"/>
                      <w:szCs w:val="18"/>
                    </w:rPr>
                  </w:pPr>
                  <w:r>
                    <w:rPr>
                      <w:rFonts w:hint="eastAsia"/>
                      <w:sz w:val="18"/>
                      <w:szCs w:val="18"/>
                    </w:rPr>
                    <w:t>12.0</w:t>
                  </w:r>
                </w:p>
              </w:tc>
              <w:tc>
                <w:tcPr>
                  <w:tcW w:w="648" w:type="pct"/>
                  <w:vAlign w:val="center"/>
                </w:tcPr>
                <w:p w14:paraId="0E3845E2">
                  <w:pPr>
                    <w:pStyle w:val="49"/>
                    <w:rPr>
                      <w:sz w:val="18"/>
                      <w:szCs w:val="18"/>
                    </w:rPr>
                  </w:pPr>
                  <w:r>
                    <w:rPr>
                      <w:rFonts w:hint="eastAsia"/>
                      <w:sz w:val="18"/>
                      <w:szCs w:val="18"/>
                    </w:rPr>
                    <w:t>12.88</w:t>
                  </w:r>
                </w:p>
              </w:tc>
              <w:tc>
                <w:tcPr>
                  <w:tcW w:w="574" w:type="pct"/>
                  <w:vAlign w:val="center"/>
                </w:tcPr>
                <w:p w14:paraId="1FDDA9D9">
                  <w:pPr>
                    <w:pStyle w:val="49"/>
                    <w:rPr>
                      <w:sz w:val="18"/>
                      <w:szCs w:val="18"/>
                    </w:rPr>
                  </w:pPr>
                  <w:r>
                    <w:rPr>
                      <w:rFonts w:hint="eastAsia"/>
                      <w:sz w:val="18"/>
                      <w:szCs w:val="18"/>
                    </w:rPr>
                    <w:t>8.3</w:t>
                  </w:r>
                </w:p>
              </w:tc>
              <w:tc>
                <w:tcPr>
                  <w:tcW w:w="710" w:type="pct"/>
                  <w:vAlign w:val="center"/>
                </w:tcPr>
                <w:p w14:paraId="15C9ACE5">
                  <w:pPr>
                    <w:pStyle w:val="49"/>
                    <w:rPr>
                      <w:sz w:val="18"/>
                      <w:szCs w:val="18"/>
                    </w:rPr>
                  </w:pPr>
                  <w:r>
                    <w:rPr>
                      <w:rFonts w:hint="eastAsia"/>
                      <w:sz w:val="18"/>
                      <w:szCs w:val="18"/>
                    </w:rPr>
                    <w:t>50.24</w:t>
                  </w:r>
                </w:p>
              </w:tc>
              <w:tc>
                <w:tcPr>
                  <w:tcW w:w="648" w:type="pct"/>
                  <w:vAlign w:val="center"/>
                </w:tcPr>
                <w:p w14:paraId="74FA9678">
                  <w:pPr>
                    <w:pStyle w:val="49"/>
                    <w:rPr>
                      <w:sz w:val="18"/>
                      <w:szCs w:val="18"/>
                    </w:rPr>
                  </w:pPr>
                  <w:r>
                    <w:rPr>
                      <w:rFonts w:hint="eastAsia"/>
                      <w:sz w:val="18"/>
                      <w:szCs w:val="18"/>
                    </w:rPr>
                    <w:t>19.63</w:t>
                  </w:r>
                </w:p>
              </w:tc>
              <w:tc>
                <w:tcPr>
                  <w:tcW w:w="685" w:type="pct"/>
                  <w:vAlign w:val="center"/>
                </w:tcPr>
                <w:p w14:paraId="4C6B6C29">
                  <w:pPr>
                    <w:pStyle w:val="49"/>
                    <w:rPr>
                      <w:sz w:val="18"/>
                      <w:szCs w:val="18"/>
                    </w:rPr>
                  </w:pPr>
                  <w:r>
                    <w:rPr>
                      <w:rFonts w:hint="eastAsia"/>
                      <w:sz w:val="18"/>
                      <w:szCs w:val="18"/>
                    </w:rPr>
                    <w:t>28.26</w:t>
                  </w:r>
                </w:p>
              </w:tc>
            </w:tr>
            <w:tr w14:paraId="69C77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244A61D1">
                  <w:pPr>
                    <w:pStyle w:val="49"/>
                    <w:rPr>
                      <w:sz w:val="18"/>
                      <w:szCs w:val="18"/>
                    </w:rPr>
                  </w:pPr>
                </w:p>
              </w:tc>
              <w:tc>
                <w:tcPr>
                  <w:tcW w:w="545" w:type="pct"/>
                  <w:vMerge w:val="continue"/>
                  <w:vAlign w:val="center"/>
                </w:tcPr>
                <w:p w14:paraId="7BE4AB83">
                  <w:pPr>
                    <w:pStyle w:val="49"/>
                    <w:rPr>
                      <w:sz w:val="18"/>
                      <w:szCs w:val="18"/>
                    </w:rPr>
                  </w:pPr>
                </w:p>
              </w:tc>
              <w:tc>
                <w:tcPr>
                  <w:tcW w:w="268" w:type="pct"/>
                  <w:vAlign w:val="center"/>
                </w:tcPr>
                <w:p w14:paraId="53F15F10">
                  <w:pPr>
                    <w:pStyle w:val="49"/>
                    <w:rPr>
                      <w:sz w:val="18"/>
                      <w:szCs w:val="18"/>
                    </w:rPr>
                  </w:pPr>
                  <w:r>
                    <w:rPr>
                      <w:rFonts w:hint="eastAsia"/>
                      <w:sz w:val="18"/>
                      <w:szCs w:val="18"/>
                    </w:rPr>
                    <w:t>掘进</w:t>
                  </w:r>
                </w:p>
              </w:tc>
              <w:tc>
                <w:tcPr>
                  <w:tcW w:w="668" w:type="pct"/>
                  <w:vAlign w:val="center"/>
                </w:tcPr>
                <w:p w14:paraId="54976192">
                  <w:pPr>
                    <w:pStyle w:val="49"/>
                    <w:rPr>
                      <w:sz w:val="18"/>
                      <w:szCs w:val="18"/>
                    </w:rPr>
                  </w:pPr>
                </w:p>
              </w:tc>
              <w:tc>
                <w:tcPr>
                  <w:tcW w:w="648" w:type="pct"/>
                  <w:vAlign w:val="center"/>
                </w:tcPr>
                <w:p w14:paraId="4E87054A">
                  <w:pPr>
                    <w:pStyle w:val="49"/>
                    <w:rPr>
                      <w:sz w:val="18"/>
                      <w:szCs w:val="18"/>
                    </w:rPr>
                  </w:pPr>
                  <w:r>
                    <w:rPr>
                      <w:rFonts w:hint="eastAsia"/>
                      <w:sz w:val="18"/>
                      <w:szCs w:val="18"/>
                    </w:rPr>
                    <w:t>14.29</w:t>
                  </w:r>
                </w:p>
              </w:tc>
              <w:tc>
                <w:tcPr>
                  <w:tcW w:w="574" w:type="pct"/>
                  <w:vAlign w:val="center"/>
                </w:tcPr>
                <w:p w14:paraId="2CE2CD43">
                  <w:pPr>
                    <w:pStyle w:val="49"/>
                    <w:rPr>
                      <w:sz w:val="18"/>
                      <w:szCs w:val="18"/>
                    </w:rPr>
                  </w:pPr>
                </w:p>
              </w:tc>
              <w:tc>
                <w:tcPr>
                  <w:tcW w:w="710" w:type="pct"/>
                  <w:vAlign w:val="center"/>
                </w:tcPr>
                <w:p w14:paraId="13E953F7">
                  <w:pPr>
                    <w:pStyle w:val="49"/>
                    <w:rPr>
                      <w:sz w:val="18"/>
                      <w:szCs w:val="18"/>
                    </w:rPr>
                  </w:pPr>
                  <w:r>
                    <w:rPr>
                      <w:rFonts w:hint="eastAsia"/>
                      <w:sz w:val="18"/>
                      <w:szCs w:val="18"/>
                    </w:rPr>
                    <w:t>63.6</w:t>
                  </w:r>
                </w:p>
              </w:tc>
              <w:tc>
                <w:tcPr>
                  <w:tcW w:w="648" w:type="pct"/>
                  <w:vAlign w:val="center"/>
                </w:tcPr>
                <w:p w14:paraId="7946EF49">
                  <w:pPr>
                    <w:pStyle w:val="49"/>
                    <w:rPr>
                      <w:sz w:val="18"/>
                      <w:szCs w:val="18"/>
                    </w:rPr>
                  </w:pPr>
                </w:p>
              </w:tc>
              <w:tc>
                <w:tcPr>
                  <w:tcW w:w="685" w:type="pct"/>
                  <w:vAlign w:val="center"/>
                </w:tcPr>
                <w:p w14:paraId="3156CB71">
                  <w:pPr>
                    <w:pStyle w:val="49"/>
                    <w:rPr>
                      <w:sz w:val="18"/>
                      <w:szCs w:val="18"/>
                    </w:rPr>
                  </w:pPr>
                </w:p>
              </w:tc>
            </w:tr>
            <w:tr w14:paraId="2F811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restart"/>
                  <w:vAlign w:val="center"/>
                </w:tcPr>
                <w:p w14:paraId="7910C219">
                  <w:pPr>
                    <w:pStyle w:val="49"/>
                    <w:rPr>
                      <w:sz w:val="18"/>
                      <w:szCs w:val="18"/>
                    </w:rPr>
                  </w:pPr>
                  <w:r>
                    <w:rPr>
                      <w:rFonts w:hint="eastAsia"/>
                      <w:sz w:val="18"/>
                      <w:szCs w:val="18"/>
                    </w:rPr>
                    <w:t>9</w:t>
                  </w:r>
                </w:p>
              </w:tc>
              <w:tc>
                <w:tcPr>
                  <w:tcW w:w="545" w:type="pct"/>
                  <w:vMerge w:val="restart"/>
                  <w:vAlign w:val="center"/>
                </w:tcPr>
                <w:p w14:paraId="12F333AB">
                  <w:pPr>
                    <w:pStyle w:val="49"/>
                    <w:rPr>
                      <w:sz w:val="18"/>
                      <w:szCs w:val="18"/>
                    </w:rPr>
                  </w:pPr>
                  <w:r>
                    <w:rPr>
                      <w:rFonts w:hint="eastAsia"/>
                      <w:sz w:val="18"/>
                      <w:szCs w:val="18"/>
                    </w:rPr>
                    <w:t>砌壁</w:t>
                  </w:r>
                </w:p>
              </w:tc>
              <w:tc>
                <w:tcPr>
                  <w:tcW w:w="268" w:type="pct"/>
                  <w:vAlign w:val="center"/>
                </w:tcPr>
                <w:p w14:paraId="1711E0E5">
                  <w:pPr>
                    <w:pStyle w:val="49"/>
                    <w:rPr>
                      <w:sz w:val="18"/>
                      <w:szCs w:val="18"/>
                    </w:rPr>
                  </w:pPr>
                  <w:r>
                    <w:rPr>
                      <w:rFonts w:hint="eastAsia"/>
                      <w:sz w:val="18"/>
                      <w:szCs w:val="18"/>
                    </w:rPr>
                    <w:t>厚度m</w:t>
                  </w:r>
                </w:p>
              </w:tc>
              <w:tc>
                <w:tcPr>
                  <w:tcW w:w="668" w:type="pct"/>
                  <w:vAlign w:val="center"/>
                </w:tcPr>
                <w:p w14:paraId="23ED6664">
                  <w:pPr>
                    <w:pStyle w:val="49"/>
                    <w:rPr>
                      <w:sz w:val="18"/>
                      <w:szCs w:val="18"/>
                    </w:rPr>
                  </w:pPr>
                </w:p>
              </w:tc>
              <w:tc>
                <w:tcPr>
                  <w:tcW w:w="648" w:type="pct"/>
                  <w:vAlign w:val="center"/>
                </w:tcPr>
                <w:p w14:paraId="657DE2D1">
                  <w:pPr>
                    <w:pStyle w:val="49"/>
                    <w:rPr>
                      <w:sz w:val="18"/>
                      <w:szCs w:val="18"/>
                    </w:rPr>
                  </w:pPr>
                  <w:r>
                    <w:rPr>
                      <w:rFonts w:hint="eastAsia"/>
                      <w:sz w:val="18"/>
                      <w:szCs w:val="18"/>
                    </w:rPr>
                    <w:t>0.4</w:t>
                  </w:r>
                </w:p>
              </w:tc>
              <w:tc>
                <w:tcPr>
                  <w:tcW w:w="574" w:type="pct"/>
                  <w:vAlign w:val="center"/>
                </w:tcPr>
                <w:p w14:paraId="2973599F">
                  <w:pPr>
                    <w:pStyle w:val="49"/>
                    <w:rPr>
                      <w:sz w:val="18"/>
                      <w:szCs w:val="18"/>
                    </w:rPr>
                  </w:pPr>
                </w:p>
              </w:tc>
              <w:tc>
                <w:tcPr>
                  <w:tcW w:w="710" w:type="pct"/>
                  <w:vAlign w:val="center"/>
                </w:tcPr>
                <w:p w14:paraId="4941FF9A">
                  <w:pPr>
                    <w:pStyle w:val="49"/>
                    <w:rPr>
                      <w:sz w:val="18"/>
                      <w:szCs w:val="18"/>
                    </w:rPr>
                  </w:pPr>
                </w:p>
              </w:tc>
              <w:tc>
                <w:tcPr>
                  <w:tcW w:w="648" w:type="pct"/>
                  <w:vAlign w:val="center"/>
                </w:tcPr>
                <w:p w14:paraId="03F7A4CB">
                  <w:pPr>
                    <w:pStyle w:val="49"/>
                    <w:rPr>
                      <w:sz w:val="18"/>
                      <w:szCs w:val="18"/>
                    </w:rPr>
                  </w:pPr>
                </w:p>
              </w:tc>
              <w:tc>
                <w:tcPr>
                  <w:tcW w:w="685" w:type="pct"/>
                  <w:vAlign w:val="center"/>
                </w:tcPr>
                <w:p w14:paraId="4E79BE29">
                  <w:pPr>
                    <w:pStyle w:val="49"/>
                    <w:rPr>
                      <w:sz w:val="18"/>
                      <w:szCs w:val="18"/>
                    </w:rPr>
                  </w:pPr>
                </w:p>
              </w:tc>
            </w:tr>
            <w:tr w14:paraId="31B72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735651C7">
                  <w:pPr>
                    <w:pStyle w:val="49"/>
                    <w:rPr>
                      <w:sz w:val="18"/>
                      <w:szCs w:val="18"/>
                    </w:rPr>
                  </w:pPr>
                </w:p>
              </w:tc>
              <w:tc>
                <w:tcPr>
                  <w:tcW w:w="545" w:type="pct"/>
                  <w:vMerge w:val="continue"/>
                  <w:vAlign w:val="center"/>
                </w:tcPr>
                <w:p w14:paraId="518C2D70">
                  <w:pPr>
                    <w:pStyle w:val="49"/>
                    <w:rPr>
                      <w:sz w:val="18"/>
                      <w:szCs w:val="18"/>
                    </w:rPr>
                  </w:pPr>
                </w:p>
              </w:tc>
              <w:tc>
                <w:tcPr>
                  <w:tcW w:w="268" w:type="pct"/>
                  <w:vAlign w:val="center"/>
                </w:tcPr>
                <w:p w14:paraId="09B7FC21">
                  <w:pPr>
                    <w:pStyle w:val="49"/>
                    <w:rPr>
                      <w:sz w:val="18"/>
                      <w:szCs w:val="18"/>
                    </w:rPr>
                  </w:pPr>
                  <w:r>
                    <w:rPr>
                      <w:rFonts w:hint="eastAsia"/>
                      <w:sz w:val="18"/>
                      <w:szCs w:val="18"/>
                    </w:rPr>
                    <w:t>材料</w:t>
                  </w:r>
                </w:p>
              </w:tc>
              <w:tc>
                <w:tcPr>
                  <w:tcW w:w="668" w:type="pct"/>
                  <w:vAlign w:val="center"/>
                </w:tcPr>
                <w:p w14:paraId="72503AAD">
                  <w:pPr>
                    <w:pStyle w:val="49"/>
                    <w:rPr>
                      <w:sz w:val="18"/>
                      <w:szCs w:val="18"/>
                    </w:rPr>
                  </w:pPr>
                  <w:r>
                    <w:rPr>
                      <w:rFonts w:hint="eastAsia"/>
                      <w:sz w:val="18"/>
                      <w:szCs w:val="18"/>
                    </w:rPr>
                    <w:t>锚喷</w:t>
                  </w:r>
                </w:p>
              </w:tc>
              <w:tc>
                <w:tcPr>
                  <w:tcW w:w="648" w:type="pct"/>
                  <w:vAlign w:val="center"/>
                </w:tcPr>
                <w:p w14:paraId="0AE80400">
                  <w:pPr>
                    <w:pStyle w:val="49"/>
                    <w:rPr>
                      <w:sz w:val="18"/>
                      <w:szCs w:val="18"/>
                    </w:rPr>
                  </w:pPr>
                  <w:r>
                    <w:rPr>
                      <w:rFonts w:hint="eastAsia"/>
                      <w:sz w:val="18"/>
                      <w:szCs w:val="18"/>
                    </w:rPr>
                    <w:t>钢筋混凝土、素混凝土</w:t>
                  </w:r>
                </w:p>
              </w:tc>
              <w:tc>
                <w:tcPr>
                  <w:tcW w:w="574" w:type="pct"/>
                  <w:vAlign w:val="center"/>
                </w:tcPr>
                <w:p w14:paraId="01EE1EF0">
                  <w:pPr>
                    <w:pStyle w:val="49"/>
                    <w:rPr>
                      <w:sz w:val="18"/>
                      <w:szCs w:val="18"/>
                    </w:rPr>
                  </w:pPr>
                  <w:r>
                    <w:rPr>
                      <w:rFonts w:hint="eastAsia"/>
                      <w:sz w:val="18"/>
                      <w:szCs w:val="18"/>
                    </w:rPr>
                    <w:t>锚喷</w:t>
                  </w:r>
                </w:p>
              </w:tc>
              <w:tc>
                <w:tcPr>
                  <w:tcW w:w="710" w:type="pct"/>
                  <w:vAlign w:val="center"/>
                </w:tcPr>
                <w:p w14:paraId="272593BD">
                  <w:pPr>
                    <w:pStyle w:val="49"/>
                    <w:rPr>
                      <w:sz w:val="18"/>
                      <w:szCs w:val="18"/>
                    </w:rPr>
                  </w:pPr>
                  <w:r>
                    <w:rPr>
                      <w:rFonts w:hint="eastAsia"/>
                      <w:sz w:val="18"/>
                      <w:szCs w:val="18"/>
                    </w:rPr>
                    <w:t>钢筋砼</w:t>
                  </w:r>
                </w:p>
              </w:tc>
              <w:tc>
                <w:tcPr>
                  <w:tcW w:w="648" w:type="pct"/>
                  <w:vAlign w:val="center"/>
                </w:tcPr>
                <w:p w14:paraId="67A17621">
                  <w:pPr>
                    <w:pStyle w:val="49"/>
                    <w:rPr>
                      <w:sz w:val="18"/>
                      <w:szCs w:val="18"/>
                    </w:rPr>
                  </w:pPr>
                  <w:r>
                    <w:rPr>
                      <w:rFonts w:hint="eastAsia"/>
                      <w:sz w:val="18"/>
                      <w:szCs w:val="18"/>
                    </w:rPr>
                    <w:t>钢筋混凝土</w:t>
                  </w:r>
                </w:p>
              </w:tc>
              <w:tc>
                <w:tcPr>
                  <w:tcW w:w="685" w:type="pct"/>
                  <w:vAlign w:val="center"/>
                </w:tcPr>
                <w:p w14:paraId="383DB0DF">
                  <w:pPr>
                    <w:pStyle w:val="49"/>
                    <w:rPr>
                      <w:sz w:val="18"/>
                      <w:szCs w:val="18"/>
                    </w:rPr>
                  </w:pPr>
                  <w:r>
                    <w:rPr>
                      <w:rFonts w:hint="eastAsia"/>
                      <w:sz w:val="18"/>
                      <w:szCs w:val="18"/>
                    </w:rPr>
                    <w:t>钢筋混凝土</w:t>
                  </w:r>
                </w:p>
              </w:tc>
            </w:tr>
            <w:tr w14:paraId="291AA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Align w:val="center"/>
                </w:tcPr>
                <w:p w14:paraId="23D5289C">
                  <w:pPr>
                    <w:pStyle w:val="49"/>
                    <w:rPr>
                      <w:sz w:val="18"/>
                      <w:szCs w:val="18"/>
                    </w:rPr>
                  </w:pPr>
                  <w:r>
                    <w:rPr>
                      <w:rFonts w:hint="eastAsia"/>
                      <w:sz w:val="18"/>
                      <w:szCs w:val="18"/>
                    </w:rPr>
                    <w:t>1</w:t>
                  </w:r>
                  <w:r>
                    <w:rPr>
                      <w:sz w:val="18"/>
                      <w:szCs w:val="18"/>
                    </w:rPr>
                    <w:t>0</w:t>
                  </w:r>
                </w:p>
              </w:tc>
              <w:tc>
                <w:tcPr>
                  <w:tcW w:w="812" w:type="pct"/>
                  <w:gridSpan w:val="2"/>
                  <w:vAlign w:val="center"/>
                </w:tcPr>
                <w:p w14:paraId="79C3B3F0">
                  <w:pPr>
                    <w:pStyle w:val="49"/>
                    <w:rPr>
                      <w:sz w:val="18"/>
                      <w:szCs w:val="18"/>
                    </w:rPr>
                  </w:pPr>
                  <w:r>
                    <w:rPr>
                      <w:rFonts w:hint="eastAsia"/>
                      <w:sz w:val="18"/>
                      <w:szCs w:val="18"/>
                    </w:rPr>
                    <w:t>井筒装备</w:t>
                  </w:r>
                </w:p>
              </w:tc>
              <w:tc>
                <w:tcPr>
                  <w:tcW w:w="668" w:type="pct"/>
                  <w:vAlign w:val="center"/>
                </w:tcPr>
                <w:p w14:paraId="4383AEE1">
                  <w:pPr>
                    <w:pStyle w:val="49"/>
                    <w:rPr>
                      <w:sz w:val="18"/>
                      <w:szCs w:val="18"/>
                    </w:rPr>
                  </w:pPr>
                  <w:r>
                    <w:rPr>
                      <w:rFonts w:hint="eastAsia"/>
                      <w:sz w:val="18"/>
                      <w:szCs w:val="18"/>
                    </w:rPr>
                    <w:t>GDS-1000钢绳牵引皮带机</w:t>
                  </w:r>
                </w:p>
              </w:tc>
              <w:tc>
                <w:tcPr>
                  <w:tcW w:w="648" w:type="pct"/>
                  <w:vAlign w:val="center"/>
                </w:tcPr>
                <w:p w14:paraId="2DD8CF26">
                  <w:pPr>
                    <w:pStyle w:val="49"/>
                    <w:rPr>
                      <w:sz w:val="18"/>
                      <w:szCs w:val="18"/>
                    </w:rPr>
                  </w:pPr>
                  <w:r>
                    <w:rPr>
                      <w:rFonts w:hint="eastAsia"/>
                      <w:sz w:val="18"/>
                      <w:szCs w:val="18"/>
                    </w:rPr>
                    <w:t>轨道</w:t>
                  </w:r>
                </w:p>
              </w:tc>
              <w:tc>
                <w:tcPr>
                  <w:tcW w:w="574" w:type="pct"/>
                  <w:vAlign w:val="center"/>
                </w:tcPr>
                <w:p w14:paraId="718F9D5F">
                  <w:pPr>
                    <w:pStyle w:val="49"/>
                    <w:rPr>
                      <w:sz w:val="18"/>
                      <w:szCs w:val="18"/>
                    </w:rPr>
                  </w:pPr>
                  <w:r>
                    <w:rPr>
                      <w:rFonts w:hint="eastAsia"/>
                      <w:sz w:val="18"/>
                      <w:szCs w:val="18"/>
                    </w:rPr>
                    <w:t>轨道</w:t>
                  </w:r>
                </w:p>
              </w:tc>
              <w:tc>
                <w:tcPr>
                  <w:tcW w:w="710" w:type="pct"/>
                  <w:vAlign w:val="center"/>
                </w:tcPr>
                <w:p w14:paraId="2D954B09">
                  <w:pPr>
                    <w:pStyle w:val="49"/>
                    <w:rPr>
                      <w:sz w:val="18"/>
                      <w:szCs w:val="18"/>
                    </w:rPr>
                  </w:pPr>
                  <w:r>
                    <w:rPr>
                      <w:rFonts w:hint="eastAsia"/>
                      <w:sz w:val="18"/>
                      <w:szCs w:val="18"/>
                    </w:rPr>
                    <w:t>一宽一窄双层罐笼，玻璃钢梯子间</w:t>
                  </w:r>
                </w:p>
              </w:tc>
              <w:tc>
                <w:tcPr>
                  <w:tcW w:w="648" w:type="pct"/>
                  <w:vAlign w:val="center"/>
                </w:tcPr>
                <w:p w14:paraId="536C661F">
                  <w:pPr>
                    <w:pStyle w:val="49"/>
                    <w:rPr>
                      <w:sz w:val="18"/>
                      <w:szCs w:val="18"/>
                    </w:rPr>
                  </w:pPr>
                  <w:r>
                    <w:rPr>
                      <w:rFonts w:hint="eastAsia"/>
                      <w:sz w:val="18"/>
                      <w:szCs w:val="18"/>
                    </w:rPr>
                    <w:t>梯子间，瓦斯抽排管路</w:t>
                  </w:r>
                </w:p>
              </w:tc>
              <w:tc>
                <w:tcPr>
                  <w:tcW w:w="685" w:type="pct"/>
                  <w:vAlign w:val="center"/>
                </w:tcPr>
                <w:p w14:paraId="0096828A">
                  <w:pPr>
                    <w:pStyle w:val="49"/>
                    <w:rPr>
                      <w:sz w:val="18"/>
                      <w:szCs w:val="18"/>
                    </w:rPr>
                  </w:pPr>
                  <w:r>
                    <w:rPr>
                      <w:rFonts w:hint="eastAsia"/>
                      <w:sz w:val="18"/>
                      <w:szCs w:val="18"/>
                    </w:rPr>
                    <w:t>玻璃钢梯子间，瓦斯抽排管路</w:t>
                  </w:r>
                </w:p>
              </w:tc>
            </w:tr>
          </w:tbl>
          <w:p w14:paraId="7B7A093E">
            <w:pPr>
              <w:pStyle w:val="53"/>
              <w:ind w:firstLine="480"/>
            </w:pPr>
            <w:r>
              <w:t>4.3</w:t>
            </w:r>
            <w:r>
              <w:rPr>
                <w:rFonts w:hint="eastAsia"/>
              </w:rPr>
              <w:t>矿井通风</w:t>
            </w:r>
          </w:p>
          <w:p w14:paraId="13C17B46">
            <w:pPr>
              <w:pStyle w:val="53"/>
              <w:ind w:firstLine="480"/>
            </w:pPr>
            <w:r>
              <w:rPr>
                <w:rFonts w:hint="eastAsia"/>
              </w:rPr>
              <w:t>矿井改造后采用混合式通风方式，机械抽出式通风方法。全矿井共有6条井筒，下料斜井、排矸井、皮带井、副立井（新建）4条入风井；东立风井、南立风井2条回风立井。</w:t>
            </w:r>
          </w:p>
          <w:p w14:paraId="00A2E7B4">
            <w:pPr>
              <w:pStyle w:val="53"/>
              <w:ind w:firstLine="480"/>
            </w:pPr>
            <w:r>
              <w:rPr>
                <w:rFonts w:hint="eastAsia"/>
              </w:rPr>
              <w:t>矿井前期与后期总进风量19800m³/min（75m³/s）。东立风井初期负压2501.05Pa、等积孔3.93m</w:t>
            </w:r>
            <w:r>
              <w:rPr>
                <w:rFonts w:hint="eastAsia"/>
                <w:vertAlign w:val="superscript"/>
              </w:rPr>
              <w:t>2</w:t>
            </w:r>
            <w:r>
              <w:rPr>
                <w:rFonts w:hint="eastAsia"/>
              </w:rPr>
              <w:t>，后期负压2880.67Pa、等积孔3.65m</w:t>
            </w:r>
            <w:r>
              <w:rPr>
                <w:rFonts w:hint="eastAsia"/>
                <w:vertAlign w:val="superscript"/>
              </w:rPr>
              <w:t>2</w:t>
            </w:r>
            <w:r>
              <w:rPr>
                <w:rFonts w:hint="eastAsia"/>
              </w:rPr>
              <w:t>；南立风井初期负压2518.22Pa、等积孔3.91m</w:t>
            </w:r>
            <w:r>
              <w:rPr>
                <w:rFonts w:hint="eastAsia"/>
                <w:vertAlign w:val="superscript"/>
              </w:rPr>
              <w:t>2</w:t>
            </w:r>
            <w:r>
              <w:rPr>
                <w:rFonts w:hint="eastAsia"/>
              </w:rPr>
              <w:t>，后期负压3391.86Pa、等积孔3.37m</w:t>
            </w:r>
            <w:r>
              <w:rPr>
                <w:rFonts w:hint="eastAsia"/>
                <w:vertAlign w:val="superscript"/>
              </w:rPr>
              <w:t>2</w:t>
            </w:r>
            <w:r>
              <w:rPr>
                <w:rFonts w:hint="eastAsia"/>
              </w:rPr>
              <w:t>。全矿井初期等积孔7.45m</w:t>
            </w:r>
            <w:r>
              <w:rPr>
                <w:rFonts w:hint="eastAsia"/>
                <w:vertAlign w:val="superscript"/>
              </w:rPr>
              <w:t>2</w:t>
            </w:r>
            <w:r>
              <w:rPr>
                <w:rFonts w:hint="eastAsia"/>
              </w:rPr>
              <w:t>、后期6.88m</w:t>
            </w:r>
            <w:r>
              <w:rPr>
                <w:rFonts w:hint="eastAsia"/>
                <w:vertAlign w:val="superscript"/>
              </w:rPr>
              <w:t>2</w:t>
            </w:r>
            <w:r>
              <w:rPr>
                <w:rFonts w:hint="eastAsia"/>
              </w:rPr>
              <w:t>，根据矿井等积孔计算，本矿井通风难易程度容易。</w:t>
            </w:r>
          </w:p>
          <w:p w14:paraId="049F8B82">
            <w:pPr>
              <w:pStyle w:val="53"/>
              <w:ind w:firstLine="480"/>
              <w:rPr>
                <w:szCs w:val="24"/>
              </w:rPr>
            </w:pPr>
            <w:r>
              <w:rPr>
                <w:rFonts w:hint="eastAsia"/>
              </w:rPr>
              <w:t>东立风井现有2台型号为FBCDZ-10-№32/710×2抽出式对旋轴流式</w:t>
            </w:r>
            <w:r>
              <w:rPr>
                <w:rFonts w:hint="eastAsia"/>
                <w:lang w:eastAsia="zh-CN"/>
              </w:rPr>
              <w:t>通风机</w:t>
            </w:r>
            <w:r>
              <w:rPr>
                <w:rFonts w:hint="eastAsia"/>
              </w:rPr>
              <w:t>，其中1台工作，1台备用。南立风井安有两台型号</w:t>
            </w:r>
            <w:r>
              <w:rPr>
                <w:rFonts w:hint="eastAsia"/>
                <w:lang w:eastAsia="zh-CN"/>
              </w:rPr>
              <w:t>为FBCDZ</w:t>
            </w:r>
            <w:r>
              <w:rPr>
                <w:rFonts w:hint="eastAsia"/>
              </w:rPr>
              <w:t>-10-№33/2×710</w:t>
            </w:r>
            <w:r>
              <w:rPr>
                <w:rFonts w:hint="eastAsia"/>
                <w:lang w:eastAsia="zh-CN"/>
              </w:rPr>
              <w:t>的主</w:t>
            </w:r>
            <w:r>
              <w:rPr>
                <w:rFonts w:hint="eastAsia"/>
              </w:rPr>
              <w:t>通风机，一备一用。</w:t>
            </w:r>
          </w:p>
          <w:p w14:paraId="77B7A6A8">
            <w:pPr>
              <w:pStyle w:val="53"/>
              <w:ind w:firstLine="480"/>
              <w:rPr>
                <w:bCs/>
              </w:rPr>
            </w:pPr>
            <w:r>
              <w:rPr>
                <w:bCs/>
              </w:rPr>
              <w:t>4.4</w:t>
            </w:r>
            <w:r>
              <w:rPr>
                <w:rFonts w:hint="eastAsia"/>
                <w:bCs/>
              </w:rPr>
              <w:t>供电及提升</w:t>
            </w:r>
          </w:p>
          <w:p w14:paraId="1173FFAA">
            <w:pPr>
              <w:pStyle w:val="53"/>
              <w:ind w:firstLine="480"/>
              <w:rPr>
                <w:bCs/>
              </w:rPr>
            </w:pPr>
            <w:r>
              <w:rPr>
                <w:rFonts w:hint="eastAsia"/>
              </w:rPr>
              <w:t>本工程由平岗煤矿山下66kV变电所6kV侧不同母线段供电</w:t>
            </w:r>
            <w:r>
              <w:rPr>
                <w:rFonts w:hint="eastAsia"/>
                <w:lang w:eastAsia="zh-CN"/>
              </w:rPr>
              <w:t>，</w:t>
            </w:r>
            <w:r>
              <w:rPr>
                <w:rFonts w:hint="eastAsia"/>
              </w:rPr>
              <w:t>电压均为6kV，供电距离3km。导线为LGJ-240mm</w:t>
            </w:r>
            <w:r>
              <w:rPr>
                <w:rFonts w:hint="eastAsia"/>
                <w:vertAlign w:val="superscript"/>
              </w:rPr>
              <w:t>2</w:t>
            </w:r>
            <w:r>
              <w:rPr>
                <w:rFonts w:hint="eastAsia"/>
              </w:rPr>
              <w:t>砼杆架空线</w:t>
            </w:r>
            <w:r>
              <w:rPr>
                <w:rFonts w:hint="eastAsia"/>
                <w:bCs/>
              </w:rPr>
              <w:t>。</w:t>
            </w:r>
          </w:p>
          <w:p w14:paraId="2A23CA9E">
            <w:pPr>
              <w:pStyle w:val="53"/>
              <w:ind w:firstLine="480"/>
            </w:pPr>
            <w:r>
              <w:rPr>
                <w:rFonts w:hint="eastAsia"/>
                <w:bCs/>
              </w:rPr>
              <w:t>副立井</w:t>
            </w:r>
            <w:r>
              <w:rPr>
                <w:rFonts w:hint="eastAsia"/>
              </w:rPr>
              <w:t>场地建有地面配电所，配备KYN28A-12</w:t>
            </w:r>
            <w:r>
              <w:rPr>
                <w:rFonts w:hint="eastAsia"/>
                <w:lang w:eastAsia="zh-CN"/>
              </w:rPr>
              <w:t>（</w:t>
            </w:r>
            <w:r>
              <w:rPr>
                <w:rFonts w:hint="eastAsia"/>
              </w:rPr>
              <w:t>Z</w:t>
            </w:r>
            <w:r>
              <w:rPr>
                <w:rFonts w:hint="eastAsia"/>
                <w:lang w:eastAsia="zh-CN"/>
              </w:rPr>
              <w:t>）</w:t>
            </w:r>
            <w:r>
              <w:rPr>
                <w:rFonts w:hint="eastAsia"/>
              </w:rPr>
              <w:t>型高压真空开关柜12台，其中2台高压KYN28A-12(Z)-031型柜作为进线柜实现对高压进线电源的保护，1台KYN28A-12(Z)-007型柜，</w:t>
            </w:r>
            <w:r>
              <w:rPr>
                <w:rFonts w:hint="eastAsia"/>
                <w:lang w:eastAsia="zh-CN"/>
              </w:rPr>
              <w:t>1台KYN28A</w:t>
            </w:r>
            <w:r>
              <w:rPr>
                <w:rFonts w:hint="eastAsia"/>
              </w:rPr>
              <w:t>-12(Z)-055型柜作为联络柜实现对两段母线的双电源切换。低压电源引自</w:t>
            </w:r>
            <w:r>
              <w:rPr>
                <w:rFonts w:hint="eastAsia"/>
                <w:lang w:eastAsia="zh-CN"/>
              </w:rPr>
              <w:t>两台</w:t>
            </w:r>
            <w:r>
              <w:rPr>
                <w:rFonts w:hint="eastAsia"/>
              </w:rPr>
              <w:t>S11-M-400/6 6/0.4kV 315kVA型变压器二次侧，低压配电室内设GGD型低压配电柜9台。</w:t>
            </w:r>
          </w:p>
          <w:p w14:paraId="3A20C92B">
            <w:pPr>
              <w:pStyle w:val="53"/>
              <w:ind w:firstLine="480"/>
              <w:rPr>
                <w:kern w:val="22"/>
              </w:rPr>
            </w:pPr>
            <w:r>
              <w:rPr>
                <w:rFonts w:hint="eastAsia"/>
              </w:rPr>
              <w:t>副立井选择JKM-3.5×4（Ⅲ）型多绳井塔式提升机，</w:t>
            </w:r>
            <w:r>
              <w:rPr>
                <w:rFonts w:hint="eastAsia"/>
                <w:bCs/>
              </w:rPr>
              <w:t>ZKTD型直流电动机，</w:t>
            </w:r>
            <w:r>
              <w:rPr>
                <w:rFonts w:hint="eastAsia"/>
              </w:rPr>
              <w:t>功率1250kW，提升容器双层四车四绳罐笼。主钢丝绳型号ZAB6V×37S+FC</w:t>
            </w:r>
            <w:r>
              <w:rPr>
                <w:rFonts w:hint="eastAsia"/>
                <w:bCs/>
              </w:rPr>
              <w:t>。</w:t>
            </w:r>
          </w:p>
          <w:p w14:paraId="16D25230">
            <w:pPr>
              <w:pStyle w:val="53"/>
              <w:ind w:firstLine="480"/>
              <w:rPr>
                <w:bCs/>
                <w:lang w:val="zh-CN"/>
              </w:rPr>
            </w:pPr>
            <w:r>
              <w:rPr>
                <w:bCs/>
              </w:rPr>
              <w:t>4.5</w:t>
            </w:r>
            <w:r>
              <w:rPr>
                <w:rFonts w:hint="eastAsia"/>
                <w:bCs/>
                <w:lang w:val="zh-CN"/>
              </w:rPr>
              <w:t>地面排矸系统</w:t>
            </w:r>
          </w:p>
          <w:p w14:paraId="1DA7AD91">
            <w:pPr>
              <w:pStyle w:val="53"/>
              <w:ind w:firstLine="480"/>
            </w:pPr>
            <w:r>
              <w:rPr>
                <w:rFonts w:hint="eastAsia"/>
              </w:rPr>
              <w:t>新建副井工业场地内设有排矸系统，</w:t>
            </w:r>
            <w:r>
              <w:rPr>
                <w:rFonts w:hint="eastAsia"/>
                <w:bCs/>
              </w:rPr>
              <w:t>矸石矿车通过罐笼由井下提至井上，经翻车机卸至缓冲仓内，由胶带输送机运至矸石仓内储存，矸石仓内的矸石由汽车外运。</w:t>
            </w:r>
          </w:p>
          <w:p w14:paraId="44BA5B02">
            <w:pPr>
              <w:pStyle w:val="53"/>
              <w:ind w:firstLine="480"/>
            </w:pPr>
            <w:r>
              <w:t>矸石仓为</w:t>
            </w:r>
            <w:r>
              <w:rPr>
                <w:rFonts w:hint="eastAsia"/>
              </w:rPr>
              <w:t>直径1</w:t>
            </w:r>
            <w:r>
              <w:rPr>
                <w:rFonts w:hint="eastAsia"/>
                <w:lang w:val="en-US" w:eastAsia="zh-CN"/>
              </w:rPr>
              <w:t>5</w:t>
            </w:r>
            <w:r>
              <w:rPr>
                <w:rFonts w:hint="eastAsia"/>
              </w:rPr>
              <w:t>m</w:t>
            </w:r>
            <w:r>
              <w:t>的钢筋砼</w:t>
            </w:r>
            <w:r>
              <w:rPr>
                <w:rFonts w:hint="eastAsia"/>
              </w:rPr>
              <w:t>圆</w:t>
            </w:r>
            <w:r>
              <w:t>仓，最大容量</w:t>
            </w:r>
            <w:r>
              <w:rPr>
                <w:rFonts w:hint="eastAsia"/>
                <w:lang w:val="en-US" w:eastAsia="zh-CN"/>
              </w:rPr>
              <w:t>4628</w:t>
            </w:r>
            <w:r>
              <w:t>吨，</w:t>
            </w:r>
            <w:r>
              <w:rPr>
                <w:rFonts w:hint="eastAsia"/>
              </w:rPr>
              <w:t>满足</w:t>
            </w:r>
            <w:r>
              <w:t>矿井一天的排矸量</w:t>
            </w:r>
            <w:r>
              <w:rPr>
                <w:rFonts w:hint="eastAsia"/>
              </w:rPr>
              <w:t>需求</w:t>
            </w:r>
            <w:r>
              <w:t>。</w:t>
            </w:r>
          </w:p>
          <w:p w14:paraId="3C423292">
            <w:pPr>
              <w:pStyle w:val="53"/>
              <w:ind w:firstLine="480"/>
            </w:pPr>
            <w:r>
              <w:t>4.6</w:t>
            </w:r>
            <w:r>
              <w:rPr>
                <w:rFonts w:hint="eastAsia"/>
              </w:rPr>
              <w:t>安全避险“六大系统”</w:t>
            </w:r>
          </w:p>
          <w:p w14:paraId="529AD285">
            <w:pPr>
              <w:pStyle w:val="53"/>
              <w:ind w:firstLine="480"/>
            </w:pPr>
            <w:r>
              <w:rPr>
                <w:rFonts w:hint="eastAsia"/>
              </w:rPr>
              <w:t>（1）安全监测监控系统</w:t>
            </w:r>
          </w:p>
          <w:p w14:paraId="188B1D19">
            <w:pPr>
              <w:pStyle w:val="53"/>
              <w:ind w:firstLine="480"/>
            </w:pPr>
            <w:r>
              <w:rPr>
                <w:rFonts w:hint="eastAsia"/>
              </w:rPr>
              <w:t>本矿井安设KJ999X型监控系统。本次新建副立井井下监测监控部分与原有平岗煤矿的井下东主运监测监控网络对接。两台KJ999X-F1监测分站，一台设置在副立井井口，一台设置在井底车场。</w:t>
            </w:r>
          </w:p>
          <w:p w14:paraId="2BE80753">
            <w:pPr>
              <w:pStyle w:val="53"/>
              <w:ind w:firstLine="480"/>
            </w:pPr>
            <w:r>
              <w:rPr>
                <w:rFonts w:hint="eastAsia"/>
              </w:rPr>
              <w:t>（2）通讯联络系统</w:t>
            </w:r>
          </w:p>
          <w:p w14:paraId="7F6DBA50">
            <w:pPr>
              <w:pStyle w:val="53"/>
              <w:ind w:firstLine="480"/>
            </w:pPr>
            <w:r>
              <w:t>新建地面辅助提升副立井的行政通信系统用平岗矿引来，与平岗矿通信系统并网，交换设备选用DH-2000型数字程控调度系统</w:t>
            </w:r>
            <w:r>
              <w:rPr>
                <w:rFonts w:hint="eastAsia"/>
                <w:lang w:eastAsia="zh-CN"/>
              </w:rPr>
              <w:t>。</w:t>
            </w:r>
          </w:p>
          <w:p w14:paraId="2F9193FD">
            <w:pPr>
              <w:pStyle w:val="53"/>
              <w:ind w:firstLine="480"/>
            </w:pPr>
            <w:r>
              <w:rPr>
                <w:rFonts w:hint="eastAsia"/>
              </w:rPr>
              <w:t>（3）人员定位系统</w:t>
            </w:r>
          </w:p>
          <w:p w14:paraId="7EE70D60">
            <w:pPr>
              <w:pStyle w:val="53"/>
              <w:ind w:firstLine="480"/>
            </w:pPr>
            <w:r>
              <w:rPr>
                <w:rFonts w:hint="eastAsia"/>
              </w:rPr>
              <w:t>该矿采用KJ405T型井下人员定位系统。在副立井井筒附近，地面提升机房增设分站1台、井底车场、东主运道上增设2台。</w:t>
            </w:r>
          </w:p>
          <w:p w14:paraId="00F90C1F">
            <w:pPr>
              <w:pStyle w:val="53"/>
              <w:ind w:firstLine="480"/>
            </w:pPr>
            <w:r>
              <w:rPr>
                <w:rFonts w:hint="eastAsia"/>
              </w:rPr>
              <w:t>（4）压风自救系统</w:t>
            </w:r>
          </w:p>
          <w:p w14:paraId="6D52B8A2">
            <w:pPr>
              <w:pStyle w:val="53"/>
              <w:ind w:firstLine="480"/>
            </w:pPr>
            <w:r>
              <w:rPr>
                <w:rFonts w:hint="eastAsia"/>
              </w:rPr>
              <w:t>副立井井底车场新增一趟压风自救管路（Φ159管路1200m），每200m设置一个闸阀，与平岗煤矿东主运压风管路连接。</w:t>
            </w:r>
          </w:p>
          <w:p w14:paraId="1982019C">
            <w:pPr>
              <w:pStyle w:val="53"/>
              <w:ind w:firstLine="480"/>
            </w:pPr>
            <w:r>
              <w:rPr>
                <w:rFonts w:hint="eastAsia"/>
              </w:rPr>
              <w:t>（5）供水施救系统</w:t>
            </w:r>
          </w:p>
          <w:p w14:paraId="2B848C20">
            <w:pPr>
              <w:pStyle w:val="53"/>
              <w:ind w:firstLine="480"/>
            </w:pPr>
            <w:r>
              <w:rPr>
                <w:rFonts w:hint="eastAsia"/>
                <w:lang w:eastAsia="zh-CN"/>
              </w:rPr>
              <w:t>供水</w:t>
            </w:r>
            <w:r>
              <w:rPr>
                <w:rFonts w:hint="eastAsia"/>
              </w:rPr>
              <w:t>施救系统与消防洒水系统合并共用一套管路。巷道中在压风自救装置和供气阀门附近同时设置DN20供水阀门。</w:t>
            </w:r>
          </w:p>
          <w:p w14:paraId="3D73B72C">
            <w:pPr>
              <w:pStyle w:val="53"/>
              <w:ind w:firstLine="480"/>
            </w:pPr>
            <w:r>
              <w:t>5、</w:t>
            </w:r>
            <w:r>
              <w:rPr>
                <w:rFonts w:hint="eastAsia"/>
              </w:rPr>
              <w:t>施工工程量</w:t>
            </w:r>
          </w:p>
          <w:p w14:paraId="3D2D03C8">
            <w:pPr>
              <w:pStyle w:val="53"/>
              <w:ind w:firstLine="480"/>
            </w:pPr>
            <w:r>
              <w:rPr>
                <w:rFonts w:hint="eastAsia"/>
              </w:rPr>
              <w:t>（1）井巷工程</w:t>
            </w:r>
          </w:p>
          <w:p w14:paraId="447B8A96">
            <w:pPr>
              <w:pStyle w:val="53"/>
              <w:ind w:firstLine="480"/>
              <w:rPr>
                <w:color w:val="000000"/>
              </w:rPr>
            </w:pPr>
            <w:r>
              <w:rPr>
                <w:rFonts w:hint="eastAsia"/>
              </w:rPr>
              <w:t>本项目矿井改建井巷工程量1929m，</w:t>
            </w:r>
            <w:r>
              <w:rPr>
                <w:rFonts w:hint="eastAsia"/>
                <w:color w:val="000000"/>
              </w:rPr>
              <w:t>开挖方5</w:t>
            </w:r>
            <w:r>
              <w:rPr>
                <w:color w:val="000000"/>
              </w:rPr>
              <w:t>8091</w:t>
            </w:r>
            <w:r>
              <w:rPr>
                <w:rFonts w:hint="eastAsia"/>
                <w:color w:val="000000"/>
              </w:rPr>
              <w:t>m</w:t>
            </w:r>
            <w:r>
              <w:rPr>
                <w:color w:val="000000"/>
                <w:vertAlign w:val="superscript"/>
              </w:rPr>
              <w:t>3</w:t>
            </w:r>
            <w:r>
              <w:rPr>
                <w:rFonts w:hint="eastAsia"/>
                <w:color w:val="000000"/>
              </w:rPr>
              <w:t>，填方量为1</w:t>
            </w:r>
            <w:r>
              <w:rPr>
                <w:color w:val="000000"/>
              </w:rPr>
              <w:t>0506</w:t>
            </w:r>
            <w:r>
              <w:rPr>
                <w:rFonts w:hint="eastAsia"/>
                <w:color w:val="000000"/>
              </w:rPr>
              <w:t>m</w:t>
            </w:r>
            <w:r>
              <w:rPr>
                <w:color w:val="000000"/>
                <w:vertAlign w:val="superscript"/>
              </w:rPr>
              <w:t>3</w:t>
            </w:r>
            <w:r>
              <w:rPr>
                <w:rFonts w:hint="eastAsia"/>
                <w:color w:val="000000"/>
              </w:rPr>
              <w:t>，借方为1</w:t>
            </w:r>
            <w:r>
              <w:rPr>
                <w:color w:val="000000"/>
              </w:rPr>
              <w:t>0506</w:t>
            </w:r>
            <w:r>
              <w:rPr>
                <w:rFonts w:hint="eastAsia"/>
                <w:color w:val="000000"/>
              </w:rPr>
              <w:t>m</w:t>
            </w:r>
            <w:r>
              <w:rPr>
                <w:color w:val="000000"/>
                <w:vertAlign w:val="superscript"/>
              </w:rPr>
              <w:t>3</w:t>
            </w:r>
            <w:r>
              <w:rPr>
                <w:rFonts w:hint="eastAsia"/>
                <w:color w:val="000000"/>
              </w:rPr>
              <w:t>，采用混凝土进行支护，弃方为5</w:t>
            </w:r>
            <w:r>
              <w:rPr>
                <w:color w:val="000000"/>
              </w:rPr>
              <w:t>8091</w:t>
            </w:r>
            <w:r>
              <w:rPr>
                <w:rFonts w:hint="eastAsia"/>
                <w:color w:val="000000"/>
              </w:rPr>
              <w:t>m</w:t>
            </w:r>
            <w:r>
              <w:rPr>
                <w:color w:val="000000"/>
                <w:vertAlign w:val="superscript"/>
              </w:rPr>
              <w:t>3</w:t>
            </w:r>
            <w:r>
              <w:rPr>
                <w:rFonts w:hint="eastAsia"/>
                <w:color w:val="000000"/>
              </w:rPr>
              <w:t>，弃方均为井巷开挖的岩土，一部分（</w:t>
            </w:r>
            <w:r>
              <w:rPr>
                <w:rFonts w:hint="eastAsia"/>
                <w:color w:val="000000"/>
                <w:lang w:eastAsia="zh-CN"/>
              </w:rPr>
              <w:t>14701</w:t>
            </w:r>
            <w:r>
              <w:rPr>
                <w:rFonts w:hint="eastAsia"/>
                <w:color w:val="000000"/>
              </w:rPr>
              <w:t>m</w:t>
            </w:r>
            <w:r>
              <w:rPr>
                <w:color w:val="000000"/>
                <w:vertAlign w:val="superscript"/>
              </w:rPr>
              <w:t>3</w:t>
            </w:r>
            <w:r>
              <w:rPr>
                <w:rFonts w:hint="eastAsia"/>
                <w:color w:val="000000"/>
              </w:rPr>
              <w:t>）用于地面工程填方，剩余部分（</w:t>
            </w:r>
            <w:r>
              <w:rPr>
                <w:rFonts w:hint="eastAsia"/>
                <w:color w:val="000000"/>
                <w:lang w:eastAsia="zh-CN"/>
              </w:rPr>
              <w:t>43390</w:t>
            </w:r>
            <w:r>
              <w:rPr>
                <w:rFonts w:hint="eastAsia"/>
                <w:color w:val="000000"/>
              </w:rPr>
              <w:t>m</w:t>
            </w:r>
            <w:r>
              <w:rPr>
                <w:color w:val="000000"/>
                <w:vertAlign w:val="superscript"/>
              </w:rPr>
              <w:t>3</w:t>
            </w:r>
            <w:r>
              <w:rPr>
                <w:rFonts w:hint="eastAsia"/>
                <w:color w:val="000000"/>
              </w:rPr>
              <w:t>）用于周边道路垫道使用。</w:t>
            </w:r>
          </w:p>
          <w:p w14:paraId="5ADA2D88">
            <w:pPr>
              <w:pStyle w:val="53"/>
              <w:ind w:firstLine="480"/>
              <w:rPr>
                <w:color w:val="000000"/>
              </w:rPr>
            </w:pPr>
            <w:r>
              <w:rPr>
                <w:rFonts w:hint="eastAsia"/>
                <w:color w:val="000000"/>
              </w:rPr>
              <w:t>（2）</w:t>
            </w:r>
            <w:r>
              <w:rPr>
                <w:rFonts w:hint="eastAsia"/>
                <w:color w:val="000000"/>
                <w:lang w:val="en-US" w:eastAsia="zh-CN"/>
              </w:rPr>
              <w:t>地面</w:t>
            </w:r>
            <w:r>
              <w:rPr>
                <w:rFonts w:hint="eastAsia"/>
                <w:color w:val="000000"/>
              </w:rPr>
              <w:t>工程</w:t>
            </w:r>
          </w:p>
          <w:p w14:paraId="793E7C8F">
            <w:pPr>
              <w:pStyle w:val="53"/>
              <w:ind w:firstLine="480"/>
              <w:rPr>
                <w:color w:val="000000"/>
              </w:rPr>
            </w:pPr>
            <w:r>
              <w:rPr>
                <w:rFonts w:hint="eastAsia"/>
                <w:szCs w:val="20"/>
              </w:rPr>
              <w:t>本项目总占地面积为</w:t>
            </w:r>
            <w:r>
              <w:rPr>
                <w:rFonts w:hint="eastAsia"/>
                <w:lang w:eastAsia="zh-CN"/>
              </w:rPr>
              <w:t>151708</w:t>
            </w:r>
            <w:r>
              <w:rPr>
                <w:rFonts w:hint="eastAsia"/>
                <w:szCs w:val="20"/>
              </w:rPr>
              <w:t>m</w:t>
            </w:r>
            <w:r>
              <w:rPr>
                <w:rFonts w:hint="eastAsia"/>
                <w:szCs w:val="20"/>
                <w:vertAlign w:val="superscript"/>
              </w:rPr>
              <w:t>2</w:t>
            </w:r>
            <w:r>
              <w:rPr>
                <w:rFonts w:hint="eastAsia"/>
                <w:szCs w:val="20"/>
              </w:rPr>
              <w:t>，</w:t>
            </w:r>
            <w:r>
              <w:rPr>
                <w:rFonts w:hint="eastAsia"/>
                <w:szCs w:val="20"/>
                <w:lang w:val="en-US" w:eastAsia="zh-CN"/>
              </w:rPr>
              <w:t>项目仅利用现有场地西侧部分土地建设（约7公顷），东侧现有约8公顷用地地上为林地，本次建设不进行使用，故场地无需表土剥离，</w:t>
            </w:r>
            <w:r>
              <w:rPr>
                <w:rFonts w:hint="eastAsia"/>
                <w:lang w:val="en-US" w:eastAsia="zh-CN"/>
              </w:rPr>
              <w:t>项目</w:t>
            </w:r>
            <w:r>
              <w:rPr>
                <w:rFonts w:hint="eastAsia"/>
                <w:color w:val="000000"/>
              </w:rPr>
              <w:t>开挖方</w:t>
            </w:r>
            <w:r>
              <w:rPr>
                <w:rFonts w:hint="eastAsia"/>
                <w:color w:val="000000"/>
                <w:lang w:eastAsia="zh-CN"/>
              </w:rPr>
              <w:t>44026</w:t>
            </w:r>
            <w:r>
              <w:rPr>
                <w:rFonts w:hint="eastAsia"/>
                <w:color w:val="000000"/>
              </w:rPr>
              <w:t>m</w:t>
            </w:r>
            <w:r>
              <w:rPr>
                <w:color w:val="000000"/>
                <w:vertAlign w:val="superscript"/>
              </w:rPr>
              <w:t>3</w:t>
            </w:r>
            <w:r>
              <w:rPr>
                <w:rFonts w:hint="eastAsia"/>
                <w:color w:val="000000"/>
              </w:rPr>
              <w:t>，填方量为</w:t>
            </w:r>
            <w:r>
              <w:rPr>
                <w:rFonts w:hint="eastAsia"/>
                <w:color w:val="000000"/>
                <w:lang w:eastAsia="zh-CN"/>
              </w:rPr>
              <w:t>58727</w:t>
            </w:r>
            <w:r>
              <w:rPr>
                <w:rFonts w:hint="eastAsia"/>
                <w:color w:val="000000"/>
              </w:rPr>
              <w:t>m</w:t>
            </w:r>
            <w:r>
              <w:rPr>
                <w:color w:val="000000"/>
                <w:vertAlign w:val="superscript"/>
              </w:rPr>
              <w:t>3</w:t>
            </w:r>
            <w:r>
              <w:rPr>
                <w:rFonts w:hint="eastAsia"/>
                <w:color w:val="000000"/>
              </w:rPr>
              <w:t>，利用方量为</w:t>
            </w:r>
            <w:r>
              <w:rPr>
                <w:rFonts w:hint="eastAsia"/>
                <w:color w:val="000000"/>
                <w:lang w:eastAsia="zh-CN"/>
              </w:rPr>
              <w:t>44026</w:t>
            </w:r>
            <w:r>
              <w:rPr>
                <w:rFonts w:hint="eastAsia"/>
                <w:color w:val="000000"/>
              </w:rPr>
              <w:t>m</w:t>
            </w:r>
            <w:r>
              <w:rPr>
                <w:color w:val="000000"/>
                <w:vertAlign w:val="superscript"/>
              </w:rPr>
              <w:t>3</w:t>
            </w:r>
            <w:r>
              <w:rPr>
                <w:rFonts w:hint="eastAsia"/>
                <w:color w:val="000000"/>
              </w:rPr>
              <w:t>，无弃方，借方量为</w:t>
            </w:r>
            <w:r>
              <w:rPr>
                <w:rFonts w:hint="eastAsia"/>
                <w:color w:val="000000"/>
                <w:lang w:eastAsia="zh-CN"/>
              </w:rPr>
              <w:t>14701</w:t>
            </w:r>
            <w:r>
              <w:rPr>
                <w:rFonts w:hint="eastAsia"/>
                <w:color w:val="000000"/>
              </w:rPr>
              <w:t>m</w:t>
            </w:r>
            <w:r>
              <w:rPr>
                <w:color w:val="000000"/>
                <w:vertAlign w:val="superscript"/>
              </w:rPr>
              <w:t>3</w:t>
            </w:r>
            <w:r>
              <w:rPr>
                <w:rFonts w:hint="eastAsia"/>
                <w:color w:val="000000"/>
              </w:rPr>
              <w:t>，借方由井巷工程挖方调配。</w:t>
            </w:r>
          </w:p>
          <w:p w14:paraId="1B46F0A6">
            <w:pPr>
              <w:pStyle w:val="53"/>
              <w:ind w:firstLine="480"/>
            </w:pPr>
            <w:r>
              <w:t>本项目土石方平衡情况见表2-7。</w:t>
            </w:r>
          </w:p>
          <w:p w14:paraId="0B8AC5BB">
            <w:pPr>
              <w:pStyle w:val="48"/>
            </w:pPr>
            <w:r>
              <w:t>表2-7  工程土石方平衡表    单位：m</w:t>
            </w:r>
            <w:r>
              <w:rPr>
                <w:vertAlign w:val="superscript"/>
              </w:rPr>
              <w:t>3</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823"/>
              <w:gridCol w:w="1079"/>
              <w:gridCol w:w="741"/>
              <w:gridCol w:w="823"/>
              <w:gridCol w:w="741"/>
              <w:gridCol w:w="741"/>
              <w:gridCol w:w="2291"/>
            </w:tblGrid>
            <w:tr w14:paraId="0777F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0" w:type="auto"/>
                  <w:vMerge w:val="restart"/>
                  <w:vAlign w:val="center"/>
                </w:tcPr>
                <w:p w14:paraId="65D05DF7">
                  <w:pPr>
                    <w:pStyle w:val="52"/>
                  </w:pPr>
                  <w:r>
                    <w:t>项目</w:t>
                  </w:r>
                </w:p>
              </w:tc>
              <w:tc>
                <w:tcPr>
                  <w:tcW w:w="0" w:type="auto"/>
                  <w:gridSpan w:val="2"/>
                  <w:vAlign w:val="center"/>
                </w:tcPr>
                <w:p w14:paraId="05B1AE11">
                  <w:pPr>
                    <w:pStyle w:val="52"/>
                  </w:pPr>
                  <w:r>
                    <w:t>挖方</w:t>
                  </w:r>
                </w:p>
              </w:tc>
              <w:tc>
                <w:tcPr>
                  <w:tcW w:w="0" w:type="auto"/>
                  <w:vMerge w:val="restart"/>
                  <w:vAlign w:val="center"/>
                </w:tcPr>
                <w:p w14:paraId="0C6F73C8">
                  <w:pPr>
                    <w:pStyle w:val="52"/>
                  </w:pPr>
                  <w:r>
                    <w:t>填方</w:t>
                  </w:r>
                </w:p>
              </w:tc>
              <w:tc>
                <w:tcPr>
                  <w:tcW w:w="0" w:type="auto"/>
                  <w:vMerge w:val="restart"/>
                  <w:vAlign w:val="center"/>
                </w:tcPr>
                <w:p w14:paraId="2AB97C93">
                  <w:pPr>
                    <w:pStyle w:val="52"/>
                  </w:pPr>
                  <w:r>
                    <w:t>利用方</w:t>
                  </w:r>
                </w:p>
              </w:tc>
              <w:tc>
                <w:tcPr>
                  <w:tcW w:w="0" w:type="auto"/>
                  <w:vMerge w:val="restart"/>
                  <w:vAlign w:val="center"/>
                </w:tcPr>
                <w:p w14:paraId="28ECE0BB">
                  <w:pPr>
                    <w:pStyle w:val="52"/>
                  </w:pPr>
                  <w:r>
                    <w:rPr>
                      <w:rFonts w:hint="eastAsia"/>
                    </w:rPr>
                    <w:t>弃方</w:t>
                  </w:r>
                </w:p>
              </w:tc>
              <w:tc>
                <w:tcPr>
                  <w:tcW w:w="0" w:type="auto"/>
                  <w:vMerge w:val="restart"/>
                  <w:vAlign w:val="center"/>
                </w:tcPr>
                <w:p w14:paraId="22762ACB">
                  <w:pPr>
                    <w:pStyle w:val="52"/>
                  </w:pPr>
                  <w:r>
                    <w:rPr>
                      <w:rFonts w:hint="eastAsia"/>
                    </w:rPr>
                    <w:t>借方</w:t>
                  </w:r>
                </w:p>
              </w:tc>
              <w:tc>
                <w:tcPr>
                  <w:tcW w:w="0" w:type="auto"/>
                  <w:vMerge w:val="restart"/>
                  <w:vAlign w:val="center"/>
                </w:tcPr>
                <w:p w14:paraId="2A5484D0">
                  <w:pPr>
                    <w:pStyle w:val="52"/>
                  </w:pPr>
                  <w:r>
                    <w:t>备注</w:t>
                  </w:r>
                </w:p>
              </w:tc>
            </w:tr>
            <w:tr w14:paraId="2777F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10971B2">
                  <w:pPr>
                    <w:pStyle w:val="52"/>
                  </w:pPr>
                </w:p>
              </w:tc>
              <w:tc>
                <w:tcPr>
                  <w:tcW w:w="0" w:type="auto"/>
                  <w:vAlign w:val="center"/>
                </w:tcPr>
                <w:p w14:paraId="025B7A08">
                  <w:pPr>
                    <w:pStyle w:val="52"/>
                  </w:pPr>
                  <w:r>
                    <w:rPr>
                      <w:rFonts w:hint="eastAsia"/>
                    </w:rPr>
                    <w:t>开挖</w:t>
                  </w:r>
                  <w:r>
                    <w:t>量</w:t>
                  </w:r>
                </w:p>
              </w:tc>
              <w:tc>
                <w:tcPr>
                  <w:tcW w:w="0" w:type="auto"/>
                  <w:vAlign w:val="center"/>
                </w:tcPr>
                <w:p w14:paraId="0A653982">
                  <w:pPr>
                    <w:pStyle w:val="52"/>
                  </w:pPr>
                  <w:r>
                    <w:rPr>
                      <w:rFonts w:hint="eastAsia"/>
                    </w:rPr>
                    <w:t>表土</w:t>
                  </w:r>
                  <w:r>
                    <w:t>剥离量</w:t>
                  </w:r>
                </w:p>
              </w:tc>
              <w:tc>
                <w:tcPr>
                  <w:tcW w:w="0" w:type="auto"/>
                  <w:vMerge w:val="continue"/>
                  <w:vAlign w:val="center"/>
                </w:tcPr>
                <w:p w14:paraId="685BF755">
                  <w:pPr>
                    <w:pStyle w:val="52"/>
                  </w:pPr>
                </w:p>
              </w:tc>
              <w:tc>
                <w:tcPr>
                  <w:tcW w:w="0" w:type="auto"/>
                  <w:vMerge w:val="continue"/>
                  <w:vAlign w:val="center"/>
                </w:tcPr>
                <w:p w14:paraId="2B2C772D">
                  <w:pPr>
                    <w:pStyle w:val="52"/>
                  </w:pPr>
                </w:p>
              </w:tc>
              <w:tc>
                <w:tcPr>
                  <w:tcW w:w="0" w:type="auto"/>
                  <w:vMerge w:val="continue"/>
                  <w:vAlign w:val="center"/>
                </w:tcPr>
                <w:p w14:paraId="63E4B4D7">
                  <w:pPr>
                    <w:pStyle w:val="52"/>
                  </w:pPr>
                </w:p>
              </w:tc>
              <w:tc>
                <w:tcPr>
                  <w:tcW w:w="0" w:type="auto"/>
                  <w:vMerge w:val="continue"/>
                  <w:vAlign w:val="center"/>
                </w:tcPr>
                <w:p w14:paraId="57FA7E7C">
                  <w:pPr>
                    <w:pStyle w:val="52"/>
                  </w:pPr>
                </w:p>
              </w:tc>
              <w:tc>
                <w:tcPr>
                  <w:tcW w:w="0" w:type="auto"/>
                  <w:vMerge w:val="continue"/>
                  <w:vAlign w:val="center"/>
                </w:tcPr>
                <w:p w14:paraId="3FD347D8">
                  <w:pPr>
                    <w:pStyle w:val="52"/>
                  </w:pPr>
                </w:p>
              </w:tc>
            </w:tr>
            <w:tr w14:paraId="6EFE6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40A85071">
                  <w:pPr>
                    <w:pStyle w:val="52"/>
                  </w:pPr>
                  <w:r>
                    <w:rPr>
                      <w:rFonts w:hint="eastAsia"/>
                    </w:rPr>
                    <w:t>井巷工程</w:t>
                  </w:r>
                </w:p>
              </w:tc>
              <w:tc>
                <w:tcPr>
                  <w:tcW w:w="0" w:type="auto"/>
                  <w:vAlign w:val="center"/>
                </w:tcPr>
                <w:p w14:paraId="1422DF56">
                  <w:pPr>
                    <w:pStyle w:val="52"/>
                  </w:pPr>
                  <w:r>
                    <w:rPr>
                      <w:rFonts w:hint="eastAsia"/>
                    </w:rPr>
                    <w:t>5</w:t>
                  </w:r>
                  <w:r>
                    <w:t>8091</w:t>
                  </w:r>
                </w:p>
              </w:tc>
              <w:tc>
                <w:tcPr>
                  <w:tcW w:w="0" w:type="auto"/>
                  <w:vAlign w:val="center"/>
                </w:tcPr>
                <w:p w14:paraId="18DEA961">
                  <w:pPr>
                    <w:pStyle w:val="52"/>
                  </w:pPr>
                  <w:r>
                    <w:rPr>
                      <w:rFonts w:hint="eastAsia"/>
                    </w:rPr>
                    <w:t>0</w:t>
                  </w:r>
                </w:p>
              </w:tc>
              <w:tc>
                <w:tcPr>
                  <w:tcW w:w="0" w:type="auto"/>
                  <w:vAlign w:val="center"/>
                </w:tcPr>
                <w:p w14:paraId="3114BE7D">
                  <w:pPr>
                    <w:pStyle w:val="52"/>
                  </w:pPr>
                  <w:r>
                    <w:rPr>
                      <w:rFonts w:hint="eastAsia"/>
                    </w:rPr>
                    <w:t>1</w:t>
                  </w:r>
                  <w:r>
                    <w:t>0506</w:t>
                  </w:r>
                </w:p>
              </w:tc>
              <w:tc>
                <w:tcPr>
                  <w:tcW w:w="0" w:type="auto"/>
                  <w:vAlign w:val="center"/>
                </w:tcPr>
                <w:p w14:paraId="03DC897F">
                  <w:pPr>
                    <w:pStyle w:val="52"/>
                  </w:pPr>
                  <w:r>
                    <w:rPr>
                      <w:rFonts w:hint="eastAsia"/>
                    </w:rPr>
                    <w:t>1</w:t>
                  </w:r>
                  <w:r>
                    <w:t>0506</w:t>
                  </w:r>
                </w:p>
              </w:tc>
              <w:tc>
                <w:tcPr>
                  <w:tcW w:w="0" w:type="auto"/>
                  <w:vAlign w:val="center"/>
                </w:tcPr>
                <w:p w14:paraId="3E937693">
                  <w:pPr>
                    <w:pStyle w:val="52"/>
                  </w:pPr>
                  <w:r>
                    <w:t>58091</w:t>
                  </w:r>
                </w:p>
              </w:tc>
              <w:tc>
                <w:tcPr>
                  <w:tcW w:w="0" w:type="auto"/>
                  <w:vAlign w:val="center"/>
                </w:tcPr>
                <w:p w14:paraId="3A38AA0A">
                  <w:pPr>
                    <w:pStyle w:val="52"/>
                  </w:pPr>
                  <w:r>
                    <w:rPr>
                      <w:rFonts w:hint="eastAsia"/>
                    </w:rPr>
                    <w:t>1</w:t>
                  </w:r>
                  <w:r>
                    <w:t>0506</w:t>
                  </w:r>
                </w:p>
              </w:tc>
              <w:tc>
                <w:tcPr>
                  <w:tcW w:w="0" w:type="auto"/>
                  <w:vAlign w:val="center"/>
                </w:tcPr>
                <w:p w14:paraId="2AE003CC">
                  <w:pPr>
                    <w:pStyle w:val="52"/>
                  </w:pPr>
                  <w:r>
                    <w:rPr>
                      <w:rFonts w:hint="eastAsia"/>
                    </w:rPr>
                    <w:t>弃方中</w:t>
                  </w:r>
                  <w:r>
                    <w:rPr>
                      <w:rFonts w:hint="eastAsia"/>
                      <w:lang w:eastAsia="zh-CN"/>
                    </w:rPr>
                    <w:t>14701</w:t>
                  </w:r>
                  <w:r>
                    <w:rPr>
                      <w:rFonts w:hint="eastAsia"/>
                    </w:rPr>
                    <w:t>用于地面工程</w:t>
                  </w:r>
                </w:p>
              </w:tc>
            </w:tr>
            <w:tr w14:paraId="6AB55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4003643B">
                  <w:pPr>
                    <w:pStyle w:val="52"/>
                  </w:pPr>
                  <w:r>
                    <w:rPr>
                      <w:rFonts w:hint="eastAsia"/>
                    </w:rPr>
                    <w:t>地面工程</w:t>
                  </w:r>
                </w:p>
              </w:tc>
              <w:tc>
                <w:tcPr>
                  <w:tcW w:w="0" w:type="auto"/>
                  <w:vAlign w:val="center"/>
                </w:tcPr>
                <w:p w14:paraId="5D28F96F">
                  <w:pPr>
                    <w:pStyle w:val="52"/>
                    <w:rPr>
                      <w:rFonts w:hint="eastAsia" w:eastAsia="宋体"/>
                      <w:lang w:eastAsia="zh-CN"/>
                    </w:rPr>
                  </w:pPr>
                  <w:r>
                    <w:rPr>
                      <w:rFonts w:hint="eastAsia"/>
                      <w:lang w:eastAsia="zh-CN"/>
                    </w:rPr>
                    <w:t>44026</w:t>
                  </w:r>
                </w:p>
              </w:tc>
              <w:tc>
                <w:tcPr>
                  <w:tcW w:w="0" w:type="auto"/>
                  <w:vAlign w:val="center"/>
                </w:tcPr>
                <w:p w14:paraId="07F5F48A">
                  <w:pPr>
                    <w:pStyle w:val="52"/>
                    <w:rPr>
                      <w:rFonts w:hint="default" w:eastAsia="宋体"/>
                      <w:lang w:val="en-US" w:eastAsia="zh-CN"/>
                    </w:rPr>
                  </w:pPr>
                  <w:r>
                    <w:rPr>
                      <w:rFonts w:hint="eastAsia"/>
                      <w:lang w:val="en-US" w:eastAsia="zh-CN"/>
                    </w:rPr>
                    <w:t>0</w:t>
                  </w:r>
                </w:p>
              </w:tc>
              <w:tc>
                <w:tcPr>
                  <w:tcW w:w="0" w:type="auto"/>
                  <w:vAlign w:val="center"/>
                </w:tcPr>
                <w:p w14:paraId="01B3041D">
                  <w:pPr>
                    <w:pStyle w:val="52"/>
                    <w:rPr>
                      <w:rFonts w:hint="eastAsia" w:eastAsia="宋体"/>
                      <w:lang w:eastAsia="zh-CN"/>
                    </w:rPr>
                  </w:pPr>
                  <w:r>
                    <w:rPr>
                      <w:rFonts w:hint="eastAsia"/>
                      <w:lang w:eastAsia="zh-CN"/>
                    </w:rPr>
                    <w:t>58727</w:t>
                  </w:r>
                </w:p>
              </w:tc>
              <w:tc>
                <w:tcPr>
                  <w:tcW w:w="0" w:type="auto"/>
                  <w:vAlign w:val="center"/>
                </w:tcPr>
                <w:p w14:paraId="4BB185EE">
                  <w:pPr>
                    <w:pStyle w:val="52"/>
                    <w:rPr>
                      <w:rFonts w:hint="eastAsia" w:eastAsia="宋体"/>
                      <w:lang w:eastAsia="zh-CN"/>
                    </w:rPr>
                  </w:pPr>
                  <w:r>
                    <w:rPr>
                      <w:rFonts w:hint="eastAsia"/>
                      <w:lang w:eastAsia="zh-CN"/>
                    </w:rPr>
                    <w:t>44026</w:t>
                  </w:r>
                </w:p>
              </w:tc>
              <w:tc>
                <w:tcPr>
                  <w:tcW w:w="0" w:type="auto"/>
                  <w:vAlign w:val="center"/>
                </w:tcPr>
                <w:p w14:paraId="746BDA8B">
                  <w:pPr>
                    <w:pStyle w:val="52"/>
                  </w:pPr>
                  <w:r>
                    <w:rPr>
                      <w:rFonts w:hint="eastAsia"/>
                    </w:rPr>
                    <w:t>0</w:t>
                  </w:r>
                </w:p>
              </w:tc>
              <w:tc>
                <w:tcPr>
                  <w:tcW w:w="0" w:type="auto"/>
                  <w:vAlign w:val="center"/>
                </w:tcPr>
                <w:p w14:paraId="68AC0A98">
                  <w:pPr>
                    <w:pStyle w:val="52"/>
                    <w:rPr>
                      <w:rFonts w:hint="eastAsia" w:eastAsia="宋体"/>
                      <w:lang w:eastAsia="zh-CN"/>
                    </w:rPr>
                  </w:pPr>
                  <w:r>
                    <w:rPr>
                      <w:rFonts w:hint="eastAsia"/>
                      <w:lang w:eastAsia="zh-CN"/>
                    </w:rPr>
                    <w:t>14701</w:t>
                  </w:r>
                </w:p>
              </w:tc>
              <w:tc>
                <w:tcPr>
                  <w:tcW w:w="0" w:type="auto"/>
                  <w:vAlign w:val="center"/>
                </w:tcPr>
                <w:p w14:paraId="2B1F4C0D">
                  <w:pPr>
                    <w:pStyle w:val="52"/>
                  </w:pPr>
                  <w:r>
                    <w:rPr>
                      <w:rFonts w:hint="eastAsia"/>
                    </w:rPr>
                    <w:t>借方由井巷工程提供</w:t>
                  </w:r>
                </w:p>
              </w:tc>
            </w:tr>
          </w:tbl>
          <w:p w14:paraId="008C4CF8">
            <w:pPr>
              <w:pStyle w:val="53"/>
              <w:ind w:firstLine="480"/>
              <w:rPr>
                <w:rFonts w:ascii="宋体" w:hAnsi="宋体" w:cs="宋体"/>
              </w:rPr>
            </w:pPr>
          </w:p>
        </w:tc>
      </w:tr>
      <w:tr w14:paraId="054D65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vAlign w:val="center"/>
          </w:tcPr>
          <w:p w14:paraId="184C137C">
            <w:pPr>
              <w:adjustRightInd w:val="0"/>
              <w:snapToGrid w:val="0"/>
              <w:jc w:val="center"/>
              <w:rPr>
                <w:rFonts w:ascii="宋体" w:hAnsi="宋体" w:cs="宋体"/>
                <w:kern w:val="0"/>
                <w:szCs w:val="21"/>
              </w:rPr>
            </w:pPr>
            <w:r>
              <w:rPr>
                <w:rFonts w:hint="eastAsia" w:ascii="宋体" w:hAnsi="宋体" w:cs="宋体"/>
                <w:kern w:val="0"/>
                <w:szCs w:val="21"/>
              </w:rPr>
              <w:t>总平面及现场布置</w:t>
            </w:r>
          </w:p>
        </w:tc>
        <w:tc>
          <w:tcPr>
            <w:tcW w:w="8380" w:type="dxa"/>
            <w:vAlign w:val="center"/>
          </w:tcPr>
          <w:p w14:paraId="5A2C7506">
            <w:pPr>
              <w:pStyle w:val="53"/>
              <w:ind w:firstLine="480"/>
              <w:rPr>
                <w:color w:val="000000"/>
              </w:rPr>
            </w:pPr>
            <w:r>
              <w:rPr>
                <w:rFonts w:hint="eastAsia"/>
                <w:color w:val="000000"/>
              </w:rPr>
              <w:t>1、总平面图布置</w:t>
            </w:r>
          </w:p>
          <w:p w14:paraId="5237B66F">
            <w:pPr>
              <w:pStyle w:val="53"/>
              <w:ind w:firstLine="480"/>
            </w:pPr>
            <w:r>
              <w:rPr>
                <w:rFonts w:hint="eastAsia"/>
                <w:color w:val="000000"/>
              </w:rPr>
              <w:t>本项目占地面积</w:t>
            </w:r>
            <w:r>
              <w:rPr>
                <w:rFonts w:hint="eastAsia"/>
                <w:lang w:eastAsia="zh-CN"/>
              </w:rPr>
              <w:t>151708</w:t>
            </w:r>
            <w:r>
              <w:rPr>
                <w:rFonts w:hint="eastAsia"/>
                <w:color w:val="000000"/>
              </w:rPr>
              <w:t>m</w:t>
            </w:r>
            <w:r>
              <w:rPr>
                <w:color w:val="000000"/>
                <w:vertAlign w:val="superscript"/>
              </w:rPr>
              <w:t>2</w:t>
            </w:r>
            <w:r>
              <w:rPr>
                <w:rFonts w:hint="eastAsia"/>
                <w:color w:val="000000"/>
              </w:rPr>
              <w:t>，</w:t>
            </w:r>
            <w:r>
              <w:rPr>
                <w:rFonts w:hint="eastAsia"/>
                <w:szCs w:val="20"/>
                <w:lang w:val="en-US" w:eastAsia="zh-CN"/>
              </w:rPr>
              <w:t>项目仅利用现有场地西侧部分土地建设（约7公顷），东侧现有约8公顷用地地上为林地，本次建设不进行使用。建设区域中部布置井口，井口周围布置三处井口房及两处空气加热室，井口西侧设置矸石仓及矸石输送廊，井口北侧设置油脂库、岩粉库及消防材料库，厂区由南向北布置一条</w:t>
            </w:r>
            <w:r>
              <w:rPr>
                <w:rFonts w:hint="eastAsia"/>
                <w:color w:val="000000"/>
              </w:rPr>
              <w:t>6m宽的水泥混凝土硬化道路</w:t>
            </w:r>
            <w:r>
              <w:rPr>
                <w:rFonts w:hint="eastAsia"/>
                <w:szCs w:val="20"/>
                <w:lang w:val="en-US" w:eastAsia="zh-CN"/>
              </w:rPr>
              <w:t>，消防水池和消防泵房位于道路东侧</w:t>
            </w:r>
            <w:r>
              <w:rPr>
                <w:rFonts w:hint="eastAsia"/>
              </w:rPr>
              <w:t>。</w:t>
            </w:r>
            <w:r>
              <w:rPr>
                <w:rFonts w:hint="eastAsia"/>
                <w:lang w:val="en-US" w:eastAsia="zh-CN"/>
              </w:rPr>
              <w:t>项目总图</w:t>
            </w:r>
            <w:r>
              <w:rPr>
                <w:rFonts w:hint="eastAsia"/>
              </w:rPr>
              <w:t>详见</w:t>
            </w:r>
            <w:r>
              <w:t>附图</w:t>
            </w:r>
            <w:r>
              <w:rPr>
                <w:rFonts w:hint="eastAsia"/>
              </w:rPr>
              <w:t>2</w:t>
            </w:r>
            <w:r>
              <w:rPr>
                <w:rFonts w:hint="eastAsia"/>
                <w:lang w:eastAsia="zh-CN"/>
              </w:rPr>
              <w:t>，</w:t>
            </w:r>
            <w:r>
              <w:rPr>
                <w:rFonts w:hint="eastAsia"/>
                <w:lang w:val="en-US" w:eastAsia="zh-CN"/>
              </w:rPr>
              <w:t>工业场地</w:t>
            </w:r>
            <w:r>
              <w:rPr>
                <w:rFonts w:hint="eastAsia"/>
              </w:rPr>
              <w:t>平面布置详见</w:t>
            </w:r>
            <w:r>
              <w:t>附图</w:t>
            </w:r>
            <w:r>
              <w:rPr>
                <w:rFonts w:hint="eastAsia"/>
                <w:lang w:val="en-US" w:eastAsia="zh-CN"/>
              </w:rPr>
              <w:t>3</w:t>
            </w:r>
            <w:r>
              <w:t>。</w:t>
            </w:r>
          </w:p>
          <w:p w14:paraId="51D6A9B9">
            <w:pPr>
              <w:pStyle w:val="53"/>
              <w:ind w:firstLine="480"/>
              <w:rPr>
                <w:rFonts w:ascii="宋体" w:hAnsi="宋体" w:cs="宋体"/>
              </w:rPr>
            </w:pPr>
            <w:r>
              <w:rPr>
                <w:rFonts w:hint="eastAsia" w:ascii="宋体" w:hAnsi="宋体" w:cs="宋体"/>
              </w:rPr>
              <w:t>2、施工场地</w:t>
            </w:r>
          </w:p>
          <w:p w14:paraId="798F33B8">
            <w:pPr>
              <w:pStyle w:val="53"/>
              <w:ind w:firstLine="480"/>
              <w:rPr>
                <w:rFonts w:hint="eastAsia" w:ascii="宋体" w:hAnsi="宋体" w:cs="宋体"/>
              </w:rPr>
            </w:pPr>
            <w:r>
              <w:rPr>
                <w:rFonts w:hint="eastAsia" w:ascii="宋体" w:hAnsi="宋体" w:cs="宋体"/>
              </w:rPr>
              <w:t>本项目施工机械设备、施工物料堆放场地均位于项目占地范围内，施工便道利用区域现有砂石土路，项目施工期无需新增占地。</w:t>
            </w:r>
          </w:p>
        </w:tc>
      </w:tr>
      <w:tr w14:paraId="65F211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0" w:type="dxa"/>
            <w:vAlign w:val="center"/>
          </w:tcPr>
          <w:p w14:paraId="052E3C93">
            <w:pPr>
              <w:adjustRightInd w:val="0"/>
              <w:snapToGrid w:val="0"/>
              <w:jc w:val="center"/>
              <w:rPr>
                <w:rFonts w:ascii="宋体" w:hAnsi="宋体" w:cs="宋体"/>
                <w:kern w:val="0"/>
                <w:szCs w:val="21"/>
              </w:rPr>
            </w:pPr>
            <w:r>
              <w:rPr>
                <w:rFonts w:hint="eastAsia" w:ascii="宋体" w:hAnsi="宋体" w:cs="宋体"/>
                <w:kern w:val="0"/>
                <w:szCs w:val="21"/>
              </w:rPr>
              <w:t>施工方案</w:t>
            </w:r>
          </w:p>
        </w:tc>
        <w:tc>
          <w:tcPr>
            <w:tcW w:w="8380" w:type="dxa"/>
            <w:vAlign w:val="center"/>
          </w:tcPr>
          <w:p w14:paraId="533FA489">
            <w:pPr>
              <w:pStyle w:val="53"/>
              <w:ind w:firstLine="480"/>
            </w:pPr>
            <w:r>
              <w:rPr>
                <w:rFonts w:hint="eastAsia"/>
              </w:rPr>
              <w:t>1、施工工艺</w:t>
            </w:r>
          </w:p>
          <w:p w14:paraId="5ADC2960">
            <w:pPr>
              <w:pStyle w:val="53"/>
              <w:ind w:firstLine="480"/>
            </w:pPr>
            <w:r>
              <w:rPr>
                <w:rFonts w:hint="eastAsia"/>
              </w:rPr>
              <w:t>本项目施工包括地面建筑和井筒施工，地面建筑主要是基础房屋建设以及设备安装，各单元施工工序相似且简单，本次着重介绍井筒施工工艺。</w:t>
            </w:r>
          </w:p>
          <w:p w14:paraId="7EB90A3A">
            <w:pPr>
              <w:pStyle w:val="53"/>
              <w:ind w:firstLine="480"/>
            </w:pPr>
            <w:r>
              <w:rPr>
                <w:rFonts w:hint="eastAsia"/>
              </w:rPr>
              <w:t>根据项目设计资料，新建副立井按普通法施工，井筒表土及基岩风化带采用钢筋混凝土支护，副井井颈采用800mm钢筋混凝土浇筑，基岩段为500mm厚素混土浇筑，砼强度C40。</w:t>
            </w:r>
          </w:p>
          <w:p w14:paraId="6D0A5923">
            <w:pPr>
              <w:pStyle w:val="53"/>
              <w:ind w:firstLine="480"/>
            </w:pPr>
            <w:r>
              <w:rPr>
                <w:rFonts w:hint="eastAsia"/>
              </w:rPr>
              <w:t>2、施工周期及施工时序</w:t>
            </w:r>
          </w:p>
          <w:p w14:paraId="283A76F3">
            <w:pPr>
              <w:pStyle w:val="53"/>
              <w:ind w:firstLine="480"/>
              <w:rPr>
                <w:b/>
                <w:bCs/>
              </w:rPr>
            </w:pPr>
            <w:r>
              <w:rPr>
                <w:rFonts w:hint="eastAsia"/>
              </w:rPr>
              <w:t>项目建设工期</w:t>
            </w:r>
            <w:r>
              <w:rPr>
                <w:rFonts w:hint="eastAsia"/>
                <w:lang w:val="en-US" w:eastAsia="zh-CN"/>
              </w:rPr>
              <w:t>12</w:t>
            </w:r>
            <w:r>
              <w:rPr>
                <w:rFonts w:hint="eastAsia"/>
              </w:rPr>
              <w:t>个月，</w:t>
            </w:r>
            <w:r>
              <w:t>采取一次设计、连续施工一次达产的建设方式。根据本矿井工业场地设施及井巷工程接续关系，设计考虑井筒施工顺序是井筒及车场等连锁巷道工程不间断地施工。</w:t>
            </w:r>
          </w:p>
        </w:tc>
      </w:tr>
      <w:tr w14:paraId="1BEA88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4" w:hRule="atLeast"/>
          <w:jc w:val="center"/>
        </w:trPr>
        <w:tc>
          <w:tcPr>
            <w:tcW w:w="710" w:type="dxa"/>
            <w:vAlign w:val="center"/>
          </w:tcPr>
          <w:p w14:paraId="128A07CD">
            <w:pPr>
              <w:adjustRightInd w:val="0"/>
              <w:snapToGrid w:val="0"/>
              <w:jc w:val="center"/>
              <w:rPr>
                <w:rFonts w:ascii="宋体" w:hAnsi="宋体" w:cs="宋体"/>
                <w:kern w:val="0"/>
                <w:szCs w:val="21"/>
              </w:rPr>
            </w:pPr>
            <w:r>
              <w:rPr>
                <w:rFonts w:hint="eastAsia" w:ascii="宋体" w:hAnsi="宋体" w:cs="宋体"/>
                <w:kern w:val="0"/>
                <w:szCs w:val="21"/>
              </w:rPr>
              <w:t>其他</w:t>
            </w:r>
          </w:p>
        </w:tc>
        <w:tc>
          <w:tcPr>
            <w:tcW w:w="8380" w:type="dxa"/>
            <w:vAlign w:val="center"/>
          </w:tcPr>
          <w:p w14:paraId="545A0123">
            <w:pPr>
              <w:pStyle w:val="53"/>
              <w:ind w:firstLine="480"/>
            </w:pPr>
            <w:r>
              <w:t>无</w:t>
            </w:r>
          </w:p>
        </w:tc>
      </w:tr>
    </w:tbl>
    <w:p w14:paraId="0F7E19CD">
      <w:pPr>
        <w:pStyle w:val="18"/>
        <w:jc w:val="center"/>
        <w:outlineLvl w:val="0"/>
        <w:rPr>
          <w:rFonts w:ascii="黑体" w:hAnsi="黑体" w:eastAsia="黑体"/>
          <w:snapToGrid w:val="0"/>
          <w:sz w:val="30"/>
          <w:szCs w:val="30"/>
        </w:rPr>
      </w:pPr>
      <w:r>
        <w:rPr>
          <w:rFonts w:eastAsia="仿宋_GB2312"/>
          <w:b/>
          <w:bCs/>
        </w:rPr>
        <w:br w:type="page"/>
      </w:r>
      <w:r>
        <w:rPr>
          <w:rFonts w:hint="eastAsia" w:ascii="黑体" w:hAnsi="黑体" w:eastAsia="黑体"/>
          <w:snapToGrid w:val="0"/>
          <w:sz w:val="30"/>
          <w:szCs w:val="30"/>
        </w:rPr>
        <w:t>三、生态环境现状、保护目标及评价标准</w:t>
      </w:r>
    </w:p>
    <w:tbl>
      <w:tblPr>
        <w:tblStyle w:val="23"/>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8256"/>
      </w:tblGrid>
      <w:tr w14:paraId="5D6676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904" w:type="dxa"/>
            <w:vAlign w:val="center"/>
          </w:tcPr>
          <w:p w14:paraId="73B081EB">
            <w:pPr>
              <w:adjustRightInd w:val="0"/>
              <w:snapToGrid w:val="0"/>
              <w:jc w:val="center"/>
              <w:rPr>
                <w:rFonts w:ascii="宋体" w:hAnsi="宋体" w:cs="宋体"/>
                <w:kern w:val="0"/>
                <w:szCs w:val="21"/>
              </w:rPr>
            </w:pPr>
            <w:r>
              <w:rPr>
                <w:rFonts w:hint="eastAsia" w:ascii="宋体" w:hAnsi="宋体" w:cs="宋体"/>
                <w:kern w:val="0"/>
                <w:szCs w:val="21"/>
              </w:rPr>
              <w:t>生态环境现状</w:t>
            </w:r>
          </w:p>
        </w:tc>
        <w:tc>
          <w:tcPr>
            <w:tcW w:w="8253" w:type="dxa"/>
            <w:vAlign w:val="center"/>
          </w:tcPr>
          <w:p w14:paraId="55751A44">
            <w:pPr>
              <w:pStyle w:val="53"/>
              <w:ind w:firstLine="480"/>
            </w:pPr>
            <w:r>
              <w:rPr>
                <w:rFonts w:hint="eastAsia"/>
              </w:rPr>
              <w:t>1</w:t>
            </w:r>
            <w:r>
              <w:t>、生态环境现状</w:t>
            </w:r>
          </w:p>
          <w:p w14:paraId="087D9353">
            <w:pPr>
              <w:pStyle w:val="66"/>
              <w:spacing w:line="520" w:lineRule="exact"/>
              <w:ind w:firstLine="480" w:firstLineChars="200"/>
              <w:outlineLvl w:val="1"/>
              <w:rPr>
                <w:rFonts w:ascii="Times New Roman" w:hAnsi="Times New Roman" w:eastAsia="宋体"/>
                <w:sz w:val="24"/>
              </w:rPr>
            </w:pPr>
            <w:r>
              <w:rPr>
                <w:rFonts w:hint="eastAsia" w:ascii="Times New Roman" w:hAnsi="Times New Roman" w:eastAsia="宋体"/>
                <w:sz w:val="24"/>
              </w:rPr>
              <w:t>（1）《黑龙江省主体功能区划》</w:t>
            </w:r>
          </w:p>
          <w:p w14:paraId="54898ADA">
            <w:pPr>
              <w:pStyle w:val="5"/>
              <w:adjustRightInd w:val="0"/>
              <w:snapToGrid w:val="0"/>
              <w:spacing w:line="500" w:lineRule="exact"/>
              <w:ind w:firstLine="480"/>
              <w:rPr>
                <w:sz w:val="24"/>
                <w:szCs w:val="24"/>
              </w:rPr>
            </w:pPr>
            <w:r>
              <w:rPr>
                <w:rFonts w:ascii="Times New Roman"/>
                <w:sz w:val="24"/>
                <w:szCs w:val="24"/>
              </w:rPr>
              <w:t>依据《黑龙江省主体功能区规划》（黑政发</w:t>
            </w:r>
            <w:r>
              <w:rPr>
                <w:rFonts w:hint="eastAsia" w:ascii="Times New Roman"/>
                <w:sz w:val="24"/>
                <w:szCs w:val="24"/>
                <w:lang w:eastAsia="zh-CN"/>
              </w:rPr>
              <w:t>〔2012〕29号</w:t>
            </w:r>
            <w:r>
              <w:rPr>
                <w:rFonts w:ascii="Times New Roman"/>
                <w:sz w:val="24"/>
                <w:szCs w:val="24"/>
              </w:rPr>
              <w:t>），黑龙江全省区域内主体功能区分为国家级和省级重点开发区域、限制开发区域和禁止</w:t>
            </w:r>
            <w:r>
              <w:rPr>
                <w:sz w:val="24"/>
                <w:szCs w:val="24"/>
              </w:rPr>
              <w:t>开发区域二级三类区域。重点开发区域是全省工业化和城市化的重要支撑区，限制开发区域的农产品主产区是国家粮食安全的重要保障区，限制开发区域的重点生态功能区和禁止开发区域是国家和全省生态安全的重要保障区。</w:t>
            </w:r>
          </w:p>
          <w:p w14:paraId="0AEC306B">
            <w:pPr>
              <w:pStyle w:val="53"/>
              <w:ind w:firstLine="480"/>
            </w:pPr>
            <w:r>
              <w:rPr>
                <w:rFonts w:hint="eastAsia"/>
              </w:rPr>
              <w:t>鸡西市</w:t>
            </w:r>
            <w:r>
              <w:t>梨树区属于</w:t>
            </w:r>
            <w:r>
              <w:rPr>
                <w:rFonts w:hint="eastAsia"/>
              </w:rPr>
              <w:t>省级重点开发区域</w:t>
            </w:r>
            <w:r>
              <w:t>，该区</w:t>
            </w:r>
            <w:r>
              <w:rPr>
                <w:rFonts w:hint="eastAsia"/>
              </w:rPr>
              <w:t>产业发展方向及布局：发展煤电化、石墨新材料、装备制造、绿色食品和生态旅游五大主导产业。永庆煤化工园区、滴道煤电循环经济产业等园区重点发展煤炭、电力、煤化工、建材产业；麻山石墨产业园区、恒山石墨产业园区等园区重点发展石墨新材料产业；鸡西煤机园区重点发展煤机装备制造产业；依托农业资源优势重点发展绿色食品和医药产业；依托兴凯湖、乌苏里江等良好的生态资源重点发展生态旅游产业。生态建设：加强水土流失预防和治理。开展重点矿区生态修复和环境治理，加强煤矸石等废弃物和采煤沉陷区治理，强化煤层气抽采及综合利用，提高矿区土地复垦和矿井水回收利用率。</w:t>
            </w:r>
          </w:p>
          <w:p w14:paraId="3BA0B3C6">
            <w:pPr>
              <w:pStyle w:val="53"/>
              <w:ind w:firstLine="480"/>
            </w:pPr>
            <w:r>
              <w:t>本项目为煤矿</w:t>
            </w:r>
            <w:r>
              <w:rPr>
                <w:rFonts w:hint="eastAsia"/>
              </w:rPr>
              <w:t>辅助工程建设（副井工业广场），</w:t>
            </w:r>
            <w:r>
              <w:t>辅助提升系统技术改造（副立井）完成后，矿井实现集中排矸，可节省原有占用的多套排矸及提升设备，系统简化，管理集中，有利于智能化矿山的建设，对加强区域水土流失预防和治理等方面有一定的</w:t>
            </w:r>
            <w:r>
              <w:rPr>
                <w:rFonts w:hint="eastAsia"/>
              </w:rPr>
              <w:t>强化作用</w:t>
            </w:r>
            <w:r>
              <w:t>，</w:t>
            </w:r>
            <w:r>
              <w:rPr>
                <w:rFonts w:hint="eastAsia"/>
              </w:rPr>
              <w:t>故本项目建设</w:t>
            </w:r>
            <w:r>
              <w:t>与《黑龙江省主体功能区规划》相一致。</w:t>
            </w:r>
          </w:p>
          <w:p w14:paraId="1F1D7FF5">
            <w:pPr>
              <w:pStyle w:val="53"/>
              <w:ind w:firstLine="480"/>
            </w:pPr>
            <w:bookmarkStart w:id="7" w:name="_Toc14490"/>
            <w:r>
              <w:rPr>
                <w:rFonts w:hint="eastAsia"/>
              </w:rPr>
              <w:t>（2）</w:t>
            </w:r>
            <w:r>
              <w:t>《黑龙江省生态功能区划》</w:t>
            </w:r>
          </w:p>
          <w:p w14:paraId="49C2A95A">
            <w:pPr>
              <w:pStyle w:val="53"/>
              <w:ind w:firstLine="480"/>
            </w:pPr>
            <w:r>
              <w:t>依据《黑龙江省生态功能区划》，本项目所处区域属于“I-3-2-6鸡西矿、农、林业生态功能区”，本区由鸡西市和鸡东县组成</w:t>
            </w:r>
            <w:r>
              <w:rPr>
                <w:rFonts w:hint="eastAsia"/>
                <w:lang w:eastAsia="zh-CN"/>
              </w:rPr>
              <w:t>，</w:t>
            </w:r>
            <w:r>
              <w:t>面积5543平方公里。该区主要生态系统服务功能为土壤保持、林矿农业生产。保护措施与发展方向为合理</w:t>
            </w:r>
            <w:r>
              <w:rPr>
                <w:rFonts w:hint="eastAsia"/>
                <w:lang w:eastAsia="zh-CN"/>
              </w:rPr>
              <w:t>地</w:t>
            </w:r>
            <w:r>
              <w:t>进行矿产开发，禁止野蛮开采的情况出现，大力发展生态林业和生态农业。</w:t>
            </w:r>
          </w:p>
          <w:p w14:paraId="4BE7C93F">
            <w:pPr>
              <w:pStyle w:val="53"/>
              <w:ind w:firstLine="480"/>
            </w:pPr>
            <w:r>
              <w:t>本项目为煤矿</w:t>
            </w:r>
            <w:r>
              <w:rPr>
                <w:rFonts w:hint="eastAsia"/>
              </w:rPr>
              <w:t>辅助工程建设（副井工业广场），项目建设不增加煤矿产能，现有煤矿产能已取得各级</w:t>
            </w:r>
            <w:r>
              <w:rPr>
                <w:rFonts w:hint="eastAsia"/>
                <w:lang w:eastAsia="zh-CN"/>
              </w:rPr>
              <w:t>主管部门</w:t>
            </w:r>
            <w:r>
              <w:rPr>
                <w:rFonts w:hint="eastAsia"/>
              </w:rPr>
              <w:t>的批复，煤矿开采规模是合理的，</w:t>
            </w:r>
            <w:r>
              <w:t>因此本项目符合《黑龙江省生态功能区划》。</w:t>
            </w:r>
          </w:p>
          <w:p w14:paraId="162050C7">
            <w:pPr>
              <w:pStyle w:val="53"/>
              <w:ind w:firstLine="480"/>
            </w:pPr>
            <w:r>
              <w:rPr>
                <w:rFonts w:hint="eastAsia"/>
              </w:rPr>
              <w:t>（</w:t>
            </w:r>
            <w:r>
              <w:t>3</w:t>
            </w:r>
            <w:r>
              <w:rPr>
                <w:rFonts w:hint="eastAsia"/>
              </w:rPr>
              <w:t>）生态环境现状</w:t>
            </w:r>
            <w:bookmarkEnd w:id="7"/>
          </w:p>
          <w:p w14:paraId="70C7A26E">
            <w:pPr>
              <w:pStyle w:val="53"/>
              <w:ind w:firstLine="480"/>
            </w:pPr>
            <w:r>
              <w:rPr>
                <w:rFonts w:hint="eastAsia"/>
              </w:rPr>
              <w:t>①</w:t>
            </w:r>
            <w:r>
              <w:t>土地</w:t>
            </w:r>
            <w:r>
              <w:rPr>
                <w:rFonts w:hint="eastAsia"/>
              </w:rPr>
              <w:t>类型</w:t>
            </w:r>
          </w:p>
          <w:p w14:paraId="365D4850">
            <w:pPr>
              <w:pStyle w:val="53"/>
              <w:ind w:firstLine="480"/>
              <w:rPr>
                <w:rFonts w:hint="eastAsia"/>
              </w:rPr>
            </w:pPr>
            <w:r>
              <w:t>根据本项目建设规模、环境污染物排放特征及建设地点等具体情况，对</w:t>
            </w:r>
            <w:r>
              <w:rPr>
                <w:rFonts w:hint="eastAsia"/>
              </w:rPr>
              <w:t>用地</w:t>
            </w:r>
            <w:r>
              <w:t>周围的生态环境现状进行了调查，调查主要以收集区域相关生态条件资料和现场踏勘相结合的方法。</w:t>
            </w:r>
            <w:r>
              <w:rPr>
                <w:rFonts w:hint="eastAsia"/>
                <w:szCs w:val="20"/>
              </w:rPr>
              <w:t>根据现状调查可知，本项目总占地面积为</w:t>
            </w:r>
            <w:r>
              <w:rPr>
                <w:rFonts w:hint="eastAsia"/>
                <w:lang w:eastAsia="zh-CN"/>
              </w:rPr>
              <w:t>151708</w:t>
            </w:r>
            <w:r>
              <w:rPr>
                <w:rFonts w:hint="eastAsia"/>
                <w:szCs w:val="20"/>
              </w:rPr>
              <w:t>m</w:t>
            </w:r>
            <w:r>
              <w:rPr>
                <w:rFonts w:hint="eastAsia"/>
                <w:szCs w:val="20"/>
                <w:vertAlign w:val="superscript"/>
              </w:rPr>
              <w:t>2</w:t>
            </w:r>
            <w:r>
              <w:rPr>
                <w:rFonts w:hint="eastAsia"/>
                <w:szCs w:val="20"/>
              </w:rPr>
              <w:t>，</w:t>
            </w:r>
            <w:r>
              <w:rPr>
                <w:rFonts w:hint="eastAsia"/>
                <w:szCs w:val="20"/>
                <w:lang w:val="en-US" w:eastAsia="zh-CN"/>
              </w:rPr>
              <w:t>均为工业用地，于2006年4月10日取得鸡西市人民政府核发的土地证（梨树国用（2006）第55007号），项目东侧、北侧为林地，西侧为耕地，南侧为农村道路用地及工业用地</w:t>
            </w:r>
            <w:r>
              <w:rPr>
                <w:rFonts w:hint="eastAsia"/>
              </w:rPr>
              <w:t>。</w:t>
            </w:r>
          </w:p>
          <w:p w14:paraId="77D2C3C6">
            <w:pPr>
              <w:pStyle w:val="53"/>
              <w:ind w:firstLine="480"/>
            </w:pPr>
            <w:r>
              <w:rPr>
                <w:rFonts w:hint="eastAsia"/>
              </w:rPr>
              <w:t>②</w:t>
            </w:r>
            <w:r>
              <w:t>植物</w:t>
            </w:r>
            <w:r>
              <w:rPr>
                <w:rFonts w:hint="eastAsia"/>
              </w:rPr>
              <w:t>类型</w:t>
            </w:r>
          </w:p>
          <w:p w14:paraId="16720374">
            <w:pPr>
              <w:pStyle w:val="53"/>
              <w:ind w:firstLine="480"/>
              <w:rPr>
                <w:rFonts w:hint="eastAsia"/>
              </w:rPr>
            </w:pPr>
            <w:r>
              <w:t>本</w:t>
            </w:r>
            <w:r>
              <w:rPr>
                <w:rFonts w:hint="eastAsia" w:ascii="宋体" w:hAnsi="宋体"/>
              </w:rPr>
              <w:t>项目区域没有国家重点保护野生植物和珍稀濒危陆生植物物种，</w:t>
            </w:r>
            <w:r>
              <w:rPr>
                <w:rFonts w:hint="eastAsia" w:ascii="宋体" w:hAnsi="宋体"/>
                <w:lang w:val="en-US" w:eastAsia="zh-CN"/>
              </w:rPr>
              <w:t>区域</w:t>
            </w:r>
            <w:r>
              <w:rPr>
                <w:rFonts w:hint="eastAsia"/>
              </w:rPr>
              <w:t>自然</w:t>
            </w:r>
            <w:r>
              <w:t>植被</w:t>
            </w:r>
            <w:r>
              <w:rPr>
                <w:rFonts w:hint="eastAsia"/>
                <w:lang w:val="en-US" w:eastAsia="zh-CN"/>
              </w:rPr>
              <w:t>主要</w:t>
            </w:r>
            <w:r>
              <w:rPr>
                <w:rFonts w:hint="eastAsia"/>
              </w:rPr>
              <w:t>为</w:t>
            </w:r>
            <w:r>
              <w:rPr>
                <w:rFonts w:hint="eastAsia"/>
                <w:lang w:val="en-US" w:eastAsia="zh-CN"/>
              </w:rPr>
              <w:t>樟子松</w:t>
            </w:r>
            <w:r>
              <w:rPr>
                <w:rFonts w:hint="eastAsia"/>
              </w:rPr>
              <w:t>、</w:t>
            </w:r>
            <w:r>
              <w:rPr>
                <w:rFonts w:hint="eastAsia"/>
                <w:lang w:val="en-US" w:eastAsia="zh-CN"/>
              </w:rPr>
              <w:t>白桦、</w:t>
            </w:r>
            <w:r>
              <w:rPr>
                <w:rFonts w:hint="eastAsia"/>
              </w:rPr>
              <w:t>灌木丛和草本植被，无大型林木存在，耕地种植作物为玉米。</w:t>
            </w:r>
          </w:p>
          <w:p w14:paraId="76C6AC8C">
            <w:pPr>
              <w:pStyle w:val="53"/>
              <w:ind w:firstLine="480"/>
            </w:pPr>
            <w:r>
              <w:rPr>
                <w:rFonts w:hint="eastAsia"/>
              </w:rPr>
              <w:t>③野生</w:t>
            </w:r>
            <w:r>
              <w:t>动物资源</w:t>
            </w:r>
          </w:p>
          <w:p w14:paraId="3ED68141">
            <w:pPr>
              <w:pStyle w:val="53"/>
              <w:ind w:firstLine="480"/>
            </w:pPr>
            <w:r>
              <w:rPr>
                <w:rFonts w:hint="eastAsia"/>
              </w:rPr>
              <w:t>通过走访</w:t>
            </w:r>
            <w:r>
              <w:t>当地</w:t>
            </w:r>
            <w:r>
              <w:rPr>
                <w:rFonts w:hint="eastAsia"/>
              </w:rPr>
              <w:t>自然</w:t>
            </w:r>
            <w:r>
              <w:t>资源局、</w:t>
            </w:r>
            <w:r>
              <w:rPr>
                <w:rFonts w:hint="eastAsia"/>
              </w:rPr>
              <w:t>收集资料、</w:t>
            </w:r>
            <w:r>
              <w:t>现场调查</w:t>
            </w:r>
            <w:r>
              <w:rPr>
                <w:rFonts w:hint="eastAsia"/>
              </w:rPr>
              <w:t>等途径对项目所在区域野生动物进行了调查，</w:t>
            </w:r>
            <w:r>
              <w:t>项目所在区域不存在大中型兽类，但小型野生动物如田鼠、野兔等常可见到；林栖鸟类麻雀、乌鸦等分布较广泛，迁徙性</w:t>
            </w:r>
            <w:r>
              <w:rPr>
                <w:rFonts w:hint="eastAsia"/>
                <w:lang w:eastAsia="zh-CN"/>
              </w:rPr>
              <w:t>候鸟</w:t>
            </w:r>
            <w:r>
              <w:t>相对较多</w:t>
            </w:r>
            <w:r>
              <w:rPr>
                <w:rFonts w:hint="eastAsia"/>
              </w:rPr>
              <w:t>。区域</w:t>
            </w:r>
            <w:r>
              <w:t>野生动物资源较少，种类、数量有限，项目所在区域植物群落简单，并且由于人类活动的干扰，因而动物</w:t>
            </w:r>
            <w:r>
              <w:rPr>
                <w:rFonts w:hint="eastAsia"/>
              </w:rPr>
              <w:t>种类</w:t>
            </w:r>
            <w:r>
              <w:t>相对简单，</w:t>
            </w:r>
            <w:r>
              <w:rPr>
                <w:rFonts w:hint="eastAsia"/>
              </w:rPr>
              <w:t>区域</w:t>
            </w:r>
            <w:r>
              <w:t>多为常见动物物种，多为</w:t>
            </w:r>
            <w:r>
              <w:rPr>
                <w:rFonts w:hint="eastAsia"/>
                <w:lang w:eastAsia="zh-CN"/>
              </w:rPr>
              <w:t>栖息</w:t>
            </w:r>
            <w:r>
              <w:t>鸟类和啮齿类动物，野生动物主要有野兔、田鼠、麻雀、乌鸦、猫头鹰、山雀、鹌鹑等</w:t>
            </w:r>
            <w:r>
              <w:rPr>
                <w:rFonts w:hint="eastAsia"/>
              </w:rPr>
              <w:t>，项目区</w:t>
            </w:r>
            <w:r>
              <w:t>没有国家级</w:t>
            </w:r>
            <w:r>
              <w:rPr>
                <w:rFonts w:hint="eastAsia"/>
              </w:rPr>
              <w:t>、</w:t>
            </w:r>
            <w:r>
              <w:t>省级重点保护的野生动物</w:t>
            </w:r>
            <w:r>
              <w:rPr>
                <w:rFonts w:hint="eastAsia"/>
              </w:rPr>
              <w:t>及其</w:t>
            </w:r>
            <w:r>
              <w:t>栖息地分布。</w:t>
            </w:r>
          </w:p>
          <w:p w14:paraId="2E631462">
            <w:pPr>
              <w:pStyle w:val="53"/>
              <w:ind w:firstLine="480"/>
            </w:pPr>
            <w:r>
              <w:t>2、环境空气质量</w:t>
            </w:r>
          </w:p>
          <w:p w14:paraId="2A11AD26">
            <w:pPr>
              <w:pStyle w:val="53"/>
              <w:ind w:firstLine="480"/>
            </w:pPr>
            <w:r>
              <w:t>（1）常规污染物</w:t>
            </w:r>
          </w:p>
          <w:p w14:paraId="0EDC6C69">
            <w:pPr>
              <w:pStyle w:val="53"/>
              <w:ind w:firstLine="480"/>
              <w:rPr>
                <w:rFonts w:hint="eastAsia" w:eastAsia="宋体"/>
                <w:color w:val="auto"/>
                <w:highlight w:val="none"/>
                <w:lang w:eastAsia="zh-CN"/>
              </w:rPr>
            </w:pPr>
            <w:r>
              <w:rPr>
                <w:color w:val="auto"/>
                <w:highlight w:val="none"/>
              </w:rPr>
              <w:t>根据《</w:t>
            </w:r>
            <w:r>
              <w:rPr>
                <w:rFonts w:hint="eastAsia"/>
                <w:color w:val="auto"/>
                <w:highlight w:val="none"/>
                <w:lang w:eastAsia="zh-CN"/>
              </w:rPr>
              <w:t>202</w:t>
            </w:r>
            <w:r>
              <w:rPr>
                <w:rFonts w:hint="eastAsia"/>
                <w:color w:val="auto"/>
                <w:highlight w:val="none"/>
                <w:lang w:val="en-US" w:eastAsia="zh-CN"/>
              </w:rPr>
              <w:t>5</w:t>
            </w:r>
            <w:r>
              <w:rPr>
                <w:rFonts w:hint="eastAsia"/>
                <w:color w:val="auto"/>
                <w:highlight w:val="none"/>
                <w:lang w:eastAsia="zh-CN"/>
              </w:rPr>
              <w:t>年黑龙江省生态环境质量状况</w:t>
            </w:r>
            <w:r>
              <w:rPr>
                <w:color w:val="auto"/>
                <w:highlight w:val="none"/>
              </w:rPr>
              <w:t>》</w:t>
            </w:r>
            <w:r>
              <w:rPr>
                <w:rFonts w:hint="eastAsia"/>
                <w:color w:val="auto"/>
                <w:highlight w:val="none"/>
                <w:lang w:eastAsia="zh-CN"/>
              </w:rPr>
              <w:t>，202</w:t>
            </w:r>
            <w:r>
              <w:rPr>
                <w:rFonts w:hint="eastAsia"/>
                <w:color w:val="auto"/>
                <w:highlight w:val="none"/>
                <w:lang w:val="en-US" w:eastAsia="zh-CN"/>
              </w:rPr>
              <w:t>5</w:t>
            </w:r>
            <w:r>
              <w:rPr>
                <w:rFonts w:hint="eastAsia"/>
                <w:color w:val="auto"/>
                <w:highlight w:val="none"/>
                <w:lang w:eastAsia="zh-CN"/>
              </w:rPr>
              <w:t>年，全省各项污染物平均浓度均达到二级标准。13个城市中哈尔滨市和绥化市2个城市未达标，超标污染物均为PM</w:t>
            </w:r>
            <w:r>
              <w:rPr>
                <w:rFonts w:hint="eastAsia"/>
                <w:color w:val="auto"/>
                <w:highlight w:val="none"/>
                <w:vertAlign w:val="subscript"/>
                <w:lang w:val="en-US" w:eastAsia="zh-CN"/>
              </w:rPr>
              <w:t>2.5</w:t>
            </w:r>
            <w:r>
              <w:rPr>
                <w:rFonts w:hint="eastAsia"/>
                <w:color w:val="auto"/>
                <w:highlight w:val="none"/>
                <w:lang w:eastAsia="zh-CN"/>
              </w:rPr>
              <w:t>。</w:t>
            </w:r>
            <w:r>
              <w:rPr>
                <w:rFonts w:hint="eastAsia"/>
                <w:color w:val="auto"/>
                <w:highlight w:val="none"/>
                <w:lang w:val="en-US" w:eastAsia="zh-CN"/>
              </w:rPr>
              <w:t>鸡西市</w:t>
            </w:r>
            <w:r>
              <w:rPr>
                <w:rFonts w:hint="eastAsia"/>
                <w:color w:val="auto"/>
                <w:highlight w:val="none"/>
              </w:rPr>
              <w:t>属于</w:t>
            </w:r>
            <w:r>
              <w:rPr>
                <w:color w:val="auto"/>
                <w:highlight w:val="none"/>
              </w:rPr>
              <w:t>环境空气质量达标</w:t>
            </w:r>
            <w:r>
              <w:rPr>
                <w:rFonts w:hint="eastAsia"/>
                <w:color w:val="auto"/>
                <w:highlight w:val="none"/>
              </w:rPr>
              <w:t>区</w:t>
            </w:r>
            <w:r>
              <w:rPr>
                <w:rFonts w:hint="eastAsia"/>
                <w:color w:val="auto"/>
                <w:highlight w:val="none"/>
                <w:lang w:eastAsia="zh-CN"/>
              </w:rPr>
              <w:t>。</w:t>
            </w:r>
          </w:p>
          <w:p w14:paraId="2323C6DF">
            <w:pPr>
              <w:pStyle w:val="53"/>
              <w:ind w:firstLine="480"/>
              <w:rPr>
                <w:rFonts w:hint="default" w:eastAsia="宋体"/>
                <w:color w:val="auto"/>
                <w:highlight w:val="none"/>
                <w:lang w:val="en-US" w:eastAsia="zh-CN"/>
              </w:rPr>
            </w:pPr>
            <w:r>
              <w:rPr>
                <w:color w:val="auto"/>
                <w:highlight w:val="none"/>
              </w:rPr>
              <w:t>根据《</w:t>
            </w:r>
            <w:r>
              <w:rPr>
                <w:rFonts w:hint="eastAsia"/>
                <w:color w:val="auto"/>
                <w:highlight w:val="none"/>
                <w:lang w:eastAsia="zh-CN"/>
              </w:rPr>
              <w:t>202</w:t>
            </w:r>
            <w:r>
              <w:rPr>
                <w:rFonts w:hint="eastAsia"/>
                <w:color w:val="auto"/>
                <w:highlight w:val="none"/>
                <w:lang w:val="en-US" w:eastAsia="zh-CN"/>
              </w:rPr>
              <w:t>5</w:t>
            </w:r>
            <w:r>
              <w:rPr>
                <w:rFonts w:hint="eastAsia"/>
                <w:color w:val="auto"/>
                <w:highlight w:val="none"/>
                <w:lang w:eastAsia="zh-CN"/>
              </w:rPr>
              <w:t>年黑龙江省生态环境质量状况</w:t>
            </w:r>
            <w:r>
              <w:rPr>
                <w:color w:val="auto"/>
                <w:highlight w:val="none"/>
              </w:rPr>
              <w:t>》数据，鸡西市202</w:t>
            </w:r>
            <w:r>
              <w:rPr>
                <w:rFonts w:hint="eastAsia"/>
                <w:color w:val="auto"/>
                <w:highlight w:val="none"/>
                <w:lang w:val="en-US" w:eastAsia="zh-CN"/>
              </w:rPr>
              <w:t>4</w:t>
            </w:r>
            <w:r>
              <w:rPr>
                <w:color w:val="auto"/>
                <w:highlight w:val="none"/>
              </w:rPr>
              <w:t>年空气质量级别达到二级标准</w:t>
            </w:r>
            <w:r>
              <w:rPr>
                <w:rFonts w:hint="eastAsia"/>
                <w:color w:val="auto"/>
                <w:highlight w:val="none"/>
              </w:rPr>
              <w:t>，达标天数为3</w:t>
            </w:r>
            <w:r>
              <w:rPr>
                <w:rFonts w:hint="eastAsia"/>
                <w:color w:val="auto"/>
                <w:highlight w:val="none"/>
                <w:lang w:val="en-US" w:eastAsia="zh-CN"/>
              </w:rPr>
              <w:t>50</w:t>
            </w:r>
            <w:r>
              <w:rPr>
                <w:color w:val="auto"/>
                <w:highlight w:val="none"/>
              </w:rPr>
              <w:t>天（</w:t>
            </w:r>
            <w:r>
              <w:rPr>
                <w:rFonts w:hint="eastAsia"/>
                <w:color w:val="auto"/>
                <w:highlight w:val="none"/>
                <w:lang w:val="en-US" w:eastAsia="zh-CN"/>
              </w:rPr>
              <w:t>95.9</w:t>
            </w:r>
            <w:r>
              <w:rPr>
                <w:color w:val="auto"/>
                <w:highlight w:val="none"/>
              </w:rPr>
              <w:t>%）</w:t>
            </w:r>
            <w:r>
              <w:rPr>
                <w:rFonts w:hint="eastAsia"/>
                <w:color w:val="auto"/>
                <w:highlight w:val="none"/>
              </w:rPr>
              <w:t>。</w:t>
            </w:r>
            <w:r>
              <w:rPr>
                <w:color w:val="auto"/>
                <w:highlight w:val="none"/>
              </w:rPr>
              <w:t>PM</w:t>
            </w:r>
            <w:r>
              <w:rPr>
                <w:color w:val="auto"/>
                <w:highlight w:val="none"/>
                <w:vertAlign w:val="subscript"/>
              </w:rPr>
              <w:t>2.5</w:t>
            </w:r>
            <w:r>
              <w:rPr>
                <w:color w:val="auto"/>
                <w:highlight w:val="none"/>
              </w:rPr>
              <w:t>、PM</w:t>
            </w:r>
            <w:r>
              <w:rPr>
                <w:color w:val="auto"/>
                <w:highlight w:val="none"/>
                <w:vertAlign w:val="subscript"/>
              </w:rPr>
              <w:t>10</w:t>
            </w:r>
            <w:r>
              <w:rPr>
                <w:color w:val="auto"/>
                <w:highlight w:val="none"/>
              </w:rPr>
              <w:t>、SO</w:t>
            </w:r>
            <w:r>
              <w:rPr>
                <w:color w:val="auto"/>
                <w:highlight w:val="none"/>
                <w:vertAlign w:val="subscript"/>
              </w:rPr>
              <w:t>2</w:t>
            </w:r>
            <w:r>
              <w:rPr>
                <w:color w:val="auto"/>
                <w:highlight w:val="none"/>
              </w:rPr>
              <w:t>、NO</w:t>
            </w:r>
            <w:r>
              <w:rPr>
                <w:color w:val="auto"/>
                <w:highlight w:val="none"/>
                <w:vertAlign w:val="subscript"/>
              </w:rPr>
              <w:t>2</w:t>
            </w:r>
            <w:r>
              <w:rPr>
                <w:color w:val="auto"/>
                <w:highlight w:val="none"/>
              </w:rPr>
              <w:t>、CO-95</w:t>
            </w:r>
            <w:r>
              <w:rPr>
                <w:rFonts w:hint="eastAsia"/>
                <w:color w:val="auto"/>
                <w:highlight w:val="none"/>
              </w:rPr>
              <w:t>per、O</w:t>
            </w:r>
            <w:r>
              <w:rPr>
                <w:color w:val="auto"/>
                <w:highlight w:val="none"/>
                <w:vertAlign w:val="subscript"/>
              </w:rPr>
              <w:t>3</w:t>
            </w:r>
            <w:r>
              <w:rPr>
                <w:color w:val="auto"/>
                <w:highlight w:val="none"/>
              </w:rPr>
              <w:t>-8</w:t>
            </w:r>
            <w:r>
              <w:rPr>
                <w:rFonts w:hint="eastAsia"/>
                <w:color w:val="auto"/>
                <w:highlight w:val="none"/>
              </w:rPr>
              <w:t>h</w:t>
            </w:r>
            <w:r>
              <w:rPr>
                <w:color w:val="auto"/>
                <w:highlight w:val="none"/>
              </w:rPr>
              <w:t>-90</w:t>
            </w:r>
            <w:r>
              <w:rPr>
                <w:rFonts w:hint="eastAsia"/>
                <w:color w:val="auto"/>
                <w:highlight w:val="none"/>
              </w:rPr>
              <w:t>per</w:t>
            </w:r>
            <w:r>
              <w:rPr>
                <w:color w:val="auto"/>
                <w:highlight w:val="none"/>
              </w:rPr>
              <w:t>年均浓度分别为2</w:t>
            </w:r>
            <w:r>
              <w:rPr>
                <w:rFonts w:hint="eastAsia"/>
                <w:color w:val="auto"/>
                <w:highlight w:val="none"/>
                <w:lang w:val="en-US" w:eastAsia="zh-CN"/>
              </w:rPr>
              <w:t>6</w:t>
            </w:r>
            <w:r>
              <w:rPr>
                <w:color w:val="auto"/>
                <w:highlight w:val="none"/>
              </w:rPr>
              <w:t>ug/m</w:t>
            </w:r>
            <w:r>
              <w:rPr>
                <w:color w:val="auto"/>
                <w:highlight w:val="none"/>
                <w:vertAlign w:val="superscript"/>
              </w:rPr>
              <w:t>3</w:t>
            </w:r>
            <w:r>
              <w:rPr>
                <w:color w:val="auto"/>
                <w:highlight w:val="none"/>
              </w:rPr>
              <w:t>、</w:t>
            </w:r>
            <w:r>
              <w:rPr>
                <w:rFonts w:hint="eastAsia"/>
                <w:color w:val="auto"/>
                <w:highlight w:val="none"/>
                <w:lang w:val="en-US" w:eastAsia="zh-CN"/>
              </w:rPr>
              <w:t>43</w:t>
            </w:r>
            <w:r>
              <w:rPr>
                <w:color w:val="auto"/>
                <w:highlight w:val="none"/>
              </w:rPr>
              <w:t>ug/m</w:t>
            </w:r>
            <w:r>
              <w:rPr>
                <w:color w:val="auto"/>
                <w:highlight w:val="none"/>
                <w:vertAlign w:val="superscript"/>
              </w:rPr>
              <w:t>3</w:t>
            </w:r>
            <w:r>
              <w:rPr>
                <w:color w:val="auto"/>
                <w:highlight w:val="none"/>
              </w:rPr>
              <w:t>、8ug/m</w:t>
            </w:r>
            <w:r>
              <w:rPr>
                <w:color w:val="auto"/>
                <w:highlight w:val="none"/>
                <w:vertAlign w:val="superscript"/>
              </w:rPr>
              <w:t>3</w:t>
            </w:r>
            <w:r>
              <w:rPr>
                <w:color w:val="auto"/>
                <w:highlight w:val="none"/>
              </w:rPr>
              <w:t>、</w:t>
            </w:r>
            <w:r>
              <w:rPr>
                <w:rFonts w:hint="eastAsia"/>
                <w:color w:val="auto"/>
                <w:highlight w:val="none"/>
                <w:lang w:val="en-US" w:eastAsia="zh-CN"/>
              </w:rPr>
              <w:t>17</w:t>
            </w:r>
            <w:r>
              <w:rPr>
                <w:color w:val="auto"/>
                <w:highlight w:val="none"/>
              </w:rPr>
              <w:t>ug/m</w:t>
            </w:r>
            <w:r>
              <w:rPr>
                <w:color w:val="auto"/>
                <w:highlight w:val="none"/>
                <w:vertAlign w:val="superscript"/>
              </w:rPr>
              <w:t>3</w:t>
            </w:r>
            <w:r>
              <w:rPr>
                <w:rFonts w:hint="eastAsia"/>
                <w:color w:val="auto"/>
                <w:highlight w:val="none"/>
              </w:rPr>
              <w:t>、</w:t>
            </w:r>
            <w:r>
              <w:rPr>
                <w:rFonts w:hint="eastAsia"/>
                <w:color w:val="auto"/>
                <w:highlight w:val="none"/>
                <w:lang w:val="en-US" w:eastAsia="zh-CN"/>
              </w:rPr>
              <w:t>0.9</w:t>
            </w:r>
            <w:r>
              <w:rPr>
                <w:rFonts w:hint="eastAsia"/>
                <w:color w:val="auto"/>
                <w:highlight w:val="none"/>
              </w:rPr>
              <w:t>m</w:t>
            </w:r>
            <w:r>
              <w:rPr>
                <w:color w:val="auto"/>
                <w:highlight w:val="none"/>
              </w:rPr>
              <w:t>g/m</w:t>
            </w:r>
            <w:r>
              <w:rPr>
                <w:color w:val="auto"/>
                <w:highlight w:val="none"/>
                <w:vertAlign w:val="superscript"/>
              </w:rPr>
              <w:t>3</w:t>
            </w:r>
            <w:r>
              <w:rPr>
                <w:rFonts w:hint="eastAsia"/>
                <w:color w:val="auto"/>
                <w:highlight w:val="none"/>
              </w:rPr>
              <w:t>、</w:t>
            </w:r>
            <w:r>
              <w:rPr>
                <w:rFonts w:hint="eastAsia"/>
                <w:color w:val="auto"/>
                <w:highlight w:val="none"/>
                <w:lang w:val="en-US" w:eastAsia="zh-CN"/>
              </w:rPr>
              <w:t>115</w:t>
            </w:r>
            <w:r>
              <w:rPr>
                <w:color w:val="auto"/>
                <w:highlight w:val="none"/>
              </w:rPr>
              <w:t>ug/m</w:t>
            </w:r>
            <w:r>
              <w:rPr>
                <w:color w:val="auto"/>
                <w:highlight w:val="none"/>
                <w:vertAlign w:val="superscript"/>
              </w:rPr>
              <w:t>3</w:t>
            </w:r>
            <w:r>
              <w:rPr>
                <w:color w:val="auto"/>
                <w:highlight w:val="none"/>
              </w:rPr>
              <w:t>；各污染物平均浓度均优于《环境空气质量标准》（GB3095-2012）中二级标准限值</w:t>
            </w:r>
            <w:r>
              <w:rPr>
                <w:rFonts w:hint="eastAsia"/>
                <w:color w:val="auto"/>
                <w:highlight w:val="none"/>
                <w:lang w:eastAsia="zh-CN"/>
              </w:rPr>
              <w:t>。</w:t>
            </w:r>
            <w:r>
              <w:rPr>
                <w:rFonts w:hint="eastAsia"/>
                <w:color w:val="auto"/>
                <w:highlight w:val="none"/>
                <w:lang w:val="en-US" w:eastAsia="zh-CN"/>
              </w:rPr>
              <w:t>同时也优于</w:t>
            </w:r>
            <w:r>
              <w:rPr>
                <w:snapToGrid w:val="0"/>
              </w:rPr>
              <w:t>《环境空气质量标准》(GB3095-20</w:t>
            </w:r>
            <w:r>
              <w:rPr>
                <w:rFonts w:hint="eastAsia"/>
                <w:snapToGrid w:val="0"/>
                <w:lang w:val="en-US" w:eastAsia="zh-CN"/>
              </w:rPr>
              <w:t>26</w:t>
            </w:r>
            <w:r>
              <w:rPr>
                <w:snapToGrid w:val="0"/>
              </w:rPr>
              <w:t>)</w:t>
            </w:r>
            <w:r>
              <w:rPr>
                <w:rFonts w:hint="eastAsia"/>
                <w:snapToGrid w:val="0"/>
                <w:lang w:val="en-US" w:eastAsia="zh-CN"/>
              </w:rPr>
              <w:t>中表1过渡阶段二级浓度限值。</w:t>
            </w:r>
          </w:p>
          <w:p w14:paraId="554ECAB7">
            <w:pPr>
              <w:pStyle w:val="74"/>
              <w:bidi w:val="0"/>
            </w:pPr>
            <w:r>
              <w:t>表3-</w:t>
            </w:r>
            <w:r>
              <w:rPr>
                <w:rFonts w:hint="eastAsia"/>
                <w:lang w:val="en-US" w:eastAsia="zh-CN"/>
              </w:rPr>
              <w:t>1</w:t>
            </w:r>
            <w:r>
              <w:t xml:space="preserve">  环境空气质量统计表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3056"/>
              <w:gridCol w:w="1144"/>
              <w:gridCol w:w="1144"/>
              <w:gridCol w:w="1115"/>
              <w:gridCol w:w="755"/>
            </w:tblGrid>
            <w:tr w14:paraId="0D5D7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5D1DA4C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0" w:type="auto"/>
                  <w:noWrap w:val="0"/>
                  <w:vAlign w:val="center"/>
                </w:tcPr>
                <w:p w14:paraId="0563315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年评价指标</w:t>
                  </w:r>
                </w:p>
              </w:tc>
              <w:tc>
                <w:tcPr>
                  <w:tcW w:w="0" w:type="auto"/>
                  <w:noWrap w:val="0"/>
                  <w:vAlign w:val="center"/>
                </w:tcPr>
                <w:p w14:paraId="25C037B6">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现状浓度</w:t>
                  </w:r>
                </w:p>
                <w:p w14:paraId="45A346C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0" w:type="auto"/>
                  <w:noWrap w:val="0"/>
                  <w:vAlign w:val="center"/>
                </w:tcPr>
                <w:p w14:paraId="6F61CB1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p w14:paraId="126C274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1115" w:type="dxa"/>
                  <w:noWrap w:val="0"/>
                  <w:vAlign w:val="center"/>
                </w:tcPr>
                <w:p w14:paraId="7D87127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占标率</w:t>
                  </w:r>
                </w:p>
                <w:p w14:paraId="4990CBD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755" w:type="dxa"/>
                  <w:noWrap w:val="0"/>
                  <w:vAlign w:val="center"/>
                </w:tcPr>
                <w:p w14:paraId="62F39C0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达标情况</w:t>
                  </w:r>
                </w:p>
              </w:tc>
            </w:tr>
            <w:tr w14:paraId="69546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4877C73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0" w:type="auto"/>
                  <w:noWrap w:val="0"/>
                  <w:vAlign w:val="center"/>
                </w:tcPr>
                <w:p w14:paraId="4FFC6A5E">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0" w:type="auto"/>
                  <w:noWrap w:val="0"/>
                  <w:vAlign w:val="center"/>
                </w:tcPr>
                <w:p w14:paraId="62CCFB2F">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6</w:t>
                  </w:r>
                </w:p>
              </w:tc>
              <w:tc>
                <w:tcPr>
                  <w:tcW w:w="0" w:type="auto"/>
                  <w:noWrap w:val="0"/>
                  <w:vAlign w:val="center"/>
                </w:tcPr>
                <w:p w14:paraId="7E6626AE">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p>
              </w:tc>
              <w:tc>
                <w:tcPr>
                  <w:tcW w:w="1115" w:type="dxa"/>
                  <w:noWrap w:val="0"/>
                  <w:vAlign w:val="center"/>
                </w:tcPr>
                <w:p w14:paraId="48F0D8B9">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74.29</w:t>
                  </w:r>
                </w:p>
              </w:tc>
              <w:tc>
                <w:tcPr>
                  <w:tcW w:w="755" w:type="dxa"/>
                  <w:noWrap w:val="0"/>
                  <w:vAlign w:val="center"/>
                </w:tcPr>
                <w:p w14:paraId="690A84E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18551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2506C9A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0" w:type="auto"/>
                  <w:noWrap w:val="0"/>
                  <w:vAlign w:val="center"/>
                </w:tcPr>
                <w:p w14:paraId="27CCCB57">
                  <w:pPr>
                    <w:pStyle w:val="90"/>
                    <w:autoSpaceDE w:val="0"/>
                    <w:autoSpaceDN w:val="0"/>
                    <w:snapToGrid w:val="0"/>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0" w:type="auto"/>
                  <w:noWrap w:val="0"/>
                  <w:vAlign w:val="center"/>
                </w:tcPr>
                <w:p w14:paraId="7521021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3</w:t>
                  </w:r>
                </w:p>
              </w:tc>
              <w:tc>
                <w:tcPr>
                  <w:tcW w:w="0" w:type="auto"/>
                  <w:noWrap w:val="0"/>
                  <w:vAlign w:val="center"/>
                </w:tcPr>
                <w:p w14:paraId="682D8B1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1115" w:type="dxa"/>
                  <w:noWrap w:val="0"/>
                  <w:vAlign w:val="center"/>
                </w:tcPr>
                <w:p w14:paraId="5DAFA56D">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61.43</w:t>
                  </w:r>
                </w:p>
              </w:tc>
              <w:tc>
                <w:tcPr>
                  <w:tcW w:w="755" w:type="dxa"/>
                  <w:noWrap w:val="0"/>
                  <w:vAlign w:val="center"/>
                </w:tcPr>
                <w:p w14:paraId="414F9D0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59D0E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27F7C71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0" w:type="auto"/>
                  <w:noWrap w:val="0"/>
                  <w:vAlign w:val="center"/>
                </w:tcPr>
                <w:p w14:paraId="167D472A">
                  <w:pPr>
                    <w:pStyle w:val="90"/>
                    <w:autoSpaceDE w:val="0"/>
                    <w:autoSpaceDN w:val="0"/>
                    <w:snapToGrid w:val="0"/>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0" w:type="auto"/>
                  <w:noWrap w:val="0"/>
                  <w:vAlign w:val="center"/>
                </w:tcPr>
                <w:p w14:paraId="5D69FBF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17</w:t>
                  </w:r>
                </w:p>
              </w:tc>
              <w:tc>
                <w:tcPr>
                  <w:tcW w:w="0" w:type="auto"/>
                  <w:noWrap w:val="0"/>
                  <w:vAlign w:val="center"/>
                </w:tcPr>
                <w:p w14:paraId="08CE9EA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1115" w:type="dxa"/>
                  <w:noWrap w:val="0"/>
                  <w:vAlign w:val="center"/>
                </w:tcPr>
                <w:p w14:paraId="69388982">
                  <w:pPr>
                    <w:keepNext w:val="0"/>
                    <w:keepLines w:val="0"/>
                    <w:widowControl/>
                    <w:suppressLineNumbers w:val="0"/>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42.50 </w:t>
                  </w:r>
                </w:p>
              </w:tc>
              <w:tc>
                <w:tcPr>
                  <w:tcW w:w="755" w:type="dxa"/>
                  <w:noWrap w:val="0"/>
                  <w:vAlign w:val="center"/>
                </w:tcPr>
                <w:p w14:paraId="3D1E095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EE89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37BBB9E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0" w:type="auto"/>
                  <w:noWrap w:val="0"/>
                  <w:vAlign w:val="center"/>
                </w:tcPr>
                <w:p w14:paraId="3E127FAC">
                  <w:pPr>
                    <w:pStyle w:val="90"/>
                    <w:autoSpaceDE w:val="0"/>
                    <w:autoSpaceDN w:val="0"/>
                    <w:snapToGrid w:val="0"/>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0" w:type="auto"/>
                  <w:noWrap w:val="0"/>
                  <w:vAlign w:val="center"/>
                </w:tcPr>
                <w:p w14:paraId="1BD6B2C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0" w:type="auto"/>
                  <w:noWrap w:val="0"/>
                  <w:vAlign w:val="center"/>
                </w:tcPr>
                <w:p w14:paraId="4122E9E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1115" w:type="dxa"/>
                  <w:noWrap w:val="0"/>
                  <w:vAlign w:val="center"/>
                </w:tcPr>
                <w:p w14:paraId="01655086">
                  <w:pPr>
                    <w:keepNext w:val="0"/>
                    <w:keepLines w:val="0"/>
                    <w:widowControl/>
                    <w:suppressLineNumbers w:val="0"/>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13.33 </w:t>
                  </w:r>
                </w:p>
              </w:tc>
              <w:tc>
                <w:tcPr>
                  <w:tcW w:w="755" w:type="dxa"/>
                  <w:noWrap w:val="0"/>
                  <w:vAlign w:val="center"/>
                </w:tcPr>
                <w:p w14:paraId="3CC0CDFF">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941B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28A2675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0" w:type="auto"/>
                  <w:noWrap w:val="0"/>
                  <w:vAlign w:val="center"/>
                </w:tcPr>
                <w:p w14:paraId="3A002ABB">
                  <w:pPr>
                    <w:pStyle w:val="90"/>
                    <w:autoSpaceDE w:val="0"/>
                    <w:autoSpaceDN w:val="0"/>
                    <w:snapToGrid w:val="0"/>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第95百分位数日平均浓度（mg/m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0" w:type="auto"/>
                  <w:noWrap w:val="0"/>
                  <w:vAlign w:val="center"/>
                </w:tcPr>
                <w:p w14:paraId="12B4C86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w:t>
                  </w:r>
                </w:p>
              </w:tc>
              <w:tc>
                <w:tcPr>
                  <w:tcW w:w="0" w:type="auto"/>
                  <w:noWrap w:val="0"/>
                  <w:vAlign w:val="center"/>
                </w:tcPr>
                <w:p w14:paraId="569A956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1115" w:type="dxa"/>
                  <w:noWrap w:val="0"/>
                  <w:vAlign w:val="center"/>
                </w:tcPr>
                <w:p w14:paraId="370681A3">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rPr>
                  </w:pPr>
                  <w:r>
                    <w:rPr>
                      <w:rFonts w:hint="eastAsia" w:cs="Times New Roman"/>
                      <w:i w:val="0"/>
                      <w:iCs w:val="0"/>
                      <w:color w:val="auto"/>
                      <w:kern w:val="0"/>
                      <w:sz w:val="21"/>
                      <w:szCs w:val="21"/>
                      <w:highlight w:val="none"/>
                      <w:u w:val="none"/>
                      <w:lang w:val="en-US" w:eastAsia="zh-CN" w:bidi="ar"/>
                    </w:rPr>
                    <w:t>22.50</w:t>
                  </w:r>
                </w:p>
              </w:tc>
              <w:tc>
                <w:tcPr>
                  <w:tcW w:w="755" w:type="dxa"/>
                  <w:noWrap w:val="0"/>
                  <w:vAlign w:val="center"/>
                </w:tcPr>
                <w:p w14:paraId="5BE216B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1F15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7084B556">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0" w:type="auto"/>
                  <w:noWrap w:val="0"/>
                  <w:vAlign w:val="center"/>
                </w:tcPr>
                <w:p w14:paraId="2693D4FC">
                  <w:pPr>
                    <w:pStyle w:val="90"/>
                    <w:autoSpaceDE w:val="0"/>
                    <w:autoSpaceDN w:val="0"/>
                    <w:snapToGrid w:val="0"/>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第90百分位数8h平均质量浓度</w:t>
                  </w:r>
                </w:p>
              </w:tc>
              <w:tc>
                <w:tcPr>
                  <w:tcW w:w="0" w:type="auto"/>
                  <w:noWrap w:val="0"/>
                  <w:vAlign w:val="center"/>
                </w:tcPr>
                <w:p w14:paraId="6457D0C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115</w:t>
                  </w:r>
                </w:p>
              </w:tc>
              <w:tc>
                <w:tcPr>
                  <w:tcW w:w="0" w:type="auto"/>
                  <w:noWrap w:val="0"/>
                  <w:vAlign w:val="center"/>
                </w:tcPr>
                <w:p w14:paraId="624862E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1115" w:type="dxa"/>
                  <w:noWrap w:val="0"/>
                  <w:vAlign w:val="center"/>
                </w:tcPr>
                <w:p w14:paraId="70B0FB29">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rPr>
                  </w:pPr>
                  <w:r>
                    <w:rPr>
                      <w:rFonts w:hint="eastAsia" w:cs="Times New Roman"/>
                      <w:i w:val="0"/>
                      <w:iCs w:val="0"/>
                      <w:color w:val="auto"/>
                      <w:kern w:val="0"/>
                      <w:sz w:val="21"/>
                      <w:szCs w:val="21"/>
                      <w:highlight w:val="none"/>
                      <w:u w:val="none"/>
                      <w:lang w:val="en-US" w:eastAsia="zh-CN" w:bidi="ar"/>
                    </w:rPr>
                    <w:t>71.88</w:t>
                  </w:r>
                </w:p>
              </w:tc>
              <w:tc>
                <w:tcPr>
                  <w:tcW w:w="755" w:type="dxa"/>
                  <w:noWrap w:val="0"/>
                  <w:vAlign w:val="center"/>
                </w:tcPr>
                <w:p w14:paraId="46DFF93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1AED45B1">
            <w:pPr>
              <w:pStyle w:val="53"/>
              <w:ind w:firstLine="480"/>
              <w:rPr>
                <w:snapToGrid w:val="0"/>
              </w:rPr>
            </w:pPr>
            <w:r>
              <w:rPr>
                <w:snapToGrid w:val="0"/>
              </w:rPr>
              <w:t>（2）特征污染物</w:t>
            </w:r>
          </w:p>
          <w:p w14:paraId="1B9751F9">
            <w:pPr>
              <w:pStyle w:val="53"/>
              <w:ind w:firstLine="480"/>
              <w:rPr>
                <w:snapToGrid w:val="0"/>
              </w:rPr>
            </w:pPr>
            <w:r>
              <w:rPr>
                <w:snapToGrid w:val="0"/>
              </w:rPr>
              <w:t>本项目排放的特征污染物</w:t>
            </w:r>
            <w:r>
              <w:rPr>
                <w:rFonts w:hint="eastAsia"/>
                <w:snapToGrid w:val="0"/>
              </w:rPr>
              <w:t>为T</w:t>
            </w:r>
            <w:r>
              <w:rPr>
                <w:snapToGrid w:val="0"/>
              </w:rPr>
              <w:t>SP，现状由</w:t>
            </w:r>
            <w:r>
              <w:rPr>
                <w:rFonts w:hint="eastAsia"/>
                <w:snapToGrid w:val="0"/>
              </w:rPr>
              <w:t>鸡西晟源环境</w:t>
            </w:r>
            <w:r>
              <w:rPr>
                <w:snapToGrid w:val="0"/>
              </w:rPr>
              <w:t>检测有限公司</w:t>
            </w:r>
            <w:r>
              <w:t>202</w:t>
            </w:r>
            <w:r>
              <w:rPr>
                <w:rFonts w:hint="eastAsia"/>
                <w:lang w:val="en-US" w:eastAsia="zh-CN"/>
              </w:rPr>
              <w:t>5</w:t>
            </w:r>
            <w:r>
              <w:t>年</w:t>
            </w:r>
            <w:r>
              <w:rPr>
                <w:rFonts w:hint="eastAsia"/>
                <w:lang w:val="en-US" w:eastAsia="zh-CN"/>
              </w:rPr>
              <w:t>3</w:t>
            </w:r>
            <w:r>
              <w:t>月</w:t>
            </w:r>
            <w:r>
              <w:rPr>
                <w:rFonts w:hint="eastAsia"/>
                <w:lang w:val="en-US" w:eastAsia="zh-CN"/>
              </w:rPr>
              <w:t>4</w:t>
            </w:r>
            <w:r>
              <w:t>日</w:t>
            </w:r>
            <w:r>
              <w:rPr>
                <w:rFonts w:hint="eastAsia"/>
                <w:lang w:eastAsia="zh-CN"/>
              </w:rPr>
              <w:t>—</w:t>
            </w:r>
            <w:r>
              <w:rPr>
                <w:rFonts w:hint="eastAsia"/>
                <w:lang w:val="en-US" w:eastAsia="zh-CN"/>
              </w:rPr>
              <w:t>6</w:t>
            </w:r>
            <w:r>
              <w:t>日</w:t>
            </w:r>
            <w:r>
              <w:rPr>
                <w:snapToGrid w:val="0"/>
              </w:rPr>
              <w:t>进行的现状监测。</w:t>
            </w:r>
          </w:p>
          <w:p w14:paraId="1730798D">
            <w:pPr>
              <w:pStyle w:val="53"/>
              <w:ind w:firstLine="480"/>
              <w:rPr>
                <w:snapToGrid w:val="0"/>
              </w:rPr>
            </w:pPr>
            <w:r>
              <w:rPr>
                <w:rFonts w:hint="eastAsia" w:ascii="宋体" w:hAnsi="宋体" w:cs="宋体"/>
                <w:snapToGrid w:val="0"/>
              </w:rPr>
              <w:t>①</w:t>
            </w:r>
            <w:r>
              <w:rPr>
                <w:snapToGrid w:val="0"/>
              </w:rPr>
              <w:t>监测点位基本信息</w:t>
            </w:r>
          </w:p>
          <w:p w14:paraId="39B3E3A0">
            <w:pPr>
              <w:pStyle w:val="53"/>
              <w:ind w:firstLine="480"/>
              <w:rPr>
                <w:snapToGrid w:val="0"/>
              </w:rPr>
            </w:pPr>
            <w:r>
              <w:rPr>
                <w:rFonts w:hint="eastAsia"/>
                <w:snapToGrid w:val="0"/>
              </w:rPr>
              <w:t>本次评价在项目厂区下风向进行监测，</w:t>
            </w:r>
            <w:r>
              <w:rPr>
                <w:snapToGrid w:val="0"/>
              </w:rPr>
              <w:t>特征污染物监测点位基本信息见表3-</w:t>
            </w:r>
            <w:r>
              <w:rPr>
                <w:rFonts w:hint="eastAsia"/>
                <w:snapToGrid w:val="0"/>
                <w:lang w:val="en-US" w:eastAsia="zh-CN"/>
              </w:rPr>
              <w:t>2</w:t>
            </w:r>
            <w:r>
              <w:rPr>
                <w:snapToGrid w:val="0"/>
              </w:rPr>
              <w:t>及图3-</w:t>
            </w:r>
            <w:r>
              <w:rPr>
                <w:rFonts w:hint="eastAsia"/>
                <w:snapToGrid w:val="0"/>
                <w:lang w:val="en-US" w:eastAsia="zh-CN"/>
              </w:rPr>
              <w:t>1</w:t>
            </w:r>
            <w:r>
              <w:rPr>
                <w:snapToGrid w:val="0"/>
              </w:rPr>
              <w:t>。</w:t>
            </w:r>
          </w:p>
          <w:p w14:paraId="03F16A42">
            <w:pPr>
              <w:pStyle w:val="74"/>
              <w:bidi w:val="0"/>
            </w:pPr>
            <w:r>
              <w:t>表3-</w:t>
            </w:r>
            <w:r>
              <w:rPr>
                <w:rFonts w:hint="eastAsia"/>
                <w:lang w:val="en-US" w:eastAsia="zh-CN"/>
              </w:rPr>
              <w:t>2</w:t>
            </w:r>
            <w:r>
              <w:t xml:space="preserve">  特征污染物监测点位基本信息表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315"/>
              <w:gridCol w:w="1424"/>
              <w:gridCol w:w="1319"/>
              <w:gridCol w:w="944"/>
              <w:gridCol w:w="1053"/>
              <w:gridCol w:w="676"/>
              <w:gridCol w:w="873"/>
            </w:tblGrid>
            <w:tr w14:paraId="2D061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54" w:type="pct"/>
                  <w:vMerge w:val="restart"/>
                  <w:vAlign w:val="center"/>
                </w:tcPr>
                <w:p w14:paraId="4056096E">
                  <w:pPr>
                    <w:pStyle w:val="70"/>
                  </w:pPr>
                  <w:r>
                    <w:t>序号</w:t>
                  </w:r>
                </w:p>
              </w:tc>
              <w:tc>
                <w:tcPr>
                  <w:tcW w:w="835" w:type="pct"/>
                  <w:vMerge w:val="restart"/>
                  <w:vAlign w:val="center"/>
                </w:tcPr>
                <w:p w14:paraId="3FB49721">
                  <w:pPr>
                    <w:pStyle w:val="70"/>
                  </w:pPr>
                  <w:r>
                    <w:t>监测点名称</w:t>
                  </w:r>
                </w:p>
              </w:tc>
              <w:tc>
                <w:tcPr>
                  <w:tcW w:w="1639" w:type="pct"/>
                  <w:gridSpan w:val="2"/>
                  <w:vAlign w:val="center"/>
                </w:tcPr>
                <w:p w14:paraId="0E16A27C">
                  <w:pPr>
                    <w:pStyle w:val="70"/>
                  </w:pPr>
                  <w:r>
                    <w:t>监测点位坐标</w:t>
                  </w:r>
                </w:p>
              </w:tc>
              <w:tc>
                <w:tcPr>
                  <w:tcW w:w="604" w:type="pct"/>
                  <w:vMerge w:val="restart"/>
                  <w:vAlign w:val="center"/>
                </w:tcPr>
                <w:p w14:paraId="15642C31">
                  <w:pPr>
                    <w:pStyle w:val="70"/>
                  </w:pPr>
                  <w:r>
                    <w:t>监测</w:t>
                  </w:r>
                </w:p>
                <w:p w14:paraId="3F000FAB">
                  <w:pPr>
                    <w:pStyle w:val="70"/>
                  </w:pPr>
                  <w:r>
                    <w:t>因子</w:t>
                  </w:r>
                </w:p>
              </w:tc>
              <w:tc>
                <w:tcPr>
                  <w:tcW w:w="672" w:type="pct"/>
                  <w:vMerge w:val="restart"/>
                  <w:vAlign w:val="center"/>
                </w:tcPr>
                <w:p w14:paraId="0065F1FC">
                  <w:pPr>
                    <w:pStyle w:val="70"/>
                  </w:pPr>
                  <w:r>
                    <w:t>监测时段</w:t>
                  </w:r>
                </w:p>
              </w:tc>
              <w:tc>
                <w:tcPr>
                  <w:tcW w:w="437" w:type="pct"/>
                  <w:vMerge w:val="restart"/>
                  <w:vAlign w:val="center"/>
                </w:tcPr>
                <w:p w14:paraId="6201025F">
                  <w:pPr>
                    <w:pStyle w:val="70"/>
                  </w:pPr>
                  <w:r>
                    <w:t>相对厂址方位</w:t>
                  </w:r>
                </w:p>
              </w:tc>
              <w:tc>
                <w:tcPr>
                  <w:tcW w:w="560" w:type="pct"/>
                  <w:vMerge w:val="restart"/>
                  <w:vAlign w:val="center"/>
                </w:tcPr>
                <w:p w14:paraId="5BC4EEB2">
                  <w:pPr>
                    <w:pStyle w:val="70"/>
                  </w:pPr>
                  <w:r>
                    <w:t>相对厂界距离/m</w:t>
                  </w:r>
                </w:p>
              </w:tc>
            </w:tr>
            <w:tr w14:paraId="46A75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4" w:type="pct"/>
                  <w:vMerge w:val="continue"/>
                  <w:vAlign w:val="center"/>
                </w:tcPr>
                <w:p w14:paraId="5DE2026D">
                  <w:pPr>
                    <w:pStyle w:val="70"/>
                  </w:pPr>
                </w:p>
              </w:tc>
              <w:tc>
                <w:tcPr>
                  <w:tcW w:w="835" w:type="pct"/>
                  <w:vMerge w:val="continue"/>
                  <w:vAlign w:val="center"/>
                </w:tcPr>
                <w:p w14:paraId="4283EA7C">
                  <w:pPr>
                    <w:pStyle w:val="70"/>
                  </w:pPr>
                </w:p>
              </w:tc>
              <w:tc>
                <w:tcPr>
                  <w:tcW w:w="850" w:type="pct"/>
                  <w:vAlign w:val="center"/>
                </w:tcPr>
                <w:p w14:paraId="59C77D8C">
                  <w:pPr>
                    <w:pStyle w:val="70"/>
                  </w:pPr>
                  <w:r>
                    <w:t>经度</w:t>
                  </w:r>
                </w:p>
              </w:tc>
              <w:tc>
                <w:tcPr>
                  <w:tcW w:w="788" w:type="pct"/>
                  <w:vAlign w:val="center"/>
                </w:tcPr>
                <w:p w14:paraId="55285048">
                  <w:pPr>
                    <w:pStyle w:val="70"/>
                  </w:pPr>
                  <w:r>
                    <w:t>纬度</w:t>
                  </w:r>
                </w:p>
              </w:tc>
              <w:tc>
                <w:tcPr>
                  <w:tcW w:w="604" w:type="pct"/>
                  <w:vMerge w:val="continue"/>
                  <w:vAlign w:val="center"/>
                </w:tcPr>
                <w:p w14:paraId="069CADA1">
                  <w:pPr>
                    <w:pStyle w:val="70"/>
                  </w:pPr>
                </w:p>
              </w:tc>
              <w:tc>
                <w:tcPr>
                  <w:tcW w:w="672" w:type="pct"/>
                  <w:vMerge w:val="continue"/>
                  <w:vAlign w:val="center"/>
                </w:tcPr>
                <w:p w14:paraId="43BDBA4D">
                  <w:pPr>
                    <w:pStyle w:val="70"/>
                  </w:pPr>
                </w:p>
              </w:tc>
              <w:tc>
                <w:tcPr>
                  <w:tcW w:w="437" w:type="pct"/>
                  <w:vMerge w:val="continue"/>
                  <w:vAlign w:val="center"/>
                </w:tcPr>
                <w:p w14:paraId="60A0FA61">
                  <w:pPr>
                    <w:pStyle w:val="70"/>
                  </w:pPr>
                </w:p>
              </w:tc>
              <w:tc>
                <w:tcPr>
                  <w:tcW w:w="560" w:type="pct"/>
                  <w:vMerge w:val="continue"/>
                  <w:vAlign w:val="center"/>
                </w:tcPr>
                <w:p w14:paraId="1AB25659">
                  <w:pPr>
                    <w:pStyle w:val="70"/>
                  </w:pPr>
                </w:p>
              </w:tc>
            </w:tr>
            <w:tr w14:paraId="0D71A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54" w:type="pct"/>
                  <w:vAlign w:val="center"/>
                </w:tcPr>
                <w:p w14:paraId="1CFBA509">
                  <w:pPr>
                    <w:pStyle w:val="70"/>
                  </w:pPr>
                  <w:r>
                    <w:t>1#</w:t>
                  </w:r>
                </w:p>
              </w:tc>
              <w:tc>
                <w:tcPr>
                  <w:tcW w:w="835" w:type="pct"/>
                  <w:vAlign w:val="center"/>
                </w:tcPr>
                <w:p w14:paraId="7CF6FF04">
                  <w:pPr>
                    <w:pStyle w:val="70"/>
                  </w:pPr>
                  <w:r>
                    <w:rPr>
                      <w:rFonts w:hint="eastAsia"/>
                    </w:rPr>
                    <w:t>拟建项目东侧</w:t>
                  </w:r>
                  <w:r>
                    <w:t>100</w:t>
                  </w:r>
                  <w:r>
                    <w:rPr>
                      <w:rFonts w:hint="eastAsia"/>
                    </w:rPr>
                    <w:t>m</w:t>
                  </w:r>
                </w:p>
              </w:tc>
              <w:tc>
                <w:tcPr>
                  <w:tcW w:w="850" w:type="pct"/>
                  <w:vAlign w:val="center"/>
                </w:tcPr>
                <w:p w14:paraId="2AA237DD">
                  <w:pPr>
                    <w:pStyle w:val="70"/>
                  </w:pPr>
                  <w:r>
                    <w:t>130.782301</w:t>
                  </w:r>
                  <w:r>
                    <w:rPr>
                      <w:rFonts w:hint="eastAsia"/>
                    </w:rPr>
                    <w:t>°</w:t>
                  </w:r>
                </w:p>
              </w:tc>
              <w:tc>
                <w:tcPr>
                  <w:tcW w:w="788" w:type="pct"/>
                  <w:vAlign w:val="center"/>
                </w:tcPr>
                <w:p w14:paraId="2C45D30E">
                  <w:pPr>
                    <w:pStyle w:val="70"/>
                  </w:pPr>
                  <w:r>
                    <w:t>45.128963</w:t>
                  </w:r>
                  <w:r>
                    <w:rPr>
                      <w:rFonts w:hint="eastAsia"/>
                    </w:rPr>
                    <w:t>°</w:t>
                  </w:r>
                </w:p>
              </w:tc>
              <w:tc>
                <w:tcPr>
                  <w:tcW w:w="604" w:type="pct"/>
                  <w:vAlign w:val="center"/>
                </w:tcPr>
                <w:p w14:paraId="0DBE9BA7">
                  <w:pPr>
                    <w:pStyle w:val="70"/>
                  </w:pPr>
                  <w:r>
                    <w:rPr>
                      <w:rFonts w:hint="eastAsia"/>
                      <w:snapToGrid w:val="0"/>
                    </w:rPr>
                    <w:t>T</w:t>
                  </w:r>
                  <w:r>
                    <w:rPr>
                      <w:snapToGrid w:val="0"/>
                    </w:rPr>
                    <w:t>SP</w:t>
                  </w:r>
                </w:p>
              </w:tc>
              <w:tc>
                <w:tcPr>
                  <w:tcW w:w="672" w:type="pct"/>
                  <w:vAlign w:val="center"/>
                </w:tcPr>
                <w:p w14:paraId="646607CB">
                  <w:pPr>
                    <w:pStyle w:val="70"/>
                  </w:pPr>
                  <w:r>
                    <w:t>202</w:t>
                  </w:r>
                  <w:r>
                    <w:rPr>
                      <w:rFonts w:hint="eastAsia"/>
                      <w:lang w:val="en-US" w:eastAsia="zh-CN"/>
                    </w:rPr>
                    <w:t>5</w:t>
                  </w:r>
                  <w:r>
                    <w:t>年</w:t>
                  </w:r>
                  <w:r>
                    <w:rPr>
                      <w:rFonts w:hint="eastAsia"/>
                      <w:lang w:val="en-US" w:eastAsia="zh-CN"/>
                    </w:rPr>
                    <w:t>3</w:t>
                  </w:r>
                  <w:r>
                    <w:t>月</w:t>
                  </w:r>
                  <w:r>
                    <w:rPr>
                      <w:rFonts w:hint="eastAsia"/>
                      <w:lang w:val="en-US" w:eastAsia="zh-CN"/>
                    </w:rPr>
                    <w:t>4</w:t>
                  </w:r>
                  <w:r>
                    <w:t>日</w:t>
                  </w:r>
                  <w:r>
                    <w:rPr>
                      <w:rFonts w:hint="eastAsia"/>
                      <w:lang w:eastAsia="zh-CN"/>
                    </w:rPr>
                    <w:t>—</w:t>
                  </w:r>
                  <w:r>
                    <w:rPr>
                      <w:rFonts w:hint="eastAsia"/>
                      <w:lang w:val="en-US" w:eastAsia="zh-CN"/>
                    </w:rPr>
                    <w:t>6</w:t>
                  </w:r>
                  <w:r>
                    <w:t>日</w:t>
                  </w:r>
                </w:p>
              </w:tc>
              <w:tc>
                <w:tcPr>
                  <w:tcW w:w="437" w:type="pct"/>
                  <w:vAlign w:val="center"/>
                </w:tcPr>
                <w:p w14:paraId="3945E471">
                  <w:pPr>
                    <w:pStyle w:val="70"/>
                  </w:pPr>
                  <w:r>
                    <w:rPr>
                      <w:rFonts w:hint="eastAsia"/>
                    </w:rPr>
                    <w:t>东侧</w:t>
                  </w:r>
                </w:p>
              </w:tc>
              <w:tc>
                <w:tcPr>
                  <w:tcW w:w="560" w:type="pct"/>
                  <w:vAlign w:val="center"/>
                </w:tcPr>
                <w:p w14:paraId="495999E4">
                  <w:pPr>
                    <w:pStyle w:val="70"/>
                  </w:pPr>
                  <w:r>
                    <w:t>100</w:t>
                  </w:r>
                </w:p>
              </w:tc>
            </w:tr>
          </w:tbl>
          <w:p w14:paraId="6E95478D">
            <w:pPr>
              <w:keepNext/>
              <w:jc w:val="center"/>
              <w:rPr>
                <w:rFonts w:hint="eastAsia" w:eastAsia="宋体"/>
                <w:lang w:eastAsia="zh-CN"/>
              </w:rPr>
            </w:pPr>
            <w:r>
              <w:rPr>
                <w:rFonts w:hint="eastAsia" w:eastAsia="宋体"/>
                <w:lang w:eastAsia="zh-CN"/>
              </w:rPr>
              <w:drawing>
                <wp:inline distT="0" distB="0" distL="114300" distR="114300">
                  <wp:extent cx="5098415" cy="5224145"/>
                  <wp:effectExtent l="0" t="0" r="6985" b="14605"/>
                  <wp:docPr id="31" name="图片 31" descr="大气监测点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大气监测点副本"/>
                          <pic:cNvPicPr>
                            <a:picLocks noChangeAspect="1"/>
                          </pic:cNvPicPr>
                        </pic:nvPicPr>
                        <pic:blipFill>
                          <a:blip r:embed="rId8"/>
                          <a:stretch>
                            <a:fillRect/>
                          </a:stretch>
                        </pic:blipFill>
                        <pic:spPr>
                          <a:xfrm>
                            <a:off x="0" y="0"/>
                            <a:ext cx="5098415" cy="5224145"/>
                          </a:xfrm>
                          <a:prstGeom prst="rect">
                            <a:avLst/>
                          </a:prstGeom>
                        </pic:spPr>
                      </pic:pic>
                    </a:graphicData>
                  </a:graphic>
                </wp:inline>
              </w:drawing>
            </w:r>
          </w:p>
          <w:p w14:paraId="6FE6F0FE">
            <w:pPr>
              <w:jc w:val="center"/>
              <w:rPr>
                <w:b/>
              </w:rPr>
            </w:pPr>
            <w:r>
              <w:rPr>
                <w:b/>
              </w:rPr>
              <w:t>图3-</w:t>
            </w:r>
            <w:r>
              <w:rPr>
                <w:rFonts w:hint="eastAsia"/>
                <w:b/>
                <w:lang w:val="en-US" w:eastAsia="zh-CN"/>
              </w:rPr>
              <w:t>1</w:t>
            </w:r>
            <w:r>
              <w:rPr>
                <w:b/>
              </w:rPr>
              <w:t xml:space="preserve">  大气监测点位示意图</w:t>
            </w:r>
          </w:p>
          <w:p w14:paraId="09B83B62">
            <w:pPr>
              <w:snapToGrid w:val="0"/>
              <w:spacing w:line="520" w:lineRule="exact"/>
              <w:ind w:firstLine="550"/>
              <w:rPr>
                <w:snapToGrid w:val="0"/>
              </w:rPr>
            </w:pPr>
            <w:r>
              <w:rPr>
                <w:snapToGrid w:val="0"/>
                <w:sz w:val="24"/>
              </w:rPr>
              <w:t>（2）特征污染物环境质量现状监测</w:t>
            </w:r>
          </w:p>
          <w:p w14:paraId="7BCAE2DC">
            <w:pPr>
              <w:snapToGrid w:val="0"/>
              <w:spacing w:line="520" w:lineRule="exact"/>
              <w:ind w:firstLine="550"/>
              <w:rPr>
                <w:snapToGrid w:val="0"/>
                <w:sz w:val="24"/>
              </w:rPr>
            </w:pPr>
            <w:r>
              <w:rPr>
                <w:snapToGrid w:val="0"/>
                <w:sz w:val="24"/>
              </w:rPr>
              <w:t>本项目特征污染物环境质量现状监测结果见表3-</w:t>
            </w:r>
            <w:r>
              <w:rPr>
                <w:rFonts w:hint="eastAsia"/>
                <w:snapToGrid w:val="0"/>
                <w:sz w:val="24"/>
                <w:lang w:val="en-US" w:eastAsia="zh-CN"/>
              </w:rPr>
              <w:t>3</w:t>
            </w:r>
            <w:r>
              <w:rPr>
                <w:snapToGrid w:val="0"/>
                <w:sz w:val="24"/>
              </w:rPr>
              <w:t>。</w:t>
            </w:r>
          </w:p>
          <w:p w14:paraId="316DFDF8">
            <w:pPr>
              <w:pStyle w:val="74"/>
              <w:bidi w:val="0"/>
            </w:pPr>
            <w:r>
              <w:t>表3-</w:t>
            </w:r>
            <w:r>
              <w:rPr>
                <w:rFonts w:hint="eastAsia"/>
                <w:lang w:val="en-US" w:eastAsia="zh-CN"/>
              </w:rPr>
              <w:t>3</w:t>
            </w:r>
            <w:r>
              <w:t xml:space="preserve">  特征污染物环境质量现状（监测结果）表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9"/>
              <w:gridCol w:w="991"/>
              <w:gridCol w:w="1047"/>
              <w:gridCol w:w="957"/>
              <w:gridCol w:w="1325"/>
              <w:gridCol w:w="981"/>
              <w:gridCol w:w="601"/>
              <w:gridCol w:w="719"/>
            </w:tblGrid>
            <w:tr w14:paraId="026ED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9" w:type="dxa"/>
                  <w:vMerge w:val="restart"/>
                  <w:vAlign w:val="center"/>
                </w:tcPr>
                <w:p w14:paraId="63B4EA3C">
                  <w:pPr>
                    <w:pStyle w:val="70"/>
                  </w:pPr>
                  <w:r>
                    <w:t>监测点位</w:t>
                  </w:r>
                </w:p>
              </w:tc>
              <w:tc>
                <w:tcPr>
                  <w:tcW w:w="991" w:type="dxa"/>
                  <w:vMerge w:val="restart"/>
                  <w:vAlign w:val="center"/>
                </w:tcPr>
                <w:p w14:paraId="2E8AE327">
                  <w:pPr>
                    <w:pStyle w:val="70"/>
                  </w:pPr>
                  <w:r>
                    <w:t>污染物</w:t>
                  </w:r>
                </w:p>
              </w:tc>
              <w:tc>
                <w:tcPr>
                  <w:tcW w:w="1047" w:type="dxa"/>
                  <w:vMerge w:val="restart"/>
                  <w:vAlign w:val="center"/>
                </w:tcPr>
                <w:p w14:paraId="21392377">
                  <w:pPr>
                    <w:pStyle w:val="70"/>
                  </w:pPr>
                  <w:r>
                    <w:t>平均时间</w:t>
                  </w:r>
                </w:p>
              </w:tc>
              <w:tc>
                <w:tcPr>
                  <w:tcW w:w="0" w:type="auto"/>
                  <w:vMerge w:val="restart"/>
                  <w:vAlign w:val="center"/>
                </w:tcPr>
                <w:p w14:paraId="28124CF8">
                  <w:pPr>
                    <w:pStyle w:val="70"/>
                  </w:pPr>
                  <w:r>
                    <w:t>评价标准</w:t>
                  </w:r>
                </w:p>
                <w:p w14:paraId="611F9D89">
                  <w:pPr>
                    <w:pStyle w:val="70"/>
                  </w:pPr>
                  <w:r>
                    <w:t>(mg/m</w:t>
                  </w:r>
                  <w:r>
                    <w:rPr>
                      <w:vertAlign w:val="superscript"/>
                    </w:rPr>
                    <w:t>3</w:t>
                  </w:r>
                  <w:r>
                    <w:t>)</w:t>
                  </w:r>
                </w:p>
              </w:tc>
              <w:tc>
                <w:tcPr>
                  <w:tcW w:w="0" w:type="auto"/>
                  <w:vMerge w:val="restart"/>
                  <w:vAlign w:val="center"/>
                </w:tcPr>
                <w:p w14:paraId="14EB69A3">
                  <w:pPr>
                    <w:pStyle w:val="70"/>
                  </w:pPr>
                  <w:r>
                    <w:t>监测浓度范围</w:t>
                  </w:r>
                </w:p>
                <w:p w14:paraId="26405607">
                  <w:pPr>
                    <w:pStyle w:val="70"/>
                  </w:pPr>
                  <w:r>
                    <w:t>(mg/m</w:t>
                  </w:r>
                  <w:r>
                    <w:rPr>
                      <w:vertAlign w:val="superscript"/>
                    </w:rPr>
                    <w:t>3</w:t>
                  </w:r>
                  <w:r>
                    <w:t>)</w:t>
                  </w:r>
                </w:p>
              </w:tc>
              <w:tc>
                <w:tcPr>
                  <w:tcW w:w="0" w:type="auto"/>
                  <w:vMerge w:val="restart"/>
                  <w:vAlign w:val="center"/>
                </w:tcPr>
                <w:p w14:paraId="0D310CC8">
                  <w:pPr>
                    <w:pStyle w:val="70"/>
                  </w:pPr>
                  <w:r>
                    <w:t>最大浓度占标率%</w:t>
                  </w:r>
                </w:p>
              </w:tc>
              <w:tc>
                <w:tcPr>
                  <w:tcW w:w="601" w:type="dxa"/>
                  <w:vMerge w:val="restart"/>
                  <w:vAlign w:val="center"/>
                </w:tcPr>
                <w:p w14:paraId="2DC41E03">
                  <w:pPr>
                    <w:pStyle w:val="70"/>
                  </w:pPr>
                  <w:r>
                    <w:t>超标率%</w:t>
                  </w:r>
                </w:p>
              </w:tc>
              <w:tc>
                <w:tcPr>
                  <w:tcW w:w="719" w:type="dxa"/>
                  <w:vMerge w:val="restart"/>
                  <w:vAlign w:val="center"/>
                </w:tcPr>
                <w:p w14:paraId="57C02C42">
                  <w:pPr>
                    <w:pStyle w:val="70"/>
                  </w:pPr>
                  <w:r>
                    <w:t>达标情况</w:t>
                  </w:r>
                </w:p>
              </w:tc>
            </w:tr>
            <w:tr w14:paraId="7FB56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9" w:type="dxa"/>
                  <w:vMerge w:val="continue"/>
                  <w:vAlign w:val="center"/>
                </w:tcPr>
                <w:p w14:paraId="706D6F78">
                  <w:pPr>
                    <w:pStyle w:val="70"/>
                  </w:pPr>
                </w:p>
              </w:tc>
              <w:tc>
                <w:tcPr>
                  <w:tcW w:w="991" w:type="dxa"/>
                  <w:vMerge w:val="continue"/>
                  <w:vAlign w:val="center"/>
                </w:tcPr>
                <w:p w14:paraId="315A4835">
                  <w:pPr>
                    <w:pStyle w:val="70"/>
                  </w:pPr>
                </w:p>
              </w:tc>
              <w:tc>
                <w:tcPr>
                  <w:tcW w:w="1047" w:type="dxa"/>
                  <w:vMerge w:val="continue"/>
                  <w:vAlign w:val="center"/>
                </w:tcPr>
                <w:p w14:paraId="6F90DC2A">
                  <w:pPr>
                    <w:pStyle w:val="70"/>
                  </w:pPr>
                </w:p>
              </w:tc>
              <w:tc>
                <w:tcPr>
                  <w:tcW w:w="0" w:type="auto"/>
                  <w:vMerge w:val="continue"/>
                  <w:vAlign w:val="center"/>
                </w:tcPr>
                <w:p w14:paraId="235B18F7">
                  <w:pPr>
                    <w:pStyle w:val="70"/>
                  </w:pPr>
                </w:p>
              </w:tc>
              <w:tc>
                <w:tcPr>
                  <w:tcW w:w="0" w:type="auto"/>
                  <w:vMerge w:val="continue"/>
                  <w:vAlign w:val="center"/>
                </w:tcPr>
                <w:p w14:paraId="78D9902C">
                  <w:pPr>
                    <w:pStyle w:val="70"/>
                  </w:pPr>
                </w:p>
              </w:tc>
              <w:tc>
                <w:tcPr>
                  <w:tcW w:w="0" w:type="auto"/>
                  <w:vMerge w:val="continue"/>
                  <w:vAlign w:val="center"/>
                </w:tcPr>
                <w:p w14:paraId="4D7CDD06">
                  <w:pPr>
                    <w:pStyle w:val="70"/>
                  </w:pPr>
                </w:p>
              </w:tc>
              <w:tc>
                <w:tcPr>
                  <w:tcW w:w="601" w:type="dxa"/>
                  <w:vMerge w:val="continue"/>
                  <w:vAlign w:val="center"/>
                </w:tcPr>
                <w:p w14:paraId="4A37FE87">
                  <w:pPr>
                    <w:pStyle w:val="70"/>
                  </w:pPr>
                </w:p>
              </w:tc>
              <w:tc>
                <w:tcPr>
                  <w:tcW w:w="719" w:type="dxa"/>
                  <w:vMerge w:val="continue"/>
                  <w:vAlign w:val="center"/>
                </w:tcPr>
                <w:p w14:paraId="612C6898">
                  <w:pPr>
                    <w:pStyle w:val="70"/>
                  </w:pPr>
                </w:p>
              </w:tc>
            </w:tr>
            <w:tr w14:paraId="57127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409" w:type="dxa"/>
                  <w:vAlign w:val="center"/>
                </w:tcPr>
                <w:p w14:paraId="6DB4744F">
                  <w:pPr>
                    <w:pStyle w:val="70"/>
                  </w:pPr>
                  <w:r>
                    <w:rPr>
                      <w:rFonts w:hint="eastAsia"/>
                    </w:rPr>
                    <w:t>拟建项目东侧</w:t>
                  </w:r>
                  <w:r>
                    <w:t>100</w:t>
                  </w:r>
                  <w:r>
                    <w:rPr>
                      <w:rFonts w:hint="eastAsia"/>
                    </w:rPr>
                    <w:t>m</w:t>
                  </w:r>
                </w:p>
              </w:tc>
              <w:tc>
                <w:tcPr>
                  <w:tcW w:w="991" w:type="dxa"/>
                  <w:vAlign w:val="center"/>
                </w:tcPr>
                <w:p w14:paraId="3EDEE71F">
                  <w:pPr>
                    <w:pStyle w:val="70"/>
                    <w:rPr>
                      <w:snapToGrid w:val="0"/>
                    </w:rPr>
                  </w:pPr>
                  <w:r>
                    <w:rPr>
                      <w:rFonts w:hint="eastAsia"/>
                      <w:snapToGrid w:val="0"/>
                    </w:rPr>
                    <w:t>T</w:t>
                  </w:r>
                  <w:r>
                    <w:rPr>
                      <w:snapToGrid w:val="0"/>
                    </w:rPr>
                    <w:t>SP</w:t>
                  </w:r>
                </w:p>
              </w:tc>
              <w:tc>
                <w:tcPr>
                  <w:tcW w:w="1047" w:type="dxa"/>
                  <w:vAlign w:val="center"/>
                </w:tcPr>
                <w:p w14:paraId="085563CF">
                  <w:pPr>
                    <w:pStyle w:val="70"/>
                  </w:pPr>
                  <w:r>
                    <w:rPr>
                      <w:rFonts w:hint="eastAsia"/>
                    </w:rPr>
                    <w:t>2</w:t>
                  </w:r>
                  <w:r>
                    <w:t>4</w:t>
                  </w:r>
                  <w:r>
                    <w:rPr>
                      <w:rFonts w:hint="eastAsia"/>
                    </w:rPr>
                    <w:t>小时</w:t>
                  </w:r>
                </w:p>
              </w:tc>
              <w:tc>
                <w:tcPr>
                  <w:tcW w:w="0" w:type="auto"/>
                  <w:vAlign w:val="center"/>
                </w:tcPr>
                <w:p w14:paraId="4EE2C3FB">
                  <w:pPr>
                    <w:pStyle w:val="70"/>
                  </w:pPr>
                  <w:r>
                    <w:rPr>
                      <w:rFonts w:hint="eastAsia"/>
                    </w:rPr>
                    <w:t>0</w:t>
                  </w:r>
                  <w:r>
                    <w:t>.3</w:t>
                  </w:r>
                </w:p>
              </w:tc>
              <w:tc>
                <w:tcPr>
                  <w:tcW w:w="0" w:type="auto"/>
                  <w:vAlign w:val="center"/>
                </w:tcPr>
                <w:p w14:paraId="6C854E78">
                  <w:pPr>
                    <w:pStyle w:val="70"/>
                    <w:rPr>
                      <w:rFonts w:hint="default" w:eastAsia="宋体"/>
                      <w:lang w:val="en-US" w:eastAsia="zh-CN"/>
                    </w:rPr>
                  </w:pPr>
                  <w:r>
                    <w:t>0.</w:t>
                  </w:r>
                  <w:r>
                    <w:rPr>
                      <w:rFonts w:hint="eastAsia"/>
                      <w:lang w:val="en-US" w:eastAsia="zh-CN"/>
                    </w:rPr>
                    <w:t>113</w:t>
                  </w:r>
                  <w:r>
                    <w:t>~0.</w:t>
                  </w:r>
                  <w:r>
                    <w:rPr>
                      <w:rFonts w:hint="eastAsia"/>
                      <w:lang w:val="en-US" w:eastAsia="zh-CN"/>
                    </w:rPr>
                    <w:t>117</w:t>
                  </w:r>
                </w:p>
              </w:tc>
              <w:tc>
                <w:tcPr>
                  <w:tcW w:w="0" w:type="auto"/>
                  <w:vAlign w:val="center"/>
                </w:tcPr>
                <w:p w14:paraId="51204D13">
                  <w:pPr>
                    <w:pStyle w:val="70"/>
                    <w:rPr>
                      <w:rFonts w:hint="default" w:eastAsia="宋体"/>
                      <w:lang w:val="en-US" w:eastAsia="zh-CN"/>
                    </w:rPr>
                  </w:pPr>
                  <w:r>
                    <w:rPr>
                      <w:rFonts w:hint="eastAsia"/>
                      <w:lang w:val="en-US" w:eastAsia="zh-CN"/>
                    </w:rPr>
                    <w:t>39.0</w:t>
                  </w:r>
                </w:p>
              </w:tc>
              <w:tc>
                <w:tcPr>
                  <w:tcW w:w="601" w:type="dxa"/>
                  <w:vAlign w:val="center"/>
                </w:tcPr>
                <w:p w14:paraId="5F39B8ED">
                  <w:pPr>
                    <w:pStyle w:val="70"/>
                  </w:pPr>
                  <w:r>
                    <w:rPr>
                      <w:rFonts w:hint="eastAsia"/>
                    </w:rPr>
                    <w:t>0</w:t>
                  </w:r>
                </w:p>
              </w:tc>
              <w:tc>
                <w:tcPr>
                  <w:tcW w:w="719" w:type="dxa"/>
                  <w:vAlign w:val="center"/>
                </w:tcPr>
                <w:p w14:paraId="447852EF">
                  <w:pPr>
                    <w:pStyle w:val="70"/>
                  </w:pPr>
                  <w:r>
                    <w:t>达标</w:t>
                  </w:r>
                </w:p>
              </w:tc>
            </w:tr>
          </w:tbl>
          <w:p w14:paraId="7A8B29FF">
            <w:pPr>
              <w:pStyle w:val="53"/>
              <w:ind w:firstLine="480"/>
            </w:pPr>
            <w:r>
              <w:rPr>
                <w:snapToGrid w:val="0"/>
              </w:rPr>
              <w:t>由表3-</w:t>
            </w:r>
            <w:r>
              <w:rPr>
                <w:rFonts w:hint="eastAsia"/>
                <w:snapToGrid w:val="0"/>
                <w:lang w:val="en-US" w:eastAsia="zh-CN"/>
              </w:rPr>
              <w:t>4</w:t>
            </w:r>
            <w:r>
              <w:rPr>
                <w:snapToGrid w:val="0"/>
              </w:rPr>
              <w:t>可知，本次监测的特征污染物</w:t>
            </w:r>
            <w:r>
              <w:rPr>
                <w:rFonts w:hint="eastAsia"/>
              </w:rPr>
              <w:t>T</w:t>
            </w:r>
            <w:r>
              <w:t>SP</w:t>
            </w:r>
            <w:r>
              <w:rPr>
                <w:rFonts w:hint="eastAsia"/>
                <w:lang w:eastAsia="zh-CN"/>
              </w:rPr>
              <w:t>日平均</w:t>
            </w:r>
            <w:r>
              <w:t>浓度</w:t>
            </w:r>
            <w:r>
              <w:rPr>
                <w:rFonts w:hint="eastAsia"/>
              </w:rPr>
              <w:t>满足</w:t>
            </w:r>
            <w:r>
              <w:rPr>
                <w:snapToGrid w:val="0"/>
              </w:rPr>
              <w:t>《环境空气质量标准》(GB3095-20</w:t>
            </w:r>
            <w:r>
              <w:rPr>
                <w:rFonts w:hint="eastAsia"/>
                <w:snapToGrid w:val="0"/>
                <w:lang w:val="en-US" w:eastAsia="zh-CN"/>
              </w:rPr>
              <w:t>26</w:t>
            </w:r>
            <w:r>
              <w:rPr>
                <w:snapToGrid w:val="0"/>
              </w:rPr>
              <w:t>)</w:t>
            </w:r>
            <w:r>
              <w:rPr>
                <w:rFonts w:hint="eastAsia"/>
                <w:snapToGrid w:val="0"/>
                <w:lang w:val="en-US" w:eastAsia="zh-CN"/>
              </w:rPr>
              <w:t>中表2</w:t>
            </w:r>
            <w:r>
              <w:rPr>
                <w:snapToGrid w:val="0"/>
              </w:rPr>
              <w:t>二级标准要求。</w:t>
            </w:r>
          </w:p>
          <w:p w14:paraId="1975CABE">
            <w:pPr>
              <w:pStyle w:val="53"/>
              <w:ind w:firstLine="480"/>
            </w:pPr>
            <w:r>
              <w:t>3、水环境质量</w:t>
            </w:r>
          </w:p>
          <w:p w14:paraId="78CD0B27">
            <w:pPr>
              <w:pStyle w:val="45"/>
            </w:pPr>
            <w:r>
              <w:t>根据《202</w:t>
            </w:r>
            <w:r>
              <w:rPr>
                <w:rFonts w:hint="eastAsia"/>
                <w:lang w:val="en-US" w:eastAsia="zh-CN"/>
              </w:rPr>
              <w:t>5</w:t>
            </w:r>
            <w:r>
              <w:t>年黑龙江省生态环境状况公报》，202</w:t>
            </w:r>
            <w:r>
              <w:rPr>
                <w:rFonts w:hint="eastAsia"/>
                <w:lang w:val="en-US" w:eastAsia="zh-CN"/>
              </w:rPr>
              <w:t>5</w:t>
            </w:r>
            <w:r>
              <w:t>年穆棱河鸡西段水质达到Ⅲ类，水质状况良好。</w:t>
            </w:r>
          </w:p>
          <w:p w14:paraId="3E7FBE94">
            <w:pPr>
              <w:pStyle w:val="53"/>
              <w:ind w:firstLine="480"/>
            </w:pPr>
            <w:r>
              <w:t>4、声环境质量现状</w:t>
            </w:r>
          </w:p>
          <w:p w14:paraId="4D4EA6EB">
            <w:pPr>
              <w:pStyle w:val="53"/>
              <w:ind w:firstLine="480"/>
              <w:rPr>
                <w:rFonts w:ascii="宋体" w:hAnsi="宋体" w:cs="宋体"/>
              </w:rPr>
            </w:pPr>
            <w:r>
              <w:t>本项目</w:t>
            </w:r>
            <w:r>
              <w:rPr>
                <w:rFonts w:hint="eastAsia"/>
              </w:rPr>
              <w:t>5</w:t>
            </w:r>
            <w:r>
              <w:t>0m范围</w:t>
            </w:r>
            <w:r>
              <w:rPr>
                <w:rFonts w:hint="eastAsia"/>
              </w:rPr>
              <w:t>无居民等声环境保护目标</w:t>
            </w:r>
            <w:r>
              <w:t>，故本次评价</w:t>
            </w:r>
            <w:r>
              <w:rPr>
                <w:rFonts w:hint="eastAsia"/>
              </w:rPr>
              <w:t>未</w:t>
            </w:r>
            <w:r>
              <w:t>进行声环境质量现状监测。</w:t>
            </w:r>
            <w:r>
              <w:rPr>
                <w:rFonts w:hint="eastAsia"/>
              </w:rPr>
              <w:t>项目</w:t>
            </w:r>
            <w:r>
              <w:t>所在区域声环境质量良好，满足《声环境质量标准》（GB3096-2008）2类标准。</w:t>
            </w:r>
          </w:p>
        </w:tc>
      </w:tr>
      <w:tr w14:paraId="2C706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4" w:type="dxa"/>
            <w:vAlign w:val="center"/>
          </w:tcPr>
          <w:p w14:paraId="3ED1E496">
            <w:pPr>
              <w:adjustRightInd w:val="0"/>
              <w:snapToGrid w:val="0"/>
              <w:jc w:val="center"/>
              <w:rPr>
                <w:rFonts w:ascii="宋体" w:hAnsi="宋体" w:cs="宋体"/>
                <w:kern w:val="0"/>
                <w:szCs w:val="21"/>
              </w:rPr>
            </w:pPr>
            <w:r>
              <w:rPr>
                <w:rFonts w:hint="eastAsia" w:ascii="宋体" w:hAnsi="宋体"/>
                <w:bCs/>
                <w:szCs w:val="21"/>
              </w:rPr>
              <w:t>与项目有关的原有环境污染和生态破坏问题</w:t>
            </w:r>
          </w:p>
        </w:tc>
        <w:tc>
          <w:tcPr>
            <w:tcW w:w="8253" w:type="dxa"/>
            <w:vAlign w:val="center"/>
          </w:tcPr>
          <w:p w14:paraId="4CEFF400">
            <w:pPr>
              <w:pStyle w:val="53"/>
              <w:ind w:firstLine="480"/>
              <w:rPr>
                <w:rFonts w:ascii="宋体" w:cs="宋体"/>
              </w:rPr>
            </w:pPr>
            <w:r>
              <w:rPr>
                <w:rFonts w:hint="eastAsia"/>
              </w:rPr>
              <w:t>本项目为</w:t>
            </w:r>
            <w:r>
              <w:t>黑龙江龙煤鸡西矿业有限责任公司平岗煤矿</w:t>
            </w:r>
            <w:r>
              <w:rPr>
                <w:rFonts w:hint="eastAsia"/>
              </w:rPr>
              <w:t>新建副立井项目，场地新增，项目建成后煤炭储量和产能无变化，故本项目不存在原有环境污染和生态环境破坏问题。</w:t>
            </w:r>
          </w:p>
        </w:tc>
      </w:tr>
      <w:tr w14:paraId="694FF5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904" w:type="dxa"/>
            <w:vAlign w:val="center"/>
          </w:tcPr>
          <w:p w14:paraId="7067EBFE">
            <w:pPr>
              <w:adjustRightInd w:val="0"/>
              <w:snapToGrid w:val="0"/>
              <w:jc w:val="center"/>
              <w:rPr>
                <w:rFonts w:ascii="宋体" w:hAnsi="宋体" w:cs="宋体"/>
                <w:kern w:val="0"/>
                <w:szCs w:val="21"/>
              </w:rPr>
            </w:pPr>
            <w:r>
              <w:rPr>
                <w:rFonts w:hint="eastAsia" w:ascii="宋体" w:hAnsi="宋体" w:cs="宋体"/>
                <w:kern w:val="0"/>
                <w:szCs w:val="21"/>
              </w:rPr>
              <w:t>生态环境保护目标</w:t>
            </w:r>
          </w:p>
        </w:tc>
        <w:tc>
          <w:tcPr>
            <w:tcW w:w="8253" w:type="dxa"/>
            <w:vAlign w:val="center"/>
          </w:tcPr>
          <w:p w14:paraId="5DD56D00">
            <w:pPr>
              <w:pStyle w:val="53"/>
              <w:ind w:firstLine="480"/>
            </w:pPr>
            <w:r>
              <w:rPr>
                <w:rFonts w:hint="eastAsia"/>
              </w:rPr>
              <w:t>1、</w:t>
            </w:r>
            <w:r>
              <w:t>生态环境</w:t>
            </w:r>
            <w:r>
              <w:rPr>
                <w:rFonts w:hint="eastAsia"/>
              </w:rPr>
              <w:t>保护目标</w:t>
            </w:r>
          </w:p>
          <w:p w14:paraId="5FC39168">
            <w:pPr>
              <w:pStyle w:val="53"/>
              <w:ind w:firstLine="480"/>
            </w:pPr>
            <w:r>
              <w:rPr>
                <w:rFonts w:hint="eastAsia"/>
              </w:rPr>
              <w:t>本项目</w:t>
            </w:r>
            <w:r>
              <w:t>生态环境影响评价范围为</w:t>
            </w:r>
            <w:r>
              <w:rPr>
                <w:rFonts w:hint="eastAsia"/>
              </w:rPr>
              <w:t>项目占地</w:t>
            </w:r>
            <w:r>
              <w:t>外500m内范围</w:t>
            </w:r>
            <w:r>
              <w:rPr>
                <w:rFonts w:hint="eastAsia"/>
              </w:rPr>
              <w:t>，评价范围内无特殊生态敏感区和重要生态敏感区，本项目主要生态环境保护目标为区域林地</w:t>
            </w:r>
            <w:r>
              <w:t>。</w:t>
            </w:r>
          </w:p>
          <w:p w14:paraId="6CAE3F03">
            <w:pPr>
              <w:pStyle w:val="53"/>
              <w:ind w:firstLine="480"/>
            </w:pPr>
            <w:r>
              <w:t>2</w:t>
            </w:r>
            <w:r>
              <w:rPr>
                <w:rFonts w:hint="eastAsia"/>
              </w:rPr>
              <w:t>、</w:t>
            </w:r>
            <w:r>
              <w:t>大气环境</w:t>
            </w:r>
            <w:r>
              <w:rPr>
                <w:rFonts w:hint="eastAsia"/>
              </w:rPr>
              <w:t>保护目标</w:t>
            </w:r>
          </w:p>
          <w:p w14:paraId="73B43612">
            <w:pPr>
              <w:pStyle w:val="53"/>
              <w:ind w:firstLine="480"/>
            </w:pPr>
            <w:r>
              <w:t>本项目厂界外500m范围内无自然保护区、风景名胜区</w:t>
            </w:r>
            <w:r>
              <w:rPr>
                <w:rFonts w:hint="eastAsia"/>
              </w:rPr>
              <w:t>及居民区，无大气环境保护目标。</w:t>
            </w:r>
          </w:p>
          <w:p w14:paraId="3E04F0E9">
            <w:pPr>
              <w:pStyle w:val="53"/>
              <w:ind w:firstLine="480"/>
            </w:pPr>
            <w:r>
              <w:rPr>
                <w:rFonts w:hint="eastAsia"/>
              </w:rPr>
              <w:t>3、</w:t>
            </w:r>
            <w:r>
              <w:t>声环境</w:t>
            </w:r>
            <w:r>
              <w:rPr>
                <w:rFonts w:hint="eastAsia"/>
              </w:rPr>
              <w:t>保护目标</w:t>
            </w:r>
          </w:p>
          <w:p w14:paraId="5E9AE246">
            <w:pPr>
              <w:pStyle w:val="53"/>
              <w:ind w:firstLine="480"/>
            </w:pPr>
            <w:r>
              <w:t>本项目厂界50m范围内无声环境保护目标</w:t>
            </w:r>
            <w:r>
              <w:rPr>
                <w:rFonts w:hint="eastAsia"/>
              </w:rPr>
              <w:t>。</w:t>
            </w:r>
          </w:p>
          <w:p w14:paraId="0A700AFF">
            <w:pPr>
              <w:pStyle w:val="53"/>
              <w:ind w:firstLine="480"/>
            </w:pPr>
            <w:r>
              <w:rPr>
                <w:rFonts w:hint="eastAsia"/>
              </w:rPr>
              <w:t>4、</w:t>
            </w:r>
            <w:r>
              <w:t>地下水环境保护目标</w:t>
            </w:r>
          </w:p>
          <w:p w14:paraId="07628333">
            <w:pPr>
              <w:pStyle w:val="53"/>
              <w:ind w:firstLine="480"/>
            </w:pPr>
            <w:r>
              <w:t>本项目</w:t>
            </w:r>
            <w:r>
              <w:rPr>
                <w:rFonts w:hint="eastAsia"/>
              </w:rPr>
              <w:t>区域</w:t>
            </w:r>
            <w:r>
              <w:t>无地下水集中式饮用水水源和热水、矿泉水、温泉等特殊地下水资源</w:t>
            </w:r>
            <w:r>
              <w:rPr>
                <w:rFonts w:hint="eastAsia"/>
              </w:rPr>
              <w:t>，无地下水环境保护目标</w:t>
            </w:r>
            <w:r>
              <w:t>。</w:t>
            </w:r>
          </w:p>
          <w:p w14:paraId="06BE15A7">
            <w:pPr>
              <w:pStyle w:val="53"/>
              <w:ind w:firstLine="480"/>
            </w:pPr>
          </w:p>
          <w:p w14:paraId="6E544162">
            <w:pPr>
              <w:pStyle w:val="53"/>
              <w:ind w:left="0" w:leftChars="0" w:firstLine="0" w:firstLineChars="0"/>
            </w:pPr>
          </w:p>
        </w:tc>
      </w:tr>
      <w:tr w14:paraId="02C79E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28" w:hRule="atLeast"/>
          <w:jc w:val="center"/>
        </w:trPr>
        <w:tc>
          <w:tcPr>
            <w:tcW w:w="904" w:type="dxa"/>
            <w:vAlign w:val="center"/>
          </w:tcPr>
          <w:p w14:paraId="3B8DBFA8">
            <w:pPr>
              <w:adjustRightInd w:val="0"/>
              <w:snapToGrid w:val="0"/>
              <w:jc w:val="center"/>
              <w:rPr>
                <w:rFonts w:ascii="宋体" w:hAnsi="宋体" w:cs="宋体"/>
                <w:kern w:val="0"/>
                <w:szCs w:val="21"/>
              </w:rPr>
            </w:pPr>
            <w:r>
              <w:rPr>
                <w:rFonts w:hint="eastAsia" w:ascii="宋体" w:hAnsi="宋体" w:cs="宋体"/>
                <w:kern w:val="0"/>
                <w:szCs w:val="21"/>
              </w:rPr>
              <w:t>评价</w:t>
            </w:r>
          </w:p>
          <w:p w14:paraId="47FE580A">
            <w:pPr>
              <w:adjustRightInd w:val="0"/>
              <w:snapToGrid w:val="0"/>
              <w:jc w:val="center"/>
              <w:rPr>
                <w:rFonts w:ascii="宋体" w:hAnsi="宋体" w:cs="宋体"/>
                <w:kern w:val="0"/>
                <w:szCs w:val="21"/>
              </w:rPr>
            </w:pPr>
            <w:r>
              <w:rPr>
                <w:rFonts w:hint="eastAsia" w:ascii="宋体" w:hAnsi="宋体" w:cs="宋体"/>
                <w:kern w:val="0"/>
                <w:szCs w:val="21"/>
              </w:rPr>
              <w:t>标准</w:t>
            </w:r>
          </w:p>
        </w:tc>
        <w:tc>
          <w:tcPr>
            <w:tcW w:w="8253" w:type="dxa"/>
            <w:vAlign w:val="center"/>
          </w:tcPr>
          <w:p w14:paraId="03844078">
            <w:pPr>
              <w:pStyle w:val="45"/>
              <w:ind w:firstLine="480"/>
            </w:pPr>
            <w:r>
              <w:rPr>
                <w:rFonts w:hint="eastAsia" w:ascii="宋体" w:hAnsi="宋体" w:cs="宋体"/>
                <w:kern w:val="0"/>
                <w:szCs w:val="21"/>
              </w:rPr>
              <w:t>1、</w:t>
            </w:r>
            <w:r>
              <w:t>环境质量标准</w:t>
            </w:r>
          </w:p>
          <w:p w14:paraId="03A9DDFD">
            <w:pPr>
              <w:pStyle w:val="45"/>
              <w:ind w:firstLine="480"/>
            </w:pPr>
            <w:r>
              <w:rPr>
                <w:rFonts w:hint="eastAsia"/>
              </w:rPr>
              <w:t>环境质量标准</w:t>
            </w:r>
            <w:r>
              <w:t>见表3-</w:t>
            </w:r>
            <w:r>
              <w:rPr>
                <w:rFonts w:hint="eastAsia"/>
                <w:lang w:val="en-US" w:eastAsia="zh-CN"/>
              </w:rPr>
              <w:t>4</w:t>
            </w:r>
            <w:r>
              <w:t>。</w:t>
            </w:r>
          </w:p>
          <w:p w14:paraId="26B5F4B3">
            <w:pPr>
              <w:pStyle w:val="48"/>
            </w:pPr>
            <w:r>
              <w:t>表3-</w:t>
            </w:r>
            <w:r>
              <w:rPr>
                <w:rFonts w:hint="eastAsia"/>
                <w:lang w:val="en-US" w:eastAsia="zh-CN"/>
              </w:rPr>
              <w:t>4</w:t>
            </w:r>
            <w:r>
              <w:t xml:space="preserve">  环境质量标准表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2374"/>
              <w:gridCol w:w="1510"/>
              <w:gridCol w:w="824"/>
              <w:gridCol w:w="1648"/>
              <w:gridCol w:w="1036"/>
            </w:tblGrid>
            <w:tr w14:paraId="28B1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2D793CF0">
                  <w:pPr>
                    <w:pStyle w:val="49"/>
                  </w:pPr>
                  <w:r>
                    <w:t>环境</w:t>
                  </w:r>
                </w:p>
                <w:p w14:paraId="1F2388B9">
                  <w:pPr>
                    <w:pStyle w:val="49"/>
                  </w:pPr>
                  <w:r>
                    <w:t>要素</w:t>
                  </w:r>
                </w:p>
              </w:tc>
              <w:tc>
                <w:tcPr>
                  <w:tcW w:w="1478" w:type="pct"/>
                  <w:vMerge w:val="restart"/>
                  <w:vAlign w:val="center"/>
                </w:tcPr>
                <w:p w14:paraId="3140EA43">
                  <w:pPr>
                    <w:pStyle w:val="49"/>
                  </w:pPr>
                  <w:r>
                    <w:t>标准名称及级（类）别</w:t>
                  </w:r>
                </w:p>
              </w:tc>
              <w:tc>
                <w:tcPr>
                  <w:tcW w:w="940" w:type="pct"/>
                  <w:vMerge w:val="restart"/>
                  <w:vAlign w:val="center"/>
                </w:tcPr>
                <w:p w14:paraId="2267EA01">
                  <w:pPr>
                    <w:pStyle w:val="49"/>
                  </w:pPr>
                  <w:r>
                    <w:t>项目</w:t>
                  </w:r>
                </w:p>
              </w:tc>
              <w:tc>
                <w:tcPr>
                  <w:tcW w:w="2184" w:type="pct"/>
                  <w:gridSpan w:val="3"/>
                  <w:vAlign w:val="center"/>
                </w:tcPr>
                <w:p w14:paraId="0788DDCA">
                  <w:pPr>
                    <w:pStyle w:val="49"/>
                  </w:pPr>
                  <w:r>
                    <w:t>标准值</w:t>
                  </w:r>
                </w:p>
              </w:tc>
            </w:tr>
            <w:tr w14:paraId="2E191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3626A4D7">
                  <w:pPr>
                    <w:pStyle w:val="49"/>
                  </w:pPr>
                </w:p>
              </w:tc>
              <w:tc>
                <w:tcPr>
                  <w:tcW w:w="1478" w:type="pct"/>
                  <w:vMerge w:val="continue"/>
                  <w:vAlign w:val="center"/>
                </w:tcPr>
                <w:p w14:paraId="038EA413">
                  <w:pPr>
                    <w:pStyle w:val="49"/>
                  </w:pPr>
                </w:p>
              </w:tc>
              <w:tc>
                <w:tcPr>
                  <w:tcW w:w="940" w:type="pct"/>
                  <w:vMerge w:val="continue"/>
                  <w:vAlign w:val="center"/>
                </w:tcPr>
                <w:p w14:paraId="123929D2">
                  <w:pPr>
                    <w:pStyle w:val="49"/>
                  </w:pPr>
                </w:p>
              </w:tc>
              <w:tc>
                <w:tcPr>
                  <w:tcW w:w="513" w:type="pct"/>
                  <w:vAlign w:val="center"/>
                </w:tcPr>
                <w:p w14:paraId="36062A9E">
                  <w:pPr>
                    <w:pStyle w:val="49"/>
                  </w:pPr>
                  <w:r>
                    <w:t>单位</w:t>
                  </w:r>
                </w:p>
              </w:tc>
              <w:tc>
                <w:tcPr>
                  <w:tcW w:w="1671" w:type="pct"/>
                  <w:gridSpan w:val="2"/>
                  <w:vAlign w:val="center"/>
                </w:tcPr>
                <w:p w14:paraId="259DB442">
                  <w:pPr>
                    <w:pStyle w:val="49"/>
                  </w:pPr>
                  <w:r>
                    <w:t>数值</w:t>
                  </w:r>
                </w:p>
              </w:tc>
            </w:tr>
            <w:tr w14:paraId="6BCF4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14C8C563">
                  <w:pPr>
                    <w:pStyle w:val="49"/>
                  </w:pPr>
                  <w:r>
                    <w:t>环</w:t>
                  </w:r>
                </w:p>
                <w:p w14:paraId="75491904">
                  <w:pPr>
                    <w:pStyle w:val="49"/>
                  </w:pPr>
                  <w:r>
                    <w:t>境</w:t>
                  </w:r>
                </w:p>
                <w:p w14:paraId="1051952F">
                  <w:pPr>
                    <w:pStyle w:val="49"/>
                  </w:pPr>
                  <w:r>
                    <w:t>空</w:t>
                  </w:r>
                </w:p>
                <w:p w14:paraId="24D4E0C0">
                  <w:pPr>
                    <w:pStyle w:val="49"/>
                  </w:pPr>
                  <w:r>
                    <w:t>气</w:t>
                  </w:r>
                </w:p>
              </w:tc>
              <w:tc>
                <w:tcPr>
                  <w:tcW w:w="1478" w:type="pct"/>
                  <w:vMerge w:val="restart"/>
                  <w:vAlign w:val="center"/>
                </w:tcPr>
                <w:p w14:paraId="15BEF3D4">
                  <w:pPr>
                    <w:pStyle w:val="49"/>
                    <w:rPr>
                      <w:rFonts w:hint="default" w:eastAsia="宋体"/>
                      <w:lang w:val="en-US" w:eastAsia="zh-CN"/>
                    </w:rPr>
                  </w:pPr>
                  <w:r>
                    <w:t>《环境空气质量标准》（GB3095-20</w:t>
                  </w:r>
                  <w:r>
                    <w:rPr>
                      <w:rFonts w:hint="eastAsia"/>
                      <w:lang w:val="en-US" w:eastAsia="zh-CN"/>
                    </w:rPr>
                    <w:t>26</w:t>
                  </w:r>
                  <w:r>
                    <w:t>）</w:t>
                  </w:r>
                  <w:r>
                    <w:rPr>
                      <w:rFonts w:hint="eastAsia"/>
                      <w:lang w:val="en-US" w:eastAsia="zh-CN"/>
                    </w:rPr>
                    <w:t>表1二级过渡阶段浓度限值</w:t>
                  </w:r>
                </w:p>
              </w:tc>
              <w:tc>
                <w:tcPr>
                  <w:tcW w:w="940" w:type="pct"/>
                  <w:vMerge w:val="restart"/>
                  <w:vAlign w:val="center"/>
                </w:tcPr>
                <w:p w14:paraId="599CC9D5">
                  <w:pPr>
                    <w:pStyle w:val="49"/>
                  </w:pPr>
                  <w:r>
                    <w:t>PM</w:t>
                  </w:r>
                  <w:r>
                    <w:rPr>
                      <w:vertAlign w:val="subscript"/>
                    </w:rPr>
                    <w:t>10</w:t>
                  </w:r>
                </w:p>
              </w:tc>
              <w:tc>
                <w:tcPr>
                  <w:tcW w:w="513" w:type="pct"/>
                  <w:vMerge w:val="restart"/>
                  <w:vAlign w:val="center"/>
                </w:tcPr>
                <w:p w14:paraId="6EF7C499">
                  <w:pPr>
                    <w:pStyle w:val="49"/>
                  </w:pPr>
                  <w:r>
                    <w:t>μg/m</w:t>
                  </w:r>
                  <w:r>
                    <w:rPr>
                      <w:vertAlign w:val="superscript"/>
                    </w:rPr>
                    <w:t>3</w:t>
                  </w:r>
                </w:p>
              </w:tc>
              <w:tc>
                <w:tcPr>
                  <w:tcW w:w="1026" w:type="pct"/>
                  <w:vAlign w:val="center"/>
                </w:tcPr>
                <w:p w14:paraId="323E01B7">
                  <w:pPr>
                    <w:pStyle w:val="49"/>
                  </w:pPr>
                  <w:r>
                    <w:t>等级</w:t>
                  </w:r>
                </w:p>
              </w:tc>
              <w:tc>
                <w:tcPr>
                  <w:tcW w:w="645" w:type="pct"/>
                  <w:vAlign w:val="center"/>
                </w:tcPr>
                <w:p w14:paraId="0FD4A51F">
                  <w:pPr>
                    <w:pStyle w:val="49"/>
                  </w:pPr>
                  <w:r>
                    <w:t>二级</w:t>
                  </w:r>
                </w:p>
              </w:tc>
            </w:tr>
            <w:tr w14:paraId="0176E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0B243FA3">
                  <w:pPr>
                    <w:pStyle w:val="49"/>
                  </w:pPr>
                </w:p>
              </w:tc>
              <w:tc>
                <w:tcPr>
                  <w:tcW w:w="1478" w:type="pct"/>
                  <w:vMerge w:val="continue"/>
                  <w:vAlign w:val="center"/>
                </w:tcPr>
                <w:p w14:paraId="08AA0126">
                  <w:pPr>
                    <w:pStyle w:val="49"/>
                  </w:pPr>
                </w:p>
              </w:tc>
              <w:tc>
                <w:tcPr>
                  <w:tcW w:w="940" w:type="pct"/>
                  <w:vMerge w:val="continue"/>
                  <w:vAlign w:val="center"/>
                </w:tcPr>
                <w:p w14:paraId="7CFAB35E">
                  <w:pPr>
                    <w:pStyle w:val="49"/>
                  </w:pPr>
                </w:p>
              </w:tc>
              <w:tc>
                <w:tcPr>
                  <w:tcW w:w="513" w:type="pct"/>
                  <w:vMerge w:val="continue"/>
                  <w:vAlign w:val="center"/>
                </w:tcPr>
                <w:p w14:paraId="38C00F91">
                  <w:pPr>
                    <w:pStyle w:val="49"/>
                  </w:pPr>
                </w:p>
              </w:tc>
              <w:tc>
                <w:tcPr>
                  <w:tcW w:w="1026" w:type="pct"/>
                  <w:vAlign w:val="center"/>
                </w:tcPr>
                <w:p w14:paraId="3B21EF3D">
                  <w:pPr>
                    <w:pStyle w:val="49"/>
                    <w:rPr>
                      <w:rFonts w:hint="eastAsia" w:eastAsia="宋体"/>
                      <w:lang w:eastAsia="zh-CN"/>
                    </w:rPr>
                  </w:pPr>
                  <w:r>
                    <w:rPr>
                      <w:rFonts w:hint="eastAsia"/>
                      <w:lang w:eastAsia="zh-CN"/>
                    </w:rPr>
                    <w:t>日平均</w:t>
                  </w:r>
                </w:p>
              </w:tc>
              <w:tc>
                <w:tcPr>
                  <w:tcW w:w="645" w:type="pct"/>
                  <w:vAlign w:val="center"/>
                </w:tcPr>
                <w:p w14:paraId="1FE3CE87">
                  <w:pPr>
                    <w:pStyle w:val="49"/>
                    <w:rPr>
                      <w:rFonts w:hint="default" w:eastAsia="宋体"/>
                      <w:lang w:val="en-US" w:eastAsia="zh-CN"/>
                    </w:rPr>
                  </w:pPr>
                  <w:r>
                    <w:rPr>
                      <w:rFonts w:hint="eastAsia"/>
                      <w:lang w:val="en-US" w:eastAsia="zh-CN"/>
                    </w:rPr>
                    <w:t>120</w:t>
                  </w:r>
                </w:p>
              </w:tc>
            </w:tr>
            <w:tr w14:paraId="2FD32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48ECFF7B">
                  <w:pPr>
                    <w:pStyle w:val="49"/>
                  </w:pPr>
                </w:p>
              </w:tc>
              <w:tc>
                <w:tcPr>
                  <w:tcW w:w="1478" w:type="pct"/>
                  <w:vMerge w:val="continue"/>
                  <w:vAlign w:val="center"/>
                </w:tcPr>
                <w:p w14:paraId="4711F9E9">
                  <w:pPr>
                    <w:pStyle w:val="49"/>
                  </w:pPr>
                </w:p>
              </w:tc>
              <w:tc>
                <w:tcPr>
                  <w:tcW w:w="940" w:type="pct"/>
                  <w:vMerge w:val="continue"/>
                  <w:vAlign w:val="center"/>
                </w:tcPr>
                <w:p w14:paraId="17AD37FD">
                  <w:pPr>
                    <w:pStyle w:val="49"/>
                  </w:pPr>
                </w:p>
              </w:tc>
              <w:tc>
                <w:tcPr>
                  <w:tcW w:w="513" w:type="pct"/>
                  <w:vMerge w:val="continue"/>
                  <w:vAlign w:val="center"/>
                </w:tcPr>
                <w:p w14:paraId="6B499E4E">
                  <w:pPr>
                    <w:pStyle w:val="49"/>
                  </w:pPr>
                </w:p>
              </w:tc>
              <w:tc>
                <w:tcPr>
                  <w:tcW w:w="1026" w:type="pct"/>
                  <w:vAlign w:val="center"/>
                </w:tcPr>
                <w:p w14:paraId="024AF56D">
                  <w:pPr>
                    <w:pStyle w:val="49"/>
                  </w:pPr>
                  <w:r>
                    <w:t>年平均</w:t>
                  </w:r>
                </w:p>
              </w:tc>
              <w:tc>
                <w:tcPr>
                  <w:tcW w:w="645" w:type="pct"/>
                  <w:vAlign w:val="center"/>
                </w:tcPr>
                <w:p w14:paraId="10B5F70B">
                  <w:pPr>
                    <w:pStyle w:val="49"/>
                    <w:rPr>
                      <w:rFonts w:hint="default" w:eastAsia="宋体"/>
                      <w:lang w:val="en-US" w:eastAsia="zh-CN"/>
                    </w:rPr>
                  </w:pPr>
                  <w:r>
                    <w:rPr>
                      <w:rFonts w:hint="eastAsia"/>
                      <w:lang w:val="en-US" w:eastAsia="zh-CN"/>
                    </w:rPr>
                    <w:t>60</w:t>
                  </w:r>
                </w:p>
              </w:tc>
            </w:tr>
            <w:tr w14:paraId="44589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53828391">
                  <w:pPr>
                    <w:pStyle w:val="49"/>
                  </w:pPr>
                </w:p>
              </w:tc>
              <w:tc>
                <w:tcPr>
                  <w:tcW w:w="1478" w:type="pct"/>
                  <w:vMerge w:val="continue"/>
                  <w:vAlign w:val="center"/>
                </w:tcPr>
                <w:p w14:paraId="50FE2AC4">
                  <w:pPr>
                    <w:pStyle w:val="49"/>
                  </w:pPr>
                </w:p>
              </w:tc>
              <w:tc>
                <w:tcPr>
                  <w:tcW w:w="940" w:type="pct"/>
                  <w:vMerge w:val="restart"/>
                  <w:vAlign w:val="center"/>
                </w:tcPr>
                <w:p w14:paraId="41BB79EB">
                  <w:pPr>
                    <w:pStyle w:val="49"/>
                  </w:pPr>
                  <w:r>
                    <w:t>PM</w:t>
                  </w:r>
                  <w:r>
                    <w:rPr>
                      <w:vertAlign w:val="subscript"/>
                    </w:rPr>
                    <w:t>2.5</w:t>
                  </w:r>
                </w:p>
              </w:tc>
              <w:tc>
                <w:tcPr>
                  <w:tcW w:w="513" w:type="pct"/>
                  <w:vMerge w:val="restart"/>
                  <w:vAlign w:val="center"/>
                </w:tcPr>
                <w:p w14:paraId="5041089B">
                  <w:pPr>
                    <w:pStyle w:val="49"/>
                  </w:pPr>
                  <w:r>
                    <w:t>μg/m</w:t>
                  </w:r>
                  <w:r>
                    <w:rPr>
                      <w:vertAlign w:val="superscript"/>
                    </w:rPr>
                    <w:t>3</w:t>
                  </w:r>
                </w:p>
              </w:tc>
              <w:tc>
                <w:tcPr>
                  <w:tcW w:w="1026" w:type="pct"/>
                  <w:vAlign w:val="center"/>
                </w:tcPr>
                <w:p w14:paraId="69F41326">
                  <w:pPr>
                    <w:pStyle w:val="49"/>
                    <w:rPr>
                      <w:rFonts w:hint="eastAsia" w:eastAsia="宋体"/>
                      <w:lang w:eastAsia="zh-CN"/>
                    </w:rPr>
                  </w:pPr>
                  <w:r>
                    <w:rPr>
                      <w:rFonts w:hint="eastAsia"/>
                      <w:lang w:eastAsia="zh-CN"/>
                    </w:rPr>
                    <w:t>日平均</w:t>
                  </w:r>
                </w:p>
              </w:tc>
              <w:tc>
                <w:tcPr>
                  <w:tcW w:w="645" w:type="pct"/>
                  <w:vAlign w:val="center"/>
                </w:tcPr>
                <w:p w14:paraId="538F87C6">
                  <w:pPr>
                    <w:pStyle w:val="49"/>
                    <w:rPr>
                      <w:rFonts w:hint="default" w:eastAsia="宋体"/>
                      <w:lang w:val="en-US" w:eastAsia="zh-CN"/>
                    </w:rPr>
                  </w:pPr>
                  <w:r>
                    <w:rPr>
                      <w:rFonts w:hint="eastAsia"/>
                      <w:lang w:val="en-US" w:eastAsia="zh-CN"/>
                    </w:rPr>
                    <w:t>60</w:t>
                  </w:r>
                </w:p>
              </w:tc>
            </w:tr>
            <w:tr w14:paraId="30AF3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14C50698">
                  <w:pPr>
                    <w:pStyle w:val="49"/>
                  </w:pPr>
                </w:p>
              </w:tc>
              <w:tc>
                <w:tcPr>
                  <w:tcW w:w="1478" w:type="pct"/>
                  <w:vMerge w:val="continue"/>
                  <w:vAlign w:val="center"/>
                </w:tcPr>
                <w:p w14:paraId="659ABA00">
                  <w:pPr>
                    <w:pStyle w:val="49"/>
                  </w:pPr>
                </w:p>
              </w:tc>
              <w:tc>
                <w:tcPr>
                  <w:tcW w:w="940" w:type="pct"/>
                  <w:vMerge w:val="continue"/>
                  <w:vAlign w:val="center"/>
                </w:tcPr>
                <w:p w14:paraId="7BDE8875">
                  <w:pPr>
                    <w:pStyle w:val="49"/>
                  </w:pPr>
                </w:p>
              </w:tc>
              <w:tc>
                <w:tcPr>
                  <w:tcW w:w="513" w:type="pct"/>
                  <w:vMerge w:val="continue"/>
                  <w:vAlign w:val="center"/>
                </w:tcPr>
                <w:p w14:paraId="2325F760">
                  <w:pPr>
                    <w:pStyle w:val="49"/>
                  </w:pPr>
                </w:p>
              </w:tc>
              <w:tc>
                <w:tcPr>
                  <w:tcW w:w="1026" w:type="pct"/>
                  <w:vAlign w:val="center"/>
                </w:tcPr>
                <w:p w14:paraId="028FF5EB">
                  <w:pPr>
                    <w:pStyle w:val="49"/>
                  </w:pPr>
                  <w:r>
                    <w:t>年平均</w:t>
                  </w:r>
                </w:p>
              </w:tc>
              <w:tc>
                <w:tcPr>
                  <w:tcW w:w="645" w:type="pct"/>
                  <w:vAlign w:val="center"/>
                </w:tcPr>
                <w:p w14:paraId="67D9FC41">
                  <w:pPr>
                    <w:pStyle w:val="49"/>
                    <w:rPr>
                      <w:rFonts w:hint="default" w:eastAsia="宋体"/>
                      <w:lang w:val="en-US" w:eastAsia="zh-CN"/>
                    </w:rPr>
                  </w:pPr>
                  <w:r>
                    <w:rPr>
                      <w:rFonts w:hint="eastAsia"/>
                      <w:lang w:val="en-US" w:eastAsia="zh-CN"/>
                    </w:rPr>
                    <w:t>30</w:t>
                  </w:r>
                </w:p>
              </w:tc>
            </w:tr>
            <w:tr w14:paraId="12543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4D319C4F">
                  <w:pPr>
                    <w:pStyle w:val="49"/>
                  </w:pPr>
                </w:p>
              </w:tc>
              <w:tc>
                <w:tcPr>
                  <w:tcW w:w="1478" w:type="pct"/>
                  <w:vMerge w:val="continue"/>
                  <w:vAlign w:val="center"/>
                </w:tcPr>
                <w:p w14:paraId="0346738C">
                  <w:pPr>
                    <w:pStyle w:val="49"/>
                  </w:pPr>
                </w:p>
              </w:tc>
              <w:tc>
                <w:tcPr>
                  <w:tcW w:w="940" w:type="pct"/>
                  <w:vMerge w:val="restart"/>
                  <w:vAlign w:val="center"/>
                </w:tcPr>
                <w:p w14:paraId="40CB641A">
                  <w:pPr>
                    <w:pStyle w:val="49"/>
                  </w:pPr>
                  <w:r>
                    <w:t>TSP</w:t>
                  </w:r>
                </w:p>
              </w:tc>
              <w:tc>
                <w:tcPr>
                  <w:tcW w:w="513" w:type="pct"/>
                  <w:vMerge w:val="restart"/>
                  <w:vAlign w:val="center"/>
                </w:tcPr>
                <w:p w14:paraId="55CC13A9">
                  <w:pPr>
                    <w:pStyle w:val="49"/>
                  </w:pPr>
                  <w:r>
                    <w:t>μg/m</w:t>
                  </w:r>
                  <w:r>
                    <w:rPr>
                      <w:vertAlign w:val="superscript"/>
                    </w:rPr>
                    <w:t>3</w:t>
                  </w:r>
                </w:p>
              </w:tc>
              <w:tc>
                <w:tcPr>
                  <w:tcW w:w="1026" w:type="pct"/>
                  <w:vAlign w:val="center"/>
                </w:tcPr>
                <w:p w14:paraId="111B1F8D">
                  <w:pPr>
                    <w:pStyle w:val="49"/>
                    <w:rPr>
                      <w:rFonts w:hint="eastAsia" w:eastAsia="宋体"/>
                      <w:lang w:eastAsia="zh-CN"/>
                    </w:rPr>
                  </w:pPr>
                  <w:r>
                    <w:rPr>
                      <w:rFonts w:hint="eastAsia"/>
                      <w:lang w:eastAsia="zh-CN"/>
                    </w:rPr>
                    <w:t>日平均</w:t>
                  </w:r>
                </w:p>
              </w:tc>
              <w:tc>
                <w:tcPr>
                  <w:tcW w:w="645" w:type="pct"/>
                  <w:vAlign w:val="center"/>
                </w:tcPr>
                <w:p w14:paraId="58961FF0">
                  <w:pPr>
                    <w:pStyle w:val="49"/>
                  </w:pPr>
                  <w:r>
                    <w:t>300</w:t>
                  </w:r>
                </w:p>
              </w:tc>
            </w:tr>
            <w:tr w14:paraId="2A947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42FACF64">
                  <w:pPr>
                    <w:pStyle w:val="49"/>
                  </w:pPr>
                </w:p>
              </w:tc>
              <w:tc>
                <w:tcPr>
                  <w:tcW w:w="1478" w:type="pct"/>
                  <w:vMerge w:val="continue"/>
                  <w:vAlign w:val="center"/>
                </w:tcPr>
                <w:p w14:paraId="2AF30067">
                  <w:pPr>
                    <w:pStyle w:val="49"/>
                  </w:pPr>
                </w:p>
              </w:tc>
              <w:tc>
                <w:tcPr>
                  <w:tcW w:w="940" w:type="pct"/>
                  <w:vMerge w:val="continue"/>
                  <w:vAlign w:val="center"/>
                </w:tcPr>
                <w:p w14:paraId="4763376D">
                  <w:pPr>
                    <w:pStyle w:val="49"/>
                  </w:pPr>
                </w:p>
              </w:tc>
              <w:tc>
                <w:tcPr>
                  <w:tcW w:w="513" w:type="pct"/>
                  <w:vMerge w:val="continue"/>
                  <w:vAlign w:val="center"/>
                </w:tcPr>
                <w:p w14:paraId="4452196E">
                  <w:pPr>
                    <w:pStyle w:val="49"/>
                  </w:pPr>
                </w:p>
              </w:tc>
              <w:tc>
                <w:tcPr>
                  <w:tcW w:w="1026" w:type="pct"/>
                  <w:vAlign w:val="center"/>
                </w:tcPr>
                <w:p w14:paraId="1CA659B8">
                  <w:pPr>
                    <w:pStyle w:val="49"/>
                  </w:pPr>
                  <w:r>
                    <w:t>年平均</w:t>
                  </w:r>
                </w:p>
              </w:tc>
              <w:tc>
                <w:tcPr>
                  <w:tcW w:w="645" w:type="pct"/>
                  <w:vAlign w:val="center"/>
                </w:tcPr>
                <w:p w14:paraId="34CCA9A2">
                  <w:pPr>
                    <w:pStyle w:val="49"/>
                  </w:pPr>
                  <w:r>
                    <w:t>200</w:t>
                  </w:r>
                </w:p>
              </w:tc>
            </w:tr>
            <w:tr w14:paraId="60971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1BDD0B60">
                  <w:pPr>
                    <w:pStyle w:val="49"/>
                  </w:pPr>
                </w:p>
              </w:tc>
              <w:tc>
                <w:tcPr>
                  <w:tcW w:w="1478" w:type="pct"/>
                  <w:vMerge w:val="continue"/>
                  <w:vAlign w:val="center"/>
                </w:tcPr>
                <w:p w14:paraId="0A0A2AEF">
                  <w:pPr>
                    <w:pStyle w:val="49"/>
                  </w:pPr>
                </w:p>
              </w:tc>
              <w:tc>
                <w:tcPr>
                  <w:tcW w:w="940" w:type="pct"/>
                  <w:vMerge w:val="restart"/>
                  <w:vAlign w:val="center"/>
                </w:tcPr>
                <w:p w14:paraId="431DCA1F">
                  <w:pPr>
                    <w:pStyle w:val="49"/>
                  </w:pPr>
                  <w:r>
                    <w:t>NO</w:t>
                  </w:r>
                  <w:r>
                    <w:rPr>
                      <w:vertAlign w:val="subscript"/>
                    </w:rPr>
                    <w:t>2</w:t>
                  </w:r>
                </w:p>
              </w:tc>
              <w:tc>
                <w:tcPr>
                  <w:tcW w:w="513" w:type="pct"/>
                  <w:vMerge w:val="restart"/>
                  <w:vAlign w:val="center"/>
                </w:tcPr>
                <w:p w14:paraId="68DFE30C">
                  <w:pPr>
                    <w:pStyle w:val="49"/>
                  </w:pPr>
                  <w:r>
                    <w:t>μg/m</w:t>
                  </w:r>
                  <w:r>
                    <w:rPr>
                      <w:vertAlign w:val="superscript"/>
                    </w:rPr>
                    <w:t>3</w:t>
                  </w:r>
                </w:p>
              </w:tc>
              <w:tc>
                <w:tcPr>
                  <w:tcW w:w="1026" w:type="pct"/>
                  <w:vAlign w:val="center"/>
                </w:tcPr>
                <w:p w14:paraId="701630C1">
                  <w:pPr>
                    <w:pStyle w:val="49"/>
                  </w:pPr>
                  <w:r>
                    <w:t>1小时平均</w:t>
                  </w:r>
                </w:p>
              </w:tc>
              <w:tc>
                <w:tcPr>
                  <w:tcW w:w="645" w:type="pct"/>
                  <w:vAlign w:val="center"/>
                </w:tcPr>
                <w:p w14:paraId="1E593D73">
                  <w:pPr>
                    <w:pStyle w:val="49"/>
                  </w:pPr>
                  <w:r>
                    <w:t>200</w:t>
                  </w:r>
                </w:p>
              </w:tc>
            </w:tr>
            <w:tr w14:paraId="551F6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1F454A64">
                  <w:pPr>
                    <w:pStyle w:val="49"/>
                  </w:pPr>
                </w:p>
              </w:tc>
              <w:tc>
                <w:tcPr>
                  <w:tcW w:w="1478" w:type="pct"/>
                  <w:vMerge w:val="continue"/>
                  <w:vAlign w:val="center"/>
                </w:tcPr>
                <w:p w14:paraId="4043A789">
                  <w:pPr>
                    <w:pStyle w:val="49"/>
                  </w:pPr>
                </w:p>
              </w:tc>
              <w:tc>
                <w:tcPr>
                  <w:tcW w:w="940" w:type="pct"/>
                  <w:vMerge w:val="continue"/>
                  <w:vAlign w:val="center"/>
                </w:tcPr>
                <w:p w14:paraId="7E7EF800">
                  <w:pPr>
                    <w:pStyle w:val="49"/>
                  </w:pPr>
                </w:p>
              </w:tc>
              <w:tc>
                <w:tcPr>
                  <w:tcW w:w="513" w:type="pct"/>
                  <w:vMerge w:val="continue"/>
                  <w:vAlign w:val="center"/>
                </w:tcPr>
                <w:p w14:paraId="67FD11E8">
                  <w:pPr>
                    <w:pStyle w:val="49"/>
                  </w:pPr>
                </w:p>
              </w:tc>
              <w:tc>
                <w:tcPr>
                  <w:tcW w:w="1026" w:type="pct"/>
                  <w:vAlign w:val="center"/>
                </w:tcPr>
                <w:p w14:paraId="72A4DF7F">
                  <w:pPr>
                    <w:pStyle w:val="49"/>
                    <w:rPr>
                      <w:rFonts w:hint="eastAsia" w:eastAsia="宋体"/>
                      <w:lang w:eastAsia="zh-CN"/>
                    </w:rPr>
                  </w:pPr>
                  <w:r>
                    <w:rPr>
                      <w:rFonts w:hint="eastAsia"/>
                      <w:lang w:eastAsia="zh-CN"/>
                    </w:rPr>
                    <w:t>日平均</w:t>
                  </w:r>
                </w:p>
              </w:tc>
              <w:tc>
                <w:tcPr>
                  <w:tcW w:w="645" w:type="pct"/>
                  <w:vAlign w:val="center"/>
                </w:tcPr>
                <w:p w14:paraId="3A1F12C2">
                  <w:pPr>
                    <w:pStyle w:val="49"/>
                  </w:pPr>
                  <w:r>
                    <w:t>80</w:t>
                  </w:r>
                </w:p>
              </w:tc>
            </w:tr>
            <w:tr w14:paraId="296D8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31BD621A">
                  <w:pPr>
                    <w:pStyle w:val="49"/>
                  </w:pPr>
                </w:p>
              </w:tc>
              <w:tc>
                <w:tcPr>
                  <w:tcW w:w="1478" w:type="pct"/>
                  <w:vMerge w:val="continue"/>
                  <w:vAlign w:val="center"/>
                </w:tcPr>
                <w:p w14:paraId="49694428">
                  <w:pPr>
                    <w:pStyle w:val="49"/>
                  </w:pPr>
                </w:p>
              </w:tc>
              <w:tc>
                <w:tcPr>
                  <w:tcW w:w="940" w:type="pct"/>
                  <w:vMerge w:val="continue"/>
                  <w:vAlign w:val="center"/>
                </w:tcPr>
                <w:p w14:paraId="66687BA9">
                  <w:pPr>
                    <w:pStyle w:val="49"/>
                  </w:pPr>
                </w:p>
              </w:tc>
              <w:tc>
                <w:tcPr>
                  <w:tcW w:w="513" w:type="pct"/>
                  <w:vMerge w:val="continue"/>
                  <w:vAlign w:val="center"/>
                </w:tcPr>
                <w:p w14:paraId="515CE706">
                  <w:pPr>
                    <w:pStyle w:val="49"/>
                  </w:pPr>
                </w:p>
              </w:tc>
              <w:tc>
                <w:tcPr>
                  <w:tcW w:w="1026" w:type="pct"/>
                  <w:vAlign w:val="center"/>
                </w:tcPr>
                <w:p w14:paraId="7417A8D8">
                  <w:pPr>
                    <w:pStyle w:val="49"/>
                  </w:pPr>
                  <w:r>
                    <w:t>年平均</w:t>
                  </w:r>
                </w:p>
              </w:tc>
              <w:tc>
                <w:tcPr>
                  <w:tcW w:w="645" w:type="pct"/>
                  <w:vAlign w:val="center"/>
                </w:tcPr>
                <w:p w14:paraId="4AB5543D">
                  <w:pPr>
                    <w:pStyle w:val="49"/>
                  </w:pPr>
                  <w:r>
                    <w:t>40</w:t>
                  </w:r>
                </w:p>
              </w:tc>
            </w:tr>
            <w:tr w14:paraId="66F0F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69BC44B0">
                  <w:pPr>
                    <w:pStyle w:val="49"/>
                  </w:pPr>
                </w:p>
              </w:tc>
              <w:tc>
                <w:tcPr>
                  <w:tcW w:w="1478" w:type="pct"/>
                  <w:vMerge w:val="continue"/>
                  <w:vAlign w:val="center"/>
                </w:tcPr>
                <w:p w14:paraId="76A3F4F7">
                  <w:pPr>
                    <w:pStyle w:val="49"/>
                  </w:pPr>
                </w:p>
              </w:tc>
              <w:tc>
                <w:tcPr>
                  <w:tcW w:w="940" w:type="pct"/>
                  <w:vMerge w:val="restart"/>
                  <w:vAlign w:val="center"/>
                </w:tcPr>
                <w:p w14:paraId="0AF9B08E">
                  <w:pPr>
                    <w:pStyle w:val="49"/>
                  </w:pPr>
                  <w:r>
                    <w:t>SO</w:t>
                  </w:r>
                  <w:r>
                    <w:rPr>
                      <w:vertAlign w:val="subscript"/>
                    </w:rPr>
                    <w:t>2</w:t>
                  </w:r>
                </w:p>
              </w:tc>
              <w:tc>
                <w:tcPr>
                  <w:tcW w:w="513" w:type="pct"/>
                  <w:vMerge w:val="restart"/>
                  <w:vAlign w:val="center"/>
                </w:tcPr>
                <w:p w14:paraId="27F6DEC6">
                  <w:pPr>
                    <w:pStyle w:val="49"/>
                  </w:pPr>
                  <w:r>
                    <w:t>μg/m</w:t>
                  </w:r>
                  <w:r>
                    <w:rPr>
                      <w:vertAlign w:val="superscript"/>
                    </w:rPr>
                    <w:t>3</w:t>
                  </w:r>
                </w:p>
              </w:tc>
              <w:tc>
                <w:tcPr>
                  <w:tcW w:w="1026" w:type="pct"/>
                  <w:vAlign w:val="center"/>
                </w:tcPr>
                <w:p w14:paraId="44CD2BB2">
                  <w:pPr>
                    <w:pStyle w:val="49"/>
                  </w:pPr>
                  <w:r>
                    <w:t>1小时平均</w:t>
                  </w:r>
                </w:p>
              </w:tc>
              <w:tc>
                <w:tcPr>
                  <w:tcW w:w="645" w:type="pct"/>
                  <w:vAlign w:val="center"/>
                </w:tcPr>
                <w:p w14:paraId="0E12165F">
                  <w:pPr>
                    <w:pStyle w:val="49"/>
                  </w:pPr>
                  <w:r>
                    <w:t>500</w:t>
                  </w:r>
                </w:p>
              </w:tc>
            </w:tr>
            <w:tr w14:paraId="06A4D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4473AE3F">
                  <w:pPr>
                    <w:pStyle w:val="49"/>
                  </w:pPr>
                </w:p>
              </w:tc>
              <w:tc>
                <w:tcPr>
                  <w:tcW w:w="1478" w:type="pct"/>
                  <w:vMerge w:val="continue"/>
                  <w:vAlign w:val="center"/>
                </w:tcPr>
                <w:p w14:paraId="24F0762A">
                  <w:pPr>
                    <w:pStyle w:val="49"/>
                  </w:pPr>
                </w:p>
              </w:tc>
              <w:tc>
                <w:tcPr>
                  <w:tcW w:w="940" w:type="pct"/>
                  <w:vMerge w:val="continue"/>
                  <w:vAlign w:val="center"/>
                </w:tcPr>
                <w:p w14:paraId="37F1E37A">
                  <w:pPr>
                    <w:pStyle w:val="49"/>
                  </w:pPr>
                </w:p>
              </w:tc>
              <w:tc>
                <w:tcPr>
                  <w:tcW w:w="513" w:type="pct"/>
                  <w:vMerge w:val="continue"/>
                  <w:vAlign w:val="center"/>
                </w:tcPr>
                <w:p w14:paraId="55B09E54">
                  <w:pPr>
                    <w:pStyle w:val="49"/>
                  </w:pPr>
                </w:p>
              </w:tc>
              <w:tc>
                <w:tcPr>
                  <w:tcW w:w="1026" w:type="pct"/>
                  <w:vAlign w:val="center"/>
                </w:tcPr>
                <w:p w14:paraId="73B6E2A4">
                  <w:pPr>
                    <w:pStyle w:val="49"/>
                    <w:rPr>
                      <w:rFonts w:hint="eastAsia" w:eastAsia="宋体"/>
                      <w:lang w:eastAsia="zh-CN"/>
                    </w:rPr>
                  </w:pPr>
                  <w:r>
                    <w:rPr>
                      <w:rFonts w:hint="eastAsia"/>
                      <w:lang w:eastAsia="zh-CN"/>
                    </w:rPr>
                    <w:t>日平均</w:t>
                  </w:r>
                </w:p>
              </w:tc>
              <w:tc>
                <w:tcPr>
                  <w:tcW w:w="645" w:type="pct"/>
                  <w:vAlign w:val="center"/>
                </w:tcPr>
                <w:p w14:paraId="4A219D85">
                  <w:pPr>
                    <w:pStyle w:val="49"/>
                  </w:pPr>
                  <w:r>
                    <w:t>150</w:t>
                  </w:r>
                </w:p>
              </w:tc>
            </w:tr>
            <w:tr w14:paraId="10633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7E20A45E">
                  <w:pPr>
                    <w:pStyle w:val="49"/>
                  </w:pPr>
                </w:p>
              </w:tc>
              <w:tc>
                <w:tcPr>
                  <w:tcW w:w="1478" w:type="pct"/>
                  <w:vMerge w:val="continue"/>
                  <w:vAlign w:val="center"/>
                </w:tcPr>
                <w:p w14:paraId="454EB84A">
                  <w:pPr>
                    <w:pStyle w:val="49"/>
                  </w:pPr>
                </w:p>
              </w:tc>
              <w:tc>
                <w:tcPr>
                  <w:tcW w:w="940" w:type="pct"/>
                  <w:vMerge w:val="continue"/>
                  <w:vAlign w:val="center"/>
                </w:tcPr>
                <w:p w14:paraId="7800B862">
                  <w:pPr>
                    <w:pStyle w:val="49"/>
                  </w:pPr>
                </w:p>
              </w:tc>
              <w:tc>
                <w:tcPr>
                  <w:tcW w:w="513" w:type="pct"/>
                  <w:vMerge w:val="continue"/>
                  <w:vAlign w:val="center"/>
                </w:tcPr>
                <w:p w14:paraId="4EAE8F12">
                  <w:pPr>
                    <w:pStyle w:val="49"/>
                  </w:pPr>
                </w:p>
              </w:tc>
              <w:tc>
                <w:tcPr>
                  <w:tcW w:w="1026" w:type="pct"/>
                  <w:vAlign w:val="center"/>
                </w:tcPr>
                <w:p w14:paraId="19B38EF7">
                  <w:pPr>
                    <w:pStyle w:val="49"/>
                  </w:pPr>
                  <w:r>
                    <w:t>年平均</w:t>
                  </w:r>
                </w:p>
              </w:tc>
              <w:tc>
                <w:tcPr>
                  <w:tcW w:w="645" w:type="pct"/>
                  <w:vAlign w:val="center"/>
                </w:tcPr>
                <w:p w14:paraId="18806303">
                  <w:pPr>
                    <w:pStyle w:val="49"/>
                  </w:pPr>
                  <w:r>
                    <w:t>60</w:t>
                  </w:r>
                </w:p>
              </w:tc>
            </w:tr>
            <w:tr w14:paraId="15F12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4926AAAB">
                  <w:pPr>
                    <w:pStyle w:val="49"/>
                  </w:pPr>
                </w:p>
              </w:tc>
              <w:tc>
                <w:tcPr>
                  <w:tcW w:w="1478" w:type="pct"/>
                  <w:vMerge w:val="continue"/>
                  <w:vAlign w:val="center"/>
                </w:tcPr>
                <w:p w14:paraId="6B6E50A3">
                  <w:pPr>
                    <w:pStyle w:val="49"/>
                  </w:pPr>
                </w:p>
              </w:tc>
              <w:tc>
                <w:tcPr>
                  <w:tcW w:w="940" w:type="pct"/>
                  <w:vAlign w:val="center"/>
                </w:tcPr>
                <w:p w14:paraId="02187A59">
                  <w:pPr>
                    <w:pStyle w:val="49"/>
                  </w:pPr>
                  <w:r>
                    <w:t>O</w:t>
                  </w:r>
                  <w:r>
                    <w:rPr>
                      <w:vertAlign w:val="subscript"/>
                    </w:rPr>
                    <w:t>3</w:t>
                  </w:r>
                </w:p>
              </w:tc>
              <w:tc>
                <w:tcPr>
                  <w:tcW w:w="513" w:type="pct"/>
                  <w:vAlign w:val="center"/>
                </w:tcPr>
                <w:p w14:paraId="001A6900">
                  <w:pPr>
                    <w:pStyle w:val="49"/>
                  </w:pPr>
                  <w:r>
                    <w:t>μg/m</w:t>
                  </w:r>
                  <w:r>
                    <w:rPr>
                      <w:vertAlign w:val="superscript"/>
                    </w:rPr>
                    <w:t>3</w:t>
                  </w:r>
                </w:p>
              </w:tc>
              <w:tc>
                <w:tcPr>
                  <w:tcW w:w="1026" w:type="pct"/>
                  <w:vAlign w:val="center"/>
                </w:tcPr>
                <w:p w14:paraId="103ACF1E">
                  <w:pPr>
                    <w:pStyle w:val="49"/>
                  </w:pPr>
                  <w:r>
                    <w:t>日最大8h平均</w:t>
                  </w:r>
                </w:p>
              </w:tc>
              <w:tc>
                <w:tcPr>
                  <w:tcW w:w="645" w:type="pct"/>
                  <w:vAlign w:val="center"/>
                </w:tcPr>
                <w:p w14:paraId="3B285928">
                  <w:pPr>
                    <w:pStyle w:val="49"/>
                  </w:pPr>
                  <w:r>
                    <w:t>160</w:t>
                  </w:r>
                </w:p>
              </w:tc>
            </w:tr>
            <w:tr w14:paraId="45248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5EFF1759">
                  <w:pPr>
                    <w:pStyle w:val="49"/>
                  </w:pPr>
                </w:p>
              </w:tc>
              <w:tc>
                <w:tcPr>
                  <w:tcW w:w="1478" w:type="pct"/>
                  <w:vMerge w:val="continue"/>
                  <w:vAlign w:val="center"/>
                </w:tcPr>
                <w:p w14:paraId="7B2F9B21">
                  <w:pPr>
                    <w:pStyle w:val="49"/>
                  </w:pPr>
                </w:p>
              </w:tc>
              <w:tc>
                <w:tcPr>
                  <w:tcW w:w="940" w:type="pct"/>
                  <w:vAlign w:val="center"/>
                </w:tcPr>
                <w:p w14:paraId="6C5F2D1C">
                  <w:pPr>
                    <w:pStyle w:val="49"/>
                  </w:pPr>
                  <w:r>
                    <w:t>CO</w:t>
                  </w:r>
                </w:p>
              </w:tc>
              <w:tc>
                <w:tcPr>
                  <w:tcW w:w="513" w:type="pct"/>
                  <w:vAlign w:val="center"/>
                </w:tcPr>
                <w:p w14:paraId="1A526936">
                  <w:pPr>
                    <w:pStyle w:val="49"/>
                  </w:pPr>
                  <w:r>
                    <w:t>mg/m</w:t>
                  </w:r>
                  <w:r>
                    <w:rPr>
                      <w:vertAlign w:val="superscript"/>
                    </w:rPr>
                    <w:t>3</w:t>
                  </w:r>
                </w:p>
              </w:tc>
              <w:tc>
                <w:tcPr>
                  <w:tcW w:w="1026" w:type="pct"/>
                  <w:vAlign w:val="center"/>
                </w:tcPr>
                <w:p w14:paraId="669AEE98">
                  <w:pPr>
                    <w:pStyle w:val="49"/>
                    <w:rPr>
                      <w:rFonts w:hint="eastAsia" w:eastAsia="宋体"/>
                      <w:lang w:eastAsia="zh-CN"/>
                    </w:rPr>
                  </w:pPr>
                  <w:r>
                    <w:rPr>
                      <w:rFonts w:hint="eastAsia"/>
                      <w:lang w:eastAsia="zh-CN"/>
                    </w:rPr>
                    <w:t>日平均</w:t>
                  </w:r>
                </w:p>
              </w:tc>
              <w:tc>
                <w:tcPr>
                  <w:tcW w:w="645" w:type="pct"/>
                  <w:vAlign w:val="center"/>
                </w:tcPr>
                <w:p w14:paraId="60C01CFA">
                  <w:pPr>
                    <w:pStyle w:val="49"/>
                  </w:pPr>
                  <w:r>
                    <w:t>4</w:t>
                  </w:r>
                </w:p>
              </w:tc>
            </w:tr>
            <w:tr w14:paraId="66512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24986804">
                  <w:pPr>
                    <w:pStyle w:val="49"/>
                  </w:pPr>
                  <w:r>
                    <w:t>地</w:t>
                  </w:r>
                </w:p>
                <w:p w14:paraId="05DB26EA">
                  <w:pPr>
                    <w:pStyle w:val="49"/>
                  </w:pPr>
                  <w:r>
                    <w:t>表</w:t>
                  </w:r>
                </w:p>
                <w:p w14:paraId="4370A118">
                  <w:pPr>
                    <w:pStyle w:val="49"/>
                  </w:pPr>
                  <w:r>
                    <w:t>水</w:t>
                  </w:r>
                </w:p>
                <w:p w14:paraId="52E0F780">
                  <w:pPr>
                    <w:pStyle w:val="49"/>
                  </w:pPr>
                  <w:r>
                    <w:t>环</w:t>
                  </w:r>
                </w:p>
                <w:p w14:paraId="1B83C4EA">
                  <w:pPr>
                    <w:pStyle w:val="49"/>
                  </w:pPr>
                  <w:r>
                    <w:t>境</w:t>
                  </w:r>
                </w:p>
              </w:tc>
              <w:tc>
                <w:tcPr>
                  <w:tcW w:w="1478" w:type="pct"/>
                  <w:vMerge w:val="restart"/>
                  <w:vAlign w:val="center"/>
                </w:tcPr>
                <w:p w14:paraId="29260F90">
                  <w:pPr>
                    <w:pStyle w:val="49"/>
                  </w:pPr>
                  <w:r>
                    <w:t>《地表水环境质量标准》（GB3838-2002）中</w:t>
                  </w:r>
                  <w:r>
                    <w:rPr>
                      <w:rFonts w:hint="eastAsia" w:ascii="宋体" w:hAnsi="宋体"/>
                    </w:rPr>
                    <w:t>Ⅳ</w:t>
                  </w:r>
                  <w:r>
                    <w:t>类标准</w:t>
                  </w:r>
                </w:p>
              </w:tc>
              <w:tc>
                <w:tcPr>
                  <w:tcW w:w="940" w:type="pct"/>
                  <w:vAlign w:val="center"/>
                </w:tcPr>
                <w:p w14:paraId="342FD6E3">
                  <w:pPr>
                    <w:pStyle w:val="49"/>
                  </w:pPr>
                  <w:r>
                    <w:t>pH</w:t>
                  </w:r>
                </w:p>
              </w:tc>
              <w:tc>
                <w:tcPr>
                  <w:tcW w:w="513" w:type="pct"/>
                  <w:vAlign w:val="center"/>
                </w:tcPr>
                <w:p w14:paraId="2A53988F">
                  <w:pPr>
                    <w:pStyle w:val="49"/>
                  </w:pPr>
                  <w:r>
                    <w:t>无量纲</w:t>
                  </w:r>
                </w:p>
              </w:tc>
              <w:tc>
                <w:tcPr>
                  <w:tcW w:w="1671" w:type="pct"/>
                  <w:gridSpan w:val="2"/>
                  <w:vAlign w:val="center"/>
                </w:tcPr>
                <w:p w14:paraId="64107479">
                  <w:pPr>
                    <w:pStyle w:val="49"/>
                  </w:pPr>
                  <w:r>
                    <w:t>6</w:t>
                  </w:r>
                  <w:r>
                    <w:rPr>
                      <w:rFonts w:hint="eastAsia"/>
                      <w:lang w:eastAsia="zh-CN"/>
                    </w:rPr>
                    <w:t>~</w:t>
                  </w:r>
                  <w:r>
                    <w:t>9</w:t>
                  </w:r>
                </w:p>
              </w:tc>
            </w:tr>
            <w:tr w14:paraId="1F7AF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534E8EFC">
                  <w:pPr>
                    <w:pStyle w:val="49"/>
                  </w:pPr>
                </w:p>
              </w:tc>
              <w:tc>
                <w:tcPr>
                  <w:tcW w:w="1478" w:type="pct"/>
                  <w:vMerge w:val="continue"/>
                  <w:vAlign w:val="center"/>
                </w:tcPr>
                <w:p w14:paraId="07D03BEE">
                  <w:pPr>
                    <w:pStyle w:val="49"/>
                  </w:pPr>
                </w:p>
              </w:tc>
              <w:tc>
                <w:tcPr>
                  <w:tcW w:w="940" w:type="pct"/>
                  <w:vAlign w:val="center"/>
                </w:tcPr>
                <w:p w14:paraId="5A97DFE4">
                  <w:pPr>
                    <w:pStyle w:val="49"/>
                  </w:pPr>
                  <w:r>
                    <w:t>高锰酸盐指数</w:t>
                  </w:r>
                </w:p>
              </w:tc>
              <w:tc>
                <w:tcPr>
                  <w:tcW w:w="513" w:type="pct"/>
                  <w:vAlign w:val="center"/>
                </w:tcPr>
                <w:p w14:paraId="0F752425">
                  <w:pPr>
                    <w:pStyle w:val="49"/>
                  </w:pPr>
                  <w:r>
                    <w:t>mg/L</w:t>
                  </w:r>
                </w:p>
              </w:tc>
              <w:tc>
                <w:tcPr>
                  <w:tcW w:w="1671" w:type="pct"/>
                  <w:gridSpan w:val="2"/>
                  <w:vAlign w:val="center"/>
                </w:tcPr>
                <w:p w14:paraId="1BF84BA7">
                  <w:pPr>
                    <w:pStyle w:val="49"/>
                  </w:pPr>
                  <w:r>
                    <w:t>10</w:t>
                  </w:r>
                </w:p>
              </w:tc>
            </w:tr>
            <w:tr w14:paraId="4B01C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4CAC06FE">
                  <w:pPr>
                    <w:pStyle w:val="49"/>
                  </w:pPr>
                </w:p>
              </w:tc>
              <w:tc>
                <w:tcPr>
                  <w:tcW w:w="1478" w:type="pct"/>
                  <w:vMerge w:val="continue"/>
                  <w:vAlign w:val="center"/>
                </w:tcPr>
                <w:p w14:paraId="7E950E85">
                  <w:pPr>
                    <w:pStyle w:val="49"/>
                  </w:pPr>
                </w:p>
              </w:tc>
              <w:tc>
                <w:tcPr>
                  <w:tcW w:w="940" w:type="pct"/>
                  <w:vAlign w:val="center"/>
                </w:tcPr>
                <w:p w14:paraId="375AF2C3">
                  <w:pPr>
                    <w:pStyle w:val="49"/>
                  </w:pPr>
                  <w:r>
                    <w:t>COD</w:t>
                  </w:r>
                </w:p>
              </w:tc>
              <w:tc>
                <w:tcPr>
                  <w:tcW w:w="513" w:type="pct"/>
                  <w:vAlign w:val="center"/>
                </w:tcPr>
                <w:p w14:paraId="371FF2CA">
                  <w:pPr>
                    <w:pStyle w:val="49"/>
                  </w:pPr>
                  <w:r>
                    <w:t>mg/L</w:t>
                  </w:r>
                </w:p>
              </w:tc>
              <w:tc>
                <w:tcPr>
                  <w:tcW w:w="1671" w:type="pct"/>
                  <w:gridSpan w:val="2"/>
                  <w:vAlign w:val="center"/>
                </w:tcPr>
                <w:p w14:paraId="5FB201F4">
                  <w:pPr>
                    <w:pStyle w:val="49"/>
                  </w:pPr>
                  <w:r>
                    <w:t>30</w:t>
                  </w:r>
                </w:p>
              </w:tc>
            </w:tr>
            <w:tr w14:paraId="70F5E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1F45C03C">
                  <w:pPr>
                    <w:pStyle w:val="49"/>
                  </w:pPr>
                </w:p>
              </w:tc>
              <w:tc>
                <w:tcPr>
                  <w:tcW w:w="1478" w:type="pct"/>
                  <w:vMerge w:val="continue"/>
                  <w:vAlign w:val="center"/>
                </w:tcPr>
                <w:p w14:paraId="51EC8E0B">
                  <w:pPr>
                    <w:pStyle w:val="49"/>
                  </w:pPr>
                </w:p>
              </w:tc>
              <w:tc>
                <w:tcPr>
                  <w:tcW w:w="940" w:type="pct"/>
                  <w:vAlign w:val="center"/>
                </w:tcPr>
                <w:p w14:paraId="7B122A70">
                  <w:pPr>
                    <w:pStyle w:val="49"/>
                  </w:pPr>
                  <w:r>
                    <w:t>BOD</w:t>
                  </w:r>
                  <w:r>
                    <w:rPr>
                      <w:vertAlign w:val="subscript"/>
                    </w:rPr>
                    <w:t>5</w:t>
                  </w:r>
                </w:p>
              </w:tc>
              <w:tc>
                <w:tcPr>
                  <w:tcW w:w="513" w:type="pct"/>
                  <w:vAlign w:val="center"/>
                </w:tcPr>
                <w:p w14:paraId="02F300DA">
                  <w:pPr>
                    <w:pStyle w:val="49"/>
                  </w:pPr>
                  <w:r>
                    <w:t>mg/L</w:t>
                  </w:r>
                </w:p>
              </w:tc>
              <w:tc>
                <w:tcPr>
                  <w:tcW w:w="1671" w:type="pct"/>
                  <w:gridSpan w:val="2"/>
                  <w:vAlign w:val="center"/>
                </w:tcPr>
                <w:p w14:paraId="3F746FE8">
                  <w:pPr>
                    <w:pStyle w:val="49"/>
                  </w:pPr>
                  <w:r>
                    <w:t>6</w:t>
                  </w:r>
                </w:p>
              </w:tc>
            </w:tr>
            <w:tr w14:paraId="29AC4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23AF17C7">
                  <w:pPr>
                    <w:pStyle w:val="49"/>
                  </w:pPr>
                </w:p>
              </w:tc>
              <w:tc>
                <w:tcPr>
                  <w:tcW w:w="1478" w:type="pct"/>
                  <w:vMerge w:val="continue"/>
                  <w:vAlign w:val="center"/>
                </w:tcPr>
                <w:p w14:paraId="0F2FFC0C">
                  <w:pPr>
                    <w:pStyle w:val="49"/>
                  </w:pPr>
                </w:p>
              </w:tc>
              <w:tc>
                <w:tcPr>
                  <w:tcW w:w="940" w:type="pct"/>
                  <w:vAlign w:val="center"/>
                </w:tcPr>
                <w:p w14:paraId="3EE5082A">
                  <w:pPr>
                    <w:pStyle w:val="49"/>
                  </w:pPr>
                  <w:r>
                    <w:t>氨氮</w:t>
                  </w:r>
                </w:p>
              </w:tc>
              <w:tc>
                <w:tcPr>
                  <w:tcW w:w="513" w:type="pct"/>
                  <w:vAlign w:val="center"/>
                </w:tcPr>
                <w:p w14:paraId="737708C0">
                  <w:pPr>
                    <w:pStyle w:val="49"/>
                  </w:pPr>
                  <w:r>
                    <w:t>mg/L</w:t>
                  </w:r>
                </w:p>
              </w:tc>
              <w:tc>
                <w:tcPr>
                  <w:tcW w:w="1671" w:type="pct"/>
                  <w:gridSpan w:val="2"/>
                  <w:vAlign w:val="center"/>
                </w:tcPr>
                <w:p w14:paraId="38979141">
                  <w:pPr>
                    <w:pStyle w:val="49"/>
                  </w:pPr>
                  <w:r>
                    <w:t>1.5</w:t>
                  </w:r>
                </w:p>
              </w:tc>
            </w:tr>
            <w:tr w14:paraId="0E9C0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520CD954">
                  <w:pPr>
                    <w:pStyle w:val="49"/>
                  </w:pPr>
                </w:p>
              </w:tc>
              <w:tc>
                <w:tcPr>
                  <w:tcW w:w="1478" w:type="pct"/>
                  <w:vMerge w:val="continue"/>
                  <w:vAlign w:val="center"/>
                </w:tcPr>
                <w:p w14:paraId="51FA43B5">
                  <w:pPr>
                    <w:pStyle w:val="49"/>
                  </w:pPr>
                </w:p>
              </w:tc>
              <w:tc>
                <w:tcPr>
                  <w:tcW w:w="940" w:type="pct"/>
                  <w:vAlign w:val="center"/>
                </w:tcPr>
                <w:p w14:paraId="09044894">
                  <w:pPr>
                    <w:pStyle w:val="49"/>
                  </w:pPr>
                  <w:r>
                    <w:rPr>
                      <w:rFonts w:hint="eastAsia"/>
                    </w:rPr>
                    <w:t>总磷</w:t>
                  </w:r>
                </w:p>
              </w:tc>
              <w:tc>
                <w:tcPr>
                  <w:tcW w:w="513" w:type="pct"/>
                  <w:vAlign w:val="center"/>
                </w:tcPr>
                <w:p w14:paraId="046116BB">
                  <w:pPr>
                    <w:pStyle w:val="49"/>
                  </w:pPr>
                  <w:r>
                    <w:t>mg/L</w:t>
                  </w:r>
                </w:p>
              </w:tc>
              <w:tc>
                <w:tcPr>
                  <w:tcW w:w="1671" w:type="pct"/>
                  <w:gridSpan w:val="2"/>
                  <w:vAlign w:val="center"/>
                </w:tcPr>
                <w:p w14:paraId="1BB1C9EB">
                  <w:pPr>
                    <w:pStyle w:val="49"/>
                  </w:pPr>
                  <w:r>
                    <w:t>0.3</w:t>
                  </w:r>
                </w:p>
              </w:tc>
            </w:tr>
            <w:tr w14:paraId="4E4B0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130D3E50">
                  <w:pPr>
                    <w:pStyle w:val="49"/>
                  </w:pPr>
                  <w:r>
                    <w:t>声环境</w:t>
                  </w:r>
                </w:p>
              </w:tc>
              <w:tc>
                <w:tcPr>
                  <w:tcW w:w="1478" w:type="pct"/>
                  <w:vMerge w:val="restart"/>
                  <w:vAlign w:val="center"/>
                </w:tcPr>
                <w:p w14:paraId="7E1C3ABB">
                  <w:pPr>
                    <w:pStyle w:val="49"/>
                  </w:pPr>
                  <w:r>
                    <w:t>《声环境质量标准》（GB3096-2008）2类</w:t>
                  </w:r>
                  <w:r>
                    <w:rPr>
                      <w:rFonts w:hint="eastAsia"/>
                    </w:rPr>
                    <w:t>区</w:t>
                  </w:r>
                </w:p>
              </w:tc>
              <w:tc>
                <w:tcPr>
                  <w:tcW w:w="940" w:type="pct"/>
                  <w:vMerge w:val="restart"/>
                  <w:vAlign w:val="center"/>
                </w:tcPr>
                <w:p w14:paraId="1C061691">
                  <w:pPr>
                    <w:pStyle w:val="49"/>
                  </w:pPr>
                  <w:r>
                    <w:t>等效连续A声级</w:t>
                  </w:r>
                </w:p>
              </w:tc>
              <w:tc>
                <w:tcPr>
                  <w:tcW w:w="513" w:type="pct"/>
                  <w:vMerge w:val="restart"/>
                  <w:vAlign w:val="center"/>
                </w:tcPr>
                <w:p w14:paraId="309C6B41">
                  <w:pPr>
                    <w:pStyle w:val="49"/>
                  </w:pPr>
                  <w:r>
                    <w:t>dB(A)</w:t>
                  </w:r>
                </w:p>
              </w:tc>
              <w:tc>
                <w:tcPr>
                  <w:tcW w:w="1026" w:type="pct"/>
                  <w:vAlign w:val="center"/>
                </w:tcPr>
                <w:p w14:paraId="7BCB6763">
                  <w:pPr>
                    <w:pStyle w:val="49"/>
                  </w:pPr>
                  <w:r>
                    <w:t>昼间</w:t>
                  </w:r>
                </w:p>
              </w:tc>
              <w:tc>
                <w:tcPr>
                  <w:tcW w:w="645" w:type="pct"/>
                  <w:vAlign w:val="center"/>
                </w:tcPr>
                <w:p w14:paraId="454A4BCF">
                  <w:pPr>
                    <w:pStyle w:val="49"/>
                  </w:pPr>
                  <w:r>
                    <w:t>60</w:t>
                  </w:r>
                </w:p>
              </w:tc>
            </w:tr>
            <w:tr w14:paraId="54442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306512FB">
                  <w:pPr>
                    <w:pStyle w:val="49"/>
                  </w:pPr>
                </w:p>
              </w:tc>
              <w:tc>
                <w:tcPr>
                  <w:tcW w:w="1478" w:type="pct"/>
                  <w:vMerge w:val="continue"/>
                  <w:vAlign w:val="center"/>
                </w:tcPr>
                <w:p w14:paraId="30960020">
                  <w:pPr>
                    <w:pStyle w:val="49"/>
                  </w:pPr>
                </w:p>
              </w:tc>
              <w:tc>
                <w:tcPr>
                  <w:tcW w:w="940" w:type="pct"/>
                  <w:vMerge w:val="continue"/>
                  <w:vAlign w:val="center"/>
                </w:tcPr>
                <w:p w14:paraId="058F9668">
                  <w:pPr>
                    <w:pStyle w:val="49"/>
                  </w:pPr>
                </w:p>
              </w:tc>
              <w:tc>
                <w:tcPr>
                  <w:tcW w:w="513" w:type="pct"/>
                  <w:vMerge w:val="continue"/>
                  <w:vAlign w:val="center"/>
                </w:tcPr>
                <w:p w14:paraId="7089D1E5">
                  <w:pPr>
                    <w:pStyle w:val="49"/>
                  </w:pPr>
                </w:p>
              </w:tc>
              <w:tc>
                <w:tcPr>
                  <w:tcW w:w="1026" w:type="pct"/>
                  <w:vAlign w:val="center"/>
                </w:tcPr>
                <w:p w14:paraId="72462E48">
                  <w:pPr>
                    <w:pStyle w:val="49"/>
                  </w:pPr>
                  <w:r>
                    <w:t>夜间</w:t>
                  </w:r>
                </w:p>
              </w:tc>
              <w:tc>
                <w:tcPr>
                  <w:tcW w:w="645" w:type="pct"/>
                  <w:vAlign w:val="center"/>
                </w:tcPr>
                <w:p w14:paraId="096A762C">
                  <w:pPr>
                    <w:pStyle w:val="49"/>
                  </w:pPr>
                  <w:r>
                    <w:t>50</w:t>
                  </w:r>
                </w:p>
              </w:tc>
            </w:tr>
          </w:tbl>
          <w:p w14:paraId="5675DFD9">
            <w:pPr>
              <w:pStyle w:val="53"/>
              <w:ind w:firstLine="480"/>
            </w:pPr>
            <w:r>
              <w:rPr>
                <w:rFonts w:hint="eastAsia"/>
              </w:rPr>
              <w:t>2、</w:t>
            </w:r>
            <w:r>
              <w:t>污染物排放标准</w:t>
            </w:r>
          </w:p>
          <w:p w14:paraId="03196BB7">
            <w:pPr>
              <w:pStyle w:val="53"/>
              <w:ind w:firstLine="480"/>
            </w:pPr>
            <w:r>
              <w:t>（1）废气</w:t>
            </w:r>
          </w:p>
          <w:p w14:paraId="014603D5">
            <w:pPr>
              <w:adjustRightInd w:val="0"/>
              <w:snapToGrid w:val="0"/>
              <w:spacing w:line="500" w:lineRule="exact"/>
              <w:ind w:firstLine="480" w:firstLineChars="200"/>
              <w:rPr>
                <w:kern w:val="0"/>
                <w:sz w:val="24"/>
              </w:rPr>
            </w:pPr>
            <w:r>
              <w:rPr>
                <w:sz w:val="24"/>
              </w:rPr>
              <w:t>本项目废气主要为颗粒物，执行《大气污染物综合排放标准》（GB16297-1996）表2中</w:t>
            </w:r>
            <w:r>
              <w:rPr>
                <w:rFonts w:hint="eastAsia"/>
                <w:sz w:val="24"/>
              </w:rPr>
              <w:t>无组织</w:t>
            </w:r>
            <w:r>
              <w:rPr>
                <w:sz w:val="24"/>
              </w:rPr>
              <w:t>排放监控浓度限值，</w:t>
            </w:r>
            <w:r>
              <w:rPr>
                <w:rFonts w:hint="eastAsia"/>
                <w:sz w:val="24"/>
              </w:rPr>
              <w:t>详见表3</w:t>
            </w:r>
            <w:r>
              <w:rPr>
                <w:sz w:val="24"/>
              </w:rPr>
              <w:t>-</w:t>
            </w:r>
            <w:r>
              <w:rPr>
                <w:rFonts w:hint="eastAsia"/>
                <w:sz w:val="24"/>
                <w:lang w:val="en-US" w:eastAsia="zh-CN"/>
              </w:rPr>
              <w:t>5</w:t>
            </w:r>
            <w:r>
              <w:rPr>
                <w:rFonts w:hint="eastAsia"/>
                <w:sz w:val="24"/>
              </w:rPr>
              <w:t>。</w:t>
            </w:r>
          </w:p>
          <w:p w14:paraId="04B09622">
            <w:pPr>
              <w:pStyle w:val="74"/>
            </w:pPr>
            <w:r>
              <w:t>表3-</w:t>
            </w:r>
            <w:r>
              <w:rPr>
                <w:rFonts w:hint="eastAsia"/>
                <w:lang w:val="en-US" w:eastAsia="zh-CN"/>
              </w:rPr>
              <w:t>5</w:t>
            </w:r>
            <w:r>
              <w:t xml:space="preserve"> 大气污染物排放标准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1"/>
              <w:gridCol w:w="4844"/>
              <w:gridCol w:w="1625"/>
            </w:tblGrid>
            <w:tr w14:paraId="636ED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2" w:type="pct"/>
                  <w:vMerge w:val="restart"/>
                  <w:vAlign w:val="center"/>
                </w:tcPr>
                <w:p w14:paraId="057C3A65">
                  <w:pPr>
                    <w:pStyle w:val="52"/>
                  </w:pPr>
                  <w:r>
                    <w:t>污染物</w:t>
                  </w:r>
                </w:p>
              </w:tc>
              <w:tc>
                <w:tcPr>
                  <w:tcW w:w="4028" w:type="pct"/>
                  <w:gridSpan w:val="2"/>
                  <w:vAlign w:val="center"/>
                </w:tcPr>
                <w:p w14:paraId="09D8F655">
                  <w:pPr>
                    <w:pStyle w:val="52"/>
                  </w:pPr>
                  <w:r>
                    <w:t>无组织排放监控浓度限值（mg/m</w:t>
                  </w:r>
                  <w:r>
                    <w:rPr>
                      <w:vertAlign w:val="superscript"/>
                    </w:rPr>
                    <w:t>3</w:t>
                  </w:r>
                  <w:r>
                    <w:t>）</w:t>
                  </w:r>
                </w:p>
              </w:tc>
            </w:tr>
            <w:tr w14:paraId="7163D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2" w:type="pct"/>
                  <w:vMerge w:val="continue"/>
                  <w:vAlign w:val="center"/>
                </w:tcPr>
                <w:p w14:paraId="2D9BC2F9">
                  <w:pPr>
                    <w:pStyle w:val="52"/>
                  </w:pPr>
                </w:p>
              </w:tc>
              <w:tc>
                <w:tcPr>
                  <w:tcW w:w="3016" w:type="pct"/>
                  <w:vAlign w:val="center"/>
                </w:tcPr>
                <w:p w14:paraId="4B9392C3">
                  <w:pPr>
                    <w:pStyle w:val="52"/>
                  </w:pPr>
                  <w:r>
                    <w:t>监控点</w:t>
                  </w:r>
                </w:p>
              </w:tc>
              <w:tc>
                <w:tcPr>
                  <w:tcW w:w="1012" w:type="pct"/>
                  <w:vAlign w:val="center"/>
                </w:tcPr>
                <w:p w14:paraId="7772278A">
                  <w:pPr>
                    <w:pStyle w:val="52"/>
                  </w:pPr>
                  <w:r>
                    <w:t>浓度</w:t>
                  </w:r>
                </w:p>
              </w:tc>
            </w:tr>
            <w:tr w14:paraId="5ED2E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2" w:type="pct"/>
                  <w:vAlign w:val="center"/>
                </w:tcPr>
                <w:p w14:paraId="1F4D81B7">
                  <w:pPr>
                    <w:pStyle w:val="52"/>
                  </w:pPr>
                  <w:r>
                    <w:t>颗粒物</w:t>
                  </w:r>
                </w:p>
              </w:tc>
              <w:tc>
                <w:tcPr>
                  <w:tcW w:w="3016" w:type="pct"/>
                  <w:vAlign w:val="center"/>
                </w:tcPr>
                <w:p w14:paraId="7B760858">
                  <w:pPr>
                    <w:pStyle w:val="52"/>
                  </w:pPr>
                  <w:r>
                    <w:t>周围外浓度最高点</w:t>
                  </w:r>
                </w:p>
              </w:tc>
              <w:tc>
                <w:tcPr>
                  <w:tcW w:w="1012" w:type="pct"/>
                  <w:vAlign w:val="center"/>
                </w:tcPr>
                <w:p w14:paraId="7A2B0104">
                  <w:pPr>
                    <w:pStyle w:val="52"/>
                  </w:pPr>
                  <w:r>
                    <w:t>1.0</w:t>
                  </w:r>
                </w:p>
              </w:tc>
            </w:tr>
          </w:tbl>
          <w:p w14:paraId="5C5EF305">
            <w:pPr>
              <w:pStyle w:val="45"/>
              <w:ind w:firstLine="480"/>
            </w:pPr>
            <w:r>
              <w:t>（2）噪声</w:t>
            </w:r>
          </w:p>
          <w:p w14:paraId="2B3DB187">
            <w:pPr>
              <w:pStyle w:val="53"/>
              <w:ind w:firstLine="480"/>
            </w:pPr>
            <w:r>
              <w:t>施工期的噪声执行《</w:t>
            </w:r>
            <w:r>
              <w:rPr>
                <w:rFonts w:hint="eastAsia"/>
                <w:lang w:eastAsia="zh-CN"/>
              </w:rPr>
              <w:t>建筑施工噪声排放标准</w:t>
            </w:r>
            <w:r>
              <w:t>》（GB</w:t>
            </w:r>
            <w:r>
              <w:rPr>
                <w:rFonts w:hint="eastAsia"/>
                <w:lang w:eastAsia="zh-CN"/>
              </w:rPr>
              <w:t>12523-2025</w:t>
            </w:r>
            <w:r>
              <w:t>）标准；运营期噪声执行《工业企业厂界环境噪声排放标准》（GB12348-2008）表1中的2类标准，具体见表3-</w:t>
            </w:r>
            <w:r>
              <w:rPr>
                <w:rFonts w:hint="eastAsia"/>
                <w:lang w:val="en-US" w:eastAsia="zh-CN"/>
              </w:rPr>
              <w:t>6</w:t>
            </w:r>
            <w:r>
              <w:t>、3-</w:t>
            </w:r>
            <w:r>
              <w:rPr>
                <w:rFonts w:hint="eastAsia"/>
                <w:lang w:val="en-US" w:eastAsia="zh-CN"/>
              </w:rPr>
              <w:t>7</w:t>
            </w:r>
            <w:r>
              <w:t>。</w:t>
            </w:r>
          </w:p>
          <w:p w14:paraId="78D05F7B">
            <w:pPr>
              <w:pStyle w:val="74"/>
              <w:bidi w:val="0"/>
            </w:pPr>
            <w:r>
              <w:t>表3-</w:t>
            </w:r>
            <w:r>
              <w:rPr>
                <w:rFonts w:hint="eastAsia"/>
                <w:lang w:val="en-US" w:eastAsia="zh-CN"/>
              </w:rPr>
              <w:t>6</w:t>
            </w:r>
            <w:r>
              <w:t xml:space="preserve">  </w:t>
            </w:r>
            <w:r>
              <w:rPr>
                <w:rFonts w:hint="eastAsia"/>
                <w:lang w:eastAsia="zh-CN"/>
              </w:rPr>
              <w:t>建筑施工噪声排放标准</w:t>
            </w:r>
            <w:r>
              <w:rPr>
                <w:rFonts w:hint="eastAsia"/>
              </w:rPr>
              <w:t xml:space="preserve"> </w:t>
            </w:r>
            <w:r>
              <w:t xml:space="preserve"> </w:t>
            </w:r>
            <w:r>
              <w:rPr>
                <w:rFonts w:hint="eastAsia"/>
              </w:rPr>
              <w:t>单位：</w:t>
            </w:r>
            <w:r>
              <w:t>dB（A）</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2"/>
              <w:gridCol w:w="4078"/>
            </w:tblGrid>
            <w:tr w14:paraId="5A796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1" w:type="pct"/>
                  <w:vAlign w:val="center"/>
                </w:tcPr>
                <w:p w14:paraId="6CEBF0E9">
                  <w:pPr>
                    <w:pStyle w:val="52"/>
                    <w:rPr>
                      <w:rStyle w:val="86"/>
                      <w:sz w:val="21"/>
                      <w:szCs w:val="21"/>
                    </w:rPr>
                  </w:pPr>
                  <w:r>
                    <w:rPr>
                      <w:rStyle w:val="86"/>
                      <w:sz w:val="21"/>
                      <w:szCs w:val="21"/>
                    </w:rPr>
                    <w:t>昼间</w:t>
                  </w:r>
                </w:p>
              </w:tc>
              <w:tc>
                <w:tcPr>
                  <w:tcW w:w="2539" w:type="pct"/>
                  <w:vAlign w:val="center"/>
                </w:tcPr>
                <w:p w14:paraId="328604F8">
                  <w:pPr>
                    <w:pStyle w:val="52"/>
                    <w:rPr>
                      <w:rStyle w:val="86"/>
                      <w:sz w:val="21"/>
                      <w:szCs w:val="21"/>
                    </w:rPr>
                  </w:pPr>
                  <w:r>
                    <w:rPr>
                      <w:rStyle w:val="86"/>
                      <w:sz w:val="21"/>
                      <w:szCs w:val="21"/>
                    </w:rPr>
                    <w:t>夜间</w:t>
                  </w:r>
                </w:p>
              </w:tc>
            </w:tr>
            <w:tr w14:paraId="68143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1" w:type="pct"/>
                  <w:vAlign w:val="center"/>
                </w:tcPr>
                <w:p w14:paraId="7F8AEE0C">
                  <w:pPr>
                    <w:pStyle w:val="52"/>
                    <w:rPr>
                      <w:rFonts w:eastAsia="仿宋"/>
                      <w:color w:val="000000"/>
                    </w:rPr>
                  </w:pPr>
                  <w:r>
                    <w:rPr>
                      <w:rFonts w:eastAsia="仿宋"/>
                      <w:color w:val="000000"/>
                    </w:rPr>
                    <w:t>70</w:t>
                  </w:r>
                </w:p>
              </w:tc>
              <w:tc>
                <w:tcPr>
                  <w:tcW w:w="2539" w:type="pct"/>
                  <w:vAlign w:val="center"/>
                </w:tcPr>
                <w:p w14:paraId="0FDB3886">
                  <w:pPr>
                    <w:pStyle w:val="52"/>
                    <w:rPr>
                      <w:rFonts w:eastAsia="仿宋"/>
                      <w:color w:val="000000"/>
                    </w:rPr>
                  </w:pPr>
                  <w:r>
                    <w:rPr>
                      <w:rFonts w:eastAsia="仿宋"/>
                      <w:color w:val="000000"/>
                    </w:rPr>
                    <w:t>55</w:t>
                  </w:r>
                </w:p>
              </w:tc>
            </w:tr>
          </w:tbl>
          <w:p w14:paraId="69B79275">
            <w:pPr>
              <w:pStyle w:val="74"/>
              <w:bidi w:val="0"/>
            </w:pPr>
            <w:r>
              <w:t>表3-</w:t>
            </w:r>
            <w:r>
              <w:rPr>
                <w:rFonts w:hint="eastAsia"/>
                <w:lang w:val="en-US" w:eastAsia="zh-CN"/>
              </w:rPr>
              <w:t>7</w:t>
            </w:r>
            <w:r>
              <w:t xml:space="preserve">  工业企业厂界环境噪声排放标准</w:t>
            </w:r>
            <w:r>
              <w:rPr>
                <w:rFonts w:hint="eastAsia"/>
              </w:rPr>
              <w:t>单位：</w:t>
            </w:r>
            <w:r>
              <w:t>dB（A）</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0"/>
              <w:gridCol w:w="2676"/>
              <w:gridCol w:w="2674"/>
            </w:tblGrid>
            <w:tr w14:paraId="0EAB3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pct"/>
                  <w:vAlign w:val="center"/>
                </w:tcPr>
                <w:p w14:paraId="427A7722">
                  <w:pPr>
                    <w:pStyle w:val="52"/>
                  </w:pPr>
                  <w:r>
                    <w:t>类别</w:t>
                  </w:r>
                </w:p>
              </w:tc>
              <w:tc>
                <w:tcPr>
                  <w:tcW w:w="1666" w:type="pct"/>
                  <w:vAlign w:val="center"/>
                </w:tcPr>
                <w:p w14:paraId="6F392B04">
                  <w:pPr>
                    <w:pStyle w:val="52"/>
                  </w:pPr>
                  <w:r>
                    <w:t>昼间</w:t>
                  </w:r>
                </w:p>
              </w:tc>
              <w:tc>
                <w:tcPr>
                  <w:tcW w:w="1665" w:type="pct"/>
                  <w:vAlign w:val="center"/>
                </w:tcPr>
                <w:p w14:paraId="7F342638">
                  <w:pPr>
                    <w:pStyle w:val="52"/>
                  </w:pPr>
                  <w:r>
                    <w:t>夜间</w:t>
                  </w:r>
                </w:p>
              </w:tc>
            </w:tr>
            <w:tr w14:paraId="1C28A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pct"/>
                  <w:vAlign w:val="center"/>
                </w:tcPr>
                <w:p w14:paraId="595A2F9F">
                  <w:pPr>
                    <w:pStyle w:val="52"/>
                  </w:pPr>
                  <w:r>
                    <w:t>2</w:t>
                  </w:r>
                </w:p>
              </w:tc>
              <w:tc>
                <w:tcPr>
                  <w:tcW w:w="1666" w:type="pct"/>
                  <w:vAlign w:val="center"/>
                </w:tcPr>
                <w:p w14:paraId="73E1CEC2">
                  <w:pPr>
                    <w:pStyle w:val="52"/>
                  </w:pPr>
                  <w:r>
                    <w:t>60</w:t>
                  </w:r>
                </w:p>
              </w:tc>
              <w:tc>
                <w:tcPr>
                  <w:tcW w:w="1665" w:type="pct"/>
                  <w:vAlign w:val="center"/>
                </w:tcPr>
                <w:p w14:paraId="38C5ED2D">
                  <w:pPr>
                    <w:pStyle w:val="52"/>
                  </w:pPr>
                  <w:r>
                    <w:t>50</w:t>
                  </w:r>
                </w:p>
              </w:tc>
            </w:tr>
          </w:tbl>
          <w:p w14:paraId="5468D425">
            <w:pPr>
              <w:pStyle w:val="53"/>
              <w:ind w:firstLine="480"/>
            </w:pPr>
            <w:r>
              <w:t>（3）固体废物</w:t>
            </w:r>
          </w:p>
          <w:p w14:paraId="549F6A8E">
            <w:pPr>
              <w:pStyle w:val="53"/>
              <w:ind w:firstLine="480"/>
              <w:rPr>
                <w:rFonts w:ascii="宋体" w:hAnsi="宋体" w:cs="宋体"/>
              </w:rPr>
            </w:pPr>
            <w:r>
              <w:t>本项目一般固体废物执行《一般工业固体废物贮存和填埋污染控制标准》（GB18599-2020）；危险废物执行《危险废物贮存污染控制标准》（GB18597-2023）。</w:t>
            </w:r>
          </w:p>
        </w:tc>
      </w:tr>
      <w:tr w14:paraId="57839E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5" w:hRule="atLeast"/>
          <w:jc w:val="center"/>
        </w:trPr>
        <w:tc>
          <w:tcPr>
            <w:tcW w:w="904" w:type="dxa"/>
            <w:vAlign w:val="center"/>
          </w:tcPr>
          <w:p w14:paraId="3F1D668C">
            <w:pPr>
              <w:adjustRightInd w:val="0"/>
              <w:snapToGrid w:val="0"/>
              <w:jc w:val="center"/>
              <w:rPr>
                <w:rFonts w:ascii="宋体" w:hAnsi="宋体" w:cs="宋体"/>
                <w:kern w:val="0"/>
                <w:szCs w:val="21"/>
              </w:rPr>
            </w:pPr>
            <w:r>
              <w:rPr>
                <w:rFonts w:hint="eastAsia" w:ascii="宋体" w:hAnsi="宋体" w:cs="宋体"/>
                <w:kern w:val="0"/>
                <w:szCs w:val="21"/>
              </w:rPr>
              <w:t>其他</w:t>
            </w:r>
          </w:p>
        </w:tc>
        <w:tc>
          <w:tcPr>
            <w:tcW w:w="8253" w:type="dxa"/>
            <w:vAlign w:val="center"/>
          </w:tcPr>
          <w:p w14:paraId="65F3DD74">
            <w:pPr>
              <w:pStyle w:val="53"/>
              <w:ind w:firstLine="480"/>
            </w:pPr>
            <w:r>
              <w:rPr>
                <w:rFonts w:hint="eastAsia"/>
              </w:rPr>
              <w:t>无</w:t>
            </w:r>
          </w:p>
        </w:tc>
      </w:tr>
    </w:tbl>
    <w:p w14:paraId="6F6E365D">
      <w:pPr>
        <w:pStyle w:val="18"/>
        <w:jc w:val="center"/>
        <w:outlineLvl w:val="0"/>
        <w:rPr>
          <w:rFonts w:ascii="黑体" w:hAnsi="黑体" w:eastAsia="黑体"/>
          <w:snapToGrid w:val="0"/>
          <w:sz w:val="30"/>
          <w:szCs w:val="30"/>
        </w:rPr>
      </w:pPr>
      <w:r>
        <w:rPr>
          <w:rFonts w:ascii="黑体" w:hAnsi="黑体" w:eastAsia="黑体"/>
          <w:snapToGrid w:val="0"/>
          <w:kern w:val="2"/>
          <w:sz w:val="36"/>
          <w:szCs w:val="36"/>
        </w:rPr>
        <w:br w:type="page"/>
      </w:r>
      <w:r>
        <w:rPr>
          <w:rFonts w:hint="eastAsia" w:ascii="黑体" w:hAnsi="黑体" w:eastAsia="黑体"/>
          <w:snapToGrid w:val="0"/>
          <w:sz w:val="30"/>
          <w:szCs w:val="30"/>
        </w:rPr>
        <w:t>四、生态环境影响分析</w:t>
      </w:r>
    </w:p>
    <w:tbl>
      <w:tblPr>
        <w:tblStyle w:val="23"/>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8363"/>
      </w:tblGrid>
      <w:tr w14:paraId="0A3923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879" w:type="dxa"/>
            <w:tcMar>
              <w:left w:w="28" w:type="dxa"/>
              <w:right w:w="28" w:type="dxa"/>
            </w:tcMar>
            <w:vAlign w:val="center"/>
          </w:tcPr>
          <w:p w14:paraId="72288F55">
            <w:pPr>
              <w:pStyle w:val="18"/>
              <w:adjustRightInd w:val="0"/>
              <w:snapToGrid w:val="0"/>
              <w:spacing w:before="0" w:beforeAutospacing="0" w:after="0" w:afterAutospacing="0"/>
              <w:jc w:val="center"/>
              <w:rPr>
                <w:rFonts w:cs="宋体"/>
                <w:bCs/>
                <w:kern w:val="2"/>
                <w:sz w:val="21"/>
                <w:szCs w:val="21"/>
              </w:rPr>
            </w:pPr>
            <w:bookmarkStart w:id="8" w:name="_Hlk49796138"/>
            <w:r>
              <w:rPr>
                <w:rFonts w:hint="eastAsia" w:cs="宋体"/>
                <w:bCs/>
                <w:spacing w:val="10"/>
                <w:kern w:val="2"/>
                <w:sz w:val="21"/>
                <w:szCs w:val="21"/>
              </w:rPr>
              <w:t>施工期生态环境影响分析</w:t>
            </w:r>
            <w:bookmarkEnd w:id="8"/>
          </w:p>
        </w:tc>
        <w:tc>
          <w:tcPr>
            <w:tcW w:w="8363" w:type="dxa"/>
          </w:tcPr>
          <w:p w14:paraId="4C2CE83C">
            <w:pPr>
              <w:pStyle w:val="53"/>
              <w:ind w:firstLine="480"/>
            </w:pPr>
            <w:r>
              <w:rPr>
                <w:rFonts w:hint="eastAsia"/>
              </w:rPr>
              <w:t>1、大气环境影响分析</w:t>
            </w:r>
          </w:p>
          <w:p w14:paraId="5B526B88">
            <w:pPr>
              <w:pStyle w:val="53"/>
              <w:ind w:firstLine="480"/>
              <w:rPr>
                <w:rStyle w:val="89"/>
                <w:rFonts w:hint="default" w:ascii="Times New Roman" w:hAnsi="Times New Roman" w:cs="Times New Roman"/>
                <w:b w:val="0"/>
                <w:color w:val="auto"/>
                <w:sz w:val="24"/>
                <w:szCs w:val="21"/>
              </w:rPr>
            </w:pPr>
            <w:r>
              <w:rPr>
                <w:rStyle w:val="89"/>
                <w:rFonts w:hint="default" w:ascii="Times New Roman" w:hAnsi="Times New Roman" w:cs="Times New Roman"/>
                <w:b w:val="0"/>
                <w:color w:val="auto"/>
                <w:sz w:val="24"/>
                <w:szCs w:val="21"/>
              </w:rPr>
              <w:t>施工期对大气环境的影响因素主要为建筑材料的运输及卸载中的扬尘、运输车辆行驶产生的扬尘、临时物料堆场和裸露场地产生的风蚀扬尘，混凝土搅拌站产生的水泥粉尘等。</w:t>
            </w:r>
          </w:p>
          <w:p w14:paraId="03F439CB">
            <w:pPr>
              <w:pStyle w:val="53"/>
              <w:ind w:firstLine="480"/>
              <w:rPr>
                <w:rStyle w:val="89"/>
                <w:rFonts w:hint="default" w:ascii="Times New Roman" w:hAnsi="Times New Roman" w:cs="Times New Roman"/>
                <w:b w:val="0"/>
                <w:color w:val="auto"/>
                <w:sz w:val="24"/>
                <w:szCs w:val="21"/>
              </w:rPr>
            </w:pPr>
            <w:r>
              <w:rPr>
                <w:rStyle w:val="89"/>
                <w:rFonts w:hint="default" w:ascii="Times New Roman" w:hAnsi="Times New Roman" w:cs="Times New Roman"/>
                <w:b w:val="0"/>
                <w:color w:val="auto"/>
                <w:sz w:val="24"/>
                <w:szCs w:val="21"/>
              </w:rPr>
              <w:t>施工期扬尘主要来自土方堆放的风蚀扬尘，裸露</w:t>
            </w:r>
            <w:r>
              <w:rPr>
                <w:rStyle w:val="89"/>
                <w:rFonts w:hint="eastAsia" w:cs="Times New Roman"/>
                <w:b w:val="0"/>
                <w:color w:val="auto"/>
                <w:sz w:val="24"/>
                <w:szCs w:val="21"/>
                <w:lang w:eastAsia="zh-CN"/>
              </w:rPr>
              <w:t>地表在</w:t>
            </w:r>
            <w:r>
              <w:rPr>
                <w:rStyle w:val="89"/>
                <w:rFonts w:hint="default" w:ascii="Times New Roman" w:hAnsi="Times New Roman" w:cs="Times New Roman"/>
                <w:b w:val="0"/>
                <w:color w:val="auto"/>
                <w:sz w:val="24"/>
                <w:szCs w:val="21"/>
              </w:rPr>
              <w:t>大风干燥的气象条件下产生的风蚀扬尘，建筑材料的搬运及堆放产生的扬尘，车辆运输产生的道路扬尘，混凝土搅拌站产生的少量粉尘等。施工期扬尘量的大小与风力、表土含水率等诸多因素有关，难以定量描述，故采用类比法分析施工区的施工扬尘对区域环境空气的影响。</w:t>
            </w:r>
          </w:p>
          <w:p w14:paraId="4B59DE1D">
            <w:pPr>
              <w:pStyle w:val="53"/>
              <w:ind w:firstLine="480"/>
              <w:rPr>
                <w:rStyle w:val="89"/>
                <w:rFonts w:hint="default" w:ascii="Times New Roman" w:hAnsi="Times New Roman" w:cs="Times New Roman"/>
                <w:b w:val="0"/>
                <w:color w:val="auto"/>
                <w:sz w:val="24"/>
                <w:szCs w:val="21"/>
              </w:rPr>
            </w:pPr>
            <w:r>
              <w:rPr>
                <w:rStyle w:val="89"/>
                <w:rFonts w:hint="default" w:ascii="Times New Roman" w:hAnsi="Times New Roman" w:cs="Times New Roman"/>
                <w:b w:val="0"/>
                <w:color w:val="auto"/>
                <w:sz w:val="24"/>
                <w:szCs w:val="21"/>
              </w:rPr>
              <w:t>根据有关建筑工程施工工地现场实测资料，测定风速为2.4m/s时，建筑施工现场扬尘严重，工地内TSP浓度为上风向对照点的1.5～2.3倍，相当于大气环境标准的1.4～2.5倍。建筑施工扬尘影响范围为其下风向150m之内，受影响区TSP浓度平均值为0.491mg/m</w:t>
            </w:r>
            <w:r>
              <w:rPr>
                <w:rStyle w:val="89"/>
                <w:rFonts w:hint="default" w:ascii="Times New Roman" w:hAnsi="Times New Roman" w:cs="Times New Roman"/>
                <w:b w:val="0"/>
                <w:color w:val="auto"/>
                <w:sz w:val="24"/>
                <w:szCs w:val="21"/>
                <w:vertAlign w:val="superscript"/>
              </w:rPr>
              <w:t>3</w:t>
            </w:r>
            <w:r>
              <w:rPr>
                <w:rStyle w:val="89"/>
                <w:rFonts w:hint="default" w:ascii="Times New Roman" w:hAnsi="Times New Roman" w:cs="Times New Roman"/>
                <w:b w:val="0"/>
                <w:color w:val="auto"/>
                <w:sz w:val="24"/>
                <w:szCs w:val="21"/>
              </w:rPr>
              <w:t>，为上风向对照点的1.5倍，相当于大气环境标准的1.6倍。副立井场地施工区周围200m范围内无敏感目标，施工扬尘对周边大气环境产生的影响不大。</w:t>
            </w:r>
          </w:p>
          <w:p w14:paraId="38AB2815">
            <w:pPr>
              <w:pStyle w:val="53"/>
              <w:ind w:firstLine="480"/>
            </w:pPr>
            <w:r>
              <w:rPr>
                <w:rFonts w:hint="eastAsia"/>
              </w:rPr>
              <w:t>2、水环境影响分析</w:t>
            </w:r>
          </w:p>
          <w:p w14:paraId="414CC052">
            <w:pPr>
              <w:pStyle w:val="53"/>
              <w:ind w:firstLine="480"/>
            </w:pPr>
            <w:r>
              <w:rPr>
                <w:rFonts w:hint="eastAsia"/>
              </w:rPr>
              <w:t>本</w:t>
            </w:r>
            <w:r>
              <w:t>工程施工废水主要来自施工生产废水和生活污水，其中施工生产废水为井下排水、施工期冲洗废水等。</w:t>
            </w:r>
          </w:p>
          <w:p w14:paraId="73FB3908">
            <w:pPr>
              <w:pStyle w:val="53"/>
              <w:ind w:firstLine="480"/>
            </w:pPr>
            <w:r>
              <w:rPr>
                <w:rFonts w:hint="eastAsia"/>
              </w:rPr>
              <w:t>（1）</w:t>
            </w:r>
            <w:r>
              <w:t>井下排水</w:t>
            </w:r>
          </w:p>
          <w:p w14:paraId="07C7D65B">
            <w:pPr>
              <w:pStyle w:val="53"/>
              <w:ind w:firstLine="480"/>
            </w:pPr>
            <w:r>
              <w:t>井下排水主要为井下施工用水。井下施工用水少，污染物主要为悬浮物，采用沉淀处理后，用于施工用水及洒水抑尘</w:t>
            </w:r>
            <w:r>
              <w:rPr>
                <w:rFonts w:hint="eastAsia"/>
              </w:rPr>
              <w:t>，不外排</w:t>
            </w:r>
            <w:r>
              <w:t>。</w:t>
            </w:r>
          </w:p>
          <w:p w14:paraId="18770AA6">
            <w:pPr>
              <w:pStyle w:val="53"/>
              <w:ind w:firstLine="480"/>
            </w:pPr>
            <w:r>
              <w:rPr>
                <w:rFonts w:hint="eastAsia"/>
              </w:rPr>
              <w:t>（2）</w:t>
            </w:r>
            <w:r>
              <w:t>冲洗废水</w:t>
            </w:r>
          </w:p>
          <w:p w14:paraId="29E02E84">
            <w:pPr>
              <w:pStyle w:val="53"/>
              <w:ind w:firstLine="480"/>
            </w:pPr>
            <w:r>
              <w:t>施工区的冲洗废水主要来源于砂石料洗料废水，机械车辆维修冲洗废水和混凝土</w:t>
            </w:r>
            <w:r>
              <w:rPr>
                <w:rFonts w:hint="eastAsia"/>
                <w:lang w:eastAsia="zh-CN"/>
              </w:rPr>
              <w:t>拌和</w:t>
            </w:r>
            <w:r>
              <w:t>冲洗废水等。砂石料分选过程中，洗料用水量较大，废水中一般含有大量泥沙，但不含有毒有害成分，水质和水量随机性变化较大。机械车辆冲洗废水中除含有泥沙等悬浮物外，还含有大量的油污；混凝土搅拌和冲洗废水属碱性废水，悬浮物含量高，但这两部分废水量极小。施工场地应设置沉淀池一座，施工期生产废水经临时沉淀池沉淀后，回用于生产，不会影响附近水体的使用功能。</w:t>
            </w:r>
          </w:p>
          <w:p w14:paraId="60121443">
            <w:pPr>
              <w:pStyle w:val="53"/>
              <w:ind w:firstLine="480"/>
            </w:pPr>
            <w:r>
              <w:rPr>
                <w:rFonts w:hint="eastAsia"/>
              </w:rPr>
              <w:t>（3）</w:t>
            </w:r>
            <w:r>
              <w:t>生活污水</w:t>
            </w:r>
          </w:p>
          <w:p w14:paraId="30A0251C">
            <w:pPr>
              <w:pStyle w:val="53"/>
              <w:ind w:firstLine="480"/>
              <w:rPr>
                <w:highlight w:val="yellow"/>
              </w:rPr>
            </w:pPr>
            <w:r>
              <w:t>施工期生活污水主要来源于施工人员，施工人员生活污水</w:t>
            </w:r>
            <w:r>
              <w:rPr>
                <w:rFonts w:hint="eastAsia"/>
              </w:rPr>
              <w:t>排入防渗旱厕，定期清掏堆肥</w:t>
            </w:r>
            <w:r>
              <w:t>，对周围地表水环境影响不大。</w:t>
            </w:r>
          </w:p>
          <w:p w14:paraId="4FDCC778">
            <w:pPr>
              <w:pStyle w:val="53"/>
              <w:ind w:firstLine="480"/>
            </w:pPr>
            <w:r>
              <w:rPr>
                <w:rFonts w:hint="eastAsia"/>
              </w:rPr>
              <w:t>3、声环境影响分析</w:t>
            </w:r>
          </w:p>
          <w:p w14:paraId="625142D7">
            <w:pPr>
              <w:pStyle w:val="5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施工噪声源</w:t>
            </w:r>
          </w:p>
          <w:p w14:paraId="627E2126">
            <w:pPr>
              <w:pStyle w:val="53"/>
              <w:ind w:firstLine="480"/>
              <w:rPr>
                <w:color w:val="000000" w:themeColor="text1"/>
                <w14:textFill>
                  <w14:solidFill>
                    <w14:schemeClr w14:val="tx1"/>
                  </w14:solidFill>
                </w14:textFill>
              </w:rPr>
            </w:pPr>
            <w:r>
              <w:rPr>
                <w:color w:val="000000" w:themeColor="text1"/>
                <w14:textFill>
                  <w14:solidFill>
                    <w14:schemeClr w14:val="tx1"/>
                  </w14:solidFill>
                </w14:textFill>
              </w:rPr>
              <w:t>井场地面施工可划分为土石方施工、基础施工、结构施工和装修施工四个阶段。土石方阶段的产噪设备主要有井筒冻结施工法施工的冷冻站制冷机组、推土机、液压式挖掘机、轮式装载机等，以移动声源为主，无明显指向性；基础施工阶段的产噪设备主要有空气压缩机、振动夯锤等，以固定声源为主；结构施工阶段主要产噪设备有木工电锯、风镐等，无明显指向性，装修阶段施工时间较长，噪声源较少，主要有木工电锯、液压起重机、空压机和切割机等。施工设备的噪声源强主要参考《环境噪声与振动控制工程技术导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HJ2034-2013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附表A中表A.2中10m处声压级均值，同时类比同类项目施工机械噪声值。</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施工期的产噪设备噪声级见表4-1。</w:t>
            </w:r>
          </w:p>
          <w:p w14:paraId="1BCA8FFD">
            <w:pPr>
              <w:pStyle w:val="74"/>
              <w:bidi w:val="0"/>
            </w:pPr>
            <w:r>
              <w:t>表4-1  主要施工设备噪声源强表</w:t>
            </w:r>
          </w:p>
          <w:tbl>
            <w:tblPr>
              <w:tblStyle w:val="23"/>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687"/>
              <w:gridCol w:w="2340"/>
              <w:gridCol w:w="1687"/>
              <w:gridCol w:w="2418"/>
            </w:tblGrid>
            <w:tr w14:paraId="50813E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4502A6F0">
                  <w:pPr>
                    <w:pStyle w:val="49"/>
                  </w:pPr>
                  <w:r>
                    <w:t>产噪设备</w:t>
                  </w:r>
                </w:p>
              </w:tc>
              <w:tc>
                <w:tcPr>
                  <w:tcW w:w="1439" w:type="pct"/>
                  <w:vAlign w:val="center"/>
                </w:tcPr>
                <w:p w14:paraId="11CB30B6">
                  <w:pPr>
                    <w:pStyle w:val="49"/>
                  </w:pPr>
                  <w:r>
                    <w:t>声级/距离 dB(A)/m</w:t>
                  </w:r>
                </w:p>
              </w:tc>
              <w:tc>
                <w:tcPr>
                  <w:tcW w:w="1037" w:type="pct"/>
                  <w:vAlign w:val="center"/>
                </w:tcPr>
                <w:p w14:paraId="3B1882B2">
                  <w:pPr>
                    <w:pStyle w:val="49"/>
                  </w:pPr>
                  <w:r>
                    <w:t>产噪设备</w:t>
                  </w:r>
                </w:p>
              </w:tc>
              <w:tc>
                <w:tcPr>
                  <w:tcW w:w="1488" w:type="pct"/>
                  <w:vAlign w:val="center"/>
                </w:tcPr>
                <w:p w14:paraId="365AB291">
                  <w:pPr>
                    <w:pStyle w:val="49"/>
                  </w:pPr>
                  <w:r>
                    <w:t>声级/距离 dB(A)/m</w:t>
                  </w:r>
                </w:p>
              </w:tc>
            </w:tr>
            <w:tr w14:paraId="190A08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094AFF80">
                  <w:pPr>
                    <w:pStyle w:val="49"/>
                  </w:pPr>
                  <w:r>
                    <w:t>液压挖掘机</w:t>
                  </w:r>
                </w:p>
              </w:tc>
              <w:tc>
                <w:tcPr>
                  <w:tcW w:w="1439" w:type="pct"/>
                  <w:vAlign w:val="center"/>
                </w:tcPr>
                <w:p w14:paraId="1D388068">
                  <w:pPr>
                    <w:pStyle w:val="49"/>
                  </w:pPr>
                  <w:r>
                    <w:t>78～86/10</w:t>
                  </w:r>
                </w:p>
              </w:tc>
              <w:tc>
                <w:tcPr>
                  <w:tcW w:w="1037" w:type="pct"/>
                  <w:vAlign w:val="center"/>
                </w:tcPr>
                <w:p w14:paraId="1BA2E462">
                  <w:pPr>
                    <w:pStyle w:val="49"/>
                  </w:pPr>
                  <w:r>
                    <w:t>移动式空压机</w:t>
                  </w:r>
                </w:p>
              </w:tc>
              <w:tc>
                <w:tcPr>
                  <w:tcW w:w="1488" w:type="pct"/>
                  <w:vAlign w:val="center"/>
                </w:tcPr>
                <w:p w14:paraId="53204BD5">
                  <w:pPr>
                    <w:pStyle w:val="49"/>
                  </w:pPr>
                  <w:r>
                    <w:t>83～88/10</w:t>
                  </w:r>
                </w:p>
              </w:tc>
            </w:tr>
            <w:tr w14:paraId="319094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30E6234B">
                  <w:pPr>
                    <w:pStyle w:val="49"/>
                  </w:pPr>
                  <w:r>
                    <w:t>轮式装载机</w:t>
                  </w:r>
                </w:p>
              </w:tc>
              <w:tc>
                <w:tcPr>
                  <w:tcW w:w="1439" w:type="pct"/>
                  <w:vAlign w:val="center"/>
                </w:tcPr>
                <w:p w14:paraId="07E4B729">
                  <w:pPr>
                    <w:pStyle w:val="49"/>
                  </w:pPr>
                  <w:r>
                    <w:t>85～91/10</w:t>
                  </w:r>
                </w:p>
              </w:tc>
              <w:tc>
                <w:tcPr>
                  <w:tcW w:w="1037" w:type="pct"/>
                  <w:vAlign w:val="center"/>
                </w:tcPr>
                <w:p w14:paraId="6C535B3C">
                  <w:pPr>
                    <w:pStyle w:val="49"/>
                  </w:pPr>
                  <w:r>
                    <w:t>混凝土振捣器</w:t>
                  </w:r>
                </w:p>
              </w:tc>
              <w:tc>
                <w:tcPr>
                  <w:tcW w:w="1488" w:type="pct"/>
                  <w:vAlign w:val="center"/>
                </w:tcPr>
                <w:p w14:paraId="54E0079A">
                  <w:pPr>
                    <w:pStyle w:val="49"/>
                  </w:pPr>
                  <w:r>
                    <w:t>75～84/10</w:t>
                  </w:r>
                </w:p>
              </w:tc>
            </w:tr>
            <w:tr w14:paraId="6BD485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128CD99F">
                  <w:pPr>
                    <w:pStyle w:val="49"/>
                  </w:pPr>
                  <w:r>
                    <w:t>推土机</w:t>
                  </w:r>
                </w:p>
              </w:tc>
              <w:tc>
                <w:tcPr>
                  <w:tcW w:w="1439" w:type="pct"/>
                  <w:vAlign w:val="center"/>
                </w:tcPr>
                <w:p w14:paraId="408557E4">
                  <w:pPr>
                    <w:pStyle w:val="49"/>
                  </w:pPr>
                  <w:r>
                    <w:t>80～85/10</w:t>
                  </w:r>
                </w:p>
              </w:tc>
              <w:tc>
                <w:tcPr>
                  <w:tcW w:w="1037" w:type="pct"/>
                  <w:vAlign w:val="center"/>
                </w:tcPr>
                <w:p w14:paraId="5689A955">
                  <w:pPr>
                    <w:pStyle w:val="49"/>
                  </w:pPr>
                  <w:r>
                    <w:t>木工电锯</w:t>
                  </w:r>
                </w:p>
              </w:tc>
              <w:tc>
                <w:tcPr>
                  <w:tcW w:w="1488" w:type="pct"/>
                  <w:vAlign w:val="center"/>
                </w:tcPr>
                <w:p w14:paraId="7A32041B">
                  <w:pPr>
                    <w:pStyle w:val="49"/>
                  </w:pPr>
                  <w:r>
                    <w:t>90～95/10</w:t>
                  </w:r>
                </w:p>
              </w:tc>
            </w:tr>
            <w:tr w14:paraId="07742D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53005C3F">
                  <w:pPr>
                    <w:pStyle w:val="49"/>
                  </w:pPr>
                  <w:r>
                    <w:t>移动式发电机</w:t>
                  </w:r>
                </w:p>
              </w:tc>
              <w:tc>
                <w:tcPr>
                  <w:tcW w:w="1439" w:type="pct"/>
                  <w:vAlign w:val="center"/>
                </w:tcPr>
                <w:p w14:paraId="4FDFBCB8">
                  <w:pPr>
                    <w:pStyle w:val="49"/>
                  </w:pPr>
                  <w:r>
                    <w:t>90～98/10</w:t>
                  </w:r>
                </w:p>
              </w:tc>
              <w:tc>
                <w:tcPr>
                  <w:tcW w:w="1037" w:type="pct"/>
                  <w:vAlign w:val="center"/>
                </w:tcPr>
                <w:p w14:paraId="5557C4E5">
                  <w:pPr>
                    <w:pStyle w:val="49"/>
                  </w:pPr>
                  <w:r>
                    <w:t>电锤</w:t>
                  </w:r>
                </w:p>
              </w:tc>
              <w:tc>
                <w:tcPr>
                  <w:tcW w:w="1488" w:type="pct"/>
                  <w:vAlign w:val="center"/>
                </w:tcPr>
                <w:p w14:paraId="23296E2B">
                  <w:pPr>
                    <w:pStyle w:val="49"/>
                  </w:pPr>
                  <w:r>
                    <w:t>95～99/10</w:t>
                  </w:r>
                </w:p>
              </w:tc>
            </w:tr>
            <w:tr w14:paraId="159B6F3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0F00A013">
                  <w:pPr>
                    <w:pStyle w:val="49"/>
                  </w:pPr>
                  <w:r>
                    <w:t>压路机</w:t>
                  </w:r>
                </w:p>
              </w:tc>
              <w:tc>
                <w:tcPr>
                  <w:tcW w:w="1439" w:type="pct"/>
                  <w:vAlign w:val="center"/>
                </w:tcPr>
                <w:p w14:paraId="26099FB8">
                  <w:pPr>
                    <w:pStyle w:val="49"/>
                  </w:pPr>
                  <w:r>
                    <w:t>76～86/10</w:t>
                  </w:r>
                </w:p>
              </w:tc>
              <w:tc>
                <w:tcPr>
                  <w:tcW w:w="1037" w:type="pct"/>
                  <w:vAlign w:val="center"/>
                </w:tcPr>
                <w:p w14:paraId="5A410CC4">
                  <w:pPr>
                    <w:pStyle w:val="49"/>
                  </w:pPr>
                  <w:r>
                    <w:t>混凝土输送泵</w:t>
                  </w:r>
                </w:p>
              </w:tc>
              <w:tc>
                <w:tcPr>
                  <w:tcW w:w="1488" w:type="pct"/>
                  <w:vAlign w:val="center"/>
                </w:tcPr>
                <w:p w14:paraId="0C939A84">
                  <w:pPr>
                    <w:pStyle w:val="49"/>
                  </w:pPr>
                  <w:r>
                    <w:t>84～90/10</w:t>
                  </w:r>
                </w:p>
              </w:tc>
            </w:tr>
            <w:tr w14:paraId="1AF751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0706E388">
                  <w:pPr>
                    <w:pStyle w:val="49"/>
                  </w:pPr>
                  <w:r>
                    <w:t>重型运输车</w:t>
                  </w:r>
                </w:p>
              </w:tc>
              <w:tc>
                <w:tcPr>
                  <w:tcW w:w="1439" w:type="pct"/>
                  <w:vAlign w:val="center"/>
                </w:tcPr>
                <w:p w14:paraId="2E539B9E">
                  <w:pPr>
                    <w:pStyle w:val="49"/>
                  </w:pPr>
                  <w:r>
                    <w:t>76～86/10</w:t>
                  </w:r>
                </w:p>
              </w:tc>
              <w:tc>
                <w:tcPr>
                  <w:tcW w:w="1037" w:type="pct"/>
                  <w:vAlign w:val="center"/>
                </w:tcPr>
                <w:p w14:paraId="5885D39D">
                  <w:pPr>
                    <w:pStyle w:val="49"/>
                  </w:pPr>
                  <w:r>
                    <w:t>混凝土搅拌车</w:t>
                  </w:r>
                </w:p>
              </w:tc>
              <w:tc>
                <w:tcPr>
                  <w:tcW w:w="1488" w:type="pct"/>
                  <w:vAlign w:val="center"/>
                </w:tcPr>
                <w:p w14:paraId="2114185C">
                  <w:pPr>
                    <w:pStyle w:val="49"/>
                  </w:pPr>
                  <w:r>
                    <w:t>82～84/10</w:t>
                  </w:r>
                </w:p>
              </w:tc>
            </w:tr>
            <w:tr w14:paraId="0A65CEF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1D021BB2">
                  <w:pPr>
                    <w:pStyle w:val="49"/>
                  </w:pPr>
                  <w:r>
                    <w:t>打桩机</w:t>
                  </w:r>
                </w:p>
              </w:tc>
              <w:tc>
                <w:tcPr>
                  <w:tcW w:w="1439" w:type="pct"/>
                  <w:vAlign w:val="center"/>
                </w:tcPr>
                <w:p w14:paraId="74ED4F95">
                  <w:pPr>
                    <w:pStyle w:val="49"/>
                  </w:pPr>
                  <w:r>
                    <w:t>95～105/10</w:t>
                  </w:r>
                </w:p>
              </w:tc>
              <w:tc>
                <w:tcPr>
                  <w:tcW w:w="1037" w:type="pct"/>
                  <w:vAlign w:val="center"/>
                </w:tcPr>
                <w:p w14:paraId="4F12F1C0">
                  <w:pPr>
                    <w:pStyle w:val="49"/>
                  </w:pPr>
                  <w:r>
                    <w:t>制冷机组</w:t>
                  </w:r>
                </w:p>
              </w:tc>
              <w:tc>
                <w:tcPr>
                  <w:tcW w:w="1488" w:type="pct"/>
                  <w:vAlign w:val="center"/>
                </w:tcPr>
                <w:p w14:paraId="24D13EE0">
                  <w:pPr>
                    <w:pStyle w:val="49"/>
                  </w:pPr>
                  <w:r>
                    <w:t>80～90/10</w:t>
                  </w:r>
                </w:p>
              </w:tc>
            </w:tr>
            <w:tr w14:paraId="06B818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037" w:type="pct"/>
                  <w:vAlign w:val="center"/>
                </w:tcPr>
                <w:p w14:paraId="7EC1F7C0">
                  <w:pPr>
                    <w:pStyle w:val="49"/>
                  </w:pPr>
                  <w:r>
                    <w:t>振动夯锤</w:t>
                  </w:r>
                </w:p>
              </w:tc>
              <w:tc>
                <w:tcPr>
                  <w:tcW w:w="1439" w:type="pct"/>
                  <w:vAlign w:val="center"/>
                </w:tcPr>
                <w:p w14:paraId="724A8406">
                  <w:pPr>
                    <w:pStyle w:val="49"/>
                  </w:pPr>
                  <w:r>
                    <w:t>86～94/10</w:t>
                  </w:r>
                </w:p>
              </w:tc>
              <w:tc>
                <w:tcPr>
                  <w:tcW w:w="1037" w:type="pct"/>
                  <w:vAlign w:val="center"/>
                </w:tcPr>
                <w:p w14:paraId="2FB7BD03">
                  <w:pPr>
                    <w:pStyle w:val="49"/>
                  </w:pPr>
                  <w:r>
                    <w:t>钻机</w:t>
                  </w:r>
                </w:p>
              </w:tc>
              <w:tc>
                <w:tcPr>
                  <w:tcW w:w="1488" w:type="pct"/>
                  <w:vAlign w:val="center"/>
                </w:tcPr>
                <w:p w14:paraId="36DAE60C">
                  <w:pPr>
                    <w:pStyle w:val="49"/>
                  </w:pPr>
                  <w:r>
                    <w:t>90～95/10</w:t>
                  </w:r>
                </w:p>
              </w:tc>
            </w:tr>
          </w:tbl>
          <w:p w14:paraId="5F92A9EB">
            <w:pPr>
              <w:pStyle w:val="53"/>
              <w:ind w:firstLine="480"/>
            </w:pPr>
            <w:r>
              <w:t>（2）施工噪声影响预测</w:t>
            </w:r>
          </w:p>
          <w:p w14:paraId="188D8E44">
            <w:pPr>
              <w:pStyle w:val="53"/>
              <w:ind w:firstLine="480"/>
            </w:pPr>
            <w:r>
              <w:rPr>
                <w:rFonts w:hint="eastAsia"/>
              </w:rPr>
              <w:t>①</w:t>
            </w:r>
            <w:r>
              <w:t>预测模式</w:t>
            </w:r>
          </w:p>
          <w:p w14:paraId="09977DC7">
            <w:pPr>
              <w:pStyle w:val="53"/>
              <w:ind w:firstLine="480"/>
            </w:pPr>
            <w:r>
              <w:t>根据类比调查，各施工阶段均有设备交互作业，这些设备在场地内的位置和使用率均有较大的变化，但在某一时间段内其位置相对固定，对环境敏感点的影响预测模式采用《环境影响评价技术导则·声环境》(HJ2.4—2009)中的点声源衰减模式（只考虑几何发散衰减）：</w:t>
            </w:r>
          </w:p>
          <w:p w14:paraId="13C1022E">
            <w:pPr>
              <w:pStyle w:val="53"/>
              <w:ind w:firstLine="480"/>
            </w:pPr>
            <w:r>
              <w:rPr>
                <w:rFonts w:hint="eastAsia" w:ascii="宋体" w:hAnsi="宋体" w:cs="宋体"/>
              </w:rPr>
              <w:t>A</w:t>
            </w:r>
            <w:r>
              <w:rPr>
                <w:rFonts w:ascii="宋体" w:hAnsi="宋体" w:cs="宋体"/>
              </w:rPr>
              <w:t>.</w:t>
            </w:r>
            <w:r>
              <w:t>点源几何发散衰减模式</w:t>
            </w:r>
          </w:p>
          <w:p w14:paraId="6E7D4BBE">
            <w:pPr>
              <w:pStyle w:val="53"/>
              <w:ind w:firstLine="480"/>
              <w:rPr>
                <w:color w:val="000000" w:themeColor="text1"/>
                <w14:textFill>
                  <w14:solidFill>
                    <w14:schemeClr w14:val="tx1"/>
                  </w14:solidFill>
                </w14:textFill>
              </w:rPr>
            </w:pPr>
            <w:r>
              <w:rPr>
                <w:color w:val="000000" w:themeColor="text1"/>
                <w:position w:val="-12"/>
                <w14:textFill>
                  <w14:solidFill>
                    <w14:schemeClr w14:val="tx1"/>
                  </w14:solidFill>
                </w14:textFill>
              </w:rPr>
              <w:object>
                <v:shape id="_x0000_i1025" o:spt="75" type="#_x0000_t75" style="height:18pt;width:101.25pt;" o:ole="t" filled="f" o:preferrelative="t" stroked="f" coordsize="21600,21600">
                  <v:path/>
                  <v:fill on="f" focussize="0,0"/>
                  <v:stroke on="f" joinstyle="miter"/>
                  <v:imagedata r:id="rId10" o:title=""/>
                  <o:lock v:ext="edit" aspectratio="t"/>
                  <w10:wrap type="none"/>
                  <w10:anchorlock/>
                </v:shape>
                <o:OLEObject Type="Embed" ProgID="Equation.3" ShapeID="_x0000_i1025" DrawAspect="Content" ObjectID="_1468075725" r:id="rId9">
                  <o:LockedField>false</o:LockedField>
                </o:OLEObject>
              </w:object>
            </w:r>
          </w:p>
          <w:p w14:paraId="57CF983B">
            <w:pPr>
              <w:pStyle w:val="53"/>
              <w:ind w:firstLine="480"/>
              <w:rPr>
                <w:color w:val="000000" w:themeColor="text1"/>
                <w14:textFill>
                  <w14:solidFill>
                    <w14:schemeClr w14:val="tx1"/>
                  </w14:solidFill>
                </w14:textFill>
              </w:rPr>
            </w:pPr>
            <w:bookmarkStart w:id="9" w:name="_Toc50959224"/>
            <w:bookmarkStart w:id="10" w:name="_Toc51015363"/>
            <w:r>
              <w:rPr>
                <w:color w:val="000000" w:themeColor="text1"/>
                <w14:textFill>
                  <w14:solidFill>
                    <w14:schemeClr w14:val="tx1"/>
                  </w14:solidFill>
                </w14:textFill>
              </w:rPr>
              <w:t>式中：L</w:t>
            </w:r>
            <w:r>
              <w:rPr>
                <w:color w:val="000000" w:themeColor="text1"/>
                <w:vertAlign w:val="subscript"/>
                <w14:textFill>
                  <w14:solidFill>
                    <w14:schemeClr w14:val="tx1"/>
                  </w14:solidFill>
                </w14:textFill>
              </w:rPr>
              <w:t>A</w:t>
            </w:r>
            <w:r>
              <w:rPr>
                <w:color w:val="000000" w:themeColor="text1"/>
                <w14:textFill>
                  <w14:solidFill>
                    <w14:schemeClr w14:val="tx1"/>
                  </w14:solidFill>
                </w14:textFill>
              </w:rPr>
              <w:t>(r)——距声源r 处A声级，dB(A)；</w:t>
            </w:r>
            <w:bookmarkEnd w:id="9"/>
            <w:bookmarkEnd w:id="10"/>
          </w:p>
          <w:p w14:paraId="520FF1F7">
            <w:pPr>
              <w:pStyle w:val="53"/>
              <w:ind w:firstLine="480"/>
              <w:rPr>
                <w:color w:val="000000" w:themeColor="text1"/>
                <w14:textFill>
                  <w14:solidFill>
                    <w14:schemeClr w14:val="tx1"/>
                  </w14:solidFill>
                </w14:textFill>
              </w:rPr>
            </w:pPr>
            <w:bookmarkStart w:id="11" w:name="_Toc51015364"/>
            <w:bookmarkStart w:id="12" w:name="_Toc50959225"/>
            <w:r>
              <w:rPr>
                <w:color w:val="000000" w:themeColor="text1"/>
                <w:position w:val="-12"/>
                <w14:textFill>
                  <w14:solidFill>
                    <w14:schemeClr w14:val="tx1"/>
                  </w14:solidFill>
                </w14:textFill>
              </w:rPr>
              <w:object>
                <v:shape id="_x0000_i1026" o:spt="75" type="#_x0000_t75" style="height:18pt;width:34.5pt;" o:ole="t" filled="f" o:preferrelative="t" stroked="f" coordsize="21600,21600">
                  <v:path/>
                  <v:fill on="f" focussize="0,0"/>
                  <v:stroke on="f" joinstyle="miter"/>
                  <v:imagedata r:id="rId12" o:title=""/>
                  <o:lock v:ext="edit" aspectratio="t"/>
                  <w10:wrap type="none"/>
                  <w10:anchorlock/>
                </v:shape>
                <o:OLEObject Type="Embed" ProgID="Equation.3" ShapeID="_x0000_i1026" DrawAspect="Content" ObjectID="_1468075726" r:id="rId11">
                  <o:LockedField>false</o:LockedField>
                </o:OLEObject>
              </w:object>
            </w:r>
            <w:r>
              <w:rPr>
                <w:color w:val="000000" w:themeColor="text1"/>
                <w14:textFill>
                  <w14:solidFill>
                    <w14:schemeClr w14:val="tx1"/>
                  </w14:solidFill>
                </w14:textFill>
              </w:rPr>
              <w:t>——参考位置r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处A声级，dB(A)；</w:t>
            </w:r>
            <w:bookmarkEnd w:id="11"/>
            <w:bookmarkEnd w:id="12"/>
          </w:p>
          <w:p w14:paraId="48C26519">
            <w:pPr>
              <w:pStyle w:val="53"/>
              <w:ind w:firstLine="480"/>
              <w:rPr>
                <w:color w:val="000000" w:themeColor="text1"/>
                <w14:textFill>
                  <w14:solidFill>
                    <w14:schemeClr w14:val="tx1"/>
                  </w14:solidFill>
                </w14:textFill>
              </w:rPr>
            </w:pPr>
            <w:bookmarkStart w:id="13" w:name="_Toc50959226"/>
            <w:bookmarkStart w:id="14" w:name="_Toc51015365"/>
            <w:r>
              <w:rPr>
                <w:color w:val="000000" w:themeColor="text1"/>
                <w:position w:val="-12"/>
                <w14:textFill>
                  <w14:solidFill>
                    <w14:schemeClr w14:val="tx1"/>
                  </w14:solidFill>
                </w14:textFill>
              </w:rPr>
              <w:object>
                <v:shape id="_x0000_i1027" o:spt="75" type="#_x0000_t75" style="height:18pt;width:18.75pt;" o:ole="t" filled="f" o:preferrelative="t" stroked="f" coordsize="21600,21600">
                  <v:path/>
                  <v:fill on="f" focussize="0,0"/>
                  <v:stroke on="f" joinstyle="miter"/>
                  <v:imagedata r:id="rId14" o:title=""/>
                  <o:lock v:ext="edit" aspectratio="t"/>
                  <w10:wrap type="none"/>
                  <w10:anchorlock/>
                </v:shape>
                <o:OLEObject Type="Embed" ProgID="Equation.3" ShapeID="_x0000_i1027" DrawAspect="Content" ObjectID="_1468075727" r:id="rId13">
                  <o:LockedField>false</o:LockedField>
                </o:OLEObject>
              </w:object>
            </w:r>
            <w:r>
              <w:rPr>
                <w:color w:val="000000" w:themeColor="text1"/>
                <w14:textFill>
                  <w14:solidFill>
                    <w14:schemeClr w14:val="tx1"/>
                  </w14:solidFill>
                </w14:textFill>
              </w:rPr>
              <w:t>——几何发散衰减值，dB(A)；</w:t>
            </w:r>
            <w:bookmarkEnd w:id="13"/>
            <w:bookmarkEnd w:id="14"/>
          </w:p>
          <w:p w14:paraId="64AD5E26">
            <w:pPr>
              <w:pStyle w:val="53"/>
              <w:ind w:firstLine="480"/>
              <w:rPr>
                <w:color w:val="000000" w:themeColor="text1"/>
                <w14:textFill>
                  <w14:solidFill>
                    <w14:schemeClr w14:val="tx1"/>
                  </w14:solidFill>
                </w14:textFill>
              </w:rPr>
            </w:pPr>
            <w:r>
              <w:rPr>
                <w:color w:val="000000" w:themeColor="text1"/>
                <w14:textFill>
                  <w14:solidFill>
                    <w14:schemeClr w14:val="tx1"/>
                  </w14:solidFill>
                </w14:textFill>
              </w:rPr>
              <w:t>其中，对于无指向性点声源，几何发散衰减量A</w:t>
            </w:r>
            <w:r>
              <w:rPr>
                <w:color w:val="000000" w:themeColor="text1"/>
                <w:vertAlign w:val="subscript"/>
                <w14:textFill>
                  <w14:solidFill>
                    <w14:schemeClr w14:val="tx1"/>
                  </w14:solidFill>
                </w14:textFill>
              </w:rPr>
              <w:t>div</w:t>
            </w:r>
            <w:r>
              <w:rPr>
                <w:color w:val="000000" w:themeColor="text1"/>
                <w14:textFill>
                  <w14:solidFill>
                    <w14:schemeClr w14:val="tx1"/>
                  </w14:solidFill>
                </w14:textFill>
              </w:rPr>
              <w:t>计算式为：</w:t>
            </w:r>
          </w:p>
          <w:p w14:paraId="6A01D17C">
            <w:pPr>
              <w:pStyle w:val="53"/>
              <w:ind w:firstLine="480"/>
              <w:rPr>
                <w:color w:val="000000" w:themeColor="text1"/>
                <w14:textFill>
                  <w14:solidFill>
                    <w14:schemeClr w14:val="tx1"/>
                  </w14:solidFill>
                </w14:textFill>
              </w:rPr>
            </w:pPr>
            <w:r>
              <w:rPr>
                <w:color w:val="000000" w:themeColor="text1"/>
                <w14:textFill>
                  <w14:solidFill>
                    <w14:schemeClr w14:val="tx1"/>
                  </w14:solidFill>
                </w14:textFill>
              </w:rPr>
              <w:t>A</w:t>
            </w:r>
            <w:r>
              <w:rPr>
                <w:color w:val="000000" w:themeColor="text1"/>
                <w:vertAlign w:val="subscript"/>
                <w14:textFill>
                  <w14:solidFill>
                    <w14:schemeClr w14:val="tx1"/>
                  </w14:solidFill>
                </w14:textFill>
              </w:rPr>
              <w:t>div</w:t>
            </w:r>
            <w:r>
              <w:rPr>
                <w:rFonts w:hint="eastAsia"/>
                <w:color w:val="000000" w:themeColor="text1"/>
                <w:vertAlign w:val="subscript"/>
                <w:lang w:eastAsia="zh-CN"/>
                <w14:textFill>
                  <w14:solidFill>
                    <w14:schemeClr w14:val="tx1"/>
                  </w14:solidFill>
                </w14:textFill>
              </w:rPr>
              <w:t>=</w:t>
            </w:r>
            <w:r>
              <w:rPr>
                <w:color w:val="000000" w:themeColor="text1"/>
                <w14:textFill>
                  <w14:solidFill>
                    <w14:schemeClr w14:val="tx1"/>
                  </w14:solidFill>
                </w14:textFill>
              </w:rPr>
              <w:t>20lg(r/r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　dB(A)</w:t>
            </w:r>
          </w:p>
          <w:p w14:paraId="62CE81A6">
            <w:pPr>
              <w:pStyle w:val="5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w:t>
            </w:r>
            <w:r>
              <w:rPr>
                <w:color w:val="000000" w:themeColor="text1"/>
                <w14:textFill>
                  <w14:solidFill>
                    <w14:schemeClr w14:val="tx1"/>
                  </w14:solidFill>
                </w14:textFill>
              </w:rPr>
              <w:t>.预测点预测等效声级计算公式</w:t>
            </w:r>
          </w:p>
          <w:p w14:paraId="2750A3F5">
            <w:pPr>
              <w:pStyle w:val="53"/>
              <w:ind w:firstLine="480"/>
              <w:rPr>
                <w:color w:val="000000" w:themeColor="text1"/>
                <w14:textFill>
                  <w14:solidFill>
                    <w14:schemeClr w14:val="tx1"/>
                  </w14:solidFill>
                </w14:textFill>
              </w:rPr>
            </w:pPr>
            <w:r>
              <w:rPr>
                <w:color w:val="000000" w:themeColor="text1"/>
                <w:position w:val="-12"/>
                <w14:textFill>
                  <w14:solidFill>
                    <w14:schemeClr w14:val="tx1"/>
                  </w14:solidFill>
                </w14:textFill>
              </w:rPr>
              <w:object>
                <v:shape id="_x0000_i1028" o:spt="75" type="#_x0000_t75" style="height:18.75pt;width:137.25pt;" o:ole="t" filled="f" o:preferrelative="t" stroked="f" coordsize="21600,21600">
                  <v:path/>
                  <v:fill on="f" focussize="0,0"/>
                  <v:stroke on="f" joinstyle="miter"/>
                  <v:imagedata r:id="rId16" o:title=""/>
                  <o:lock v:ext="edit" aspectratio="t"/>
                  <w10:wrap type="none"/>
                  <w10:anchorlock/>
                </v:shape>
                <o:OLEObject Type="Embed" ProgID="Equation.DSMT4" ShapeID="_x0000_i1028" DrawAspect="Content" ObjectID="_1468075728" r:id="rId15">
                  <o:LockedField>false</o:LockedField>
                </o:OLEObject>
              </w:object>
            </w:r>
          </w:p>
          <w:p w14:paraId="5BAEC1FF">
            <w:pPr>
              <w:pStyle w:val="53"/>
              <w:ind w:firstLine="480"/>
              <w:rPr>
                <w:color w:val="000000" w:themeColor="text1"/>
                <w14:textFill>
                  <w14:solidFill>
                    <w14:schemeClr w14:val="tx1"/>
                  </w14:solidFill>
                </w14:textFill>
              </w:rPr>
            </w:pPr>
            <w:r>
              <w:rPr>
                <w:color w:val="000000" w:themeColor="text1"/>
                <w14:textFill>
                  <w14:solidFill>
                    <w14:schemeClr w14:val="tx1"/>
                  </w14:solidFill>
                </w14:textFill>
              </w:rPr>
              <w:t>Leq——预测点的预测等效声级，dB(A)；</w:t>
            </w:r>
          </w:p>
          <w:p w14:paraId="5A55453A">
            <w:pPr>
              <w:pStyle w:val="53"/>
              <w:ind w:firstLine="480"/>
              <w:rPr>
                <w:color w:val="000000" w:themeColor="text1"/>
                <w14:textFill>
                  <w14:solidFill>
                    <w14:schemeClr w14:val="tx1"/>
                  </w14:solidFill>
                </w14:textFill>
              </w:rPr>
            </w:pPr>
            <w:r>
              <w:rPr>
                <w:color w:val="000000" w:themeColor="text1"/>
                <w14:textFill>
                  <w14:solidFill>
                    <w14:schemeClr w14:val="tx1"/>
                  </w14:solidFill>
                </w14:textFill>
              </w:rPr>
              <w:t>Leqg——建设项目声源在预测点的噪声叠加值，dB(A)；</w:t>
            </w:r>
          </w:p>
          <w:p w14:paraId="144DAA00">
            <w:pPr>
              <w:pStyle w:val="53"/>
              <w:ind w:firstLine="480"/>
              <w:rPr>
                <w:color w:val="000000" w:themeColor="text1"/>
                <w14:textFill>
                  <w14:solidFill>
                    <w14:schemeClr w14:val="tx1"/>
                  </w14:solidFill>
                </w14:textFill>
              </w:rPr>
            </w:pPr>
            <w:r>
              <w:rPr>
                <w:color w:val="000000" w:themeColor="text1"/>
                <w14:textFill>
                  <w14:solidFill>
                    <w14:schemeClr w14:val="tx1"/>
                  </w14:solidFill>
                </w14:textFill>
              </w:rPr>
              <w:t>Leqb——预测点的背景值，dB(A)；</w:t>
            </w:r>
          </w:p>
          <w:p w14:paraId="027F7302">
            <w:pPr>
              <w:pStyle w:val="5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预测结果</w:t>
            </w:r>
          </w:p>
          <w:p w14:paraId="6E6BBF42">
            <w:pPr>
              <w:pStyle w:val="53"/>
              <w:ind w:firstLine="480"/>
              <w:rPr>
                <w:color w:val="000000" w:themeColor="text1"/>
                <w14:textFill>
                  <w14:solidFill>
                    <w14:schemeClr w14:val="tx1"/>
                  </w14:solidFill>
                </w14:textFill>
              </w:rPr>
            </w:pPr>
            <w:r>
              <w:rPr>
                <w:color w:val="000000" w:themeColor="text1"/>
                <w14:textFill>
                  <w14:solidFill>
                    <w14:schemeClr w14:val="tx1"/>
                  </w14:solidFill>
                </w14:textFill>
              </w:rPr>
              <w:t>限于施工计划和施工设备等资料不够详尽，评价选取各施工阶段中使用较频繁的几种主要机械设备，根据点声源衰减模式和噪声叠加模式预测各施工阶段的噪声影响值和影响范围，预测结果见表4-2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表4-5。</w:t>
            </w:r>
          </w:p>
          <w:p w14:paraId="36953546">
            <w:pPr>
              <w:pStyle w:val="53"/>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A</w:t>
            </w:r>
            <w:r>
              <w:rPr>
                <w:rFonts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土石方阶段</w:t>
            </w:r>
          </w:p>
          <w:p w14:paraId="1529975F">
            <w:pPr>
              <w:pStyle w:val="74"/>
              <w:bidi w:val="0"/>
            </w:pPr>
            <w:r>
              <w:t>表4-2  土石方阶段施工机械在不同距离的噪声预测值</w:t>
            </w:r>
          </w:p>
          <w:tbl>
            <w:tblPr>
              <w:tblStyle w:val="23"/>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318"/>
              <w:gridCol w:w="1354"/>
              <w:gridCol w:w="544"/>
              <w:gridCol w:w="545"/>
              <w:gridCol w:w="545"/>
              <w:gridCol w:w="545"/>
              <w:gridCol w:w="545"/>
              <w:gridCol w:w="545"/>
              <w:gridCol w:w="545"/>
              <w:gridCol w:w="545"/>
              <w:gridCol w:w="545"/>
              <w:gridCol w:w="553"/>
            </w:tblGrid>
            <w:tr w14:paraId="772629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1" w:hRule="atLeast"/>
                <w:jc w:val="center"/>
              </w:trPr>
              <w:tc>
                <w:tcPr>
                  <w:tcW w:w="811" w:type="pct"/>
                  <w:vMerge w:val="restart"/>
                  <w:shd w:val="clear" w:color="auto" w:fill="auto"/>
                  <w:noWrap/>
                  <w:vAlign w:val="center"/>
                </w:tcPr>
                <w:p w14:paraId="77A0E249">
                  <w:pPr>
                    <w:pStyle w:val="49"/>
                  </w:pPr>
                  <w:r>
                    <w:t>噪声源</w:t>
                  </w:r>
                </w:p>
              </w:tc>
              <w:tc>
                <w:tcPr>
                  <w:tcW w:w="832" w:type="pct"/>
                  <w:vMerge w:val="restart"/>
                  <w:shd w:val="clear" w:color="auto" w:fill="auto"/>
                  <w:noWrap/>
                  <w:vAlign w:val="center"/>
                </w:tcPr>
                <w:p w14:paraId="7216155C">
                  <w:pPr>
                    <w:pStyle w:val="49"/>
                  </w:pPr>
                  <w:r>
                    <w:t>声源[dB(A)/m]</w:t>
                  </w:r>
                </w:p>
              </w:tc>
              <w:tc>
                <w:tcPr>
                  <w:tcW w:w="3355" w:type="pct"/>
                  <w:gridSpan w:val="10"/>
                  <w:shd w:val="clear" w:color="auto" w:fill="auto"/>
                  <w:noWrap/>
                  <w:vAlign w:val="center"/>
                </w:tcPr>
                <w:p w14:paraId="543E5A97">
                  <w:pPr>
                    <w:pStyle w:val="49"/>
                  </w:pPr>
                  <w:r>
                    <w:t>距离/m</w:t>
                  </w:r>
                  <w:r>
                    <w:rPr>
                      <w:rFonts w:hint="eastAsia"/>
                      <w:lang w:val="en-US" w:eastAsia="zh-CN"/>
                    </w:rPr>
                    <w:t xml:space="preserve">   </w:t>
                  </w:r>
                  <w:r>
                    <w:t>dB（A）</w:t>
                  </w:r>
                </w:p>
              </w:tc>
            </w:tr>
            <w:tr w14:paraId="111EAA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1" w:hRule="atLeast"/>
                <w:jc w:val="center"/>
              </w:trPr>
              <w:tc>
                <w:tcPr>
                  <w:tcW w:w="811" w:type="pct"/>
                  <w:vMerge w:val="continue"/>
                  <w:shd w:val="clear" w:color="auto" w:fill="auto"/>
                  <w:vAlign w:val="center"/>
                </w:tcPr>
                <w:p w14:paraId="0E14BFC5">
                  <w:pPr>
                    <w:pStyle w:val="49"/>
                  </w:pPr>
                </w:p>
              </w:tc>
              <w:tc>
                <w:tcPr>
                  <w:tcW w:w="832" w:type="pct"/>
                  <w:vMerge w:val="continue"/>
                  <w:shd w:val="clear" w:color="auto" w:fill="auto"/>
                  <w:vAlign w:val="center"/>
                </w:tcPr>
                <w:p w14:paraId="4D0DAF39">
                  <w:pPr>
                    <w:pStyle w:val="49"/>
                  </w:pPr>
                </w:p>
              </w:tc>
              <w:tc>
                <w:tcPr>
                  <w:tcW w:w="335" w:type="pct"/>
                  <w:shd w:val="clear" w:color="auto" w:fill="auto"/>
                  <w:noWrap/>
                  <w:vAlign w:val="center"/>
                </w:tcPr>
                <w:p w14:paraId="21080290">
                  <w:pPr>
                    <w:pStyle w:val="49"/>
                  </w:pPr>
                  <w:r>
                    <w:t>20</w:t>
                  </w:r>
                </w:p>
              </w:tc>
              <w:tc>
                <w:tcPr>
                  <w:tcW w:w="335" w:type="pct"/>
                  <w:shd w:val="clear" w:color="auto" w:fill="auto"/>
                  <w:noWrap/>
                  <w:vAlign w:val="center"/>
                </w:tcPr>
                <w:p w14:paraId="4B571485">
                  <w:pPr>
                    <w:pStyle w:val="49"/>
                  </w:pPr>
                  <w:r>
                    <w:t>40</w:t>
                  </w:r>
                </w:p>
              </w:tc>
              <w:tc>
                <w:tcPr>
                  <w:tcW w:w="335" w:type="pct"/>
                  <w:shd w:val="clear" w:color="auto" w:fill="auto"/>
                  <w:noWrap/>
                  <w:vAlign w:val="center"/>
                </w:tcPr>
                <w:p w14:paraId="66BB13B9">
                  <w:pPr>
                    <w:pStyle w:val="49"/>
                  </w:pPr>
                  <w:r>
                    <w:t>79</w:t>
                  </w:r>
                </w:p>
              </w:tc>
              <w:tc>
                <w:tcPr>
                  <w:tcW w:w="335" w:type="pct"/>
                  <w:shd w:val="clear" w:color="auto" w:fill="auto"/>
                  <w:noWrap/>
                  <w:vAlign w:val="center"/>
                </w:tcPr>
                <w:p w14:paraId="31F07F24">
                  <w:pPr>
                    <w:pStyle w:val="49"/>
                  </w:pPr>
                  <w:r>
                    <w:t>104</w:t>
                  </w:r>
                </w:p>
              </w:tc>
              <w:tc>
                <w:tcPr>
                  <w:tcW w:w="335" w:type="pct"/>
                  <w:shd w:val="clear" w:color="auto" w:fill="auto"/>
                  <w:noWrap/>
                  <w:vAlign w:val="center"/>
                </w:tcPr>
                <w:p w14:paraId="724A673C">
                  <w:pPr>
                    <w:pStyle w:val="49"/>
                  </w:pPr>
                  <w:r>
                    <w:t>150</w:t>
                  </w:r>
                </w:p>
              </w:tc>
              <w:tc>
                <w:tcPr>
                  <w:tcW w:w="335" w:type="pct"/>
                  <w:shd w:val="clear" w:color="auto" w:fill="auto"/>
                  <w:noWrap/>
                  <w:vAlign w:val="center"/>
                </w:tcPr>
                <w:p w14:paraId="2B675CDD">
                  <w:pPr>
                    <w:pStyle w:val="49"/>
                  </w:pPr>
                  <w:r>
                    <w:t>120</w:t>
                  </w:r>
                </w:p>
              </w:tc>
              <w:tc>
                <w:tcPr>
                  <w:tcW w:w="335" w:type="pct"/>
                  <w:shd w:val="clear" w:color="auto" w:fill="auto"/>
                  <w:noWrap/>
                  <w:vAlign w:val="center"/>
                </w:tcPr>
                <w:p w14:paraId="37624BB3">
                  <w:pPr>
                    <w:pStyle w:val="49"/>
                  </w:pPr>
                  <w:r>
                    <w:t>177</w:t>
                  </w:r>
                </w:p>
              </w:tc>
              <w:tc>
                <w:tcPr>
                  <w:tcW w:w="335" w:type="pct"/>
                  <w:shd w:val="clear" w:color="auto" w:fill="auto"/>
                  <w:noWrap/>
                  <w:vAlign w:val="center"/>
                </w:tcPr>
                <w:p w14:paraId="50FEDB75">
                  <w:pPr>
                    <w:pStyle w:val="49"/>
                  </w:pPr>
                  <w:r>
                    <w:t>445</w:t>
                  </w:r>
                </w:p>
              </w:tc>
              <w:tc>
                <w:tcPr>
                  <w:tcW w:w="335" w:type="pct"/>
                  <w:shd w:val="clear" w:color="auto" w:fill="auto"/>
                  <w:noWrap/>
                  <w:vAlign w:val="center"/>
                </w:tcPr>
                <w:p w14:paraId="5C35F1A4">
                  <w:pPr>
                    <w:pStyle w:val="49"/>
                  </w:pPr>
                  <w:r>
                    <w:t>584</w:t>
                  </w:r>
                </w:p>
              </w:tc>
              <w:tc>
                <w:tcPr>
                  <w:tcW w:w="339" w:type="pct"/>
                  <w:shd w:val="clear" w:color="auto" w:fill="auto"/>
                  <w:noWrap/>
                  <w:vAlign w:val="center"/>
                </w:tcPr>
                <w:p w14:paraId="1C840E20">
                  <w:pPr>
                    <w:pStyle w:val="49"/>
                  </w:pPr>
                  <w:r>
                    <w:t>600</w:t>
                  </w:r>
                </w:p>
              </w:tc>
            </w:tr>
            <w:tr w14:paraId="16F2CC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19" w:hRule="atLeast"/>
                <w:jc w:val="center"/>
              </w:trPr>
              <w:tc>
                <w:tcPr>
                  <w:tcW w:w="811" w:type="pct"/>
                  <w:shd w:val="clear" w:color="auto" w:fill="auto"/>
                  <w:noWrap/>
                  <w:vAlign w:val="center"/>
                </w:tcPr>
                <w:p w14:paraId="6080F321">
                  <w:pPr>
                    <w:pStyle w:val="49"/>
                  </w:pPr>
                  <w:r>
                    <w:t>制冷机组</w:t>
                  </w:r>
                </w:p>
              </w:tc>
              <w:tc>
                <w:tcPr>
                  <w:tcW w:w="832" w:type="pct"/>
                  <w:shd w:val="clear" w:color="auto" w:fill="auto"/>
                  <w:noWrap/>
                  <w:vAlign w:val="center"/>
                </w:tcPr>
                <w:p w14:paraId="4DFC1D04">
                  <w:pPr>
                    <w:pStyle w:val="49"/>
                  </w:pPr>
                  <w:r>
                    <w:t>80/10</w:t>
                  </w:r>
                </w:p>
              </w:tc>
              <w:tc>
                <w:tcPr>
                  <w:tcW w:w="335" w:type="pct"/>
                  <w:shd w:val="clear" w:color="auto" w:fill="auto"/>
                  <w:noWrap/>
                  <w:vAlign w:val="center"/>
                </w:tcPr>
                <w:p w14:paraId="5BF20F19">
                  <w:pPr>
                    <w:pStyle w:val="49"/>
                  </w:pPr>
                  <w:r>
                    <w:t>74.0</w:t>
                  </w:r>
                </w:p>
              </w:tc>
              <w:tc>
                <w:tcPr>
                  <w:tcW w:w="335" w:type="pct"/>
                  <w:shd w:val="clear" w:color="auto" w:fill="auto"/>
                  <w:noWrap/>
                  <w:vAlign w:val="center"/>
                </w:tcPr>
                <w:p w14:paraId="703A1A74">
                  <w:pPr>
                    <w:pStyle w:val="49"/>
                  </w:pPr>
                  <w:r>
                    <w:t>68.0</w:t>
                  </w:r>
                </w:p>
              </w:tc>
              <w:tc>
                <w:tcPr>
                  <w:tcW w:w="335" w:type="pct"/>
                  <w:shd w:val="clear" w:color="auto" w:fill="auto"/>
                  <w:noWrap/>
                  <w:vAlign w:val="center"/>
                </w:tcPr>
                <w:p w14:paraId="0015D552">
                  <w:pPr>
                    <w:pStyle w:val="49"/>
                  </w:pPr>
                  <w:r>
                    <w:t>62.0</w:t>
                  </w:r>
                </w:p>
              </w:tc>
              <w:tc>
                <w:tcPr>
                  <w:tcW w:w="335" w:type="pct"/>
                  <w:shd w:val="clear" w:color="auto" w:fill="auto"/>
                  <w:noWrap/>
                  <w:vAlign w:val="center"/>
                </w:tcPr>
                <w:p w14:paraId="60A563F5">
                  <w:pPr>
                    <w:pStyle w:val="49"/>
                  </w:pPr>
                  <w:r>
                    <w:t>59.7</w:t>
                  </w:r>
                </w:p>
              </w:tc>
              <w:tc>
                <w:tcPr>
                  <w:tcW w:w="335" w:type="pct"/>
                  <w:shd w:val="clear" w:color="auto" w:fill="auto"/>
                  <w:noWrap/>
                  <w:vAlign w:val="center"/>
                </w:tcPr>
                <w:p w14:paraId="43F89E8C">
                  <w:pPr>
                    <w:pStyle w:val="49"/>
                  </w:pPr>
                  <w:r>
                    <w:t>56.5</w:t>
                  </w:r>
                </w:p>
              </w:tc>
              <w:tc>
                <w:tcPr>
                  <w:tcW w:w="335" w:type="pct"/>
                  <w:shd w:val="clear" w:color="auto" w:fill="auto"/>
                  <w:noWrap/>
                  <w:vAlign w:val="center"/>
                </w:tcPr>
                <w:p w14:paraId="33E74198">
                  <w:pPr>
                    <w:pStyle w:val="49"/>
                  </w:pPr>
                  <w:r>
                    <w:t>58.4</w:t>
                  </w:r>
                </w:p>
              </w:tc>
              <w:tc>
                <w:tcPr>
                  <w:tcW w:w="335" w:type="pct"/>
                  <w:shd w:val="clear" w:color="auto" w:fill="auto"/>
                  <w:noWrap/>
                  <w:vAlign w:val="center"/>
                </w:tcPr>
                <w:p w14:paraId="49CC2ACD">
                  <w:pPr>
                    <w:pStyle w:val="49"/>
                  </w:pPr>
                  <w:r>
                    <w:t>55.0</w:t>
                  </w:r>
                </w:p>
              </w:tc>
              <w:tc>
                <w:tcPr>
                  <w:tcW w:w="335" w:type="pct"/>
                  <w:shd w:val="clear" w:color="auto" w:fill="auto"/>
                  <w:noWrap/>
                  <w:vAlign w:val="center"/>
                </w:tcPr>
                <w:p w14:paraId="3892D85C">
                  <w:pPr>
                    <w:pStyle w:val="49"/>
                  </w:pPr>
                  <w:r>
                    <w:t>47.0</w:t>
                  </w:r>
                </w:p>
              </w:tc>
              <w:tc>
                <w:tcPr>
                  <w:tcW w:w="335" w:type="pct"/>
                  <w:shd w:val="clear" w:color="auto" w:fill="auto"/>
                  <w:noWrap/>
                  <w:vAlign w:val="center"/>
                </w:tcPr>
                <w:p w14:paraId="74830BBF">
                  <w:pPr>
                    <w:pStyle w:val="49"/>
                  </w:pPr>
                  <w:r>
                    <w:t>44.7</w:t>
                  </w:r>
                </w:p>
              </w:tc>
              <w:tc>
                <w:tcPr>
                  <w:tcW w:w="339" w:type="pct"/>
                  <w:shd w:val="clear" w:color="auto" w:fill="auto"/>
                  <w:noWrap/>
                  <w:vAlign w:val="center"/>
                </w:tcPr>
                <w:p w14:paraId="6266A5C8">
                  <w:pPr>
                    <w:pStyle w:val="49"/>
                  </w:pPr>
                  <w:r>
                    <w:t>44.4</w:t>
                  </w:r>
                </w:p>
              </w:tc>
            </w:tr>
            <w:tr w14:paraId="00A3B9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19" w:hRule="atLeast"/>
                <w:jc w:val="center"/>
              </w:trPr>
              <w:tc>
                <w:tcPr>
                  <w:tcW w:w="811" w:type="pct"/>
                  <w:shd w:val="clear" w:color="auto" w:fill="auto"/>
                  <w:noWrap/>
                  <w:vAlign w:val="center"/>
                </w:tcPr>
                <w:p w14:paraId="7B9021CE">
                  <w:pPr>
                    <w:pStyle w:val="49"/>
                  </w:pPr>
                  <w:r>
                    <w:t>推土机</w:t>
                  </w:r>
                </w:p>
              </w:tc>
              <w:tc>
                <w:tcPr>
                  <w:tcW w:w="832" w:type="pct"/>
                  <w:shd w:val="clear" w:color="auto" w:fill="auto"/>
                  <w:noWrap/>
                  <w:vAlign w:val="center"/>
                </w:tcPr>
                <w:p w14:paraId="636DC9E7">
                  <w:pPr>
                    <w:pStyle w:val="49"/>
                  </w:pPr>
                  <w:r>
                    <w:t>83/10</w:t>
                  </w:r>
                </w:p>
              </w:tc>
              <w:tc>
                <w:tcPr>
                  <w:tcW w:w="335" w:type="pct"/>
                  <w:shd w:val="clear" w:color="auto" w:fill="auto"/>
                  <w:noWrap/>
                  <w:vAlign w:val="center"/>
                </w:tcPr>
                <w:p w14:paraId="05E79CAE">
                  <w:pPr>
                    <w:pStyle w:val="49"/>
                  </w:pPr>
                  <w:r>
                    <w:t>77.0</w:t>
                  </w:r>
                </w:p>
              </w:tc>
              <w:tc>
                <w:tcPr>
                  <w:tcW w:w="335" w:type="pct"/>
                  <w:shd w:val="clear" w:color="auto" w:fill="auto"/>
                  <w:noWrap/>
                  <w:vAlign w:val="center"/>
                </w:tcPr>
                <w:p w14:paraId="2172790F">
                  <w:pPr>
                    <w:pStyle w:val="49"/>
                  </w:pPr>
                  <w:r>
                    <w:t>71.0</w:t>
                  </w:r>
                </w:p>
              </w:tc>
              <w:tc>
                <w:tcPr>
                  <w:tcW w:w="335" w:type="pct"/>
                  <w:shd w:val="clear" w:color="auto" w:fill="auto"/>
                  <w:noWrap/>
                  <w:vAlign w:val="center"/>
                </w:tcPr>
                <w:p w14:paraId="3F9AF09E">
                  <w:pPr>
                    <w:pStyle w:val="49"/>
                  </w:pPr>
                  <w:r>
                    <w:t>65.0</w:t>
                  </w:r>
                </w:p>
              </w:tc>
              <w:tc>
                <w:tcPr>
                  <w:tcW w:w="335" w:type="pct"/>
                  <w:shd w:val="clear" w:color="auto" w:fill="auto"/>
                  <w:noWrap/>
                  <w:vAlign w:val="center"/>
                </w:tcPr>
                <w:p w14:paraId="360DB1C5">
                  <w:pPr>
                    <w:pStyle w:val="49"/>
                  </w:pPr>
                  <w:r>
                    <w:t>62.7</w:t>
                  </w:r>
                </w:p>
              </w:tc>
              <w:tc>
                <w:tcPr>
                  <w:tcW w:w="335" w:type="pct"/>
                  <w:shd w:val="clear" w:color="auto" w:fill="auto"/>
                  <w:noWrap/>
                  <w:vAlign w:val="center"/>
                </w:tcPr>
                <w:p w14:paraId="46699A46">
                  <w:pPr>
                    <w:pStyle w:val="49"/>
                  </w:pPr>
                  <w:r>
                    <w:t>59.5</w:t>
                  </w:r>
                </w:p>
              </w:tc>
              <w:tc>
                <w:tcPr>
                  <w:tcW w:w="335" w:type="pct"/>
                  <w:shd w:val="clear" w:color="auto" w:fill="auto"/>
                  <w:noWrap/>
                  <w:vAlign w:val="center"/>
                </w:tcPr>
                <w:p w14:paraId="5C5042C0">
                  <w:pPr>
                    <w:pStyle w:val="49"/>
                  </w:pPr>
                  <w:r>
                    <w:t>61.4</w:t>
                  </w:r>
                </w:p>
              </w:tc>
              <w:tc>
                <w:tcPr>
                  <w:tcW w:w="335" w:type="pct"/>
                  <w:shd w:val="clear" w:color="auto" w:fill="auto"/>
                  <w:noWrap/>
                  <w:vAlign w:val="center"/>
                </w:tcPr>
                <w:p w14:paraId="0E1D98FE">
                  <w:pPr>
                    <w:pStyle w:val="49"/>
                  </w:pPr>
                  <w:r>
                    <w:t>58.0</w:t>
                  </w:r>
                </w:p>
              </w:tc>
              <w:tc>
                <w:tcPr>
                  <w:tcW w:w="335" w:type="pct"/>
                  <w:shd w:val="clear" w:color="auto" w:fill="auto"/>
                  <w:noWrap/>
                  <w:vAlign w:val="center"/>
                </w:tcPr>
                <w:p w14:paraId="20830890">
                  <w:pPr>
                    <w:pStyle w:val="49"/>
                  </w:pPr>
                  <w:r>
                    <w:t>50.0</w:t>
                  </w:r>
                </w:p>
              </w:tc>
              <w:tc>
                <w:tcPr>
                  <w:tcW w:w="335" w:type="pct"/>
                  <w:shd w:val="clear" w:color="auto" w:fill="auto"/>
                  <w:noWrap/>
                  <w:vAlign w:val="center"/>
                </w:tcPr>
                <w:p w14:paraId="5DEC504E">
                  <w:pPr>
                    <w:pStyle w:val="49"/>
                  </w:pPr>
                  <w:r>
                    <w:t>47.7</w:t>
                  </w:r>
                </w:p>
              </w:tc>
              <w:tc>
                <w:tcPr>
                  <w:tcW w:w="339" w:type="pct"/>
                  <w:shd w:val="clear" w:color="auto" w:fill="auto"/>
                  <w:noWrap/>
                  <w:vAlign w:val="center"/>
                </w:tcPr>
                <w:p w14:paraId="4DD1B1ED">
                  <w:pPr>
                    <w:pStyle w:val="49"/>
                  </w:pPr>
                  <w:r>
                    <w:t>47.4</w:t>
                  </w:r>
                </w:p>
              </w:tc>
            </w:tr>
            <w:tr w14:paraId="7D2C48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19" w:hRule="atLeast"/>
                <w:jc w:val="center"/>
              </w:trPr>
              <w:tc>
                <w:tcPr>
                  <w:tcW w:w="811" w:type="pct"/>
                  <w:shd w:val="clear" w:color="auto" w:fill="auto"/>
                  <w:vAlign w:val="center"/>
                </w:tcPr>
                <w:p w14:paraId="23FDF28C">
                  <w:pPr>
                    <w:pStyle w:val="49"/>
                  </w:pPr>
                  <w:r>
                    <w:t>液压式挖掘机</w:t>
                  </w:r>
                </w:p>
              </w:tc>
              <w:tc>
                <w:tcPr>
                  <w:tcW w:w="832" w:type="pct"/>
                  <w:shd w:val="clear" w:color="auto" w:fill="auto"/>
                  <w:noWrap/>
                  <w:vAlign w:val="center"/>
                </w:tcPr>
                <w:p w14:paraId="604EB6C1">
                  <w:pPr>
                    <w:pStyle w:val="49"/>
                  </w:pPr>
                  <w:r>
                    <w:t>82/10</w:t>
                  </w:r>
                </w:p>
              </w:tc>
              <w:tc>
                <w:tcPr>
                  <w:tcW w:w="335" w:type="pct"/>
                  <w:shd w:val="clear" w:color="auto" w:fill="auto"/>
                  <w:noWrap/>
                  <w:vAlign w:val="center"/>
                </w:tcPr>
                <w:p w14:paraId="46C603E9">
                  <w:pPr>
                    <w:pStyle w:val="49"/>
                  </w:pPr>
                  <w:r>
                    <w:t>76.0</w:t>
                  </w:r>
                </w:p>
              </w:tc>
              <w:tc>
                <w:tcPr>
                  <w:tcW w:w="335" w:type="pct"/>
                  <w:shd w:val="clear" w:color="auto" w:fill="auto"/>
                  <w:noWrap/>
                  <w:vAlign w:val="center"/>
                </w:tcPr>
                <w:p w14:paraId="3590D21E">
                  <w:pPr>
                    <w:pStyle w:val="49"/>
                  </w:pPr>
                  <w:r>
                    <w:t>70.0</w:t>
                  </w:r>
                </w:p>
              </w:tc>
              <w:tc>
                <w:tcPr>
                  <w:tcW w:w="335" w:type="pct"/>
                  <w:shd w:val="clear" w:color="auto" w:fill="auto"/>
                  <w:noWrap/>
                  <w:vAlign w:val="center"/>
                </w:tcPr>
                <w:p w14:paraId="0FD9A5E3">
                  <w:pPr>
                    <w:pStyle w:val="49"/>
                  </w:pPr>
                  <w:r>
                    <w:t>64.0</w:t>
                  </w:r>
                </w:p>
              </w:tc>
              <w:tc>
                <w:tcPr>
                  <w:tcW w:w="335" w:type="pct"/>
                  <w:shd w:val="clear" w:color="auto" w:fill="auto"/>
                  <w:noWrap/>
                  <w:vAlign w:val="center"/>
                </w:tcPr>
                <w:p w14:paraId="2BBDB8E7">
                  <w:pPr>
                    <w:pStyle w:val="49"/>
                  </w:pPr>
                  <w:r>
                    <w:t>61.7</w:t>
                  </w:r>
                </w:p>
              </w:tc>
              <w:tc>
                <w:tcPr>
                  <w:tcW w:w="335" w:type="pct"/>
                  <w:shd w:val="clear" w:color="auto" w:fill="auto"/>
                  <w:noWrap/>
                  <w:vAlign w:val="center"/>
                </w:tcPr>
                <w:p w14:paraId="286B3BAE">
                  <w:pPr>
                    <w:pStyle w:val="49"/>
                  </w:pPr>
                  <w:r>
                    <w:t>58.5</w:t>
                  </w:r>
                </w:p>
              </w:tc>
              <w:tc>
                <w:tcPr>
                  <w:tcW w:w="335" w:type="pct"/>
                  <w:shd w:val="clear" w:color="auto" w:fill="auto"/>
                  <w:noWrap/>
                  <w:vAlign w:val="center"/>
                </w:tcPr>
                <w:p w14:paraId="34DD39CF">
                  <w:pPr>
                    <w:pStyle w:val="49"/>
                  </w:pPr>
                  <w:r>
                    <w:t>60.4</w:t>
                  </w:r>
                </w:p>
              </w:tc>
              <w:tc>
                <w:tcPr>
                  <w:tcW w:w="335" w:type="pct"/>
                  <w:shd w:val="clear" w:color="auto" w:fill="auto"/>
                  <w:noWrap/>
                  <w:vAlign w:val="center"/>
                </w:tcPr>
                <w:p w14:paraId="25FF8B80">
                  <w:pPr>
                    <w:pStyle w:val="49"/>
                  </w:pPr>
                  <w:r>
                    <w:t>57.0</w:t>
                  </w:r>
                </w:p>
              </w:tc>
              <w:tc>
                <w:tcPr>
                  <w:tcW w:w="335" w:type="pct"/>
                  <w:shd w:val="clear" w:color="auto" w:fill="auto"/>
                  <w:noWrap/>
                  <w:vAlign w:val="center"/>
                </w:tcPr>
                <w:p w14:paraId="5797640C">
                  <w:pPr>
                    <w:pStyle w:val="49"/>
                  </w:pPr>
                  <w:r>
                    <w:t>49.0</w:t>
                  </w:r>
                </w:p>
              </w:tc>
              <w:tc>
                <w:tcPr>
                  <w:tcW w:w="335" w:type="pct"/>
                  <w:shd w:val="clear" w:color="auto" w:fill="auto"/>
                  <w:noWrap/>
                  <w:vAlign w:val="center"/>
                </w:tcPr>
                <w:p w14:paraId="65E60330">
                  <w:pPr>
                    <w:pStyle w:val="49"/>
                  </w:pPr>
                  <w:r>
                    <w:t>46.7</w:t>
                  </w:r>
                </w:p>
              </w:tc>
              <w:tc>
                <w:tcPr>
                  <w:tcW w:w="339" w:type="pct"/>
                  <w:shd w:val="clear" w:color="auto" w:fill="auto"/>
                  <w:noWrap/>
                  <w:vAlign w:val="center"/>
                </w:tcPr>
                <w:p w14:paraId="441538AE">
                  <w:pPr>
                    <w:pStyle w:val="49"/>
                  </w:pPr>
                  <w:r>
                    <w:t>46.4</w:t>
                  </w:r>
                </w:p>
              </w:tc>
            </w:tr>
            <w:tr w14:paraId="796D45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19" w:hRule="atLeast"/>
                <w:jc w:val="center"/>
              </w:trPr>
              <w:tc>
                <w:tcPr>
                  <w:tcW w:w="811" w:type="pct"/>
                  <w:shd w:val="clear" w:color="auto" w:fill="auto"/>
                  <w:vAlign w:val="center"/>
                </w:tcPr>
                <w:p w14:paraId="26F18EEE">
                  <w:pPr>
                    <w:pStyle w:val="49"/>
                  </w:pPr>
                  <w:r>
                    <w:t>轮式装载机</w:t>
                  </w:r>
                </w:p>
              </w:tc>
              <w:tc>
                <w:tcPr>
                  <w:tcW w:w="832" w:type="pct"/>
                  <w:shd w:val="clear" w:color="auto" w:fill="auto"/>
                  <w:noWrap/>
                  <w:vAlign w:val="center"/>
                </w:tcPr>
                <w:p w14:paraId="1C050B9E">
                  <w:pPr>
                    <w:pStyle w:val="49"/>
                  </w:pPr>
                  <w:r>
                    <w:t>88/10</w:t>
                  </w:r>
                </w:p>
              </w:tc>
              <w:tc>
                <w:tcPr>
                  <w:tcW w:w="335" w:type="pct"/>
                  <w:shd w:val="clear" w:color="auto" w:fill="auto"/>
                  <w:noWrap/>
                  <w:vAlign w:val="center"/>
                </w:tcPr>
                <w:p w14:paraId="089B66FF">
                  <w:pPr>
                    <w:pStyle w:val="49"/>
                  </w:pPr>
                  <w:r>
                    <w:t>82.0</w:t>
                  </w:r>
                </w:p>
              </w:tc>
              <w:tc>
                <w:tcPr>
                  <w:tcW w:w="335" w:type="pct"/>
                  <w:shd w:val="clear" w:color="auto" w:fill="auto"/>
                  <w:noWrap/>
                  <w:vAlign w:val="center"/>
                </w:tcPr>
                <w:p w14:paraId="4CCAF9C3">
                  <w:pPr>
                    <w:pStyle w:val="49"/>
                  </w:pPr>
                  <w:r>
                    <w:t>76.0</w:t>
                  </w:r>
                </w:p>
              </w:tc>
              <w:tc>
                <w:tcPr>
                  <w:tcW w:w="335" w:type="pct"/>
                  <w:shd w:val="clear" w:color="auto" w:fill="auto"/>
                  <w:noWrap/>
                  <w:vAlign w:val="center"/>
                </w:tcPr>
                <w:p w14:paraId="21DC7F5D">
                  <w:pPr>
                    <w:pStyle w:val="49"/>
                  </w:pPr>
                  <w:r>
                    <w:t>70.0</w:t>
                  </w:r>
                </w:p>
              </w:tc>
              <w:tc>
                <w:tcPr>
                  <w:tcW w:w="335" w:type="pct"/>
                  <w:shd w:val="clear" w:color="auto" w:fill="auto"/>
                  <w:noWrap/>
                  <w:vAlign w:val="center"/>
                </w:tcPr>
                <w:p w14:paraId="230EDE3D">
                  <w:pPr>
                    <w:pStyle w:val="49"/>
                  </w:pPr>
                  <w:r>
                    <w:t>67.7</w:t>
                  </w:r>
                </w:p>
              </w:tc>
              <w:tc>
                <w:tcPr>
                  <w:tcW w:w="335" w:type="pct"/>
                  <w:shd w:val="clear" w:color="auto" w:fill="auto"/>
                  <w:noWrap/>
                  <w:vAlign w:val="center"/>
                </w:tcPr>
                <w:p w14:paraId="0C70A0A2">
                  <w:pPr>
                    <w:pStyle w:val="49"/>
                  </w:pPr>
                  <w:r>
                    <w:t>64.5</w:t>
                  </w:r>
                </w:p>
              </w:tc>
              <w:tc>
                <w:tcPr>
                  <w:tcW w:w="335" w:type="pct"/>
                  <w:shd w:val="clear" w:color="auto" w:fill="auto"/>
                  <w:noWrap/>
                  <w:vAlign w:val="center"/>
                </w:tcPr>
                <w:p w14:paraId="57CF0B7E">
                  <w:pPr>
                    <w:pStyle w:val="49"/>
                  </w:pPr>
                  <w:r>
                    <w:t>66.4</w:t>
                  </w:r>
                </w:p>
              </w:tc>
              <w:tc>
                <w:tcPr>
                  <w:tcW w:w="335" w:type="pct"/>
                  <w:shd w:val="clear" w:color="auto" w:fill="auto"/>
                  <w:noWrap/>
                  <w:vAlign w:val="center"/>
                </w:tcPr>
                <w:p w14:paraId="3CF8B3CB">
                  <w:pPr>
                    <w:pStyle w:val="49"/>
                  </w:pPr>
                  <w:r>
                    <w:t>63.0</w:t>
                  </w:r>
                </w:p>
              </w:tc>
              <w:tc>
                <w:tcPr>
                  <w:tcW w:w="335" w:type="pct"/>
                  <w:shd w:val="clear" w:color="auto" w:fill="auto"/>
                  <w:noWrap/>
                  <w:vAlign w:val="center"/>
                </w:tcPr>
                <w:p w14:paraId="2C16567A">
                  <w:pPr>
                    <w:pStyle w:val="49"/>
                  </w:pPr>
                  <w:r>
                    <w:t>55.0</w:t>
                  </w:r>
                </w:p>
              </w:tc>
              <w:tc>
                <w:tcPr>
                  <w:tcW w:w="335" w:type="pct"/>
                  <w:shd w:val="clear" w:color="auto" w:fill="auto"/>
                  <w:noWrap/>
                  <w:vAlign w:val="center"/>
                </w:tcPr>
                <w:p w14:paraId="70005717">
                  <w:pPr>
                    <w:pStyle w:val="49"/>
                  </w:pPr>
                  <w:r>
                    <w:t>52.7</w:t>
                  </w:r>
                </w:p>
              </w:tc>
              <w:tc>
                <w:tcPr>
                  <w:tcW w:w="339" w:type="pct"/>
                  <w:shd w:val="clear" w:color="auto" w:fill="auto"/>
                  <w:noWrap/>
                  <w:vAlign w:val="center"/>
                </w:tcPr>
                <w:p w14:paraId="581A0637">
                  <w:pPr>
                    <w:pStyle w:val="49"/>
                  </w:pPr>
                  <w:r>
                    <w:t>52.4</w:t>
                  </w:r>
                </w:p>
              </w:tc>
            </w:tr>
            <w:tr w14:paraId="69C01B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6" w:hRule="atLeast"/>
                <w:jc w:val="center"/>
              </w:trPr>
              <w:tc>
                <w:tcPr>
                  <w:tcW w:w="1644" w:type="pct"/>
                  <w:gridSpan w:val="2"/>
                  <w:shd w:val="clear" w:color="auto" w:fill="auto"/>
                  <w:vAlign w:val="center"/>
                </w:tcPr>
                <w:p w14:paraId="700B1BBC">
                  <w:pPr>
                    <w:pStyle w:val="49"/>
                  </w:pPr>
                  <w:r>
                    <w:t>噪声叠加值</w:t>
                  </w:r>
                </w:p>
              </w:tc>
              <w:tc>
                <w:tcPr>
                  <w:tcW w:w="335" w:type="pct"/>
                  <w:shd w:val="clear" w:color="auto" w:fill="auto"/>
                  <w:noWrap/>
                  <w:vAlign w:val="center"/>
                </w:tcPr>
                <w:p w14:paraId="7533ED69">
                  <w:pPr>
                    <w:pStyle w:val="49"/>
                  </w:pPr>
                  <w:r>
                    <w:t>84.3</w:t>
                  </w:r>
                </w:p>
              </w:tc>
              <w:tc>
                <w:tcPr>
                  <w:tcW w:w="335" w:type="pct"/>
                  <w:shd w:val="clear" w:color="auto" w:fill="auto"/>
                  <w:noWrap/>
                  <w:vAlign w:val="center"/>
                </w:tcPr>
                <w:p w14:paraId="6427C78F">
                  <w:pPr>
                    <w:pStyle w:val="49"/>
                  </w:pPr>
                  <w:r>
                    <w:t>78.3</w:t>
                  </w:r>
                </w:p>
              </w:tc>
              <w:tc>
                <w:tcPr>
                  <w:tcW w:w="335" w:type="pct"/>
                  <w:shd w:val="clear" w:color="auto" w:fill="auto"/>
                  <w:noWrap/>
                  <w:vAlign w:val="center"/>
                </w:tcPr>
                <w:p w14:paraId="651FA0DF">
                  <w:pPr>
                    <w:pStyle w:val="49"/>
                  </w:pPr>
                  <w:r>
                    <w:t>72.4</w:t>
                  </w:r>
                </w:p>
              </w:tc>
              <w:tc>
                <w:tcPr>
                  <w:tcW w:w="335" w:type="pct"/>
                  <w:shd w:val="clear" w:color="auto" w:fill="auto"/>
                  <w:noWrap/>
                  <w:vAlign w:val="center"/>
                </w:tcPr>
                <w:p w14:paraId="096B88BF">
                  <w:pPr>
                    <w:pStyle w:val="49"/>
                  </w:pPr>
                  <w:r>
                    <w:t>70.0</w:t>
                  </w:r>
                </w:p>
              </w:tc>
              <w:tc>
                <w:tcPr>
                  <w:tcW w:w="335" w:type="pct"/>
                  <w:shd w:val="clear" w:color="auto" w:fill="auto"/>
                  <w:noWrap/>
                  <w:vAlign w:val="center"/>
                </w:tcPr>
                <w:p w14:paraId="7D69B2EB">
                  <w:pPr>
                    <w:pStyle w:val="49"/>
                  </w:pPr>
                  <w:r>
                    <w:t>66.8</w:t>
                  </w:r>
                </w:p>
              </w:tc>
              <w:tc>
                <w:tcPr>
                  <w:tcW w:w="335" w:type="pct"/>
                  <w:shd w:val="clear" w:color="auto" w:fill="auto"/>
                  <w:noWrap/>
                  <w:vAlign w:val="center"/>
                </w:tcPr>
                <w:p w14:paraId="5B01CFAA">
                  <w:pPr>
                    <w:pStyle w:val="49"/>
                  </w:pPr>
                  <w:r>
                    <w:t>68.8</w:t>
                  </w:r>
                </w:p>
              </w:tc>
              <w:tc>
                <w:tcPr>
                  <w:tcW w:w="335" w:type="pct"/>
                  <w:shd w:val="clear" w:color="auto" w:fill="auto"/>
                  <w:noWrap/>
                  <w:vAlign w:val="center"/>
                </w:tcPr>
                <w:p w14:paraId="6F8894FB">
                  <w:pPr>
                    <w:pStyle w:val="49"/>
                  </w:pPr>
                  <w:r>
                    <w:t>65.4</w:t>
                  </w:r>
                </w:p>
              </w:tc>
              <w:tc>
                <w:tcPr>
                  <w:tcW w:w="335" w:type="pct"/>
                  <w:shd w:val="clear" w:color="auto" w:fill="auto"/>
                  <w:noWrap/>
                  <w:vAlign w:val="center"/>
                </w:tcPr>
                <w:p w14:paraId="65C8546C">
                  <w:pPr>
                    <w:pStyle w:val="49"/>
                  </w:pPr>
                  <w:r>
                    <w:t>57.4</w:t>
                  </w:r>
                </w:p>
              </w:tc>
              <w:tc>
                <w:tcPr>
                  <w:tcW w:w="335" w:type="pct"/>
                  <w:shd w:val="clear" w:color="auto" w:fill="auto"/>
                  <w:noWrap/>
                  <w:vAlign w:val="center"/>
                </w:tcPr>
                <w:p w14:paraId="515B9B29">
                  <w:pPr>
                    <w:pStyle w:val="49"/>
                  </w:pPr>
                  <w:r>
                    <w:t>55.0</w:t>
                  </w:r>
                </w:p>
              </w:tc>
              <w:tc>
                <w:tcPr>
                  <w:tcW w:w="339" w:type="pct"/>
                  <w:shd w:val="clear" w:color="auto" w:fill="auto"/>
                  <w:noWrap/>
                  <w:vAlign w:val="center"/>
                </w:tcPr>
                <w:p w14:paraId="425C4B43">
                  <w:pPr>
                    <w:pStyle w:val="49"/>
                  </w:pPr>
                  <w:r>
                    <w:t>54.8</w:t>
                  </w:r>
                </w:p>
              </w:tc>
            </w:tr>
          </w:tbl>
          <w:p w14:paraId="09E1BB18">
            <w:pPr>
              <w:pStyle w:val="45"/>
              <w:ind w:firstLine="480"/>
            </w:pPr>
            <w:r>
              <w:t>表4-2表明，在土石方阶段，单台机械施工时昼间达标距离最远为79m，夜间达标距离最远为445m。若多台施工机械同时施工，昼间在距离施工场地104m处，夜间在距离施工场地584m处，可以达到《</w:t>
            </w:r>
            <w:r>
              <w:rPr>
                <w:rFonts w:hint="eastAsia"/>
                <w:lang w:eastAsia="zh-CN"/>
              </w:rPr>
              <w:t>建筑施工噪声排放标准</w:t>
            </w:r>
            <w:r>
              <w:t>》（GB</w:t>
            </w:r>
            <w:r>
              <w:rPr>
                <w:rFonts w:hint="eastAsia"/>
                <w:lang w:eastAsia="zh-CN"/>
              </w:rPr>
              <w:t>12523-2025</w:t>
            </w:r>
            <w:r>
              <w:t>）中昼间70</w:t>
            </w:r>
            <w:r>
              <w:rPr>
                <w:lang w:val="zh-CN"/>
              </w:rPr>
              <w:t>dB（A），夜间</w:t>
            </w:r>
            <w:r>
              <w:t>55</w:t>
            </w:r>
            <w:r>
              <w:rPr>
                <w:lang w:val="zh-CN"/>
              </w:rPr>
              <w:t>dB（A）的限值</w:t>
            </w:r>
            <w:r>
              <w:t>。</w:t>
            </w:r>
          </w:p>
          <w:p w14:paraId="33D34995">
            <w:pPr>
              <w:pStyle w:val="4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B</w:t>
            </w:r>
            <w:r>
              <w:rPr>
                <w:rFonts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基础施工阶段</w:t>
            </w:r>
          </w:p>
          <w:p w14:paraId="4BBAA601">
            <w:pPr>
              <w:pStyle w:val="74"/>
              <w:bidi w:val="0"/>
            </w:pPr>
            <w:r>
              <w:t>表4-3  基础施工阶段施工机械在不同距离的噪声预测值</w:t>
            </w:r>
          </w:p>
          <w:tbl>
            <w:tblPr>
              <w:tblStyle w:val="23"/>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116"/>
              <w:gridCol w:w="1002"/>
              <w:gridCol w:w="600"/>
              <w:gridCol w:w="600"/>
              <w:gridCol w:w="600"/>
              <w:gridCol w:w="600"/>
              <w:gridCol w:w="600"/>
              <w:gridCol w:w="600"/>
              <w:gridCol w:w="600"/>
              <w:gridCol w:w="600"/>
              <w:gridCol w:w="600"/>
              <w:gridCol w:w="612"/>
            </w:tblGrid>
            <w:tr w14:paraId="44196D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86" w:type="pct"/>
                  <w:vMerge w:val="restart"/>
                  <w:shd w:val="clear" w:color="auto" w:fill="auto"/>
                  <w:noWrap/>
                  <w:vAlign w:val="center"/>
                </w:tcPr>
                <w:p w14:paraId="527F5C23">
                  <w:pPr>
                    <w:pStyle w:val="49"/>
                  </w:pPr>
                  <w:r>
                    <w:t>噪声源</w:t>
                  </w:r>
                </w:p>
              </w:tc>
              <w:tc>
                <w:tcPr>
                  <w:tcW w:w="616" w:type="pct"/>
                  <w:vMerge w:val="restart"/>
                  <w:shd w:val="clear" w:color="auto" w:fill="auto"/>
                  <w:noWrap/>
                  <w:vAlign w:val="center"/>
                </w:tcPr>
                <w:p w14:paraId="7AFE9A81">
                  <w:pPr>
                    <w:pStyle w:val="49"/>
                  </w:pPr>
                  <w:r>
                    <w:t>声源</w:t>
                  </w:r>
                </w:p>
                <w:p w14:paraId="147A475E">
                  <w:pPr>
                    <w:pStyle w:val="49"/>
                  </w:pPr>
                  <w:r>
                    <w:t>[dB(A)/m]</w:t>
                  </w:r>
                </w:p>
              </w:tc>
              <w:tc>
                <w:tcPr>
                  <w:tcW w:w="3697" w:type="pct"/>
                  <w:gridSpan w:val="10"/>
                  <w:shd w:val="clear" w:color="auto" w:fill="auto"/>
                  <w:noWrap/>
                  <w:vAlign w:val="center"/>
                </w:tcPr>
                <w:p w14:paraId="3210A868">
                  <w:pPr>
                    <w:pStyle w:val="49"/>
                  </w:pPr>
                  <w:r>
                    <w:t>距离/m（dB（A））</w:t>
                  </w:r>
                </w:p>
              </w:tc>
            </w:tr>
            <w:tr w14:paraId="4CE68E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86" w:type="pct"/>
                  <w:vMerge w:val="continue"/>
                  <w:shd w:val="clear" w:color="auto" w:fill="auto"/>
                  <w:vAlign w:val="center"/>
                </w:tcPr>
                <w:p w14:paraId="1E9091A3">
                  <w:pPr>
                    <w:pStyle w:val="49"/>
                  </w:pPr>
                </w:p>
              </w:tc>
              <w:tc>
                <w:tcPr>
                  <w:tcW w:w="616" w:type="pct"/>
                  <w:vMerge w:val="continue"/>
                  <w:shd w:val="clear" w:color="auto" w:fill="auto"/>
                  <w:vAlign w:val="center"/>
                </w:tcPr>
                <w:p w14:paraId="2B2FD842">
                  <w:pPr>
                    <w:pStyle w:val="49"/>
                  </w:pPr>
                </w:p>
              </w:tc>
              <w:tc>
                <w:tcPr>
                  <w:tcW w:w="369" w:type="pct"/>
                  <w:shd w:val="clear" w:color="auto" w:fill="auto"/>
                  <w:noWrap/>
                  <w:vAlign w:val="center"/>
                </w:tcPr>
                <w:p w14:paraId="65881EBC">
                  <w:pPr>
                    <w:pStyle w:val="49"/>
                  </w:pPr>
                  <w:r>
                    <w:t>20</w:t>
                  </w:r>
                </w:p>
              </w:tc>
              <w:tc>
                <w:tcPr>
                  <w:tcW w:w="369" w:type="pct"/>
                  <w:shd w:val="clear" w:color="auto" w:fill="auto"/>
                  <w:noWrap/>
                  <w:vAlign w:val="center"/>
                </w:tcPr>
                <w:p w14:paraId="32100C6E">
                  <w:pPr>
                    <w:pStyle w:val="49"/>
                  </w:pPr>
                  <w:r>
                    <w:t>32</w:t>
                  </w:r>
                </w:p>
              </w:tc>
              <w:tc>
                <w:tcPr>
                  <w:tcW w:w="369" w:type="pct"/>
                  <w:shd w:val="clear" w:color="auto" w:fill="auto"/>
                  <w:noWrap/>
                  <w:vAlign w:val="center"/>
                </w:tcPr>
                <w:p w14:paraId="2CB9B4A6">
                  <w:pPr>
                    <w:pStyle w:val="49"/>
                  </w:pPr>
                  <w:r>
                    <w:t>45</w:t>
                  </w:r>
                </w:p>
              </w:tc>
              <w:tc>
                <w:tcPr>
                  <w:tcW w:w="369" w:type="pct"/>
                  <w:shd w:val="clear" w:color="auto" w:fill="auto"/>
                  <w:noWrap/>
                  <w:vAlign w:val="center"/>
                </w:tcPr>
                <w:p w14:paraId="6B54123A">
                  <w:pPr>
                    <w:pStyle w:val="49"/>
                    <w:rPr>
                      <w:lang w:val="en-GB"/>
                    </w:rPr>
                  </w:pPr>
                  <w:r>
                    <w:rPr>
                      <w:lang w:val="en-GB"/>
                    </w:rPr>
                    <w:t>63</w:t>
                  </w:r>
                </w:p>
              </w:tc>
              <w:tc>
                <w:tcPr>
                  <w:tcW w:w="369" w:type="pct"/>
                  <w:shd w:val="clear" w:color="auto" w:fill="auto"/>
                  <w:noWrap/>
                  <w:vAlign w:val="center"/>
                </w:tcPr>
                <w:p w14:paraId="134C37AE">
                  <w:pPr>
                    <w:pStyle w:val="49"/>
                  </w:pPr>
                  <w:r>
                    <w:t>78</w:t>
                  </w:r>
                </w:p>
              </w:tc>
              <w:tc>
                <w:tcPr>
                  <w:tcW w:w="369" w:type="pct"/>
                  <w:shd w:val="clear" w:color="auto" w:fill="auto"/>
                  <w:noWrap/>
                  <w:vAlign w:val="center"/>
                </w:tcPr>
                <w:p w14:paraId="6E00C462">
                  <w:pPr>
                    <w:pStyle w:val="49"/>
                  </w:pPr>
                  <w:r>
                    <w:t>251</w:t>
                  </w:r>
                </w:p>
              </w:tc>
              <w:tc>
                <w:tcPr>
                  <w:tcW w:w="369" w:type="pct"/>
                  <w:shd w:val="clear" w:color="auto" w:fill="auto"/>
                  <w:noWrap/>
                  <w:vAlign w:val="center"/>
                </w:tcPr>
                <w:p w14:paraId="2E7AC9F4">
                  <w:pPr>
                    <w:pStyle w:val="49"/>
                  </w:pPr>
                  <w:r>
                    <w:t>300</w:t>
                  </w:r>
                </w:p>
              </w:tc>
              <w:tc>
                <w:tcPr>
                  <w:tcW w:w="369" w:type="pct"/>
                  <w:shd w:val="clear" w:color="auto" w:fill="auto"/>
                  <w:noWrap/>
                  <w:vAlign w:val="center"/>
                </w:tcPr>
                <w:p w14:paraId="37A27447">
                  <w:pPr>
                    <w:pStyle w:val="49"/>
                  </w:pPr>
                  <w:r>
                    <w:t>350</w:t>
                  </w:r>
                </w:p>
              </w:tc>
              <w:tc>
                <w:tcPr>
                  <w:tcW w:w="369" w:type="pct"/>
                  <w:shd w:val="clear" w:color="auto" w:fill="auto"/>
                  <w:noWrap/>
                  <w:vAlign w:val="center"/>
                </w:tcPr>
                <w:p w14:paraId="6E538B13">
                  <w:pPr>
                    <w:pStyle w:val="49"/>
                  </w:pPr>
                  <w:r>
                    <w:t>440</w:t>
                  </w:r>
                </w:p>
              </w:tc>
              <w:tc>
                <w:tcPr>
                  <w:tcW w:w="372" w:type="pct"/>
                  <w:shd w:val="clear" w:color="auto" w:fill="auto"/>
                  <w:noWrap/>
                  <w:vAlign w:val="center"/>
                </w:tcPr>
                <w:p w14:paraId="160B5C74">
                  <w:pPr>
                    <w:pStyle w:val="49"/>
                  </w:pPr>
                  <w:r>
                    <w:t>500</w:t>
                  </w:r>
                </w:p>
              </w:tc>
            </w:tr>
            <w:tr w14:paraId="2434DB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07" w:hRule="atLeast"/>
                <w:jc w:val="center"/>
              </w:trPr>
              <w:tc>
                <w:tcPr>
                  <w:tcW w:w="686" w:type="pct"/>
                  <w:shd w:val="clear" w:color="auto" w:fill="auto"/>
                  <w:noWrap/>
                  <w:vAlign w:val="center"/>
                </w:tcPr>
                <w:p w14:paraId="43E4869A">
                  <w:pPr>
                    <w:pStyle w:val="49"/>
                  </w:pPr>
                  <w:r>
                    <w:t>空压机</w:t>
                  </w:r>
                </w:p>
              </w:tc>
              <w:tc>
                <w:tcPr>
                  <w:tcW w:w="616" w:type="pct"/>
                  <w:shd w:val="clear" w:color="auto" w:fill="auto"/>
                  <w:noWrap/>
                  <w:vAlign w:val="center"/>
                </w:tcPr>
                <w:p w14:paraId="310CA1C8">
                  <w:pPr>
                    <w:pStyle w:val="49"/>
                  </w:pPr>
                  <w:r>
                    <w:t>86/10</w:t>
                  </w:r>
                </w:p>
              </w:tc>
              <w:tc>
                <w:tcPr>
                  <w:tcW w:w="369" w:type="pct"/>
                  <w:shd w:val="clear" w:color="auto" w:fill="auto"/>
                  <w:noWrap/>
                  <w:vAlign w:val="center"/>
                </w:tcPr>
                <w:p w14:paraId="4CA73558">
                  <w:pPr>
                    <w:pStyle w:val="49"/>
                  </w:pPr>
                  <w:r>
                    <w:t xml:space="preserve">80.0 </w:t>
                  </w:r>
                </w:p>
              </w:tc>
              <w:tc>
                <w:tcPr>
                  <w:tcW w:w="369" w:type="pct"/>
                  <w:shd w:val="clear" w:color="auto" w:fill="auto"/>
                  <w:noWrap/>
                  <w:vAlign w:val="center"/>
                </w:tcPr>
                <w:p w14:paraId="45B659F1">
                  <w:pPr>
                    <w:pStyle w:val="49"/>
                  </w:pPr>
                  <w:r>
                    <w:t xml:space="preserve">75.9 </w:t>
                  </w:r>
                </w:p>
              </w:tc>
              <w:tc>
                <w:tcPr>
                  <w:tcW w:w="369" w:type="pct"/>
                  <w:shd w:val="clear" w:color="auto" w:fill="auto"/>
                  <w:noWrap/>
                  <w:vAlign w:val="center"/>
                </w:tcPr>
                <w:p w14:paraId="7FA55EBE">
                  <w:pPr>
                    <w:pStyle w:val="49"/>
                  </w:pPr>
                  <w:r>
                    <w:t xml:space="preserve">72.9 </w:t>
                  </w:r>
                </w:p>
              </w:tc>
              <w:tc>
                <w:tcPr>
                  <w:tcW w:w="369" w:type="pct"/>
                  <w:shd w:val="clear" w:color="auto" w:fill="auto"/>
                  <w:noWrap/>
                  <w:vAlign w:val="center"/>
                </w:tcPr>
                <w:p w14:paraId="0630AA52">
                  <w:pPr>
                    <w:pStyle w:val="49"/>
                    <w:rPr>
                      <w:lang w:val="en-GB"/>
                    </w:rPr>
                  </w:pPr>
                  <w:r>
                    <w:rPr>
                      <w:lang w:val="en-GB"/>
                    </w:rPr>
                    <w:t xml:space="preserve">70.0 </w:t>
                  </w:r>
                </w:p>
              </w:tc>
              <w:tc>
                <w:tcPr>
                  <w:tcW w:w="369" w:type="pct"/>
                  <w:shd w:val="clear" w:color="auto" w:fill="auto"/>
                  <w:noWrap/>
                  <w:vAlign w:val="center"/>
                </w:tcPr>
                <w:p w14:paraId="1402B2AE">
                  <w:pPr>
                    <w:pStyle w:val="49"/>
                  </w:pPr>
                  <w:r>
                    <w:t xml:space="preserve">68.2 </w:t>
                  </w:r>
                </w:p>
              </w:tc>
              <w:tc>
                <w:tcPr>
                  <w:tcW w:w="369" w:type="pct"/>
                  <w:shd w:val="clear" w:color="auto" w:fill="auto"/>
                  <w:noWrap/>
                  <w:vAlign w:val="center"/>
                </w:tcPr>
                <w:p w14:paraId="468D7B1A">
                  <w:pPr>
                    <w:pStyle w:val="49"/>
                  </w:pPr>
                  <w:r>
                    <w:t xml:space="preserve">58.0 </w:t>
                  </w:r>
                </w:p>
              </w:tc>
              <w:tc>
                <w:tcPr>
                  <w:tcW w:w="369" w:type="pct"/>
                  <w:shd w:val="clear" w:color="auto" w:fill="auto"/>
                  <w:noWrap/>
                  <w:vAlign w:val="center"/>
                </w:tcPr>
                <w:p w14:paraId="3CB86FA2">
                  <w:pPr>
                    <w:pStyle w:val="49"/>
                  </w:pPr>
                  <w:r>
                    <w:t xml:space="preserve">56.5 </w:t>
                  </w:r>
                </w:p>
              </w:tc>
              <w:tc>
                <w:tcPr>
                  <w:tcW w:w="369" w:type="pct"/>
                  <w:shd w:val="clear" w:color="auto" w:fill="auto"/>
                  <w:noWrap/>
                  <w:vAlign w:val="center"/>
                </w:tcPr>
                <w:p w14:paraId="0A9F75DE">
                  <w:pPr>
                    <w:pStyle w:val="49"/>
                  </w:pPr>
                  <w:r>
                    <w:t xml:space="preserve">55.1 </w:t>
                  </w:r>
                </w:p>
              </w:tc>
              <w:tc>
                <w:tcPr>
                  <w:tcW w:w="369" w:type="pct"/>
                  <w:shd w:val="clear" w:color="auto" w:fill="auto"/>
                  <w:noWrap/>
                  <w:vAlign w:val="center"/>
                </w:tcPr>
                <w:p w14:paraId="22797B39">
                  <w:pPr>
                    <w:pStyle w:val="49"/>
                  </w:pPr>
                  <w:r>
                    <w:t xml:space="preserve">53.1 </w:t>
                  </w:r>
                </w:p>
              </w:tc>
              <w:tc>
                <w:tcPr>
                  <w:tcW w:w="372" w:type="pct"/>
                  <w:shd w:val="clear" w:color="auto" w:fill="auto"/>
                  <w:noWrap/>
                  <w:vAlign w:val="center"/>
                </w:tcPr>
                <w:p w14:paraId="29790EAD">
                  <w:pPr>
                    <w:pStyle w:val="49"/>
                  </w:pPr>
                  <w:r>
                    <w:t xml:space="preserve">52.0 </w:t>
                  </w:r>
                </w:p>
              </w:tc>
            </w:tr>
            <w:tr w14:paraId="4B8010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07" w:hRule="atLeast"/>
                <w:jc w:val="center"/>
              </w:trPr>
              <w:tc>
                <w:tcPr>
                  <w:tcW w:w="686" w:type="pct"/>
                  <w:shd w:val="clear" w:color="auto" w:fill="auto"/>
                  <w:noWrap/>
                  <w:vAlign w:val="center"/>
                </w:tcPr>
                <w:p w14:paraId="1AE65EE8">
                  <w:pPr>
                    <w:pStyle w:val="49"/>
                  </w:pPr>
                  <w:r>
                    <w:t>静力压桩机</w:t>
                  </w:r>
                </w:p>
              </w:tc>
              <w:tc>
                <w:tcPr>
                  <w:tcW w:w="616" w:type="pct"/>
                  <w:shd w:val="clear" w:color="auto" w:fill="auto"/>
                  <w:noWrap/>
                  <w:vAlign w:val="center"/>
                </w:tcPr>
                <w:p w14:paraId="12D3A028">
                  <w:pPr>
                    <w:pStyle w:val="49"/>
                  </w:pPr>
                  <w:r>
                    <w:t>71/10</w:t>
                  </w:r>
                </w:p>
              </w:tc>
              <w:tc>
                <w:tcPr>
                  <w:tcW w:w="369" w:type="pct"/>
                  <w:shd w:val="clear" w:color="auto" w:fill="auto"/>
                  <w:noWrap/>
                  <w:vAlign w:val="center"/>
                </w:tcPr>
                <w:p w14:paraId="5BB3E902">
                  <w:pPr>
                    <w:pStyle w:val="49"/>
                  </w:pPr>
                  <w:r>
                    <w:t xml:space="preserve">65.0 </w:t>
                  </w:r>
                </w:p>
              </w:tc>
              <w:tc>
                <w:tcPr>
                  <w:tcW w:w="369" w:type="pct"/>
                  <w:shd w:val="clear" w:color="auto" w:fill="auto"/>
                  <w:noWrap/>
                  <w:vAlign w:val="center"/>
                </w:tcPr>
                <w:p w14:paraId="1FFEE0B3">
                  <w:pPr>
                    <w:pStyle w:val="49"/>
                  </w:pPr>
                  <w:r>
                    <w:t xml:space="preserve">60.9 </w:t>
                  </w:r>
                </w:p>
              </w:tc>
              <w:tc>
                <w:tcPr>
                  <w:tcW w:w="369" w:type="pct"/>
                  <w:shd w:val="clear" w:color="auto" w:fill="auto"/>
                  <w:noWrap/>
                  <w:vAlign w:val="center"/>
                </w:tcPr>
                <w:p w14:paraId="0FFEE6E2">
                  <w:pPr>
                    <w:pStyle w:val="49"/>
                  </w:pPr>
                  <w:r>
                    <w:t xml:space="preserve">57.9 </w:t>
                  </w:r>
                </w:p>
              </w:tc>
              <w:tc>
                <w:tcPr>
                  <w:tcW w:w="369" w:type="pct"/>
                  <w:shd w:val="clear" w:color="auto" w:fill="auto"/>
                  <w:noWrap/>
                  <w:vAlign w:val="center"/>
                </w:tcPr>
                <w:p w14:paraId="40EC13E4">
                  <w:pPr>
                    <w:pStyle w:val="49"/>
                    <w:rPr>
                      <w:lang w:val="en-GB"/>
                    </w:rPr>
                  </w:pPr>
                  <w:r>
                    <w:rPr>
                      <w:lang w:val="en-GB"/>
                    </w:rPr>
                    <w:t xml:space="preserve">55.0 </w:t>
                  </w:r>
                </w:p>
              </w:tc>
              <w:tc>
                <w:tcPr>
                  <w:tcW w:w="369" w:type="pct"/>
                  <w:shd w:val="clear" w:color="auto" w:fill="auto"/>
                  <w:noWrap/>
                  <w:vAlign w:val="center"/>
                </w:tcPr>
                <w:p w14:paraId="3BC3D69D">
                  <w:pPr>
                    <w:pStyle w:val="49"/>
                  </w:pPr>
                  <w:r>
                    <w:t xml:space="preserve">53.2 </w:t>
                  </w:r>
                </w:p>
              </w:tc>
              <w:tc>
                <w:tcPr>
                  <w:tcW w:w="369" w:type="pct"/>
                  <w:shd w:val="clear" w:color="auto" w:fill="auto"/>
                  <w:noWrap/>
                  <w:vAlign w:val="center"/>
                </w:tcPr>
                <w:p w14:paraId="630D1522">
                  <w:pPr>
                    <w:pStyle w:val="49"/>
                  </w:pPr>
                  <w:r>
                    <w:t xml:space="preserve">43.0 </w:t>
                  </w:r>
                </w:p>
              </w:tc>
              <w:tc>
                <w:tcPr>
                  <w:tcW w:w="369" w:type="pct"/>
                  <w:shd w:val="clear" w:color="auto" w:fill="auto"/>
                  <w:noWrap/>
                  <w:vAlign w:val="center"/>
                </w:tcPr>
                <w:p w14:paraId="07F099DD">
                  <w:pPr>
                    <w:pStyle w:val="49"/>
                  </w:pPr>
                  <w:r>
                    <w:t xml:space="preserve">41.5 </w:t>
                  </w:r>
                </w:p>
              </w:tc>
              <w:tc>
                <w:tcPr>
                  <w:tcW w:w="369" w:type="pct"/>
                  <w:shd w:val="clear" w:color="auto" w:fill="auto"/>
                  <w:noWrap/>
                  <w:vAlign w:val="center"/>
                </w:tcPr>
                <w:p w14:paraId="344B64F7">
                  <w:pPr>
                    <w:pStyle w:val="49"/>
                  </w:pPr>
                  <w:r>
                    <w:t xml:space="preserve">40.1 </w:t>
                  </w:r>
                </w:p>
              </w:tc>
              <w:tc>
                <w:tcPr>
                  <w:tcW w:w="369" w:type="pct"/>
                  <w:shd w:val="clear" w:color="auto" w:fill="auto"/>
                  <w:noWrap/>
                  <w:vAlign w:val="center"/>
                </w:tcPr>
                <w:p w14:paraId="4B6D1B9D">
                  <w:pPr>
                    <w:pStyle w:val="49"/>
                  </w:pPr>
                  <w:r>
                    <w:t xml:space="preserve">38.1 </w:t>
                  </w:r>
                </w:p>
              </w:tc>
              <w:tc>
                <w:tcPr>
                  <w:tcW w:w="372" w:type="pct"/>
                  <w:shd w:val="clear" w:color="auto" w:fill="auto"/>
                  <w:noWrap/>
                  <w:vAlign w:val="center"/>
                </w:tcPr>
                <w:p w14:paraId="33C9459B">
                  <w:pPr>
                    <w:pStyle w:val="49"/>
                  </w:pPr>
                  <w:r>
                    <w:t xml:space="preserve">37.0 </w:t>
                  </w:r>
                </w:p>
              </w:tc>
            </w:tr>
            <w:tr w14:paraId="1CA967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07" w:hRule="atLeast"/>
                <w:jc w:val="center"/>
              </w:trPr>
              <w:tc>
                <w:tcPr>
                  <w:tcW w:w="686" w:type="pct"/>
                  <w:shd w:val="clear" w:color="auto" w:fill="auto"/>
                  <w:vAlign w:val="center"/>
                </w:tcPr>
                <w:p w14:paraId="0B07780B">
                  <w:pPr>
                    <w:pStyle w:val="49"/>
                  </w:pPr>
                  <w:r>
                    <w:t>砼搅拌车</w:t>
                  </w:r>
                </w:p>
              </w:tc>
              <w:tc>
                <w:tcPr>
                  <w:tcW w:w="616" w:type="pct"/>
                  <w:shd w:val="clear" w:color="auto" w:fill="auto"/>
                  <w:noWrap/>
                  <w:vAlign w:val="center"/>
                </w:tcPr>
                <w:p w14:paraId="389505C7">
                  <w:pPr>
                    <w:pStyle w:val="49"/>
                  </w:pPr>
                  <w:r>
                    <w:t>83/10</w:t>
                  </w:r>
                </w:p>
              </w:tc>
              <w:tc>
                <w:tcPr>
                  <w:tcW w:w="369" w:type="pct"/>
                  <w:shd w:val="clear" w:color="auto" w:fill="auto"/>
                  <w:noWrap/>
                  <w:vAlign w:val="center"/>
                </w:tcPr>
                <w:p w14:paraId="480B7D95">
                  <w:pPr>
                    <w:pStyle w:val="49"/>
                  </w:pPr>
                  <w:r>
                    <w:t xml:space="preserve">77.0 </w:t>
                  </w:r>
                </w:p>
              </w:tc>
              <w:tc>
                <w:tcPr>
                  <w:tcW w:w="369" w:type="pct"/>
                  <w:shd w:val="clear" w:color="auto" w:fill="auto"/>
                  <w:noWrap/>
                  <w:vAlign w:val="center"/>
                </w:tcPr>
                <w:p w14:paraId="7BDD923E">
                  <w:pPr>
                    <w:pStyle w:val="49"/>
                  </w:pPr>
                  <w:r>
                    <w:t xml:space="preserve">72.9 </w:t>
                  </w:r>
                </w:p>
              </w:tc>
              <w:tc>
                <w:tcPr>
                  <w:tcW w:w="369" w:type="pct"/>
                  <w:shd w:val="clear" w:color="auto" w:fill="auto"/>
                  <w:noWrap/>
                  <w:vAlign w:val="center"/>
                </w:tcPr>
                <w:p w14:paraId="7E4061E9">
                  <w:pPr>
                    <w:pStyle w:val="49"/>
                  </w:pPr>
                  <w:r>
                    <w:t xml:space="preserve">69.9 </w:t>
                  </w:r>
                </w:p>
              </w:tc>
              <w:tc>
                <w:tcPr>
                  <w:tcW w:w="369" w:type="pct"/>
                  <w:shd w:val="clear" w:color="auto" w:fill="auto"/>
                  <w:noWrap/>
                  <w:vAlign w:val="center"/>
                </w:tcPr>
                <w:p w14:paraId="06F91E8F">
                  <w:pPr>
                    <w:pStyle w:val="49"/>
                    <w:rPr>
                      <w:lang w:val="en-GB"/>
                    </w:rPr>
                  </w:pPr>
                  <w:r>
                    <w:rPr>
                      <w:lang w:val="en-GB"/>
                    </w:rPr>
                    <w:t xml:space="preserve">67.0 </w:t>
                  </w:r>
                </w:p>
              </w:tc>
              <w:tc>
                <w:tcPr>
                  <w:tcW w:w="369" w:type="pct"/>
                  <w:shd w:val="clear" w:color="auto" w:fill="auto"/>
                  <w:noWrap/>
                  <w:vAlign w:val="center"/>
                </w:tcPr>
                <w:p w14:paraId="1E16119E">
                  <w:pPr>
                    <w:pStyle w:val="49"/>
                  </w:pPr>
                  <w:r>
                    <w:t xml:space="preserve">65.2 </w:t>
                  </w:r>
                </w:p>
              </w:tc>
              <w:tc>
                <w:tcPr>
                  <w:tcW w:w="369" w:type="pct"/>
                  <w:shd w:val="clear" w:color="auto" w:fill="auto"/>
                  <w:noWrap/>
                  <w:vAlign w:val="center"/>
                </w:tcPr>
                <w:p w14:paraId="4FAEA0AE">
                  <w:pPr>
                    <w:pStyle w:val="49"/>
                  </w:pPr>
                  <w:r>
                    <w:t xml:space="preserve">55.0 </w:t>
                  </w:r>
                </w:p>
              </w:tc>
              <w:tc>
                <w:tcPr>
                  <w:tcW w:w="369" w:type="pct"/>
                  <w:shd w:val="clear" w:color="auto" w:fill="auto"/>
                  <w:noWrap/>
                  <w:vAlign w:val="center"/>
                </w:tcPr>
                <w:p w14:paraId="79571B95">
                  <w:pPr>
                    <w:pStyle w:val="49"/>
                  </w:pPr>
                  <w:r>
                    <w:t xml:space="preserve">53.5 </w:t>
                  </w:r>
                </w:p>
              </w:tc>
              <w:tc>
                <w:tcPr>
                  <w:tcW w:w="369" w:type="pct"/>
                  <w:shd w:val="clear" w:color="auto" w:fill="auto"/>
                  <w:noWrap/>
                  <w:vAlign w:val="center"/>
                </w:tcPr>
                <w:p w14:paraId="1DCA244F">
                  <w:pPr>
                    <w:pStyle w:val="49"/>
                  </w:pPr>
                  <w:r>
                    <w:t xml:space="preserve">52.1 </w:t>
                  </w:r>
                </w:p>
              </w:tc>
              <w:tc>
                <w:tcPr>
                  <w:tcW w:w="369" w:type="pct"/>
                  <w:shd w:val="clear" w:color="auto" w:fill="auto"/>
                  <w:noWrap/>
                  <w:vAlign w:val="center"/>
                </w:tcPr>
                <w:p w14:paraId="6EDFA3DE">
                  <w:pPr>
                    <w:pStyle w:val="49"/>
                  </w:pPr>
                  <w:r>
                    <w:t xml:space="preserve">50.1 </w:t>
                  </w:r>
                </w:p>
              </w:tc>
              <w:tc>
                <w:tcPr>
                  <w:tcW w:w="372" w:type="pct"/>
                  <w:shd w:val="clear" w:color="auto" w:fill="auto"/>
                  <w:noWrap/>
                  <w:vAlign w:val="center"/>
                </w:tcPr>
                <w:p w14:paraId="149E6C32">
                  <w:pPr>
                    <w:pStyle w:val="49"/>
                  </w:pPr>
                  <w:r>
                    <w:t xml:space="preserve">49.0 </w:t>
                  </w:r>
                </w:p>
              </w:tc>
            </w:tr>
            <w:tr w14:paraId="5DFE0B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07" w:hRule="atLeast"/>
                <w:jc w:val="center"/>
              </w:trPr>
              <w:tc>
                <w:tcPr>
                  <w:tcW w:w="1302" w:type="pct"/>
                  <w:gridSpan w:val="2"/>
                  <w:shd w:val="clear" w:color="auto" w:fill="auto"/>
                  <w:vAlign w:val="center"/>
                </w:tcPr>
                <w:p w14:paraId="29E309A2">
                  <w:pPr>
                    <w:pStyle w:val="49"/>
                  </w:pPr>
                  <w:r>
                    <w:t>噪声叠加值</w:t>
                  </w:r>
                </w:p>
              </w:tc>
              <w:tc>
                <w:tcPr>
                  <w:tcW w:w="369" w:type="pct"/>
                  <w:shd w:val="clear" w:color="auto" w:fill="auto"/>
                  <w:noWrap/>
                  <w:vAlign w:val="center"/>
                </w:tcPr>
                <w:p w14:paraId="05F55044">
                  <w:pPr>
                    <w:pStyle w:val="49"/>
                  </w:pPr>
                  <w:r>
                    <w:t xml:space="preserve">81.8 </w:t>
                  </w:r>
                </w:p>
              </w:tc>
              <w:tc>
                <w:tcPr>
                  <w:tcW w:w="369" w:type="pct"/>
                  <w:shd w:val="clear" w:color="auto" w:fill="auto"/>
                  <w:noWrap/>
                  <w:vAlign w:val="center"/>
                </w:tcPr>
                <w:p w14:paraId="2F14EDF6">
                  <w:pPr>
                    <w:pStyle w:val="49"/>
                  </w:pPr>
                  <w:r>
                    <w:t xml:space="preserve">77.8 </w:t>
                  </w:r>
                </w:p>
              </w:tc>
              <w:tc>
                <w:tcPr>
                  <w:tcW w:w="369" w:type="pct"/>
                  <w:shd w:val="clear" w:color="auto" w:fill="auto"/>
                  <w:noWrap/>
                  <w:vAlign w:val="center"/>
                </w:tcPr>
                <w:p w14:paraId="50F9C51E">
                  <w:pPr>
                    <w:pStyle w:val="49"/>
                  </w:pPr>
                  <w:r>
                    <w:t xml:space="preserve">74.8 </w:t>
                  </w:r>
                </w:p>
              </w:tc>
              <w:tc>
                <w:tcPr>
                  <w:tcW w:w="369" w:type="pct"/>
                  <w:shd w:val="clear" w:color="auto" w:fill="auto"/>
                  <w:noWrap/>
                  <w:vAlign w:val="center"/>
                </w:tcPr>
                <w:p w14:paraId="190BE612">
                  <w:pPr>
                    <w:pStyle w:val="49"/>
                  </w:pPr>
                  <w:r>
                    <w:t>71.9</w:t>
                  </w:r>
                </w:p>
              </w:tc>
              <w:tc>
                <w:tcPr>
                  <w:tcW w:w="369" w:type="pct"/>
                  <w:shd w:val="clear" w:color="auto" w:fill="auto"/>
                  <w:noWrap/>
                  <w:vAlign w:val="center"/>
                </w:tcPr>
                <w:p w14:paraId="7885EFAA">
                  <w:pPr>
                    <w:pStyle w:val="49"/>
                    <w:rPr>
                      <w:lang w:val="en-GB"/>
                    </w:rPr>
                  </w:pPr>
                  <w:r>
                    <w:rPr>
                      <w:lang w:val="en-GB"/>
                    </w:rPr>
                    <w:t xml:space="preserve">70.0 </w:t>
                  </w:r>
                </w:p>
              </w:tc>
              <w:tc>
                <w:tcPr>
                  <w:tcW w:w="369" w:type="pct"/>
                  <w:shd w:val="clear" w:color="auto" w:fill="auto"/>
                  <w:noWrap/>
                  <w:vAlign w:val="center"/>
                </w:tcPr>
                <w:p w14:paraId="454856A0">
                  <w:pPr>
                    <w:pStyle w:val="49"/>
                  </w:pPr>
                  <w:r>
                    <w:t xml:space="preserve">59.9 </w:t>
                  </w:r>
                </w:p>
              </w:tc>
              <w:tc>
                <w:tcPr>
                  <w:tcW w:w="369" w:type="pct"/>
                  <w:shd w:val="clear" w:color="auto" w:fill="auto"/>
                  <w:noWrap/>
                  <w:vAlign w:val="center"/>
                </w:tcPr>
                <w:p w14:paraId="03301A5C">
                  <w:pPr>
                    <w:pStyle w:val="49"/>
                  </w:pPr>
                  <w:r>
                    <w:t xml:space="preserve">58.3 </w:t>
                  </w:r>
                </w:p>
              </w:tc>
              <w:tc>
                <w:tcPr>
                  <w:tcW w:w="369" w:type="pct"/>
                  <w:shd w:val="clear" w:color="auto" w:fill="auto"/>
                  <w:noWrap/>
                  <w:vAlign w:val="center"/>
                </w:tcPr>
                <w:p w14:paraId="676FF3EA">
                  <w:pPr>
                    <w:pStyle w:val="49"/>
                  </w:pPr>
                  <w:r>
                    <w:t xml:space="preserve">57.0 </w:t>
                  </w:r>
                </w:p>
              </w:tc>
              <w:tc>
                <w:tcPr>
                  <w:tcW w:w="369" w:type="pct"/>
                  <w:shd w:val="clear" w:color="auto" w:fill="auto"/>
                  <w:noWrap/>
                  <w:vAlign w:val="center"/>
                </w:tcPr>
                <w:p w14:paraId="4CED5690">
                  <w:pPr>
                    <w:pStyle w:val="49"/>
                  </w:pPr>
                  <w:r>
                    <w:t xml:space="preserve">55.0 </w:t>
                  </w:r>
                </w:p>
              </w:tc>
              <w:tc>
                <w:tcPr>
                  <w:tcW w:w="372" w:type="pct"/>
                  <w:shd w:val="clear" w:color="auto" w:fill="auto"/>
                  <w:noWrap/>
                  <w:vAlign w:val="center"/>
                </w:tcPr>
                <w:p w14:paraId="481EBB23">
                  <w:pPr>
                    <w:pStyle w:val="49"/>
                  </w:pPr>
                  <w:r>
                    <w:t xml:space="preserve">53.9 </w:t>
                  </w:r>
                </w:p>
              </w:tc>
            </w:tr>
          </w:tbl>
          <w:p w14:paraId="761E3CA0">
            <w:pPr>
              <w:pStyle w:val="53"/>
              <w:ind w:firstLine="480"/>
            </w:pPr>
            <w:r>
              <w:t>表4-3表明，在基础施工阶段，单台机械施工时昼间达标距离最远为63m，夜间达标距离最远为251m。若多台施工机械同时施工，昼间在距离施工场地78m处，夜间在距离施工场地440m处，可以达到《</w:t>
            </w:r>
            <w:r>
              <w:rPr>
                <w:rFonts w:hint="eastAsia"/>
                <w:lang w:eastAsia="zh-CN"/>
              </w:rPr>
              <w:t>建筑施工噪声排放标准</w:t>
            </w:r>
            <w:r>
              <w:t>》（GB</w:t>
            </w:r>
            <w:r>
              <w:rPr>
                <w:rFonts w:hint="eastAsia"/>
                <w:lang w:eastAsia="zh-CN"/>
              </w:rPr>
              <w:t>12523-2025</w:t>
            </w:r>
            <w:r>
              <w:t>）中昼间70</w:t>
            </w:r>
            <w:r>
              <w:rPr>
                <w:lang w:val="zh-CN"/>
              </w:rPr>
              <w:t>dB（A），夜间</w:t>
            </w:r>
            <w:r>
              <w:t>55</w:t>
            </w:r>
            <w:r>
              <w:rPr>
                <w:lang w:val="zh-CN"/>
              </w:rPr>
              <w:t>dB（A）的限值</w:t>
            </w:r>
            <w:r>
              <w:t>。</w:t>
            </w:r>
          </w:p>
          <w:p w14:paraId="0108B8EB">
            <w:pPr>
              <w:pStyle w:val="53"/>
              <w:ind w:firstLine="480"/>
            </w:pPr>
            <w:r>
              <w:rPr>
                <w:rFonts w:hint="eastAsia" w:ascii="宋体" w:hAnsi="宋体" w:cs="宋体"/>
              </w:rPr>
              <w:t>C</w:t>
            </w:r>
            <w:r>
              <w:rPr>
                <w:rFonts w:ascii="宋体" w:hAnsi="宋体" w:cs="宋体"/>
              </w:rPr>
              <w:t>.</w:t>
            </w:r>
            <w:r>
              <w:t>结构施工阶段</w:t>
            </w:r>
          </w:p>
          <w:p w14:paraId="46AACD56">
            <w:pPr>
              <w:pStyle w:val="74"/>
              <w:bidi w:val="0"/>
            </w:pPr>
            <w:r>
              <w:t>表4-4  结构施工阶段施工机械在不同距离的噪声预测值</w:t>
            </w:r>
          </w:p>
          <w:tbl>
            <w:tblPr>
              <w:tblStyle w:val="23"/>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266"/>
              <w:gridCol w:w="1140"/>
              <w:gridCol w:w="571"/>
              <w:gridCol w:w="571"/>
              <w:gridCol w:w="571"/>
              <w:gridCol w:w="571"/>
              <w:gridCol w:w="571"/>
              <w:gridCol w:w="571"/>
              <w:gridCol w:w="571"/>
              <w:gridCol w:w="571"/>
              <w:gridCol w:w="571"/>
              <w:gridCol w:w="587"/>
            </w:tblGrid>
            <w:tr w14:paraId="499039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30" w:hRule="atLeast"/>
                <w:jc w:val="center"/>
              </w:trPr>
              <w:tc>
                <w:tcPr>
                  <w:tcW w:w="778" w:type="pct"/>
                  <w:vMerge w:val="restart"/>
                  <w:shd w:val="clear" w:color="auto" w:fill="auto"/>
                  <w:noWrap/>
                  <w:vAlign w:val="center"/>
                </w:tcPr>
                <w:p w14:paraId="21943E67">
                  <w:pPr>
                    <w:pStyle w:val="49"/>
                  </w:pPr>
                  <w:r>
                    <w:t>噪声源</w:t>
                  </w:r>
                </w:p>
              </w:tc>
              <w:tc>
                <w:tcPr>
                  <w:tcW w:w="701" w:type="pct"/>
                  <w:vMerge w:val="restart"/>
                  <w:shd w:val="clear" w:color="auto" w:fill="auto"/>
                  <w:noWrap/>
                  <w:vAlign w:val="center"/>
                </w:tcPr>
                <w:p w14:paraId="4F2AB269">
                  <w:pPr>
                    <w:pStyle w:val="49"/>
                  </w:pPr>
                  <w:r>
                    <w:t>声源</w:t>
                  </w:r>
                </w:p>
                <w:p w14:paraId="340B3A71">
                  <w:pPr>
                    <w:pStyle w:val="49"/>
                  </w:pPr>
                  <w:r>
                    <w:t>[dB(A)/m]</w:t>
                  </w:r>
                </w:p>
              </w:tc>
              <w:tc>
                <w:tcPr>
                  <w:tcW w:w="3520" w:type="pct"/>
                  <w:gridSpan w:val="10"/>
                  <w:shd w:val="clear" w:color="auto" w:fill="auto"/>
                  <w:noWrap/>
                  <w:vAlign w:val="center"/>
                </w:tcPr>
                <w:p w14:paraId="2DCDC1CA">
                  <w:pPr>
                    <w:pStyle w:val="49"/>
                  </w:pPr>
                  <w:r>
                    <w:t>距离/m（dB（A））</w:t>
                  </w:r>
                </w:p>
              </w:tc>
            </w:tr>
            <w:tr w14:paraId="14EDC1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30" w:hRule="atLeast"/>
                <w:jc w:val="center"/>
              </w:trPr>
              <w:tc>
                <w:tcPr>
                  <w:tcW w:w="778" w:type="pct"/>
                  <w:vMerge w:val="continue"/>
                  <w:shd w:val="clear" w:color="auto" w:fill="auto"/>
                  <w:vAlign w:val="center"/>
                </w:tcPr>
                <w:p w14:paraId="3D072C85">
                  <w:pPr>
                    <w:pStyle w:val="49"/>
                  </w:pPr>
                </w:p>
              </w:tc>
              <w:tc>
                <w:tcPr>
                  <w:tcW w:w="701" w:type="pct"/>
                  <w:vMerge w:val="continue"/>
                  <w:shd w:val="clear" w:color="auto" w:fill="auto"/>
                  <w:vAlign w:val="center"/>
                </w:tcPr>
                <w:p w14:paraId="5743AE20">
                  <w:pPr>
                    <w:pStyle w:val="49"/>
                  </w:pPr>
                </w:p>
              </w:tc>
              <w:tc>
                <w:tcPr>
                  <w:tcW w:w="351" w:type="pct"/>
                  <w:shd w:val="clear" w:color="auto" w:fill="auto"/>
                  <w:noWrap/>
                  <w:vAlign w:val="center"/>
                </w:tcPr>
                <w:p w14:paraId="5A7BEA39">
                  <w:pPr>
                    <w:pStyle w:val="49"/>
                  </w:pPr>
                  <w:r>
                    <w:t>20</w:t>
                  </w:r>
                </w:p>
              </w:tc>
              <w:tc>
                <w:tcPr>
                  <w:tcW w:w="351" w:type="pct"/>
                  <w:shd w:val="clear" w:color="auto" w:fill="auto"/>
                  <w:noWrap/>
                  <w:vAlign w:val="center"/>
                </w:tcPr>
                <w:p w14:paraId="5ED57C6C">
                  <w:pPr>
                    <w:pStyle w:val="49"/>
                  </w:pPr>
                  <w:r>
                    <w:t>50</w:t>
                  </w:r>
                </w:p>
              </w:tc>
              <w:tc>
                <w:tcPr>
                  <w:tcW w:w="351" w:type="pct"/>
                  <w:shd w:val="clear" w:color="auto" w:fill="auto"/>
                  <w:noWrap/>
                  <w:vAlign w:val="center"/>
                </w:tcPr>
                <w:p w14:paraId="3F1334C5">
                  <w:pPr>
                    <w:pStyle w:val="49"/>
                  </w:pPr>
                  <w:r>
                    <w:t>100</w:t>
                  </w:r>
                </w:p>
              </w:tc>
              <w:tc>
                <w:tcPr>
                  <w:tcW w:w="351" w:type="pct"/>
                  <w:shd w:val="clear" w:color="auto" w:fill="auto"/>
                  <w:noWrap/>
                  <w:vAlign w:val="center"/>
                </w:tcPr>
                <w:p w14:paraId="5EDC34DE">
                  <w:pPr>
                    <w:pStyle w:val="49"/>
                  </w:pPr>
                  <w:r>
                    <w:t>142</w:t>
                  </w:r>
                </w:p>
              </w:tc>
              <w:tc>
                <w:tcPr>
                  <w:tcW w:w="351" w:type="pct"/>
                  <w:shd w:val="clear" w:color="auto" w:fill="auto"/>
                  <w:noWrap/>
                  <w:vAlign w:val="center"/>
                </w:tcPr>
                <w:p w14:paraId="40E5178B">
                  <w:pPr>
                    <w:pStyle w:val="49"/>
                  </w:pPr>
                  <w:r>
                    <w:t>165</w:t>
                  </w:r>
                </w:p>
              </w:tc>
              <w:tc>
                <w:tcPr>
                  <w:tcW w:w="351" w:type="pct"/>
                  <w:shd w:val="clear" w:color="auto" w:fill="auto"/>
                  <w:noWrap/>
                  <w:vAlign w:val="center"/>
                </w:tcPr>
                <w:p w14:paraId="2FC502BE">
                  <w:pPr>
                    <w:pStyle w:val="49"/>
                  </w:pPr>
                  <w:r>
                    <w:t>200</w:t>
                  </w:r>
                </w:p>
              </w:tc>
              <w:tc>
                <w:tcPr>
                  <w:tcW w:w="351" w:type="pct"/>
                  <w:shd w:val="clear" w:color="auto" w:fill="auto"/>
                  <w:noWrap/>
                  <w:vAlign w:val="center"/>
                </w:tcPr>
                <w:p w14:paraId="3407054C">
                  <w:pPr>
                    <w:pStyle w:val="49"/>
                  </w:pPr>
                  <w:r>
                    <w:t>800</w:t>
                  </w:r>
                </w:p>
              </w:tc>
              <w:tc>
                <w:tcPr>
                  <w:tcW w:w="351" w:type="pct"/>
                  <w:shd w:val="clear" w:color="auto" w:fill="auto"/>
                  <w:noWrap/>
                  <w:vAlign w:val="center"/>
                </w:tcPr>
                <w:p w14:paraId="0C62F906">
                  <w:pPr>
                    <w:pStyle w:val="49"/>
                  </w:pPr>
                  <w:r>
                    <w:t>850</w:t>
                  </w:r>
                </w:p>
              </w:tc>
              <w:tc>
                <w:tcPr>
                  <w:tcW w:w="351" w:type="pct"/>
                  <w:shd w:val="clear" w:color="auto" w:fill="auto"/>
                  <w:noWrap/>
                  <w:vAlign w:val="center"/>
                </w:tcPr>
                <w:p w14:paraId="4BF80870">
                  <w:pPr>
                    <w:pStyle w:val="49"/>
                  </w:pPr>
                  <w:r>
                    <w:t>900</w:t>
                  </w:r>
                </w:p>
              </w:tc>
              <w:tc>
                <w:tcPr>
                  <w:tcW w:w="355" w:type="pct"/>
                  <w:shd w:val="clear" w:color="auto" w:fill="auto"/>
                  <w:noWrap/>
                  <w:vAlign w:val="center"/>
                </w:tcPr>
                <w:p w14:paraId="05687F71">
                  <w:pPr>
                    <w:pStyle w:val="49"/>
                  </w:pPr>
                  <w:r>
                    <w:t>928</w:t>
                  </w:r>
                </w:p>
              </w:tc>
            </w:tr>
            <w:tr w14:paraId="2A8164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4" w:hRule="atLeast"/>
                <w:jc w:val="center"/>
              </w:trPr>
              <w:tc>
                <w:tcPr>
                  <w:tcW w:w="778" w:type="pct"/>
                  <w:shd w:val="clear" w:color="auto" w:fill="auto"/>
                  <w:noWrap/>
                  <w:vAlign w:val="center"/>
                </w:tcPr>
                <w:p w14:paraId="0032C40E">
                  <w:pPr>
                    <w:pStyle w:val="49"/>
                  </w:pPr>
                  <w:r>
                    <w:t>木工电锯</w:t>
                  </w:r>
                </w:p>
              </w:tc>
              <w:tc>
                <w:tcPr>
                  <w:tcW w:w="701" w:type="pct"/>
                  <w:shd w:val="clear" w:color="auto" w:fill="auto"/>
                  <w:noWrap/>
                  <w:vAlign w:val="center"/>
                </w:tcPr>
                <w:p w14:paraId="36980A3A">
                  <w:pPr>
                    <w:pStyle w:val="49"/>
                  </w:pPr>
                  <w:r>
                    <w:t>93/10</w:t>
                  </w:r>
                </w:p>
              </w:tc>
              <w:tc>
                <w:tcPr>
                  <w:tcW w:w="351" w:type="pct"/>
                  <w:shd w:val="clear" w:color="auto" w:fill="auto"/>
                  <w:noWrap/>
                  <w:vAlign w:val="center"/>
                </w:tcPr>
                <w:p w14:paraId="01CD354F">
                  <w:pPr>
                    <w:pStyle w:val="49"/>
                  </w:pPr>
                  <w:r>
                    <w:t xml:space="preserve">87.0 </w:t>
                  </w:r>
                </w:p>
              </w:tc>
              <w:tc>
                <w:tcPr>
                  <w:tcW w:w="351" w:type="pct"/>
                  <w:shd w:val="clear" w:color="auto" w:fill="auto"/>
                  <w:noWrap/>
                  <w:vAlign w:val="center"/>
                </w:tcPr>
                <w:p w14:paraId="3882B838">
                  <w:pPr>
                    <w:pStyle w:val="49"/>
                  </w:pPr>
                  <w:r>
                    <w:t xml:space="preserve">79.0 </w:t>
                  </w:r>
                </w:p>
              </w:tc>
              <w:tc>
                <w:tcPr>
                  <w:tcW w:w="351" w:type="pct"/>
                  <w:shd w:val="clear" w:color="auto" w:fill="auto"/>
                  <w:noWrap/>
                  <w:vAlign w:val="center"/>
                </w:tcPr>
                <w:p w14:paraId="09E20FBF">
                  <w:pPr>
                    <w:pStyle w:val="49"/>
                  </w:pPr>
                  <w:r>
                    <w:t xml:space="preserve">73.0 </w:t>
                  </w:r>
                </w:p>
              </w:tc>
              <w:tc>
                <w:tcPr>
                  <w:tcW w:w="351" w:type="pct"/>
                  <w:shd w:val="clear" w:color="auto" w:fill="auto"/>
                  <w:noWrap/>
                  <w:vAlign w:val="center"/>
                </w:tcPr>
                <w:p w14:paraId="4082BCDF">
                  <w:pPr>
                    <w:pStyle w:val="49"/>
                  </w:pPr>
                  <w:r>
                    <w:t xml:space="preserve">70.0 </w:t>
                  </w:r>
                </w:p>
              </w:tc>
              <w:tc>
                <w:tcPr>
                  <w:tcW w:w="351" w:type="pct"/>
                  <w:shd w:val="clear" w:color="auto" w:fill="auto"/>
                  <w:noWrap/>
                  <w:vAlign w:val="center"/>
                </w:tcPr>
                <w:p w14:paraId="72949079">
                  <w:pPr>
                    <w:pStyle w:val="49"/>
                  </w:pPr>
                  <w:r>
                    <w:t xml:space="preserve">68.7 </w:t>
                  </w:r>
                </w:p>
              </w:tc>
              <w:tc>
                <w:tcPr>
                  <w:tcW w:w="351" w:type="pct"/>
                  <w:shd w:val="clear" w:color="auto" w:fill="auto"/>
                  <w:noWrap/>
                  <w:vAlign w:val="center"/>
                </w:tcPr>
                <w:p w14:paraId="48776D83">
                  <w:pPr>
                    <w:pStyle w:val="49"/>
                  </w:pPr>
                  <w:r>
                    <w:t xml:space="preserve">67.0 </w:t>
                  </w:r>
                </w:p>
              </w:tc>
              <w:tc>
                <w:tcPr>
                  <w:tcW w:w="351" w:type="pct"/>
                  <w:shd w:val="clear" w:color="auto" w:fill="auto"/>
                  <w:noWrap/>
                  <w:vAlign w:val="center"/>
                </w:tcPr>
                <w:p w14:paraId="28B128A9">
                  <w:pPr>
                    <w:pStyle w:val="49"/>
                  </w:pPr>
                  <w:r>
                    <w:t xml:space="preserve">54.9 </w:t>
                  </w:r>
                </w:p>
              </w:tc>
              <w:tc>
                <w:tcPr>
                  <w:tcW w:w="351" w:type="pct"/>
                  <w:shd w:val="clear" w:color="auto" w:fill="auto"/>
                  <w:noWrap/>
                  <w:vAlign w:val="center"/>
                </w:tcPr>
                <w:p w14:paraId="2F71AEB7">
                  <w:pPr>
                    <w:pStyle w:val="49"/>
                  </w:pPr>
                  <w:r>
                    <w:t xml:space="preserve">54.4 </w:t>
                  </w:r>
                </w:p>
              </w:tc>
              <w:tc>
                <w:tcPr>
                  <w:tcW w:w="351" w:type="pct"/>
                  <w:shd w:val="clear" w:color="auto" w:fill="auto"/>
                  <w:noWrap/>
                  <w:vAlign w:val="center"/>
                </w:tcPr>
                <w:p w14:paraId="37487BB9">
                  <w:pPr>
                    <w:pStyle w:val="49"/>
                  </w:pPr>
                  <w:r>
                    <w:t xml:space="preserve">53.9 </w:t>
                  </w:r>
                </w:p>
              </w:tc>
              <w:tc>
                <w:tcPr>
                  <w:tcW w:w="355" w:type="pct"/>
                  <w:shd w:val="clear" w:color="auto" w:fill="auto"/>
                  <w:noWrap/>
                  <w:vAlign w:val="center"/>
                </w:tcPr>
                <w:p w14:paraId="72BF287E">
                  <w:pPr>
                    <w:pStyle w:val="49"/>
                  </w:pPr>
                  <w:r>
                    <w:t xml:space="preserve">53.6 </w:t>
                  </w:r>
                </w:p>
              </w:tc>
            </w:tr>
            <w:tr w14:paraId="01D275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4" w:hRule="atLeast"/>
                <w:jc w:val="center"/>
              </w:trPr>
              <w:tc>
                <w:tcPr>
                  <w:tcW w:w="778" w:type="pct"/>
                  <w:shd w:val="clear" w:color="auto" w:fill="auto"/>
                  <w:vAlign w:val="center"/>
                </w:tcPr>
                <w:p w14:paraId="40EB37A8">
                  <w:pPr>
                    <w:pStyle w:val="49"/>
                  </w:pPr>
                  <w:r>
                    <w:t>混凝土输送泵</w:t>
                  </w:r>
                </w:p>
              </w:tc>
              <w:tc>
                <w:tcPr>
                  <w:tcW w:w="701" w:type="pct"/>
                  <w:shd w:val="clear" w:color="auto" w:fill="auto"/>
                  <w:noWrap/>
                  <w:vAlign w:val="center"/>
                </w:tcPr>
                <w:p w14:paraId="1AC2F090">
                  <w:pPr>
                    <w:pStyle w:val="49"/>
                  </w:pPr>
                  <w:r>
                    <w:t>87/10</w:t>
                  </w:r>
                </w:p>
              </w:tc>
              <w:tc>
                <w:tcPr>
                  <w:tcW w:w="351" w:type="pct"/>
                  <w:shd w:val="clear" w:color="auto" w:fill="auto"/>
                  <w:noWrap/>
                  <w:vAlign w:val="center"/>
                </w:tcPr>
                <w:p w14:paraId="4393978F">
                  <w:pPr>
                    <w:pStyle w:val="49"/>
                  </w:pPr>
                  <w:r>
                    <w:t xml:space="preserve">81.0 </w:t>
                  </w:r>
                </w:p>
              </w:tc>
              <w:tc>
                <w:tcPr>
                  <w:tcW w:w="351" w:type="pct"/>
                  <w:shd w:val="clear" w:color="auto" w:fill="auto"/>
                  <w:noWrap/>
                  <w:vAlign w:val="center"/>
                </w:tcPr>
                <w:p w14:paraId="102A1B39">
                  <w:pPr>
                    <w:pStyle w:val="49"/>
                  </w:pPr>
                  <w:r>
                    <w:t xml:space="preserve">73.0 </w:t>
                  </w:r>
                </w:p>
              </w:tc>
              <w:tc>
                <w:tcPr>
                  <w:tcW w:w="351" w:type="pct"/>
                  <w:shd w:val="clear" w:color="auto" w:fill="auto"/>
                  <w:noWrap/>
                  <w:vAlign w:val="center"/>
                </w:tcPr>
                <w:p w14:paraId="3A631E1E">
                  <w:pPr>
                    <w:pStyle w:val="49"/>
                  </w:pPr>
                  <w:r>
                    <w:t xml:space="preserve">67.0 </w:t>
                  </w:r>
                </w:p>
              </w:tc>
              <w:tc>
                <w:tcPr>
                  <w:tcW w:w="351" w:type="pct"/>
                  <w:shd w:val="clear" w:color="auto" w:fill="auto"/>
                  <w:noWrap/>
                  <w:vAlign w:val="center"/>
                </w:tcPr>
                <w:p w14:paraId="07873886">
                  <w:pPr>
                    <w:pStyle w:val="49"/>
                  </w:pPr>
                  <w:r>
                    <w:t xml:space="preserve">64.0 </w:t>
                  </w:r>
                </w:p>
              </w:tc>
              <w:tc>
                <w:tcPr>
                  <w:tcW w:w="351" w:type="pct"/>
                  <w:shd w:val="clear" w:color="auto" w:fill="auto"/>
                  <w:noWrap/>
                  <w:vAlign w:val="center"/>
                </w:tcPr>
                <w:p w14:paraId="69901510">
                  <w:pPr>
                    <w:pStyle w:val="49"/>
                  </w:pPr>
                  <w:r>
                    <w:t xml:space="preserve">62.7 </w:t>
                  </w:r>
                </w:p>
              </w:tc>
              <w:tc>
                <w:tcPr>
                  <w:tcW w:w="351" w:type="pct"/>
                  <w:shd w:val="clear" w:color="auto" w:fill="auto"/>
                  <w:noWrap/>
                  <w:vAlign w:val="center"/>
                </w:tcPr>
                <w:p w14:paraId="57850358">
                  <w:pPr>
                    <w:pStyle w:val="49"/>
                  </w:pPr>
                  <w:r>
                    <w:t xml:space="preserve">61.0 </w:t>
                  </w:r>
                </w:p>
              </w:tc>
              <w:tc>
                <w:tcPr>
                  <w:tcW w:w="351" w:type="pct"/>
                  <w:shd w:val="clear" w:color="auto" w:fill="auto"/>
                  <w:noWrap/>
                  <w:vAlign w:val="center"/>
                </w:tcPr>
                <w:p w14:paraId="24DE1C77">
                  <w:pPr>
                    <w:pStyle w:val="49"/>
                  </w:pPr>
                  <w:r>
                    <w:t xml:space="preserve">48.9 </w:t>
                  </w:r>
                </w:p>
              </w:tc>
              <w:tc>
                <w:tcPr>
                  <w:tcW w:w="351" w:type="pct"/>
                  <w:shd w:val="clear" w:color="auto" w:fill="auto"/>
                  <w:noWrap/>
                  <w:vAlign w:val="center"/>
                </w:tcPr>
                <w:p w14:paraId="77F6BE5E">
                  <w:pPr>
                    <w:pStyle w:val="49"/>
                  </w:pPr>
                  <w:r>
                    <w:t xml:space="preserve">48.4 </w:t>
                  </w:r>
                </w:p>
              </w:tc>
              <w:tc>
                <w:tcPr>
                  <w:tcW w:w="351" w:type="pct"/>
                  <w:shd w:val="clear" w:color="auto" w:fill="auto"/>
                  <w:noWrap/>
                  <w:vAlign w:val="center"/>
                </w:tcPr>
                <w:p w14:paraId="4FF224BE">
                  <w:pPr>
                    <w:pStyle w:val="49"/>
                  </w:pPr>
                  <w:r>
                    <w:t xml:space="preserve">47.9 </w:t>
                  </w:r>
                </w:p>
              </w:tc>
              <w:tc>
                <w:tcPr>
                  <w:tcW w:w="355" w:type="pct"/>
                  <w:shd w:val="clear" w:color="auto" w:fill="auto"/>
                  <w:noWrap/>
                  <w:vAlign w:val="center"/>
                </w:tcPr>
                <w:p w14:paraId="17786BF6">
                  <w:pPr>
                    <w:pStyle w:val="49"/>
                  </w:pPr>
                  <w:r>
                    <w:t xml:space="preserve">47.6 </w:t>
                  </w:r>
                </w:p>
              </w:tc>
            </w:tr>
            <w:tr w14:paraId="71940E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4" w:hRule="atLeast"/>
                <w:jc w:val="center"/>
              </w:trPr>
              <w:tc>
                <w:tcPr>
                  <w:tcW w:w="778" w:type="pct"/>
                  <w:shd w:val="clear" w:color="auto" w:fill="auto"/>
                  <w:vAlign w:val="center"/>
                </w:tcPr>
                <w:p w14:paraId="01E599F6">
                  <w:pPr>
                    <w:pStyle w:val="49"/>
                  </w:pPr>
                  <w:r>
                    <w:t>砼搅拌车</w:t>
                  </w:r>
                </w:p>
              </w:tc>
              <w:tc>
                <w:tcPr>
                  <w:tcW w:w="701" w:type="pct"/>
                  <w:shd w:val="clear" w:color="auto" w:fill="auto"/>
                  <w:noWrap/>
                  <w:vAlign w:val="center"/>
                </w:tcPr>
                <w:p w14:paraId="605033B5">
                  <w:pPr>
                    <w:pStyle w:val="49"/>
                  </w:pPr>
                  <w:r>
                    <w:t>83/10</w:t>
                  </w:r>
                </w:p>
              </w:tc>
              <w:tc>
                <w:tcPr>
                  <w:tcW w:w="351" w:type="pct"/>
                  <w:shd w:val="clear" w:color="auto" w:fill="auto"/>
                  <w:noWrap/>
                  <w:vAlign w:val="center"/>
                </w:tcPr>
                <w:p w14:paraId="7FDC8036">
                  <w:pPr>
                    <w:pStyle w:val="49"/>
                  </w:pPr>
                  <w:r>
                    <w:t xml:space="preserve">77.0 </w:t>
                  </w:r>
                </w:p>
              </w:tc>
              <w:tc>
                <w:tcPr>
                  <w:tcW w:w="351" w:type="pct"/>
                  <w:shd w:val="clear" w:color="auto" w:fill="auto"/>
                  <w:noWrap/>
                  <w:vAlign w:val="center"/>
                </w:tcPr>
                <w:p w14:paraId="492F8B88">
                  <w:pPr>
                    <w:pStyle w:val="49"/>
                  </w:pPr>
                  <w:r>
                    <w:t xml:space="preserve">69.0 </w:t>
                  </w:r>
                </w:p>
              </w:tc>
              <w:tc>
                <w:tcPr>
                  <w:tcW w:w="351" w:type="pct"/>
                  <w:shd w:val="clear" w:color="auto" w:fill="auto"/>
                  <w:noWrap/>
                  <w:vAlign w:val="center"/>
                </w:tcPr>
                <w:p w14:paraId="4008BA3F">
                  <w:pPr>
                    <w:pStyle w:val="49"/>
                  </w:pPr>
                  <w:r>
                    <w:t xml:space="preserve">63.0 </w:t>
                  </w:r>
                </w:p>
              </w:tc>
              <w:tc>
                <w:tcPr>
                  <w:tcW w:w="351" w:type="pct"/>
                  <w:shd w:val="clear" w:color="auto" w:fill="auto"/>
                  <w:noWrap/>
                  <w:vAlign w:val="center"/>
                </w:tcPr>
                <w:p w14:paraId="29DDD48F">
                  <w:pPr>
                    <w:pStyle w:val="49"/>
                  </w:pPr>
                  <w:r>
                    <w:t xml:space="preserve">60.0 </w:t>
                  </w:r>
                </w:p>
              </w:tc>
              <w:tc>
                <w:tcPr>
                  <w:tcW w:w="351" w:type="pct"/>
                  <w:shd w:val="clear" w:color="auto" w:fill="auto"/>
                  <w:noWrap/>
                  <w:vAlign w:val="center"/>
                </w:tcPr>
                <w:p w14:paraId="3E304B57">
                  <w:pPr>
                    <w:pStyle w:val="49"/>
                  </w:pPr>
                  <w:r>
                    <w:t xml:space="preserve">58.7 </w:t>
                  </w:r>
                </w:p>
              </w:tc>
              <w:tc>
                <w:tcPr>
                  <w:tcW w:w="351" w:type="pct"/>
                  <w:shd w:val="clear" w:color="auto" w:fill="auto"/>
                  <w:noWrap/>
                  <w:vAlign w:val="center"/>
                </w:tcPr>
                <w:p w14:paraId="5DC716D4">
                  <w:pPr>
                    <w:pStyle w:val="49"/>
                  </w:pPr>
                  <w:r>
                    <w:t xml:space="preserve">57.0 </w:t>
                  </w:r>
                </w:p>
              </w:tc>
              <w:tc>
                <w:tcPr>
                  <w:tcW w:w="351" w:type="pct"/>
                  <w:shd w:val="clear" w:color="auto" w:fill="auto"/>
                  <w:noWrap/>
                  <w:vAlign w:val="center"/>
                </w:tcPr>
                <w:p w14:paraId="39C3B522">
                  <w:pPr>
                    <w:pStyle w:val="49"/>
                  </w:pPr>
                  <w:r>
                    <w:t xml:space="preserve">44.9 </w:t>
                  </w:r>
                </w:p>
              </w:tc>
              <w:tc>
                <w:tcPr>
                  <w:tcW w:w="351" w:type="pct"/>
                  <w:shd w:val="clear" w:color="auto" w:fill="auto"/>
                  <w:noWrap/>
                  <w:vAlign w:val="center"/>
                </w:tcPr>
                <w:p w14:paraId="2408A555">
                  <w:pPr>
                    <w:pStyle w:val="49"/>
                  </w:pPr>
                  <w:r>
                    <w:t xml:space="preserve">44.4 </w:t>
                  </w:r>
                </w:p>
              </w:tc>
              <w:tc>
                <w:tcPr>
                  <w:tcW w:w="351" w:type="pct"/>
                  <w:shd w:val="clear" w:color="auto" w:fill="auto"/>
                  <w:noWrap/>
                  <w:vAlign w:val="center"/>
                </w:tcPr>
                <w:p w14:paraId="7ABB6865">
                  <w:pPr>
                    <w:pStyle w:val="49"/>
                  </w:pPr>
                  <w:r>
                    <w:t xml:space="preserve">43.9 </w:t>
                  </w:r>
                </w:p>
              </w:tc>
              <w:tc>
                <w:tcPr>
                  <w:tcW w:w="355" w:type="pct"/>
                  <w:shd w:val="clear" w:color="auto" w:fill="auto"/>
                  <w:noWrap/>
                  <w:vAlign w:val="center"/>
                </w:tcPr>
                <w:p w14:paraId="02A0E594">
                  <w:pPr>
                    <w:pStyle w:val="49"/>
                  </w:pPr>
                  <w:r>
                    <w:t xml:space="preserve">43.6 </w:t>
                  </w:r>
                </w:p>
              </w:tc>
            </w:tr>
            <w:tr w14:paraId="14F2DB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4" w:hRule="atLeast"/>
                <w:jc w:val="center"/>
              </w:trPr>
              <w:tc>
                <w:tcPr>
                  <w:tcW w:w="1479" w:type="pct"/>
                  <w:gridSpan w:val="2"/>
                  <w:shd w:val="clear" w:color="auto" w:fill="auto"/>
                  <w:vAlign w:val="center"/>
                </w:tcPr>
                <w:p w14:paraId="57EBAD70">
                  <w:pPr>
                    <w:pStyle w:val="49"/>
                  </w:pPr>
                  <w:r>
                    <w:t>噪声叠加值</w:t>
                  </w:r>
                </w:p>
              </w:tc>
              <w:tc>
                <w:tcPr>
                  <w:tcW w:w="351" w:type="pct"/>
                  <w:shd w:val="clear" w:color="auto" w:fill="auto"/>
                  <w:noWrap/>
                  <w:vAlign w:val="center"/>
                </w:tcPr>
                <w:p w14:paraId="076992C2">
                  <w:pPr>
                    <w:pStyle w:val="49"/>
                  </w:pPr>
                  <w:r>
                    <w:t xml:space="preserve">88.3 </w:t>
                  </w:r>
                </w:p>
              </w:tc>
              <w:tc>
                <w:tcPr>
                  <w:tcW w:w="351" w:type="pct"/>
                  <w:shd w:val="clear" w:color="auto" w:fill="auto"/>
                  <w:noWrap/>
                  <w:vAlign w:val="center"/>
                </w:tcPr>
                <w:p w14:paraId="782FD39F">
                  <w:pPr>
                    <w:pStyle w:val="49"/>
                  </w:pPr>
                  <w:r>
                    <w:t xml:space="preserve">80.3 </w:t>
                  </w:r>
                </w:p>
              </w:tc>
              <w:tc>
                <w:tcPr>
                  <w:tcW w:w="351" w:type="pct"/>
                  <w:shd w:val="clear" w:color="auto" w:fill="auto"/>
                  <w:noWrap/>
                  <w:vAlign w:val="center"/>
                </w:tcPr>
                <w:p w14:paraId="5DD66EF9">
                  <w:pPr>
                    <w:pStyle w:val="49"/>
                  </w:pPr>
                  <w:r>
                    <w:t xml:space="preserve">74.3 </w:t>
                  </w:r>
                </w:p>
              </w:tc>
              <w:tc>
                <w:tcPr>
                  <w:tcW w:w="351" w:type="pct"/>
                  <w:shd w:val="clear" w:color="auto" w:fill="auto"/>
                  <w:noWrap/>
                  <w:vAlign w:val="center"/>
                </w:tcPr>
                <w:p w14:paraId="066C3C2C">
                  <w:pPr>
                    <w:pStyle w:val="49"/>
                  </w:pPr>
                  <w:r>
                    <w:t xml:space="preserve">71.3 </w:t>
                  </w:r>
                </w:p>
              </w:tc>
              <w:tc>
                <w:tcPr>
                  <w:tcW w:w="351" w:type="pct"/>
                  <w:shd w:val="clear" w:color="auto" w:fill="auto"/>
                  <w:noWrap/>
                  <w:vAlign w:val="center"/>
                </w:tcPr>
                <w:p w14:paraId="014D252D">
                  <w:pPr>
                    <w:pStyle w:val="49"/>
                  </w:pPr>
                  <w:r>
                    <w:t xml:space="preserve">70.0 </w:t>
                  </w:r>
                </w:p>
              </w:tc>
              <w:tc>
                <w:tcPr>
                  <w:tcW w:w="351" w:type="pct"/>
                  <w:shd w:val="clear" w:color="auto" w:fill="auto"/>
                  <w:noWrap/>
                  <w:vAlign w:val="center"/>
                </w:tcPr>
                <w:p w14:paraId="0797E3E0">
                  <w:pPr>
                    <w:pStyle w:val="49"/>
                  </w:pPr>
                  <w:r>
                    <w:t xml:space="preserve">68.3 </w:t>
                  </w:r>
                </w:p>
              </w:tc>
              <w:tc>
                <w:tcPr>
                  <w:tcW w:w="351" w:type="pct"/>
                  <w:shd w:val="clear" w:color="auto" w:fill="auto"/>
                  <w:noWrap/>
                  <w:vAlign w:val="center"/>
                </w:tcPr>
                <w:p w14:paraId="690DC883">
                  <w:pPr>
                    <w:pStyle w:val="49"/>
                  </w:pPr>
                  <w:r>
                    <w:t xml:space="preserve">56.2 </w:t>
                  </w:r>
                </w:p>
              </w:tc>
              <w:tc>
                <w:tcPr>
                  <w:tcW w:w="351" w:type="pct"/>
                  <w:shd w:val="clear" w:color="auto" w:fill="auto"/>
                  <w:noWrap/>
                  <w:vAlign w:val="center"/>
                </w:tcPr>
                <w:p w14:paraId="50D24183">
                  <w:pPr>
                    <w:pStyle w:val="49"/>
                  </w:pPr>
                  <w:r>
                    <w:t xml:space="preserve">55.7 </w:t>
                  </w:r>
                </w:p>
              </w:tc>
              <w:tc>
                <w:tcPr>
                  <w:tcW w:w="351" w:type="pct"/>
                  <w:shd w:val="clear" w:color="auto" w:fill="auto"/>
                  <w:noWrap/>
                  <w:vAlign w:val="center"/>
                </w:tcPr>
                <w:p w14:paraId="2D2820BF">
                  <w:pPr>
                    <w:pStyle w:val="49"/>
                  </w:pPr>
                  <w:r>
                    <w:t xml:space="preserve">55.2 </w:t>
                  </w:r>
                </w:p>
              </w:tc>
              <w:tc>
                <w:tcPr>
                  <w:tcW w:w="355" w:type="pct"/>
                  <w:shd w:val="clear" w:color="auto" w:fill="auto"/>
                  <w:noWrap/>
                  <w:vAlign w:val="center"/>
                </w:tcPr>
                <w:p w14:paraId="777D1746">
                  <w:pPr>
                    <w:pStyle w:val="49"/>
                  </w:pPr>
                  <w:r>
                    <w:t xml:space="preserve">55.0 </w:t>
                  </w:r>
                </w:p>
              </w:tc>
            </w:tr>
          </w:tbl>
          <w:p w14:paraId="43CC6C41">
            <w:pPr>
              <w:pStyle w:val="53"/>
              <w:ind w:firstLine="480"/>
            </w:pPr>
            <w:r>
              <w:t>表4-4表明，在结构施工阶段，单台机械施工时昼间达标距离最远为142m，夜间达标距离最远为800m。若多台施工机械同时施工，昼间在距离施工场地165m处，夜间在距离施工场地928m处，可以达到《</w:t>
            </w:r>
            <w:r>
              <w:rPr>
                <w:rFonts w:hint="eastAsia"/>
                <w:lang w:eastAsia="zh-CN"/>
              </w:rPr>
              <w:t>建筑施工噪声排放标准</w:t>
            </w:r>
            <w:r>
              <w:t>》（GB</w:t>
            </w:r>
            <w:r>
              <w:rPr>
                <w:rFonts w:hint="eastAsia"/>
                <w:lang w:eastAsia="zh-CN"/>
              </w:rPr>
              <w:t>12523-2025</w:t>
            </w:r>
            <w:r>
              <w:t>）中昼间70</w:t>
            </w:r>
            <w:r>
              <w:rPr>
                <w:lang w:val="zh-CN"/>
              </w:rPr>
              <w:t>dB（A），夜间</w:t>
            </w:r>
            <w:r>
              <w:t>55</w:t>
            </w:r>
            <w:r>
              <w:rPr>
                <w:lang w:val="zh-CN"/>
              </w:rPr>
              <w:t>dB（A）的限值</w:t>
            </w:r>
            <w:r>
              <w:t>。</w:t>
            </w:r>
          </w:p>
          <w:p w14:paraId="1461E477">
            <w:pPr>
              <w:pStyle w:val="53"/>
              <w:ind w:firstLine="480"/>
            </w:pPr>
            <w:r>
              <w:rPr>
                <w:rFonts w:hint="eastAsia" w:ascii="宋体" w:hAnsi="宋体" w:cs="宋体"/>
              </w:rPr>
              <w:t>D</w:t>
            </w:r>
            <w:r>
              <w:rPr>
                <w:rFonts w:ascii="宋体" w:hAnsi="宋体" w:cs="宋体"/>
              </w:rPr>
              <w:t>.</w:t>
            </w:r>
            <w:r>
              <w:t>装修施工阶段</w:t>
            </w:r>
          </w:p>
          <w:p w14:paraId="0A865D76">
            <w:pPr>
              <w:pStyle w:val="74"/>
              <w:bidi w:val="0"/>
            </w:pPr>
            <w:r>
              <w:t>表4-5  装修施工阶段施工机械在不同距离的噪声预测值</w:t>
            </w:r>
          </w:p>
          <w:tbl>
            <w:tblPr>
              <w:tblStyle w:val="23"/>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26"/>
              <w:gridCol w:w="1029"/>
              <w:gridCol w:w="606"/>
              <w:gridCol w:w="607"/>
              <w:gridCol w:w="607"/>
              <w:gridCol w:w="607"/>
              <w:gridCol w:w="607"/>
              <w:gridCol w:w="607"/>
              <w:gridCol w:w="607"/>
              <w:gridCol w:w="607"/>
              <w:gridCol w:w="607"/>
              <w:gridCol w:w="615"/>
            </w:tblGrid>
            <w:tr w14:paraId="13D951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1" w:type="pct"/>
                  <w:vMerge w:val="restart"/>
                  <w:shd w:val="clear" w:color="auto" w:fill="auto"/>
                  <w:noWrap/>
                  <w:vAlign w:val="center"/>
                </w:tcPr>
                <w:p w14:paraId="5FBC1C22">
                  <w:pPr>
                    <w:pStyle w:val="104"/>
                    <w:rPr>
                      <w:color w:val="000000" w:themeColor="text1"/>
                      <w14:textFill>
                        <w14:solidFill>
                          <w14:schemeClr w14:val="tx1"/>
                        </w14:solidFill>
                      </w14:textFill>
                    </w:rPr>
                  </w:pPr>
                  <w:r>
                    <w:rPr>
                      <w:color w:val="000000" w:themeColor="text1"/>
                      <w14:textFill>
                        <w14:solidFill>
                          <w14:schemeClr w14:val="tx1"/>
                        </w14:solidFill>
                      </w14:textFill>
                    </w:rPr>
                    <w:t>噪声源</w:t>
                  </w:r>
                </w:p>
              </w:tc>
              <w:tc>
                <w:tcPr>
                  <w:tcW w:w="632" w:type="pct"/>
                  <w:vMerge w:val="restart"/>
                  <w:shd w:val="clear" w:color="auto" w:fill="auto"/>
                  <w:noWrap/>
                  <w:vAlign w:val="center"/>
                </w:tcPr>
                <w:p w14:paraId="4E901AE5">
                  <w:pPr>
                    <w:pStyle w:val="104"/>
                    <w:rPr>
                      <w:color w:val="000000" w:themeColor="text1"/>
                      <w14:textFill>
                        <w14:solidFill>
                          <w14:schemeClr w14:val="tx1"/>
                        </w14:solidFill>
                      </w14:textFill>
                    </w:rPr>
                  </w:pPr>
                  <w:r>
                    <w:rPr>
                      <w:color w:val="000000" w:themeColor="text1"/>
                      <w14:textFill>
                        <w14:solidFill>
                          <w14:schemeClr w14:val="tx1"/>
                        </w14:solidFill>
                      </w14:textFill>
                    </w:rPr>
                    <w:t>声源</w:t>
                  </w:r>
                </w:p>
                <w:p w14:paraId="0964952B">
                  <w:pPr>
                    <w:pStyle w:val="104"/>
                    <w:rPr>
                      <w:color w:val="000000" w:themeColor="text1"/>
                      <w14:textFill>
                        <w14:solidFill>
                          <w14:schemeClr w14:val="tx1"/>
                        </w14:solidFill>
                      </w14:textFill>
                    </w:rPr>
                  </w:pPr>
                  <w:r>
                    <w:rPr>
                      <w:color w:val="000000" w:themeColor="text1"/>
                      <w14:textFill>
                        <w14:solidFill>
                          <w14:schemeClr w14:val="tx1"/>
                        </w14:solidFill>
                      </w14:textFill>
                    </w:rPr>
                    <w:t>[dB(A)/m]</w:t>
                  </w:r>
                </w:p>
              </w:tc>
              <w:tc>
                <w:tcPr>
                  <w:tcW w:w="3735" w:type="pct"/>
                  <w:gridSpan w:val="10"/>
                  <w:shd w:val="clear" w:color="auto" w:fill="auto"/>
                  <w:noWrap/>
                  <w:vAlign w:val="center"/>
                </w:tcPr>
                <w:p w14:paraId="72BB3B28">
                  <w:pPr>
                    <w:pStyle w:val="104"/>
                    <w:rPr>
                      <w:color w:val="000000" w:themeColor="text1"/>
                      <w14:textFill>
                        <w14:solidFill>
                          <w14:schemeClr w14:val="tx1"/>
                        </w14:solidFill>
                      </w14:textFill>
                    </w:rPr>
                  </w:pPr>
                  <w:r>
                    <w:rPr>
                      <w:color w:val="000000" w:themeColor="text1"/>
                      <w14:textFill>
                        <w14:solidFill>
                          <w14:schemeClr w14:val="tx1"/>
                        </w14:solidFill>
                      </w14:textFill>
                    </w:rPr>
                    <w:t>距离/m（dB（A））</w:t>
                  </w:r>
                </w:p>
              </w:tc>
            </w:tr>
            <w:tr w14:paraId="1F6F81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22" w:hRule="atLeast"/>
                <w:jc w:val="center"/>
              </w:trPr>
              <w:tc>
                <w:tcPr>
                  <w:tcW w:w="631" w:type="pct"/>
                  <w:vMerge w:val="continue"/>
                  <w:shd w:val="clear" w:color="auto" w:fill="auto"/>
                  <w:vAlign w:val="center"/>
                </w:tcPr>
                <w:p w14:paraId="131DA778">
                  <w:pPr>
                    <w:pStyle w:val="104"/>
                    <w:rPr>
                      <w:color w:val="000000" w:themeColor="text1"/>
                      <w14:textFill>
                        <w14:solidFill>
                          <w14:schemeClr w14:val="tx1"/>
                        </w14:solidFill>
                      </w14:textFill>
                    </w:rPr>
                  </w:pPr>
                </w:p>
              </w:tc>
              <w:tc>
                <w:tcPr>
                  <w:tcW w:w="632" w:type="pct"/>
                  <w:vMerge w:val="continue"/>
                  <w:shd w:val="clear" w:color="auto" w:fill="auto"/>
                  <w:vAlign w:val="center"/>
                </w:tcPr>
                <w:p w14:paraId="73AE647B">
                  <w:pPr>
                    <w:pStyle w:val="104"/>
                    <w:rPr>
                      <w:color w:val="000000" w:themeColor="text1"/>
                      <w14:textFill>
                        <w14:solidFill>
                          <w14:schemeClr w14:val="tx1"/>
                        </w14:solidFill>
                      </w14:textFill>
                    </w:rPr>
                  </w:pPr>
                </w:p>
              </w:tc>
              <w:tc>
                <w:tcPr>
                  <w:tcW w:w="373" w:type="pct"/>
                  <w:shd w:val="clear" w:color="auto" w:fill="auto"/>
                  <w:noWrap/>
                  <w:vAlign w:val="center"/>
                </w:tcPr>
                <w:p w14:paraId="0451C43D">
                  <w:pPr>
                    <w:pStyle w:val="104"/>
                    <w:rPr>
                      <w:color w:val="000000" w:themeColor="text1"/>
                      <w14:textFill>
                        <w14:solidFill>
                          <w14:schemeClr w14:val="tx1"/>
                        </w14:solidFill>
                      </w14:textFill>
                    </w:rPr>
                  </w:pPr>
                  <w:r>
                    <w:rPr>
                      <w:color w:val="000000" w:themeColor="text1"/>
                      <w14:textFill>
                        <w14:solidFill>
                          <w14:schemeClr w14:val="tx1"/>
                        </w14:solidFill>
                      </w14:textFill>
                    </w:rPr>
                    <w:t>20</w:t>
                  </w:r>
                </w:p>
              </w:tc>
              <w:tc>
                <w:tcPr>
                  <w:tcW w:w="373" w:type="pct"/>
                  <w:shd w:val="clear" w:color="auto" w:fill="auto"/>
                  <w:noWrap/>
                  <w:vAlign w:val="center"/>
                </w:tcPr>
                <w:p w14:paraId="4FE20DE2">
                  <w:pPr>
                    <w:pStyle w:val="104"/>
                    <w:rPr>
                      <w:color w:val="000000" w:themeColor="text1"/>
                      <w14:textFill>
                        <w14:solidFill>
                          <w14:schemeClr w14:val="tx1"/>
                        </w14:solidFill>
                      </w14:textFill>
                    </w:rPr>
                  </w:pPr>
                  <w:r>
                    <w:rPr>
                      <w:color w:val="000000" w:themeColor="text1"/>
                      <w14:textFill>
                        <w14:solidFill>
                          <w14:schemeClr w14:val="tx1"/>
                        </w14:solidFill>
                      </w14:textFill>
                    </w:rPr>
                    <w:t>50</w:t>
                  </w:r>
                </w:p>
              </w:tc>
              <w:tc>
                <w:tcPr>
                  <w:tcW w:w="373" w:type="pct"/>
                  <w:shd w:val="clear" w:color="auto" w:fill="auto"/>
                  <w:noWrap/>
                  <w:vAlign w:val="center"/>
                </w:tcPr>
                <w:p w14:paraId="2E3B7A02">
                  <w:pPr>
                    <w:pStyle w:val="104"/>
                    <w:rPr>
                      <w:color w:val="000000" w:themeColor="text1"/>
                      <w14:textFill>
                        <w14:solidFill>
                          <w14:schemeClr w14:val="tx1"/>
                        </w14:solidFill>
                      </w14:textFill>
                    </w:rPr>
                  </w:pPr>
                  <w:r>
                    <w:rPr>
                      <w:color w:val="000000" w:themeColor="text1"/>
                      <w14:textFill>
                        <w14:solidFill>
                          <w14:schemeClr w14:val="tx1"/>
                        </w14:solidFill>
                      </w14:textFill>
                    </w:rPr>
                    <w:t>80</w:t>
                  </w:r>
                </w:p>
              </w:tc>
              <w:tc>
                <w:tcPr>
                  <w:tcW w:w="373" w:type="pct"/>
                  <w:shd w:val="clear" w:color="auto" w:fill="auto"/>
                  <w:noWrap/>
                  <w:vAlign w:val="center"/>
                </w:tcPr>
                <w:p w14:paraId="3AC46F93">
                  <w:pPr>
                    <w:pStyle w:val="104"/>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373" w:type="pct"/>
                  <w:shd w:val="clear" w:color="auto" w:fill="auto"/>
                  <w:noWrap/>
                  <w:vAlign w:val="center"/>
                </w:tcPr>
                <w:p w14:paraId="1CF933DF">
                  <w:pPr>
                    <w:pStyle w:val="104"/>
                    <w:rPr>
                      <w:color w:val="000000" w:themeColor="text1"/>
                      <w14:textFill>
                        <w14:solidFill>
                          <w14:schemeClr w14:val="tx1"/>
                        </w14:solidFill>
                      </w14:textFill>
                    </w:rPr>
                  </w:pPr>
                  <w:r>
                    <w:rPr>
                      <w:color w:val="000000" w:themeColor="text1"/>
                      <w14:textFill>
                        <w14:solidFill>
                          <w14:schemeClr w14:val="tx1"/>
                        </w14:solidFill>
                      </w14:textFill>
                    </w:rPr>
                    <w:t>142</w:t>
                  </w:r>
                </w:p>
              </w:tc>
              <w:tc>
                <w:tcPr>
                  <w:tcW w:w="373" w:type="pct"/>
                  <w:shd w:val="clear" w:color="auto" w:fill="auto"/>
                  <w:noWrap/>
                  <w:vAlign w:val="center"/>
                </w:tcPr>
                <w:p w14:paraId="1F47A0D8">
                  <w:pPr>
                    <w:pStyle w:val="104"/>
                    <w:rPr>
                      <w:color w:val="000000" w:themeColor="text1"/>
                      <w14:textFill>
                        <w14:solidFill>
                          <w14:schemeClr w14:val="tx1"/>
                        </w14:solidFill>
                      </w14:textFill>
                    </w:rPr>
                  </w:pPr>
                  <w:r>
                    <w:rPr>
                      <w:color w:val="000000" w:themeColor="text1"/>
                      <w14:textFill>
                        <w14:solidFill>
                          <w14:schemeClr w14:val="tx1"/>
                        </w14:solidFill>
                      </w14:textFill>
                    </w:rPr>
                    <w:t>155</w:t>
                  </w:r>
                </w:p>
              </w:tc>
              <w:tc>
                <w:tcPr>
                  <w:tcW w:w="373" w:type="pct"/>
                  <w:shd w:val="clear" w:color="auto" w:fill="auto"/>
                  <w:noWrap/>
                  <w:vAlign w:val="center"/>
                </w:tcPr>
                <w:p w14:paraId="19F2461A">
                  <w:pPr>
                    <w:pStyle w:val="104"/>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373" w:type="pct"/>
                  <w:shd w:val="clear" w:color="auto" w:fill="auto"/>
                  <w:noWrap/>
                  <w:vAlign w:val="center"/>
                </w:tcPr>
                <w:p w14:paraId="7E781FCB">
                  <w:pPr>
                    <w:pStyle w:val="104"/>
                    <w:rPr>
                      <w:color w:val="000000" w:themeColor="text1"/>
                      <w14:textFill>
                        <w14:solidFill>
                          <w14:schemeClr w14:val="tx1"/>
                        </w14:solidFill>
                      </w14:textFill>
                    </w:rPr>
                  </w:pPr>
                  <w:r>
                    <w:rPr>
                      <w:color w:val="000000" w:themeColor="text1"/>
                      <w14:textFill>
                        <w14:solidFill>
                          <w14:schemeClr w14:val="tx1"/>
                        </w14:solidFill>
                      </w14:textFill>
                    </w:rPr>
                    <w:t>790</w:t>
                  </w:r>
                </w:p>
              </w:tc>
              <w:tc>
                <w:tcPr>
                  <w:tcW w:w="373" w:type="pct"/>
                  <w:shd w:val="clear" w:color="auto" w:fill="auto"/>
                  <w:noWrap/>
                  <w:vAlign w:val="center"/>
                </w:tcPr>
                <w:p w14:paraId="6168B278">
                  <w:pPr>
                    <w:pStyle w:val="104"/>
                    <w:rPr>
                      <w:color w:val="000000" w:themeColor="text1"/>
                      <w14:textFill>
                        <w14:solidFill>
                          <w14:schemeClr w14:val="tx1"/>
                        </w14:solidFill>
                      </w14:textFill>
                    </w:rPr>
                  </w:pPr>
                  <w:r>
                    <w:rPr>
                      <w:color w:val="000000" w:themeColor="text1"/>
                      <w14:textFill>
                        <w14:solidFill>
                          <w14:schemeClr w14:val="tx1"/>
                        </w14:solidFill>
                      </w14:textFill>
                    </w:rPr>
                    <w:t>800</w:t>
                  </w:r>
                </w:p>
              </w:tc>
              <w:tc>
                <w:tcPr>
                  <w:tcW w:w="375" w:type="pct"/>
                  <w:shd w:val="clear" w:color="auto" w:fill="auto"/>
                  <w:noWrap/>
                  <w:vAlign w:val="center"/>
                </w:tcPr>
                <w:p w14:paraId="08938C06">
                  <w:pPr>
                    <w:pStyle w:val="104"/>
                    <w:rPr>
                      <w:color w:val="000000" w:themeColor="text1"/>
                      <w14:textFill>
                        <w14:solidFill>
                          <w14:schemeClr w14:val="tx1"/>
                        </w14:solidFill>
                      </w14:textFill>
                    </w:rPr>
                  </w:pPr>
                  <w:r>
                    <w:rPr>
                      <w:color w:val="000000" w:themeColor="text1"/>
                      <w14:textFill>
                        <w14:solidFill>
                          <w14:schemeClr w14:val="tx1"/>
                        </w14:solidFill>
                      </w14:textFill>
                    </w:rPr>
                    <w:t>870</w:t>
                  </w:r>
                </w:p>
              </w:tc>
            </w:tr>
            <w:tr w14:paraId="12B558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6" w:hRule="atLeast"/>
                <w:jc w:val="center"/>
              </w:trPr>
              <w:tc>
                <w:tcPr>
                  <w:tcW w:w="631" w:type="pct"/>
                  <w:shd w:val="clear" w:color="auto" w:fill="auto"/>
                  <w:noWrap/>
                  <w:vAlign w:val="center"/>
                </w:tcPr>
                <w:p w14:paraId="13BF0BA9">
                  <w:pPr>
                    <w:pStyle w:val="104"/>
                    <w:rPr>
                      <w:color w:val="000000" w:themeColor="text1"/>
                      <w14:textFill>
                        <w14:solidFill>
                          <w14:schemeClr w14:val="tx1"/>
                        </w14:solidFill>
                      </w14:textFill>
                    </w:rPr>
                  </w:pPr>
                  <w:r>
                    <w:rPr>
                      <w:color w:val="000000" w:themeColor="text1"/>
                      <w14:textFill>
                        <w14:solidFill>
                          <w14:schemeClr w14:val="tx1"/>
                        </w14:solidFill>
                      </w14:textFill>
                    </w:rPr>
                    <w:t>木工电锯</w:t>
                  </w:r>
                </w:p>
              </w:tc>
              <w:tc>
                <w:tcPr>
                  <w:tcW w:w="632" w:type="pct"/>
                  <w:shd w:val="clear" w:color="auto" w:fill="auto"/>
                  <w:noWrap/>
                  <w:vAlign w:val="center"/>
                </w:tcPr>
                <w:p w14:paraId="232F12D6">
                  <w:pPr>
                    <w:pStyle w:val="104"/>
                    <w:rPr>
                      <w:color w:val="000000" w:themeColor="text1"/>
                      <w14:textFill>
                        <w14:solidFill>
                          <w14:schemeClr w14:val="tx1"/>
                        </w14:solidFill>
                      </w14:textFill>
                    </w:rPr>
                  </w:pPr>
                  <w:r>
                    <w:rPr>
                      <w:color w:val="000000" w:themeColor="text1"/>
                      <w14:textFill>
                        <w14:solidFill>
                          <w14:schemeClr w14:val="tx1"/>
                        </w14:solidFill>
                      </w14:textFill>
                    </w:rPr>
                    <w:t>93/10</w:t>
                  </w:r>
                </w:p>
              </w:tc>
              <w:tc>
                <w:tcPr>
                  <w:tcW w:w="373" w:type="pct"/>
                  <w:shd w:val="clear" w:color="auto" w:fill="auto"/>
                  <w:noWrap/>
                  <w:vAlign w:val="center"/>
                </w:tcPr>
                <w:p w14:paraId="5FF2574F">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87.0 </w:t>
                  </w:r>
                </w:p>
              </w:tc>
              <w:tc>
                <w:tcPr>
                  <w:tcW w:w="373" w:type="pct"/>
                  <w:shd w:val="clear" w:color="auto" w:fill="auto"/>
                  <w:noWrap/>
                  <w:vAlign w:val="center"/>
                </w:tcPr>
                <w:p w14:paraId="6F0C5B0C">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79.0 </w:t>
                  </w:r>
                </w:p>
              </w:tc>
              <w:tc>
                <w:tcPr>
                  <w:tcW w:w="373" w:type="pct"/>
                  <w:shd w:val="clear" w:color="auto" w:fill="auto"/>
                  <w:noWrap/>
                  <w:vAlign w:val="center"/>
                </w:tcPr>
                <w:p w14:paraId="480DC409">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74.9 </w:t>
                  </w:r>
                </w:p>
              </w:tc>
              <w:tc>
                <w:tcPr>
                  <w:tcW w:w="373" w:type="pct"/>
                  <w:shd w:val="clear" w:color="auto" w:fill="auto"/>
                  <w:noWrap/>
                  <w:vAlign w:val="center"/>
                </w:tcPr>
                <w:p w14:paraId="53265DAB">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73.0 </w:t>
                  </w:r>
                </w:p>
              </w:tc>
              <w:tc>
                <w:tcPr>
                  <w:tcW w:w="373" w:type="pct"/>
                  <w:shd w:val="clear" w:color="auto" w:fill="auto"/>
                  <w:noWrap/>
                  <w:vAlign w:val="center"/>
                </w:tcPr>
                <w:p w14:paraId="01E43F25">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70.0 </w:t>
                  </w:r>
                </w:p>
              </w:tc>
              <w:tc>
                <w:tcPr>
                  <w:tcW w:w="373" w:type="pct"/>
                  <w:shd w:val="clear" w:color="auto" w:fill="auto"/>
                  <w:noWrap/>
                  <w:vAlign w:val="center"/>
                </w:tcPr>
                <w:p w14:paraId="2C570FA3">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69.2 </w:t>
                  </w:r>
                </w:p>
              </w:tc>
              <w:tc>
                <w:tcPr>
                  <w:tcW w:w="373" w:type="pct"/>
                  <w:shd w:val="clear" w:color="auto" w:fill="auto"/>
                  <w:noWrap/>
                  <w:vAlign w:val="center"/>
                </w:tcPr>
                <w:p w14:paraId="22FFA59A">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63.5 </w:t>
                  </w:r>
                </w:p>
              </w:tc>
              <w:tc>
                <w:tcPr>
                  <w:tcW w:w="373" w:type="pct"/>
                  <w:shd w:val="clear" w:color="auto" w:fill="auto"/>
                  <w:noWrap/>
                  <w:vAlign w:val="center"/>
                </w:tcPr>
                <w:p w14:paraId="4480D711">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55.0 </w:t>
                  </w:r>
                </w:p>
              </w:tc>
              <w:tc>
                <w:tcPr>
                  <w:tcW w:w="373" w:type="pct"/>
                  <w:shd w:val="clear" w:color="auto" w:fill="auto"/>
                  <w:noWrap/>
                  <w:vAlign w:val="center"/>
                </w:tcPr>
                <w:p w14:paraId="1DC78404">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54.9 </w:t>
                  </w:r>
                </w:p>
              </w:tc>
              <w:tc>
                <w:tcPr>
                  <w:tcW w:w="375" w:type="pct"/>
                  <w:shd w:val="clear" w:color="auto" w:fill="auto"/>
                  <w:noWrap/>
                  <w:vAlign w:val="center"/>
                </w:tcPr>
                <w:p w14:paraId="0A2042F5">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54.2 </w:t>
                  </w:r>
                </w:p>
              </w:tc>
            </w:tr>
            <w:tr w14:paraId="6A7775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6" w:hRule="atLeast"/>
                <w:jc w:val="center"/>
              </w:trPr>
              <w:tc>
                <w:tcPr>
                  <w:tcW w:w="631" w:type="pct"/>
                  <w:shd w:val="clear" w:color="auto" w:fill="auto"/>
                  <w:vAlign w:val="center"/>
                </w:tcPr>
                <w:p w14:paraId="521668CA">
                  <w:pPr>
                    <w:pStyle w:val="104"/>
                    <w:rPr>
                      <w:color w:val="000000" w:themeColor="text1"/>
                      <w14:textFill>
                        <w14:solidFill>
                          <w14:schemeClr w14:val="tx1"/>
                        </w14:solidFill>
                      </w14:textFill>
                    </w:rPr>
                  </w:pPr>
                  <w:r>
                    <w:rPr>
                      <w:color w:val="000000" w:themeColor="text1"/>
                      <w14:textFill>
                        <w14:solidFill>
                          <w14:schemeClr w14:val="tx1"/>
                        </w14:solidFill>
                      </w14:textFill>
                    </w:rPr>
                    <w:t>液压起重机</w:t>
                  </w:r>
                </w:p>
              </w:tc>
              <w:tc>
                <w:tcPr>
                  <w:tcW w:w="632" w:type="pct"/>
                  <w:shd w:val="clear" w:color="auto" w:fill="auto"/>
                  <w:noWrap/>
                  <w:vAlign w:val="center"/>
                </w:tcPr>
                <w:p w14:paraId="40BEE5B9">
                  <w:pPr>
                    <w:pStyle w:val="104"/>
                    <w:rPr>
                      <w:color w:val="000000" w:themeColor="text1"/>
                      <w14:textFill>
                        <w14:solidFill>
                          <w14:schemeClr w14:val="tx1"/>
                        </w14:solidFill>
                      </w14:textFill>
                    </w:rPr>
                  </w:pPr>
                  <w:r>
                    <w:rPr>
                      <w:color w:val="000000" w:themeColor="text1"/>
                      <w14:textFill>
                        <w14:solidFill>
                          <w14:schemeClr w14:val="tx1"/>
                        </w14:solidFill>
                      </w14:textFill>
                    </w:rPr>
                    <w:t>74/10</w:t>
                  </w:r>
                </w:p>
              </w:tc>
              <w:tc>
                <w:tcPr>
                  <w:tcW w:w="373" w:type="pct"/>
                  <w:shd w:val="clear" w:color="auto" w:fill="auto"/>
                  <w:noWrap/>
                  <w:vAlign w:val="center"/>
                </w:tcPr>
                <w:p w14:paraId="767FC9F6">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68.0 </w:t>
                  </w:r>
                </w:p>
              </w:tc>
              <w:tc>
                <w:tcPr>
                  <w:tcW w:w="373" w:type="pct"/>
                  <w:shd w:val="clear" w:color="auto" w:fill="auto"/>
                  <w:noWrap/>
                  <w:vAlign w:val="center"/>
                </w:tcPr>
                <w:p w14:paraId="1F73E7D1">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60.0 </w:t>
                  </w:r>
                </w:p>
              </w:tc>
              <w:tc>
                <w:tcPr>
                  <w:tcW w:w="373" w:type="pct"/>
                  <w:shd w:val="clear" w:color="auto" w:fill="auto"/>
                  <w:noWrap/>
                  <w:vAlign w:val="center"/>
                </w:tcPr>
                <w:p w14:paraId="3C9103BC">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55.9 </w:t>
                  </w:r>
                </w:p>
              </w:tc>
              <w:tc>
                <w:tcPr>
                  <w:tcW w:w="373" w:type="pct"/>
                  <w:shd w:val="clear" w:color="auto" w:fill="auto"/>
                  <w:noWrap/>
                  <w:vAlign w:val="center"/>
                </w:tcPr>
                <w:p w14:paraId="22490FBA">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54.0 </w:t>
                  </w:r>
                </w:p>
              </w:tc>
              <w:tc>
                <w:tcPr>
                  <w:tcW w:w="373" w:type="pct"/>
                  <w:shd w:val="clear" w:color="auto" w:fill="auto"/>
                  <w:noWrap/>
                  <w:vAlign w:val="center"/>
                </w:tcPr>
                <w:p w14:paraId="67ED1089">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51.0 </w:t>
                  </w:r>
                </w:p>
              </w:tc>
              <w:tc>
                <w:tcPr>
                  <w:tcW w:w="373" w:type="pct"/>
                  <w:shd w:val="clear" w:color="auto" w:fill="auto"/>
                  <w:noWrap/>
                  <w:vAlign w:val="center"/>
                </w:tcPr>
                <w:p w14:paraId="0CA039EE">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50.2 </w:t>
                  </w:r>
                </w:p>
              </w:tc>
              <w:tc>
                <w:tcPr>
                  <w:tcW w:w="373" w:type="pct"/>
                  <w:shd w:val="clear" w:color="auto" w:fill="auto"/>
                  <w:noWrap/>
                  <w:vAlign w:val="center"/>
                </w:tcPr>
                <w:p w14:paraId="79DB10FC">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44.5 </w:t>
                  </w:r>
                </w:p>
              </w:tc>
              <w:tc>
                <w:tcPr>
                  <w:tcW w:w="373" w:type="pct"/>
                  <w:shd w:val="clear" w:color="auto" w:fill="auto"/>
                  <w:noWrap/>
                  <w:vAlign w:val="center"/>
                </w:tcPr>
                <w:p w14:paraId="64279638">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36.0 </w:t>
                  </w:r>
                </w:p>
              </w:tc>
              <w:tc>
                <w:tcPr>
                  <w:tcW w:w="373" w:type="pct"/>
                  <w:shd w:val="clear" w:color="auto" w:fill="auto"/>
                  <w:noWrap/>
                  <w:vAlign w:val="center"/>
                </w:tcPr>
                <w:p w14:paraId="5DBADA27">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35.9 </w:t>
                  </w:r>
                </w:p>
              </w:tc>
              <w:tc>
                <w:tcPr>
                  <w:tcW w:w="375" w:type="pct"/>
                  <w:shd w:val="clear" w:color="auto" w:fill="auto"/>
                  <w:noWrap/>
                  <w:vAlign w:val="center"/>
                </w:tcPr>
                <w:p w14:paraId="644FF504">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35.2 </w:t>
                  </w:r>
                </w:p>
              </w:tc>
            </w:tr>
            <w:tr w14:paraId="3C1FC2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6" w:hRule="atLeast"/>
                <w:jc w:val="center"/>
              </w:trPr>
              <w:tc>
                <w:tcPr>
                  <w:tcW w:w="631" w:type="pct"/>
                  <w:shd w:val="clear" w:color="auto" w:fill="auto"/>
                  <w:vAlign w:val="center"/>
                </w:tcPr>
                <w:p w14:paraId="03D1F1A1">
                  <w:pPr>
                    <w:pStyle w:val="104"/>
                    <w:rPr>
                      <w:color w:val="000000" w:themeColor="text1"/>
                      <w14:textFill>
                        <w14:solidFill>
                          <w14:schemeClr w14:val="tx1"/>
                        </w14:solidFill>
                      </w14:textFill>
                    </w:rPr>
                  </w:pPr>
                  <w:r>
                    <w:rPr>
                      <w:color w:val="000000" w:themeColor="text1"/>
                      <w14:textFill>
                        <w14:solidFill>
                          <w14:schemeClr w14:val="tx1"/>
                        </w14:solidFill>
                      </w14:textFill>
                    </w:rPr>
                    <w:t>空压机</w:t>
                  </w:r>
                </w:p>
              </w:tc>
              <w:tc>
                <w:tcPr>
                  <w:tcW w:w="632" w:type="pct"/>
                  <w:shd w:val="clear" w:color="auto" w:fill="auto"/>
                  <w:noWrap/>
                  <w:vAlign w:val="center"/>
                </w:tcPr>
                <w:p w14:paraId="282F5DAB">
                  <w:pPr>
                    <w:pStyle w:val="104"/>
                    <w:rPr>
                      <w:color w:val="000000" w:themeColor="text1"/>
                      <w14:textFill>
                        <w14:solidFill>
                          <w14:schemeClr w14:val="tx1"/>
                        </w14:solidFill>
                      </w14:textFill>
                    </w:rPr>
                  </w:pPr>
                  <w:r>
                    <w:rPr>
                      <w:color w:val="000000" w:themeColor="text1"/>
                      <w14:textFill>
                        <w14:solidFill>
                          <w14:schemeClr w14:val="tx1"/>
                        </w14:solidFill>
                      </w14:textFill>
                    </w:rPr>
                    <w:t>86/10</w:t>
                  </w:r>
                </w:p>
              </w:tc>
              <w:tc>
                <w:tcPr>
                  <w:tcW w:w="373" w:type="pct"/>
                  <w:shd w:val="clear" w:color="auto" w:fill="auto"/>
                  <w:noWrap/>
                  <w:vAlign w:val="center"/>
                </w:tcPr>
                <w:p w14:paraId="3C293B18">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80.0 </w:t>
                  </w:r>
                </w:p>
              </w:tc>
              <w:tc>
                <w:tcPr>
                  <w:tcW w:w="373" w:type="pct"/>
                  <w:shd w:val="clear" w:color="auto" w:fill="auto"/>
                  <w:noWrap/>
                  <w:vAlign w:val="center"/>
                </w:tcPr>
                <w:p w14:paraId="14CCD69F">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72.0 </w:t>
                  </w:r>
                </w:p>
              </w:tc>
              <w:tc>
                <w:tcPr>
                  <w:tcW w:w="373" w:type="pct"/>
                  <w:shd w:val="clear" w:color="auto" w:fill="auto"/>
                  <w:noWrap/>
                  <w:vAlign w:val="center"/>
                </w:tcPr>
                <w:p w14:paraId="11524F81">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67.9 </w:t>
                  </w:r>
                </w:p>
              </w:tc>
              <w:tc>
                <w:tcPr>
                  <w:tcW w:w="373" w:type="pct"/>
                  <w:shd w:val="clear" w:color="auto" w:fill="auto"/>
                  <w:noWrap/>
                  <w:vAlign w:val="center"/>
                </w:tcPr>
                <w:p w14:paraId="1DC0D51E">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66.0 </w:t>
                  </w:r>
                </w:p>
              </w:tc>
              <w:tc>
                <w:tcPr>
                  <w:tcW w:w="373" w:type="pct"/>
                  <w:shd w:val="clear" w:color="auto" w:fill="auto"/>
                  <w:noWrap/>
                  <w:vAlign w:val="center"/>
                </w:tcPr>
                <w:p w14:paraId="09BC9DCB">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63.0 </w:t>
                  </w:r>
                </w:p>
              </w:tc>
              <w:tc>
                <w:tcPr>
                  <w:tcW w:w="373" w:type="pct"/>
                  <w:shd w:val="clear" w:color="auto" w:fill="auto"/>
                  <w:noWrap/>
                  <w:vAlign w:val="center"/>
                </w:tcPr>
                <w:p w14:paraId="23FE2993">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62.2 </w:t>
                  </w:r>
                </w:p>
              </w:tc>
              <w:tc>
                <w:tcPr>
                  <w:tcW w:w="373" w:type="pct"/>
                  <w:shd w:val="clear" w:color="auto" w:fill="auto"/>
                  <w:noWrap/>
                  <w:vAlign w:val="center"/>
                </w:tcPr>
                <w:p w14:paraId="688DA20D">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56.5 </w:t>
                  </w:r>
                </w:p>
              </w:tc>
              <w:tc>
                <w:tcPr>
                  <w:tcW w:w="373" w:type="pct"/>
                  <w:shd w:val="clear" w:color="auto" w:fill="auto"/>
                  <w:noWrap/>
                  <w:vAlign w:val="center"/>
                </w:tcPr>
                <w:p w14:paraId="1C8EA8AA">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48.0 </w:t>
                  </w:r>
                </w:p>
              </w:tc>
              <w:tc>
                <w:tcPr>
                  <w:tcW w:w="373" w:type="pct"/>
                  <w:shd w:val="clear" w:color="auto" w:fill="auto"/>
                  <w:noWrap/>
                  <w:vAlign w:val="center"/>
                </w:tcPr>
                <w:p w14:paraId="27E9305D">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47.9 </w:t>
                  </w:r>
                </w:p>
              </w:tc>
              <w:tc>
                <w:tcPr>
                  <w:tcW w:w="375" w:type="pct"/>
                  <w:shd w:val="clear" w:color="auto" w:fill="auto"/>
                  <w:noWrap/>
                  <w:vAlign w:val="center"/>
                </w:tcPr>
                <w:p w14:paraId="37F138E0">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47.2 </w:t>
                  </w:r>
                </w:p>
              </w:tc>
            </w:tr>
            <w:tr w14:paraId="02F938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02" w:hRule="atLeast"/>
                <w:jc w:val="center"/>
              </w:trPr>
              <w:tc>
                <w:tcPr>
                  <w:tcW w:w="1264" w:type="pct"/>
                  <w:gridSpan w:val="2"/>
                  <w:shd w:val="clear" w:color="auto" w:fill="auto"/>
                  <w:vAlign w:val="center"/>
                </w:tcPr>
                <w:p w14:paraId="2965C898">
                  <w:pPr>
                    <w:pStyle w:val="104"/>
                    <w:rPr>
                      <w:color w:val="000000" w:themeColor="text1"/>
                      <w14:textFill>
                        <w14:solidFill>
                          <w14:schemeClr w14:val="tx1"/>
                        </w14:solidFill>
                      </w14:textFill>
                    </w:rPr>
                  </w:pPr>
                  <w:r>
                    <w:rPr>
                      <w:color w:val="000000" w:themeColor="text1"/>
                      <w14:textFill>
                        <w14:solidFill>
                          <w14:schemeClr w14:val="tx1"/>
                        </w14:solidFill>
                      </w14:textFill>
                    </w:rPr>
                    <w:t>噪声叠加值</w:t>
                  </w:r>
                </w:p>
              </w:tc>
              <w:tc>
                <w:tcPr>
                  <w:tcW w:w="373" w:type="pct"/>
                  <w:shd w:val="clear" w:color="auto" w:fill="auto"/>
                  <w:noWrap/>
                  <w:vAlign w:val="center"/>
                </w:tcPr>
                <w:p w14:paraId="40CD39B3">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87.8 </w:t>
                  </w:r>
                </w:p>
              </w:tc>
              <w:tc>
                <w:tcPr>
                  <w:tcW w:w="373" w:type="pct"/>
                  <w:shd w:val="clear" w:color="auto" w:fill="auto"/>
                  <w:noWrap/>
                  <w:vAlign w:val="center"/>
                </w:tcPr>
                <w:p w14:paraId="1C2B50A3">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79.9 </w:t>
                  </w:r>
                </w:p>
              </w:tc>
              <w:tc>
                <w:tcPr>
                  <w:tcW w:w="373" w:type="pct"/>
                  <w:shd w:val="clear" w:color="auto" w:fill="auto"/>
                  <w:noWrap/>
                  <w:vAlign w:val="center"/>
                </w:tcPr>
                <w:p w14:paraId="44C13111">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75.8 </w:t>
                  </w:r>
                </w:p>
              </w:tc>
              <w:tc>
                <w:tcPr>
                  <w:tcW w:w="373" w:type="pct"/>
                  <w:shd w:val="clear" w:color="auto" w:fill="auto"/>
                  <w:noWrap/>
                  <w:vAlign w:val="center"/>
                </w:tcPr>
                <w:p w14:paraId="42842753">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73.8 </w:t>
                  </w:r>
                </w:p>
              </w:tc>
              <w:tc>
                <w:tcPr>
                  <w:tcW w:w="373" w:type="pct"/>
                  <w:shd w:val="clear" w:color="auto" w:fill="auto"/>
                  <w:noWrap/>
                  <w:vAlign w:val="center"/>
                </w:tcPr>
                <w:p w14:paraId="62E5864C">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70.8 </w:t>
                  </w:r>
                </w:p>
              </w:tc>
              <w:tc>
                <w:tcPr>
                  <w:tcW w:w="373" w:type="pct"/>
                  <w:shd w:val="clear" w:color="auto" w:fill="auto"/>
                  <w:noWrap/>
                  <w:vAlign w:val="center"/>
                </w:tcPr>
                <w:p w14:paraId="1A5E0813">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70.0 </w:t>
                  </w:r>
                </w:p>
              </w:tc>
              <w:tc>
                <w:tcPr>
                  <w:tcW w:w="373" w:type="pct"/>
                  <w:shd w:val="clear" w:color="auto" w:fill="auto"/>
                  <w:noWrap/>
                  <w:vAlign w:val="center"/>
                </w:tcPr>
                <w:p w14:paraId="24687B0C">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64.3 </w:t>
                  </w:r>
                </w:p>
              </w:tc>
              <w:tc>
                <w:tcPr>
                  <w:tcW w:w="373" w:type="pct"/>
                  <w:shd w:val="clear" w:color="auto" w:fill="auto"/>
                  <w:noWrap/>
                  <w:vAlign w:val="center"/>
                </w:tcPr>
                <w:p w14:paraId="57455366">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55.9 </w:t>
                  </w:r>
                </w:p>
              </w:tc>
              <w:tc>
                <w:tcPr>
                  <w:tcW w:w="373" w:type="pct"/>
                  <w:shd w:val="clear" w:color="auto" w:fill="auto"/>
                  <w:noWrap/>
                  <w:vAlign w:val="center"/>
                </w:tcPr>
                <w:p w14:paraId="199D5A4E">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55.8 </w:t>
                  </w:r>
                </w:p>
              </w:tc>
              <w:tc>
                <w:tcPr>
                  <w:tcW w:w="375" w:type="pct"/>
                  <w:shd w:val="clear" w:color="auto" w:fill="auto"/>
                  <w:noWrap/>
                  <w:vAlign w:val="center"/>
                </w:tcPr>
                <w:p w14:paraId="449E2B8A">
                  <w:pPr>
                    <w:pStyle w:val="104"/>
                    <w:rPr>
                      <w:color w:val="000000" w:themeColor="text1"/>
                      <w14:textFill>
                        <w14:solidFill>
                          <w14:schemeClr w14:val="tx1"/>
                        </w14:solidFill>
                      </w14:textFill>
                    </w:rPr>
                  </w:pPr>
                  <w:r>
                    <w:rPr>
                      <w:color w:val="000000" w:themeColor="text1"/>
                      <w14:textFill>
                        <w14:solidFill>
                          <w14:schemeClr w14:val="tx1"/>
                        </w14:solidFill>
                      </w14:textFill>
                    </w:rPr>
                    <w:t xml:space="preserve">55.0 </w:t>
                  </w:r>
                </w:p>
              </w:tc>
            </w:tr>
          </w:tbl>
          <w:p w14:paraId="2E02317B">
            <w:pPr>
              <w:pStyle w:val="53"/>
              <w:ind w:firstLine="480"/>
            </w:pPr>
            <w:r>
              <w:t>表4-5表明，在装修施工阶段，单台机械施工时昼间达标距离最远为142m，夜间达标距离最远为790m。若多台施工机械同时施工，昼间在距离施工场地155m处，夜间在距离施工场地870m处，可以达到《</w:t>
            </w:r>
            <w:r>
              <w:rPr>
                <w:rFonts w:hint="eastAsia"/>
                <w:lang w:eastAsia="zh-CN"/>
              </w:rPr>
              <w:t>建筑施工噪声排放标准</w:t>
            </w:r>
            <w:r>
              <w:t>》（GB</w:t>
            </w:r>
            <w:r>
              <w:rPr>
                <w:rFonts w:hint="eastAsia"/>
                <w:lang w:eastAsia="zh-CN"/>
              </w:rPr>
              <w:t>12523-2025</w:t>
            </w:r>
            <w:r>
              <w:t>）中昼间70</w:t>
            </w:r>
            <w:r>
              <w:rPr>
                <w:lang w:val="zh-CN"/>
              </w:rPr>
              <w:t>dB（A），夜间</w:t>
            </w:r>
            <w:r>
              <w:t>55</w:t>
            </w:r>
            <w:r>
              <w:rPr>
                <w:lang w:val="zh-CN"/>
              </w:rPr>
              <w:t>dB（A）的限值</w:t>
            </w:r>
            <w:r>
              <w:t>。</w:t>
            </w:r>
          </w:p>
          <w:p w14:paraId="25310378">
            <w:pPr>
              <w:pStyle w:val="53"/>
              <w:ind w:firstLine="480"/>
            </w:pPr>
            <w:r>
              <w:rPr>
                <w:rFonts w:hint="eastAsia"/>
              </w:rPr>
              <w:t>（3）</w:t>
            </w:r>
            <w:r>
              <w:t>施工期工业场地的声环境影响评价</w:t>
            </w:r>
          </w:p>
          <w:p w14:paraId="645EDD85">
            <w:pPr>
              <w:pStyle w:val="53"/>
              <w:ind w:firstLine="480"/>
            </w:pPr>
            <w:r>
              <w:t>表4-2</w:t>
            </w:r>
            <w:r>
              <w:rPr>
                <w:rFonts w:hint="eastAsia"/>
                <w:lang w:eastAsia="zh-CN"/>
              </w:rPr>
              <w:t>～</w:t>
            </w:r>
            <w:r>
              <w:t>表4-5预测</w:t>
            </w:r>
            <w:r>
              <w:rPr>
                <w:rFonts w:hint="eastAsia"/>
                <w:lang w:eastAsia="zh-CN"/>
              </w:rPr>
              <w:t>结果表明</w:t>
            </w:r>
            <w:r>
              <w:t>，单台机械施工时对项目区声环境造成的影响小于多台机械同时施工时所产生的影响，对评价范围内影响最大的时段为施工期结构施工阶段。</w:t>
            </w:r>
          </w:p>
          <w:p w14:paraId="266529BC">
            <w:pPr>
              <w:pStyle w:val="53"/>
              <w:ind w:firstLine="480"/>
              <w:rPr>
                <w:lang w:val="zh-CN"/>
              </w:rPr>
            </w:pPr>
            <w:r>
              <w:t>为了避免施工期场界噪声超过《</w:t>
            </w:r>
            <w:r>
              <w:rPr>
                <w:rFonts w:hint="eastAsia"/>
                <w:lang w:eastAsia="zh-CN"/>
              </w:rPr>
              <w:t>建筑施工噪声排放标准</w:t>
            </w:r>
            <w:r>
              <w:t>》（GB</w:t>
            </w:r>
            <w:r>
              <w:rPr>
                <w:rFonts w:hint="eastAsia"/>
                <w:lang w:eastAsia="zh-CN"/>
              </w:rPr>
              <w:t>12523-2025</w:t>
            </w:r>
            <w:r>
              <w:t>）的限值，</w:t>
            </w:r>
            <w:r>
              <w:rPr>
                <w:rFonts w:hint="eastAsia"/>
              </w:rPr>
              <w:t>副立井</w:t>
            </w:r>
            <w:r>
              <w:t>场地在施工过程中应避免高噪声施工机械同时施工，高噪声设备应集中</w:t>
            </w:r>
            <w:r>
              <w:rPr>
                <w:rFonts w:hint="eastAsia"/>
                <w:lang w:eastAsia="zh-CN"/>
              </w:rPr>
              <w:t>在场地</w:t>
            </w:r>
            <w:r>
              <w:t>中间使用，</w:t>
            </w:r>
            <w:r>
              <w:rPr>
                <w:rFonts w:hint="eastAsia"/>
              </w:rPr>
              <w:t>副立井</w:t>
            </w:r>
            <w:r>
              <w:t>场地应尽量避免夜间施工，施工场界应采用砖砌围墙以降低施工噪声对厂界的影响</w:t>
            </w:r>
            <w:r>
              <w:rPr>
                <w:lang w:val="zh-CN"/>
              </w:rPr>
              <w:t>。施工期的噪声影响是短暂的，随着工程的结束，施工机械带来的噪声影响会消失。</w:t>
            </w:r>
          </w:p>
          <w:p w14:paraId="11FED2CA">
            <w:pPr>
              <w:pStyle w:val="53"/>
              <w:ind w:firstLine="480"/>
            </w:pPr>
            <w:r>
              <w:rPr>
                <w:rFonts w:hint="eastAsia"/>
              </w:rPr>
              <w:t>（4）</w:t>
            </w:r>
            <w:r>
              <w:t>施工期工业场地对场外敏感点的声环境影响</w:t>
            </w:r>
          </w:p>
          <w:p w14:paraId="3BDA5A0B">
            <w:pPr>
              <w:pStyle w:val="53"/>
              <w:ind w:firstLine="480"/>
            </w:pPr>
            <w:r>
              <w:rPr>
                <w:rFonts w:hint="eastAsia"/>
                <w:lang w:val="en-US" w:eastAsia="zh-CN"/>
              </w:rPr>
              <w:t>本项目施工场界周边200m范围内无声环境敏感点</w:t>
            </w:r>
            <w:r>
              <w:t>，</w:t>
            </w:r>
            <w:r>
              <w:rPr>
                <w:rFonts w:hint="eastAsia"/>
              </w:rPr>
              <w:t>距离较远</w:t>
            </w:r>
            <w:r>
              <w:t>，因此对敏感点影响不大。但严格控制</w:t>
            </w:r>
            <w:r>
              <w:rPr>
                <w:rFonts w:hint="eastAsia"/>
              </w:rPr>
              <w:t>副立井</w:t>
            </w:r>
            <w:r>
              <w:t>场地施工阶段的噪声污染是必不可少的，尽可能避免高噪声设备夜间施工，加强施工机械和施工人员的管理。</w:t>
            </w:r>
          </w:p>
          <w:p w14:paraId="03296278">
            <w:pPr>
              <w:pStyle w:val="53"/>
              <w:ind w:firstLine="480"/>
            </w:pPr>
            <w:r>
              <w:t>4</w:t>
            </w:r>
            <w:r>
              <w:rPr>
                <w:rFonts w:hint="eastAsia"/>
              </w:rPr>
              <w:t>、固体废物影响分析</w:t>
            </w:r>
          </w:p>
          <w:p w14:paraId="1138538B">
            <w:pPr>
              <w:pStyle w:val="53"/>
              <w:ind w:firstLine="480"/>
            </w:pPr>
            <w:r>
              <w:rPr>
                <w:rFonts w:hint="eastAsia"/>
              </w:rPr>
              <w:t>施工</w:t>
            </w:r>
            <w:r>
              <w:t>期固体废物主要为井筒开凿产生的废</w:t>
            </w:r>
            <w:r>
              <w:rPr>
                <w:rFonts w:hint="eastAsia"/>
              </w:rPr>
              <w:t>土</w:t>
            </w:r>
            <w:r>
              <w:t>石，另外还有施工人员产生的少量生活垃圾</w:t>
            </w:r>
            <w:r>
              <w:rPr>
                <w:rFonts w:hint="eastAsia"/>
              </w:rPr>
              <w:t>和建筑垃圾</w:t>
            </w:r>
            <w:r>
              <w:t>。</w:t>
            </w:r>
          </w:p>
          <w:p w14:paraId="38E9B87D">
            <w:pPr>
              <w:pStyle w:val="53"/>
              <w:ind w:firstLine="480"/>
            </w:pPr>
            <w:r>
              <w:t>（1）岩土</w:t>
            </w:r>
          </w:p>
          <w:p w14:paraId="795767B4">
            <w:pPr>
              <w:pStyle w:val="53"/>
              <w:ind w:firstLine="480"/>
            </w:pPr>
            <w:r>
              <w:rPr>
                <w:snapToGrid w:val="0"/>
              </w:rPr>
              <w:t>本项目井筒开凿总工程量</w:t>
            </w:r>
            <w:r>
              <w:rPr>
                <w:rFonts w:hint="eastAsia"/>
              </w:rPr>
              <w:t>1929m</w:t>
            </w:r>
            <w:r>
              <w:rPr>
                <w:snapToGrid w:val="0"/>
              </w:rPr>
              <w:t>，</w:t>
            </w:r>
            <w:r>
              <w:rPr>
                <w:rFonts w:hint="eastAsia"/>
                <w:color w:val="000000"/>
              </w:rPr>
              <w:t>弃方为5</w:t>
            </w:r>
            <w:r>
              <w:rPr>
                <w:color w:val="000000"/>
              </w:rPr>
              <w:t>8091</w:t>
            </w:r>
            <w:r>
              <w:rPr>
                <w:rFonts w:hint="eastAsia"/>
                <w:color w:val="000000"/>
              </w:rPr>
              <w:t>m</w:t>
            </w:r>
            <w:r>
              <w:rPr>
                <w:color w:val="000000"/>
                <w:vertAlign w:val="superscript"/>
              </w:rPr>
              <w:t>3</w:t>
            </w:r>
            <w:r>
              <w:t>，产生的岩土</w:t>
            </w:r>
            <w:r>
              <w:rPr>
                <w:rFonts w:hint="eastAsia"/>
                <w:color w:val="000000"/>
              </w:rPr>
              <w:t>一部分（</w:t>
            </w:r>
            <w:r>
              <w:rPr>
                <w:rFonts w:hint="eastAsia"/>
                <w:color w:val="000000"/>
                <w:lang w:eastAsia="zh-CN"/>
              </w:rPr>
              <w:t>14701</w:t>
            </w:r>
            <w:r>
              <w:rPr>
                <w:rFonts w:hint="eastAsia"/>
                <w:color w:val="000000"/>
              </w:rPr>
              <w:t>m</w:t>
            </w:r>
            <w:r>
              <w:rPr>
                <w:color w:val="000000"/>
                <w:vertAlign w:val="superscript"/>
              </w:rPr>
              <w:t>3</w:t>
            </w:r>
            <w:r>
              <w:rPr>
                <w:rFonts w:hint="eastAsia"/>
                <w:color w:val="000000"/>
              </w:rPr>
              <w:t>）用于地面工程填方，剩余部分（</w:t>
            </w:r>
            <w:r>
              <w:rPr>
                <w:rFonts w:hint="eastAsia"/>
                <w:color w:val="000000"/>
                <w:lang w:eastAsia="zh-CN"/>
              </w:rPr>
              <w:t>43390</w:t>
            </w:r>
            <w:r>
              <w:rPr>
                <w:rFonts w:hint="eastAsia"/>
                <w:color w:val="000000"/>
              </w:rPr>
              <w:t>m</w:t>
            </w:r>
            <w:r>
              <w:rPr>
                <w:color w:val="000000"/>
                <w:vertAlign w:val="superscript"/>
              </w:rPr>
              <w:t>3</w:t>
            </w:r>
            <w:r>
              <w:rPr>
                <w:rFonts w:hint="eastAsia"/>
                <w:color w:val="000000"/>
              </w:rPr>
              <w:t>）用于周边道路垫道使用</w:t>
            </w:r>
            <w:r>
              <w:t>。</w:t>
            </w:r>
          </w:p>
          <w:p w14:paraId="29324B7E">
            <w:pPr>
              <w:pStyle w:val="53"/>
              <w:ind w:firstLine="480"/>
            </w:pPr>
            <w:r>
              <w:t>（2）生活垃圾处置</w:t>
            </w:r>
          </w:p>
          <w:p w14:paraId="0986F838">
            <w:pPr>
              <w:pStyle w:val="53"/>
              <w:ind w:firstLine="480"/>
              <w:rPr>
                <w:snapToGrid w:val="0"/>
              </w:rPr>
            </w:pPr>
            <w:r>
              <w:t>施工人员生活垃圾产生量与施工人员数量有关，</w:t>
            </w:r>
            <w:r>
              <w:rPr>
                <w:snapToGrid w:val="0"/>
              </w:rPr>
              <w:t>按0.5kg/d人计算，施工高峰期本项目按30人计算，生活垃圾产生量约为15kg/d。施工生活垃圾</w:t>
            </w:r>
            <w:r>
              <w:rPr>
                <w:rFonts w:hint="eastAsia"/>
                <w:snapToGrid w:val="0"/>
              </w:rPr>
              <w:t>集中</w:t>
            </w:r>
            <w:r>
              <w:rPr>
                <w:snapToGrid w:val="0"/>
              </w:rPr>
              <w:t>收集后委托</w:t>
            </w:r>
            <w:r>
              <w:rPr>
                <w:rFonts w:hint="eastAsia"/>
                <w:snapToGrid w:val="0"/>
              </w:rPr>
              <w:t>当地</w:t>
            </w:r>
            <w:r>
              <w:rPr>
                <w:snapToGrid w:val="0"/>
              </w:rPr>
              <w:t>环卫部门统一处理。</w:t>
            </w:r>
          </w:p>
          <w:p w14:paraId="6F8447C8">
            <w:pPr>
              <w:pStyle w:val="53"/>
              <w:ind w:firstLine="480"/>
              <w:rPr>
                <w:snapToGrid w:val="0"/>
              </w:rPr>
            </w:pPr>
            <w:r>
              <w:rPr>
                <w:rFonts w:hint="eastAsia"/>
                <w:snapToGrid w:val="0"/>
              </w:rPr>
              <w:t>（3）建筑垃圾处置</w:t>
            </w:r>
          </w:p>
          <w:p w14:paraId="2434D5B9">
            <w:pPr>
              <w:pStyle w:val="53"/>
              <w:ind w:firstLine="480"/>
              <w:rPr>
                <w:snapToGrid w:val="0"/>
              </w:rPr>
            </w:pPr>
            <w:r>
              <w:rPr>
                <w:rFonts w:hint="eastAsia"/>
                <w:snapToGrid w:val="0"/>
              </w:rPr>
              <w:t>施工建筑垃圾主要来源于建筑施工中的废物，如水泥、砖瓦、石灰、</w:t>
            </w:r>
            <w:r>
              <w:rPr>
                <w:rFonts w:hint="eastAsia"/>
                <w:snapToGrid w:val="0"/>
                <w:lang w:eastAsia="zh-CN"/>
              </w:rPr>
              <w:t>砂石</w:t>
            </w:r>
            <w:r>
              <w:rPr>
                <w:rFonts w:hint="eastAsia"/>
                <w:snapToGrid w:val="0"/>
              </w:rPr>
              <w:t>等，产生量较</w:t>
            </w:r>
            <w:r>
              <w:rPr>
                <w:rFonts w:hint="eastAsia"/>
                <w:snapToGrid w:val="0"/>
                <w:lang w:eastAsia="zh-CN"/>
              </w:rPr>
              <w:t>少</w:t>
            </w:r>
            <w:r>
              <w:rPr>
                <w:rFonts w:hint="eastAsia"/>
                <w:snapToGrid w:val="0"/>
              </w:rPr>
              <w:t>。</w:t>
            </w:r>
          </w:p>
          <w:p w14:paraId="19ED2ED9">
            <w:pPr>
              <w:pStyle w:val="53"/>
              <w:ind w:firstLine="480"/>
            </w:pPr>
            <w:r>
              <w:t>项目施工期固体废物均得到妥善处置，对周围环境影响不大。</w:t>
            </w:r>
          </w:p>
          <w:p w14:paraId="2A092B23">
            <w:pPr>
              <w:pStyle w:val="53"/>
              <w:ind w:firstLine="480"/>
              <w:rPr>
                <w:rFonts w:cs="宋体"/>
                <w:bCs/>
              </w:rPr>
            </w:pPr>
            <w:r>
              <w:rPr>
                <w:rFonts w:hint="eastAsia" w:cs="宋体"/>
                <w:bCs/>
              </w:rPr>
              <w:t>5、生态环境影响分析</w:t>
            </w:r>
          </w:p>
          <w:p w14:paraId="6BAC055B">
            <w:pPr>
              <w:pStyle w:val="53"/>
              <w:ind w:firstLine="480"/>
              <w:rPr>
                <w:szCs w:val="24"/>
              </w:rPr>
            </w:pPr>
            <w:r>
              <w:rPr>
                <w:rFonts w:hint="eastAsia"/>
                <w:szCs w:val="24"/>
              </w:rPr>
              <w:t>（1）</w:t>
            </w:r>
            <w:r>
              <w:rPr>
                <w:szCs w:val="24"/>
              </w:rPr>
              <w:t>对土地利用的影响分析</w:t>
            </w:r>
          </w:p>
          <w:p w14:paraId="2A21D086">
            <w:pPr>
              <w:pStyle w:val="53"/>
              <w:ind w:firstLine="456"/>
            </w:pPr>
            <w:r>
              <w:rPr>
                <w:spacing w:val="-6"/>
              </w:rPr>
              <w:t>本工程</w:t>
            </w:r>
            <w:r>
              <w:rPr>
                <w:rFonts w:hint="eastAsia"/>
                <w:spacing w:val="-6"/>
              </w:rPr>
              <w:t>占地</w:t>
            </w:r>
            <w:r>
              <w:rPr>
                <w:spacing w:val="-6"/>
              </w:rPr>
              <w:t>面积</w:t>
            </w:r>
            <w:r>
              <w:rPr>
                <w:rFonts w:hint="eastAsia"/>
                <w:lang w:eastAsia="zh-CN"/>
              </w:rPr>
              <w:t>151708</w:t>
            </w:r>
            <w:r>
              <w:rPr>
                <w:rFonts w:hint="eastAsia"/>
              </w:rPr>
              <w:t>m</w:t>
            </w:r>
            <w:r>
              <w:rPr>
                <w:vertAlign w:val="superscript"/>
              </w:rPr>
              <w:t>2</w:t>
            </w:r>
            <w:r>
              <w:rPr>
                <w:spacing w:val="-6"/>
              </w:rPr>
              <w:t>，</w:t>
            </w:r>
            <w:r>
              <w:rPr>
                <w:rFonts w:hint="eastAsia"/>
                <w:lang w:val="en-US" w:eastAsia="zh-CN"/>
              </w:rPr>
              <w:t>于2006年4月10日取得鸡西市人民政府核发的土地证（梨树国用（2006）第55007号），地类为工业用地，因此项目土地利用的影响较小</w:t>
            </w:r>
            <w:r>
              <w:t>。</w:t>
            </w:r>
          </w:p>
          <w:p w14:paraId="50FD1CDB">
            <w:pPr>
              <w:pStyle w:val="53"/>
              <w:ind w:firstLine="480"/>
            </w:pPr>
            <w:r>
              <w:rPr>
                <w:rFonts w:hint="eastAsia"/>
              </w:rPr>
              <w:t>（2）对植物的影响分析</w:t>
            </w:r>
          </w:p>
          <w:p w14:paraId="72B60033">
            <w:pPr>
              <w:pStyle w:val="53"/>
              <w:ind w:firstLine="480"/>
            </w:pPr>
            <w:r>
              <w:rPr>
                <w:rFonts w:hAnsi="宋体"/>
              </w:rPr>
              <w:t>本</w:t>
            </w:r>
            <w:r>
              <w:rPr>
                <w:rFonts w:hint="eastAsia"/>
              </w:rPr>
              <w:t>项目</w:t>
            </w:r>
            <w:r>
              <w:t>占用土地由原来生长植被功能的土地变为</w:t>
            </w:r>
            <w:r>
              <w:rPr>
                <w:rFonts w:hint="eastAsia"/>
              </w:rPr>
              <w:t>建设</w:t>
            </w:r>
            <w:r>
              <w:t>用地，土地的原有使用功能发生了</w:t>
            </w:r>
            <w:r>
              <w:rPr>
                <w:rFonts w:hint="eastAsia"/>
              </w:rPr>
              <w:t>临时性</w:t>
            </w:r>
            <w:r>
              <w:t>改变，生态功能受损，</w:t>
            </w:r>
            <w:r>
              <w:rPr>
                <w:rFonts w:hint="eastAsia"/>
              </w:rPr>
              <w:t>项目</w:t>
            </w:r>
            <w:r>
              <w:t>建设占地对植被的破坏是永久性的，这部分植被将永远失去生产能力。</w:t>
            </w:r>
          </w:p>
          <w:p w14:paraId="7AA3A8B9">
            <w:pPr>
              <w:pStyle w:val="53"/>
              <w:ind w:firstLine="480"/>
            </w:pPr>
            <w:r>
              <w:rPr>
                <w:rFonts w:hint="eastAsia"/>
              </w:rPr>
              <w:t>本</w:t>
            </w:r>
            <w:r>
              <w:rPr>
                <w:rFonts w:hint="eastAsia"/>
                <w:lang w:val="en-US" w:eastAsia="zh-CN"/>
              </w:rPr>
              <w:t>次工程未对东侧林地进行破坏，仅对西侧用地范围内的草地产生影响，项目用地为工业用地，项目不改变土地性质，对于用地范围内的植被影响轻微，不会不会对用地范围外的植被产生影响，</w:t>
            </w:r>
            <w:r>
              <w:rPr>
                <w:bCs/>
                <w:color w:val="000000" w:themeColor="text1"/>
                <w14:textFill>
                  <w14:solidFill>
                    <w14:schemeClr w14:val="tx1"/>
                  </w14:solidFill>
                </w14:textFill>
              </w:rPr>
              <w:t>项目占地区未发现国家规定的保护树种和名木古树分布，也未见保护动物，植物均为当地常见种，因此</w:t>
            </w:r>
            <w:r>
              <w:rPr>
                <w:rFonts w:hint="eastAsia"/>
                <w:bCs/>
                <w:color w:val="000000" w:themeColor="text1"/>
                <w:lang w:eastAsia="zh-CN"/>
                <w14:textFill>
                  <w14:solidFill>
                    <w14:schemeClr w14:val="tx1"/>
                  </w14:solidFill>
                </w14:textFill>
              </w:rPr>
              <w:t>，项目</w:t>
            </w:r>
            <w:r>
              <w:rPr>
                <w:bCs/>
                <w:color w:val="000000" w:themeColor="text1"/>
                <w14:textFill>
                  <w14:solidFill>
                    <w14:schemeClr w14:val="tx1"/>
                  </w14:solidFill>
                </w14:textFill>
              </w:rPr>
              <w:t>占地不会造成某物种大量减少或消失，对生物多样性影响不大。</w:t>
            </w:r>
          </w:p>
          <w:p w14:paraId="55C09C4C">
            <w:pPr>
              <w:pStyle w:val="53"/>
              <w:ind w:firstLine="480"/>
            </w:pPr>
            <w:r>
              <w:rPr>
                <w:rFonts w:hint="eastAsia"/>
              </w:rPr>
              <w:t>（</w:t>
            </w:r>
            <w:r>
              <w:t>3</w:t>
            </w:r>
            <w:r>
              <w:rPr>
                <w:rFonts w:hint="eastAsia"/>
              </w:rPr>
              <w:t>）对动物的影响</w:t>
            </w:r>
          </w:p>
          <w:p w14:paraId="0420A327">
            <w:pPr>
              <w:pStyle w:val="45"/>
              <w:ind w:firstLine="480"/>
            </w:pPr>
            <w:r>
              <w:rPr>
                <w:rFonts w:hint="eastAsia"/>
              </w:rPr>
              <w:t>本项目区域野生动物主要有野兔、田鼠、麻雀、乌鸦、猫头鹰、山雀、鹌鹑等，</w:t>
            </w:r>
            <w:r>
              <w:t>没有国家级</w:t>
            </w:r>
            <w:r>
              <w:rPr>
                <w:rFonts w:hint="eastAsia"/>
              </w:rPr>
              <w:t>、</w:t>
            </w:r>
            <w:r>
              <w:t>省级重点保护的野生动物</w:t>
            </w:r>
            <w:r>
              <w:rPr>
                <w:rFonts w:hint="eastAsia"/>
              </w:rPr>
              <w:t>及其</w:t>
            </w:r>
            <w:r>
              <w:t>栖息地分布。项目区地表植被的破坏及人类活动将导致项目区野生动物的迁移。周围区域栖息的动物相对较少，一些嗅觉和听觉敏感的动物，尤其是鸟类因趋避反应已前往林区深处。施工活动对该地区的动物影响轻微，对该区域的动物种群结构不会产生明显影响。</w:t>
            </w:r>
          </w:p>
          <w:p w14:paraId="776C31EE">
            <w:pPr>
              <w:pStyle w:val="53"/>
              <w:ind w:firstLine="480"/>
            </w:pPr>
            <w:r>
              <w:rPr>
                <w:rFonts w:hint="eastAsia"/>
              </w:rPr>
              <w:t>（4）水土流失影响分析</w:t>
            </w:r>
          </w:p>
          <w:p w14:paraId="190FB255">
            <w:pPr>
              <w:pStyle w:val="53"/>
              <w:ind w:firstLine="480"/>
              <w:rPr>
                <w:rFonts w:cs="宋体"/>
                <w:bCs/>
              </w:rPr>
            </w:pPr>
            <w:r>
              <w:t>由于工业场地施工期间场地平整、</w:t>
            </w:r>
            <w:r>
              <w:rPr>
                <w:rFonts w:hint="eastAsia"/>
              </w:rPr>
              <w:t>建筑建设</w:t>
            </w:r>
            <w:r>
              <w:t>等需要开挖地表，因此施工活动将扰动原土层结构，减弱表土抗蚀能力，开挖面容易产生局部的水土流失。若施工期处于雨季、大风等不利气象条件下，大量地表裸露、土方临时堆置等，容易形成雨蚀、风蚀，增加本区局部水土流失现象。因此，</w:t>
            </w:r>
            <w:r>
              <w:rPr>
                <w:rFonts w:hint="eastAsia"/>
              </w:rPr>
              <w:t>本项目</w:t>
            </w:r>
            <w:r>
              <w:t>在建设初期可能会对</w:t>
            </w:r>
            <w:r>
              <w:rPr>
                <w:rFonts w:hint="eastAsia"/>
              </w:rPr>
              <w:t>区域</w:t>
            </w:r>
            <w:r>
              <w:t>生态系统产生一定的不利影响，但随着施工现场采用围墙围挡等措施后，工业场地平整将基本不会对区内生态系统产生明显影响。</w:t>
            </w:r>
          </w:p>
        </w:tc>
      </w:tr>
      <w:tr w14:paraId="08BCF9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8" w:hRule="atLeast"/>
          <w:jc w:val="center"/>
        </w:trPr>
        <w:tc>
          <w:tcPr>
            <w:tcW w:w="879" w:type="dxa"/>
            <w:tcMar>
              <w:left w:w="28" w:type="dxa"/>
              <w:right w:w="28" w:type="dxa"/>
            </w:tcMar>
            <w:vAlign w:val="center"/>
          </w:tcPr>
          <w:p w14:paraId="4D1396F4">
            <w:pPr>
              <w:pStyle w:val="18"/>
              <w:adjustRightInd w:val="0"/>
              <w:snapToGrid w:val="0"/>
              <w:spacing w:before="0" w:beforeAutospacing="0" w:after="0" w:afterAutospacing="0"/>
              <w:jc w:val="center"/>
              <w:rPr>
                <w:rFonts w:cs="宋体"/>
                <w:bCs/>
                <w:kern w:val="2"/>
                <w:sz w:val="21"/>
                <w:szCs w:val="21"/>
              </w:rPr>
            </w:pPr>
            <w:r>
              <w:rPr>
                <w:rFonts w:hint="eastAsia" w:cs="宋体"/>
                <w:bCs/>
                <w:spacing w:val="10"/>
                <w:kern w:val="2"/>
                <w:sz w:val="21"/>
                <w:szCs w:val="21"/>
              </w:rPr>
              <w:t>运营期生态环境影响分析</w:t>
            </w:r>
          </w:p>
        </w:tc>
        <w:tc>
          <w:tcPr>
            <w:tcW w:w="8363" w:type="dxa"/>
          </w:tcPr>
          <w:p w14:paraId="5BC71074">
            <w:pPr>
              <w:pStyle w:val="45"/>
              <w:ind w:firstLine="480"/>
            </w:pPr>
            <w:r>
              <w:rPr>
                <w:rFonts w:hint="eastAsia"/>
              </w:rPr>
              <w:t>1、废水影响分析</w:t>
            </w:r>
          </w:p>
          <w:p w14:paraId="1E1FB8BB">
            <w:pPr>
              <w:pStyle w:val="45"/>
              <w:ind w:firstLine="480"/>
            </w:pPr>
            <w:r>
              <w:rPr>
                <w:rFonts w:hint="eastAsia"/>
                <w:szCs w:val="21"/>
              </w:rPr>
              <w:t>本项目自身无废水排放，</w:t>
            </w:r>
            <w:r>
              <w:rPr>
                <w:bCs/>
                <w:color w:val="000000"/>
                <w:kern w:val="0"/>
                <w:szCs w:val="28"/>
              </w:rPr>
              <w:t>工业场地生产、消防用水、井下消防洒水</w:t>
            </w:r>
            <w:r>
              <w:rPr>
                <w:rFonts w:hint="eastAsia"/>
                <w:bCs/>
                <w:color w:val="000000"/>
                <w:kern w:val="0"/>
                <w:szCs w:val="28"/>
              </w:rPr>
              <w:t>等用水全部损耗，不排放。</w:t>
            </w:r>
            <w:r>
              <w:rPr>
                <w:rFonts w:hint="eastAsia"/>
                <w:color w:val="000000"/>
                <w:kern w:val="0"/>
              </w:rPr>
              <w:t>故本项目运营期对地表水环境影响</w:t>
            </w:r>
            <w:r>
              <w:rPr>
                <w:rFonts w:hint="eastAsia"/>
                <w:color w:val="000000"/>
                <w:kern w:val="0"/>
                <w:lang w:val="en-US" w:eastAsia="zh-CN"/>
              </w:rPr>
              <w:t>较小</w:t>
            </w:r>
            <w:r>
              <w:rPr>
                <w:rFonts w:hint="eastAsia"/>
                <w:color w:val="000000"/>
                <w:kern w:val="0"/>
              </w:rPr>
              <w:t>。</w:t>
            </w:r>
          </w:p>
          <w:p w14:paraId="0392E3FD">
            <w:pPr>
              <w:pStyle w:val="53"/>
              <w:ind w:firstLine="480"/>
            </w:pPr>
            <w:r>
              <w:t>2</w:t>
            </w:r>
            <w:r>
              <w:rPr>
                <w:rFonts w:hint="eastAsia"/>
              </w:rPr>
              <w:t>、</w:t>
            </w:r>
            <w:r>
              <w:t>废气</w:t>
            </w:r>
            <w:r>
              <w:rPr>
                <w:rFonts w:hint="eastAsia"/>
              </w:rPr>
              <w:t>影响分析</w:t>
            </w:r>
          </w:p>
          <w:p w14:paraId="53044FEE">
            <w:pPr>
              <w:pStyle w:val="53"/>
              <w:ind w:firstLine="480"/>
            </w:pPr>
            <w:r>
              <w:rPr>
                <w:rFonts w:hint="eastAsia"/>
              </w:rPr>
              <w:t>本项目运营期废气排放主要来自矸石转运扬尘、运输道路扬尘。</w:t>
            </w:r>
          </w:p>
          <w:p w14:paraId="1300781D">
            <w:pPr>
              <w:pStyle w:val="53"/>
              <w:ind w:firstLine="480"/>
            </w:pPr>
            <w:r>
              <w:rPr>
                <w:rFonts w:hint="eastAsia"/>
              </w:rPr>
              <w:t>（1）矸石转运扬尘</w:t>
            </w:r>
          </w:p>
          <w:p w14:paraId="10B6C781">
            <w:pPr>
              <w:pStyle w:val="53"/>
              <w:ind w:firstLine="480"/>
            </w:pPr>
            <w:r>
              <w:rPr>
                <w:rFonts w:hint="eastAsia"/>
                <w:color w:val="000000"/>
                <w:szCs w:val="28"/>
              </w:rPr>
              <w:t>本项目</w:t>
            </w:r>
            <w:r>
              <w:rPr>
                <w:color w:val="000000"/>
                <w:szCs w:val="28"/>
              </w:rPr>
              <w:t>矸石矿车通过罐笼由井下提至井上，</w:t>
            </w:r>
            <w:r>
              <w:rPr>
                <w:rFonts w:hint="eastAsia"/>
                <w:color w:val="000000"/>
                <w:szCs w:val="28"/>
              </w:rPr>
              <w:t>经密闭走廊输送机输送至翻车房，</w:t>
            </w:r>
            <w:r>
              <w:rPr>
                <w:color w:val="000000"/>
                <w:szCs w:val="28"/>
              </w:rPr>
              <w:t>经翻车机卸至缓冲仓内，再通过仓下给料机给至矸石上仓胶带输送机运至矸石仓内储存</w:t>
            </w:r>
            <w:r>
              <w:rPr>
                <w:rFonts w:hint="eastAsia"/>
                <w:color w:val="000000"/>
                <w:szCs w:val="28"/>
              </w:rPr>
              <w:t>，</w:t>
            </w:r>
            <w:r>
              <w:rPr>
                <w:rFonts w:hint="eastAsia"/>
              </w:rPr>
              <w:t>矸石装车过程采取喷淋降尘措施。故本项目矸石转运过程扬尘主要来自装车过程，本项目矸石装车扬尘</w:t>
            </w:r>
            <w:r>
              <w:t>采用交通水运研究所武汉水运工程学院提出的装车粉尘经验公式估算，经验公式为：</w:t>
            </w:r>
          </w:p>
          <w:p w14:paraId="4F106B77">
            <w:pPr>
              <w:ind w:firstLine="480"/>
            </w:pPr>
            <w:r>
              <w:drawing>
                <wp:inline distT="0" distB="0" distL="0" distR="0">
                  <wp:extent cx="2456180" cy="436245"/>
                  <wp:effectExtent l="0" t="0" r="1270" b="190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456180" cy="436245"/>
                          </a:xfrm>
                          <a:prstGeom prst="rect">
                            <a:avLst/>
                          </a:prstGeom>
                          <a:noFill/>
                          <a:ln>
                            <a:noFill/>
                          </a:ln>
                        </pic:spPr>
                      </pic:pic>
                    </a:graphicData>
                  </a:graphic>
                </wp:inline>
              </w:drawing>
            </w:r>
          </w:p>
          <w:p w14:paraId="43F798A2">
            <w:pPr>
              <w:pStyle w:val="53"/>
              <w:ind w:firstLine="480"/>
            </w:pPr>
            <w:r>
              <w:t>式中：Q——物料装车时机械落差起尘量，kg/s；</w:t>
            </w:r>
          </w:p>
          <w:p w14:paraId="0CA767FB">
            <w:pPr>
              <w:pStyle w:val="53"/>
              <w:ind w:firstLine="480"/>
            </w:pPr>
            <w:r>
              <w:t xml:space="preserve">      H——物料落差，m；</w:t>
            </w:r>
            <w:r>
              <w:rPr>
                <w:rFonts w:hint="eastAsia"/>
              </w:rPr>
              <w:t>物料落差</w:t>
            </w:r>
            <w:r>
              <w:t>取0.5m；</w:t>
            </w:r>
          </w:p>
          <w:p w14:paraId="0D4CB598">
            <w:pPr>
              <w:pStyle w:val="53"/>
              <w:ind w:firstLine="480"/>
            </w:pPr>
            <w:r>
              <w:t xml:space="preserve">      μ——平均风速，m/s；</w:t>
            </w:r>
            <w:r>
              <w:rPr>
                <w:rFonts w:hint="eastAsia"/>
              </w:rPr>
              <w:t>装车位于矸石仓底部</w:t>
            </w:r>
            <w:r>
              <w:t>，平均风速取0.5m/s；</w:t>
            </w:r>
          </w:p>
          <w:p w14:paraId="52DF3E8A">
            <w:pPr>
              <w:pStyle w:val="53"/>
              <w:ind w:firstLine="480"/>
            </w:pPr>
            <w:r>
              <w:t xml:space="preserve">      ω——物料含水率，%；取10%；</w:t>
            </w:r>
          </w:p>
          <w:p w14:paraId="596F286C">
            <w:pPr>
              <w:pStyle w:val="53"/>
              <w:ind w:firstLine="480"/>
            </w:pPr>
            <w:r>
              <w:t xml:space="preserve">      t——物料装车所需时间，t/s；</w:t>
            </w:r>
            <w:r>
              <w:rPr>
                <w:rFonts w:hint="eastAsia"/>
              </w:rPr>
              <w:t>矸石仓卸料速度</w:t>
            </w:r>
            <w:r>
              <w:t>为</w:t>
            </w:r>
            <w:r>
              <w:rPr>
                <w:rFonts w:hint="eastAsia"/>
              </w:rPr>
              <w:t>0</w:t>
            </w:r>
            <w:r>
              <w:t>.5t/s。</w:t>
            </w:r>
          </w:p>
          <w:p w14:paraId="186E8D7B">
            <w:pPr>
              <w:pStyle w:val="53"/>
              <w:ind w:firstLine="480"/>
            </w:pPr>
            <w:r>
              <w:rPr>
                <w:rFonts w:hint="eastAsia"/>
              </w:rPr>
              <w:t>经计算，装车过程</w:t>
            </w:r>
            <w:r>
              <w:t>起尘量为0.008</w:t>
            </w:r>
            <w:r>
              <w:rPr>
                <w:rFonts w:hint="eastAsia"/>
              </w:rPr>
              <w:t>k</w:t>
            </w:r>
            <w:r>
              <w:t>g/s，项目每年</w:t>
            </w:r>
            <w:r>
              <w:rPr>
                <w:rFonts w:hint="eastAsia"/>
              </w:rPr>
              <w:t>矸石量为</w:t>
            </w:r>
            <w:r>
              <w:t>16.7</w:t>
            </w:r>
            <w:r>
              <w:rPr>
                <w:rFonts w:hint="eastAsia"/>
              </w:rPr>
              <w:t>万</w:t>
            </w:r>
            <w:r>
              <w:t>t，相当于物料下落总时间为334000s，</w:t>
            </w:r>
            <w:r>
              <w:rPr>
                <w:rFonts w:hint="eastAsia"/>
              </w:rPr>
              <w:t>经计算，矸石转运过程</w:t>
            </w:r>
            <w:r>
              <w:t>粉尘</w:t>
            </w:r>
            <w:r>
              <w:rPr>
                <w:rFonts w:hint="eastAsia"/>
              </w:rPr>
              <w:t>产生</w:t>
            </w:r>
            <w:r>
              <w:t>量为2.672t/a，</w:t>
            </w:r>
            <w:r>
              <w:rPr>
                <w:rFonts w:hint="eastAsia"/>
              </w:rPr>
              <w:t>装车过程采取喷淋降尘措施，</w:t>
            </w:r>
            <w:r>
              <w:t>可使粉尘排放量降低90%，则</w:t>
            </w:r>
            <w:r>
              <w:rPr>
                <w:rFonts w:hint="eastAsia"/>
              </w:rPr>
              <w:t>矸石转运过程粉尘</w:t>
            </w:r>
            <w:r>
              <w:t>排放量为0.267t/a。</w:t>
            </w:r>
          </w:p>
          <w:p w14:paraId="64365DC8">
            <w:pPr>
              <w:pStyle w:val="53"/>
              <w:ind w:firstLine="480"/>
            </w:pPr>
            <w:r>
              <w:rPr>
                <w:rFonts w:hint="eastAsia"/>
              </w:rPr>
              <w:t>（2）厂内道路</w:t>
            </w:r>
            <w:r>
              <w:t>运输扬尘</w:t>
            </w:r>
          </w:p>
          <w:p w14:paraId="6412A3E2">
            <w:pPr>
              <w:pStyle w:val="53"/>
              <w:ind w:firstLine="480"/>
            </w:pPr>
            <w:r>
              <w:t>本项目</w:t>
            </w:r>
            <w:r>
              <w:rPr>
                <w:rFonts w:hint="eastAsia"/>
              </w:rPr>
              <w:t>厂内运输道路均采取水泥硬化路面，通过及时</w:t>
            </w:r>
            <w:r>
              <w:t>清扫、洒水抑尘后，</w:t>
            </w:r>
            <w:r>
              <w:rPr>
                <w:rFonts w:hint="eastAsia"/>
              </w:rPr>
              <w:t>本项目厂内</w:t>
            </w:r>
            <w:r>
              <w:t>运输道路基本无扬尘排放。</w:t>
            </w:r>
          </w:p>
          <w:p w14:paraId="20BD4D8B">
            <w:pPr>
              <w:pStyle w:val="53"/>
              <w:ind w:firstLine="480"/>
            </w:pPr>
            <w:r>
              <w:t>本项目大气污染物产生及排放情况见下表。</w:t>
            </w:r>
          </w:p>
          <w:p w14:paraId="19549A3A">
            <w:pPr>
              <w:pStyle w:val="74"/>
              <w:bidi w:val="0"/>
            </w:pPr>
            <w:r>
              <w:t>表4-6  项目大气污染物产生及排放情况汇总表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566"/>
              <w:gridCol w:w="706"/>
              <w:gridCol w:w="667"/>
              <w:gridCol w:w="706"/>
              <w:gridCol w:w="1062"/>
              <w:gridCol w:w="636"/>
              <w:gridCol w:w="613"/>
              <w:gridCol w:w="706"/>
              <w:gridCol w:w="1062"/>
              <w:gridCol w:w="777"/>
            </w:tblGrid>
            <w:tr w14:paraId="270CA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0" w:type="auto"/>
                  <w:vMerge w:val="restart"/>
                  <w:shd w:val="clear" w:color="auto" w:fill="auto"/>
                  <w:vAlign w:val="center"/>
                </w:tcPr>
                <w:p w14:paraId="5DAD568B">
                  <w:pPr>
                    <w:pStyle w:val="49"/>
                  </w:pPr>
                  <w:r>
                    <w:t>工序</w:t>
                  </w:r>
                </w:p>
              </w:tc>
              <w:tc>
                <w:tcPr>
                  <w:tcW w:w="0" w:type="auto"/>
                  <w:vMerge w:val="restart"/>
                  <w:shd w:val="clear" w:color="auto" w:fill="auto"/>
                  <w:vAlign w:val="center"/>
                </w:tcPr>
                <w:p w14:paraId="5DDE0A88">
                  <w:pPr>
                    <w:pStyle w:val="49"/>
                  </w:pPr>
                  <w:r>
                    <w:t>装置</w:t>
                  </w:r>
                </w:p>
              </w:tc>
              <w:tc>
                <w:tcPr>
                  <w:tcW w:w="0" w:type="auto"/>
                  <w:vMerge w:val="restart"/>
                  <w:shd w:val="clear" w:color="auto" w:fill="auto"/>
                  <w:vAlign w:val="center"/>
                </w:tcPr>
                <w:p w14:paraId="2A46DCCC">
                  <w:pPr>
                    <w:pStyle w:val="49"/>
                  </w:pPr>
                  <w:r>
                    <w:t>污染源</w:t>
                  </w:r>
                </w:p>
              </w:tc>
              <w:tc>
                <w:tcPr>
                  <w:tcW w:w="0" w:type="auto"/>
                  <w:vMerge w:val="restart"/>
                  <w:shd w:val="clear" w:color="auto" w:fill="auto"/>
                  <w:vAlign w:val="center"/>
                </w:tcPr>
                <w:p w14:paraId="7B914C55">
                  <w:pPr>
                    <w:pStyle w:val="49"/>
                  </w:pPr>
                  <w:r>
                    <w:t>污染物</w:t>
                  </w:r>
                </w:p>
              </w:tc>
              <w:tc>
                <w:tcPr>
                  <w:tcW w:w="0" w:type="auto"/>
                  <w:gridSpan w:val="2"/>
                  <w:shd w:val="clear" w:color="auto" w:fill="auto"/>
                  <w:vAlign w:val="center"/>
                </w:tcPr>
                <w:p w14:paraId="102A4AFF">
                  <w:pPr>
                    <w:pStyle w:val="49"/>
                  </w:pPr>
                  <w:r>
                    <w:t>污染物产生</w:t>
                  </w:r>
                </w:p>
              </w:tc>
              <w:tc>
                <w:tcPr>
                  <w:tcW w:w="0" w:type="auto"/>
                  <w:gridSpan w:val="2"/>
                  <w:shd w:val="clear" w:color="auto" w:fill="auto"/>
                  <w:vAlign w:val="center"/>
                </w:tcPr>
                <w:p w14:paraId="418BE4B0">
                  <w:pPr>
                    <w:pStyle w:val="49"/>
                  </w:pPr>
                  <w:r>
                    <w:t>治理措施</w:t>
                  </w:r>
                </w:p>
              </w:tc>
              <w:tc>
                <w:tcPr>
                  <w:tcW w:w="0" w:type="auto"/>
                  <w:gridSpan w:val="2"/>
                  <w:shd w:val="clear" w:color="auto" w:fill="auto"/>
                  <w:vAlign w:val="center"/>
                </w:tcPr>
                <w:p w14:paraId="2ED11BCA">
                  <w:pPr>
                    <w:pStyle w:val="49"/>
                  </w:pPr>
                  <w:r>
                    <w:t>污染物排放</w:t>
                  </w:r>
                </w:p>
              </w:tc>
              <w:tc>
                <w:tcPr>
                  <w:tcW w:w="0" w:type="auto"/>
                  <w:vMerge w:val="restart"/>
                  <w:shd w:val="clear" w:color="auto" w:fill="auto"/>
                  <w:vAlign w:val="center"/>
                </w:tcPr>
                <w:p w14:paraId="2723E4C8">
                  <w:pPr>
                    <w:pStyle w:val="49"/>
                  </w:pPr>
                  <w:r>
                    <w:t>排放时间</w:t>
                  </w:r>
                </w:p>
              </w:tc>
            </w:tr>
            <w:tr w14:paraId="35973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0" w:type="auto"/>
                  <w:vMerge w:val="continue"/>
                  <w:shd w:val="clear" w:color="auto" w:fill="auto"/>
                  <w:vAlign w:val="center"/>
                </w:tcPr>
                <w:p w14:paraId="2AC98E68">
                  <w:pPr>
                    <w:pStyle w:val="49"/>
                  </w:pPr>
                </w:p>
              </w:tc>
              <w:tc>
                <w:tcPr>
                  <w:tcW w:w="0" w:type="auto"/>
                  <w:vMerge w:val="continue"/>
                  <w:shd w:val="clear" w:color="auto" w:fill="auto"/>
                  <w:vAlign w:val="center"/>
                </w:tcPr>
                <w:p w14:paraId="1168F12B">
                  <w:pPr>
                    <w:pStyle w:val="49"/>
                  </w:pPr>
                </w:p>
              </w:tc>
              <w:tc>
                <w:tcPr>
                  <w:tcW w:w="0" w:type="auto"/>
                  <w:vMerge w:val="continue"/>
                  <w:shd w:val="clear" w:color="auto" w:fill="auto"/>
                  <w:vAlign w:val="center"/>
                </w:tcPr>
                <w:p w14:paraId="01F8B9BE">
                  <w:pPr>
                    <w:pStyle w:val="49"/>
                  </w:pPr>
                </w:p>
              </w:tc>
              <w:tc>
                <w:tcPr>
                  <w:tcW w:w="0" w:type="auto"/>
                  <w:vMerge w:val="continue"/>
                  <w:shd w:val="clear" w:color="auto" w:fill="auto"/>
                  <w:vAlign w:val="center"/>
                </w:tcPr>
                <w:p w14:paraId="3DFA6D90">
                  <w:pPr>
                    <w:pStyle w:val="49"/>
                  </w:pPr>
                </w:p>
              </w:tc>
              <w:tc>
                <w:tcPr>
                  <w:tcW w:w="0" w:type="auto"/>
                  <w:shd w:val="clear" w:color="auto" w:fill="auto"/>
                  <w:vAlign w:val="center"/>
                </w:tcPr>
                <w:p w14:paraId="4B4A085A">
                  <w:pPr>
                    <w:pStyle w:val="49"/>
                  </w:pPr>
                  <w:r>
                    <w:t>核算</w:t>
                  </w:r>
                </w:p>
                <w:p w14:paraId="722F49C5">
                  <w:pPr>
                    <w:pStyle w:val="49"/>
                  </w:pPr>
                  <w:r>
                    <w:t>方法</w:t>
                  </w:r>
                </w:p>
              </w:tc>
              <w:tc>
                <w:tcPr>
                  <w:tcW w:w="0" w:type="auto"/>
                  <w:shd w:val="clear" w:color="auto" w:fill="auto"/>
                  <w:vAlign w:val="center"/>
                </w:tcPr>
                <w:p w14:paraId="1B2E0C0C">
                  <w:pPr>
                    <w:pStyle w:val="49"/>
                  </w:pPr>
                  <w:r>
                    <w:t>产生量</w:t>
                  </w:r>
                </w:p>
              </w:tc>
              <w:tc>
                <w:tcPr>
                  <w:tcW w:w="0" w:type="auto"/>
                  <w:shd w:val="clear" w:color="auto" w:fill="auto"/>
                  <w:vAlign w:val="center"/>
                </w:tcPr>
                <w:p w14:paraId="5090D70A">
                  <w:pPr>
                    <w:pStyle w:val="49"/>
                  </w:pPr>
                  <w:r>
                    <w:t>工艺</w:t>
                  </w:r>
                </w:p>
              </w:tc>
              <w:tc>
                <w:tcPr>
                  <w:tcW w:w="0" w:type="auto"/>
                  <w:shd w:val="clear" w:color="auto" w:fill="auto"/>
                  <w:vAlign w:val="center"/>
                </w:tcPr>
                <w:p w14:paraId="5F967AB0">
                  <w:pPr>
                    <w:pStyle w:val="49"/>
                  </w:pPr>
                  <w:r>
                    <w:t>效率</w:t>
                  </w:r>
                </w:p>
              </w:tc>
              <w:tc>
                <w:tcPr>
                  <w:tcW w:w="0" w:type="auto"/>
                  <w:shd w:val="clear" w:color="auto" w:fill="auto"/>
                  <w:vAlign w:val="center"/>
                </w:tcPr>
                <w:p w14:paraId="2AEDACE5">
                  <w:pPr>
                    <w:pStyle w:val="49"/>
                  </w:pPr>
                  <w:r>
                    <w:t>核算</w:t>
                  </w:r>
                </w:p>
                <w:p w14:paraId="7B0EA9CD">
                  <w:pPr>
                    <w:pStyle w:val="49"/>
                  </w:pPr>
                  <w:r>
                    <w:t>方法</w:t>
                  </w:r>
                </w:p>
              </w:tc>
              <w:tc>
                <w:tcPr>
                  <w:tcW w:w="0" w:type="auto"/>
                  <w:shd w:val="clear" w:color="auto" w:fill="auto"/>
                  <w:vAlign w:val="center"/>
                </w:tcPr>
                <w:p w14:paraId="7C950ACA">
                  <w:pPr>
                    <w:pStyle w:val="49"/>
                  </w:pPr>
                  <w:r>
                    <w:t>排放量</w:t>
                  </w:r>
                </w:p>
              </w:tc>
              <w:tc>
                <w:tcPr>
                  <w:tcW w:w="0" w:type="auto"/>
                  <w:vMerge w:val="continue"/>
                  <w:shd w:val="clear" w:color="auto" w:fill="auto"/>
                  <w:vAlign w:val="center"/>
                </w:tcPr>
                <w:p w14:paraId="7CCBE82E">
                  <w:pPr>
                    <w:pStyle w:val="49"/>
                  </w:pPr>
                </w:p>
              </w:tc>
            </w:tr>
            <w:tr w14:paraId="4ECA0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0" w:type="auto"/>
                  <w:shd w:val="clear" w:color="auto" w:fill="auto"/>
                  <w:vAlign w:val="center"/>
                </w:tcPr>
                <w:p w14:paraId="0463BCEB">
                  <w:pPr>
                    <w:pStyle w:val="49"/>
                  </w:pPr>
                  <w:r>
                    <w:t>矸石转运</w:t>
                  </w:r>
                </w:p>
              </w:tc>
              <w:tc>
                <w:tcPr>
                  <w:tcW w:w="0" w:type="auto"/>
                  <w:shd w:val="clear" w:color="auto" w:fill="auto"/>
                  <w:vAlign w:val="center"/>
                </w:tcPr>
                <w:p w14:paraId="01532F35">
                  <w:pPr>
                    <w:pStyle w:val="49"/>
                  </w:pPr>
                  <w:r>
                    <w:t>矸石仓</w:t>
                  </w:r>
                </w:p>
              </w:tc>
              <w:tc>
                <w:tcPr>
                  <w:tcW w:w="0" w:type="auto"/>
                  <w:shd w:val="clear" w:color="auto" w:fill="auto"/>
                  <w:vAlign w:val="center"/>
                </w:tcPr>
                <w:p w14:paraId="6F46C1B1">
                  <w:pPr>
                    <w:pStyle w:val="49"/>
                  </w:pPr>
                  <w:r>
                    <w:rPr>
                      <w:rFonts w:hint="eastAsia"/>
                    </w:rPr>
                    <w:t>无组织排放</w:t>
                  </w:r>
                </w:p>
              </w:tc>
              <w:tc>
                <w:tcPr>
                  <w:tcW w:w="0" w:type="auto"/>
                  <w:shd w:val="clear" w:color="auto" w:fill="auto"/>
                  <w:vAlign w:val="center"/>
                </w:tcPr>
                <w:p w14:paraId="0881A169">
                  <w:pPr>
                    <w:pStyle w:val="49"/>
                  </w:pPr>
                  <w:r>
                    <w:t>TSP</w:t>
                  </w:r>
                </w:p>
              </w:tc>
              <w:tc>
                <w:tcPr>
                  <w:tcW w:w="0" w:type="auto"/>
                  <w:shd w:val="clear" w:color="auto" w:fill="auto"/>
                  <w:vAlign w:val="center"/>
                </w:tcPr>
                <w:p w14:paraId="7019ECC4">
                  <w:pPr>
                    <w:pStyle w:val="49"/>
                  </w:pPr>
                  <w:r>
                    <w:t>产污系数法</w:t>
                  </w:r>
                </w:p>
              </w:tc>
              <w:tc>
                <w:tcPr>
                  <w:tcW w:w="0" w:type="auto"/>
                  <w:shd w:val="clear" w:color="auto" w:fill="auto"/>
                  <w:vAlign w:val="center"/>
                </w:tcPr>
                <w:p w14:paraId="2D9D212D">
                  <w:pPr>
                    <w:pStyle w:val="49"/>
                  </w:pPr>
                  <w:r>
                    <w:t>7.315kg/h</w:t>
                  </w:r>
                </w:p>
              </w:tc>
              <w:tc>
                <w:tcPr>
                  <w:tcW w:w="0" w:type="auto"/>
                  <w:shd w:val="clear" w:color="auto" w:fill="auto"/>
                  <w:vAlign w:val="center"/>
                </w:tcPr>
                <w:p w14:paraId="000E8C80">
                  <w:pPr>
                    <w:pStyle w:val="49"/>
                  </w:pPr>
                  <w:r>
                    <w:t>喷淋降尘</w:t>
                  </w:r>
                </w:p>
              </w:tc>
              <w:tc>
                <w:tcPr>
                  <w:tcW w:w="0" w:type="auto"/>
                  <w:shd w:val="clear" w:color="auto" w:fill="auto"/>
                  <w:vAlign w:val="center"/>
                </w:tcPr>
                <w:p w14:paraId="4930B31C">
                  <w:pPr>
                    <w:pStyle w:val="49"/>
                  </w:pPr>
                  <w:r>
                    <w:t>80%</w:t>
                  </w:r>
                </w:p>
              </w:tc>
              <w:tc>
                <w:tcPr>
                  <w:tcW w:w="0" w:type="auto"/>
                  <w:shd w:val="clear" w:color="auto" w:fill="auto"/>
                  <w:vAlign w:val="center"/>
                </w:tcPr>
                <w:p w14:paraId="6C54243E">
                  <w:pPr>
                    <w:pStyle w:val="49"/>
                  </w:pPr>
                  <w:r>
                    <w:t>产污系数法</w:t>
                  </w:r>
                </w:p>
              </w:tc>
              <w:tc>
                <w:tcPr>
                  <w:tcW w:w="0" w:type="auto"/>
                  <w:shd w:val="clear" w:color="auto" w:fill="auto"/>
                  <w:vAlign w:val="center"/>
                </w:tcPr>
                <w:p w14:paraId="72FF5BA7">
                  <w:pPr>
                    <w:pStyle w:val="49"/>
                  </w:pPr>
                  <w:r>
                    <w:t>0.732kg/h</w:t>
                  </w:r>
                </w:p>
              </w:tc>
              <w:tc>
                <w:tcPr>
                  <w:tcW w:w="0" w:type="auto"/>
                  <w:shd w:val="clear" w:color="auto" w:fill="auto"/>
                  <w:vAlign w:val="center"/>
                </w:tcPr>
                <w:p w14:paraId="496BFCB2">
                  <w:pPr>
                    <w:pStyle w:val="49"/>
                  </w:pPr>
                  <w:r>
                    <w:t>365h</w:t>
                  </w:r>
                </w:p>
              </w:tc>
            </w:tr>
          </w:tbl>
          <w:p w14:paraId="17C54682">
            <w:pPr>
              <w:pStyle w:val="53"/>
              <w:ind w:firstLine="480"/>
            </w:pPr>
            <w:r>
              <w:rPr>
                <w:rFonts w:hint="eastAsia"/>
              </w:rPr>
              <w:t>3、</w:t>
            </w:r>
            <w:r>
              <w:t>噪声</w:t>
            </w:r>
            <w:r>
              <w:rPr>
                <w:rFonts w:hint="eastAsia"/>
              </w:rPr>
              <w:t>影响分析</w:t>
            </w:r>
          </w:p>
          <w:p w14:paraId="49F6F7A6">
            <w:pPr>
              <w:pStyle w:val="45"/>
              <w:adjustRightInd w:val="0"/>
              <w:snapToGrid w:val="0"/>
              <w:spacing w:line="500" w:lineRule="exact"/>
              <w:ind w:firstLine="480"/>
              <w:rPr>
                <w:kern w:val="0"/>
              </w:rPr>
            </w:pPr>
            <w:r>
              <w:rPr>
                <w:rFonts w:hint="eastAsia"/>
              </w:rPr>
              <w:t>本项目运营期主要噪声源为风机、水泵及运输车辆等，</w:t>
            </w:r>
            <w:r>
              <w:rPr>
                <w:kern w:val="0"/>
              </w:rPr>
              <w:t>本项目主要噪声源及源强见表4-7。</w:t>
            </w:r>
          </w:p>
          <w:p w14:paraId="22878255">
            <w:pPr>
              <w:pStyle w:val="74"/>
              <w:bidi w:val="0"/>
            </w:pPr>
            <w:r>
              <w:t>表4-7  噪声污染源源强核算结果及相关参数一览表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1002"/>
              <w:gridCol w:w="1001"/>
              <w:gridCol w:w="677"/>
              <w:gridCol w:w="752"/>
              <w:gridCol w:w="1139"/>
              <w:gridCol w:w="708"/>
              <w:gridCol w:w="566"/>
              <w:gridCol w:w="752"/>
              <w:gridCol w:w="660"/>
            </w:tblGrid>
            <w:tr w14:paraId="64CDA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vMerge w:val="restart"/>
                  <w:shd w:val="clear" w:color="auto" w:fill="auto"/>
                  <w:vAlign w:val="center"/>
                </w:tcPr>
                <w:p w14:paraId="439FC75A">
                  <w:pPr>
                    <w:ind w:left="-42" w:leftChars="-20" w:right="-42" w:rightChars="-20"/>
                    <w:jc w:val="center"/>
                    <w:rPr>
                      <w:sz w:val="18"/>
                      <w:szCs w:val="18"/>
                    </w:rPr>
                  </w:pPr>
                  <w:r>
                    <w:rPr>
                      <w:sz w:val="18"/>
                      <w:szCs w:val="18"/>
                    </w:rPr>
                    <w:t>工序</w:t>
                  </w:r>
                </w:p>
              </w:tc>
              <w:tc>
                <w:tcPr>
                  <w:tcW w:w="616" w:type="pct"/>
                  <w:vMerge w:val="restart"/>
                  <w:shd w:val="clear" w:color="auto" w:fill="auto"/>
                  <w:vAlign w:val="center"/>
                </w:tcPr>
                <w:p w14:paraId="63AFA4AE">
                  <w:pPr>
                    <w:ind w:left="-42" w:leftChars="-20" w:right="-42" w:rightChars="-20"/>
                    <w:jc w:val="center"/>
                    <w:rPr>
                      <w:sz w:val="18"/>
                      <w:szCs w:val="18"/>
                    </w:rPr>
                  </w:pPr>
                  <w:r>
                    <w:rPr>
                      <w:sz w:val="18"/>
                      <w:szCs w:val="18"/>
                    </w:rPr>
                    <w:t>噪声源</w:t>
                  </w:r>
                </w:p>
              </w:tc>
              <w:tc>
                <w:tcPr>
                  <w:tcW w:w="615" w:type="pct"/>
                  <w:vMerge w:val="restart"/>
                  <w:shd w:val="clear" w:color="auto" w:fill="auto"/>
                  <w:vAlign w:val="center"/>
                </w:tcPr>
                <w:p w14:paraId="644D9102">
                  <w:pPr>
                    <w:ind w:left="-42" w:leftChars="-20" w:right="-42" w:rightChars="-20"/>
                    <w:rPr>
                      <w:sz w:val="18"/>
                      <w:szCs w:val="18"/>
                    </w:rPr>
                  </w:pPr>
                  <w:r>
                    <w:rPr>
                      <w:sz w:val="18"/>
                      <w:szCs w:val="18"/>
                    </w:rPr>
                    <w:t>声源类型</w:t>
                  </w:r>
                </w:p>
              </w:tc>
              <w:tc>
                <w:tcPr>
                  <w:tcW w:w="878" w:type="pct"/>
                  <w:gridSpan w:val="2"/>
                  <w:shd w:val="clear" w:color="auto" w:fill="auto"/>
                  <w:vAlign w:val="center"/>
                </w:tcPr>
                <w:p w14:paraId="0EC0E5DA">
                  <w:pPr>
                    <w:ind w:left="-41" w:leftChars="-51" w:right="-42" w:rightChars="-20" w:hanging="66"/>
                    <w:jc w:val="center"/>
                    <w:rPr>
                      <w:sz w:val="18"/>
                      <w:szCs w:val="18"/>
                    </w:rPr>
                  </w:pPr>
                  <w:r>
                    <w:rPr>
                      <w:sz w:val="18"/>
                      <w:szCs w:val="18"/>
                    </w:rPr>
                    <w:t>噪声源强</w:t>
                  </w:r>
                </w:p>
              </w:tc>
              <w:tc>
                <w:tcPr>
                  <w:tcW w:w="1135" w:type="pct"/>
                  <w:gridSpan w:val="2"/>
                  <w:shd w:val="clear" w:color="auto" w:fill="auto"/>
                  <w:vAlign w:val="center"/>
                </w:tcPr>
                <w:p w14:paraId="193E93CB">
                  <w:pPr>
                    <w:ind w:left="-42" w:leftChars="-20" w:right="-42" w:rightChars="-20"/>
                    <w:rPr>
                      <w:sz w:val="18"/>
                      <w:szCs w:val="18"/>
                    </w:rPr>
                  </w:pPr>
                  <w:r>
                    <w:rPr>
                      <w:sz w:val="18"/>
                      <w:szCs w:val="18"/>
                    </w:rPr>
                    <w:t>降噪措施</w:t>
                  </w:r>
                </w:p>
              </w:tc>
              <w:tc>
                <w:tcPr>
                  <w:tcW w:w="810" w:type="pct"/>
                  <w:gridSpan w:val="2"/>
                  <w:shd w:val="clear" w:color="auto" w:fill="auto"/>
                  <w:vAlign w:val="center"/>
                </w:tcPr>
                <w:p w14:paraId="10B8A40C">
                  <w:pPr>
                    <w:ind w:left="-42" w:leftChars="-20" w:right="-42" w:rightChars="-20"/>
                    <w:rPr>
                      <w:sz w:val="18"/>
                      <w:szCs w:val="18"/>
                    </w:rPr>
                  </w:pPr>
                  <w:r>
                    <w:rPr>
                      <w:sz w:val="18"/>
                      <w:szCs w:val="18"/>
                    </w:rPr>
                    <w:t>噪声排放值</w:t>
                  </w:r>
                </w:p>
              </w:tc>
              <w:tc>
                <w:tcPr>
                  <w:tcW w:w="405" w:type="pct"/>
                  <w:vMerge w:val="restart"/>
                  <w:shd w:val="clear" w:color="auto" w:fill="auto"/>
                  <w:vAlign w:val="center"/>
                </w:tcPr>
                <w:p w14:paraId="167A16E9">
                  <w:pPr>
                    <w:ind w:left="-42" w:leftChars="-20" w:right="-42" w:rightChars="-20"/>
                    <w:jc w:val="center"/>
                    <w:rPr>
                      <w:sz w:val="18"/>
                      <w:szCs w:val="18"/>
                    </w:rPr>
                  </w:pPr>
                  <w:r>
                    <w:rPr>
                      <w:sz w:val="18"/>
                      <w:szCs w:val="18"/>
                    </w:rPr>
                    <w:t>持续时间/h</w:t>
                  </w:r>
                </w:p>
              </w:tc>
            </w:tr>
            <w:tr w14:paraId="6970D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vMerge w:val="continue"/>
                  <w:shd w:val="clear" w:color="auto" w:fill="auto"/>
                  <w:vAlign w:val="center"/>
                </w:tcPr>
                <w:p w14:paraId="4044136A">
                  <w:pPr>
                    <w:ind w:left="-42" w:leftChars="-20" w:right="-42" w:rightChars="-20"/>
                    <w:jc w:val="center"/>
                    <w:rPr>
                      <w:sz w:val="18"/>
                      <w:szCs w:val="18"/>
                    </w:rPr>
                  </w:pPr>
                </w:p>
              </w:tc>
              <w:tc>
                <w:tcPr>
                  <w:tcW w:w="616" w:type="pct"/>
                  <w:vMerge w:val="continue"/>
                  <w:shd w:val="clear" w:color="auto" w:fill="auto"/>
                  <w:vAlign w:val="center"/>
                </w:tcPr>
                <w:p w14:paraId="0EA9A719">
                  <w:pPr>
                    <w:ind w:left="-42" w:leftChars="-20" w:right="-42" w:rightChars="-20"/>
                    <w:jc w:val="center"/>
                    <w:rPr>
                      <w:sz w:val="18"/>
                      <w:szCs w:val="18"/>
                    </w:rPr>
                  </w:pPr>
                </w:p>
              </w:tc>
              <w:tc>
                <w:tcPr>
                  <w:tcW w:w="615" w:type="pct"/>
                  <w:vMerge w:val="continue"/>
                  <w:shd w:val="clear" w:color="auto" w:fill="auto"/>
                  <w:vAlign w:val="center"/>
                </w:tcPr>
                <w:p w14:paraId="1D7C188A">
                  <w:pPr>
                    <w:ind w:left="-42" w:leftChars="-20" w:right="-42" w:rightChars="-20"/>
                    <w:rPr>
                      <w:sz w:val="18"/>
                      <w:szCs w:val="18"/>
                    </w:rPr>
                  </w:pPr>
                </w:p>
              </w:tc>
              <w:tc>
                <w:tcPr>
                  <w:tcW w:w="416" w:type="pct"/>
                  <w:shd w:val="clear" w:color="auto" w:fill="auto"/>
                  <w:vAlign w:val="center"/>
                </w:tcPr>
                <w:p w14:paraId="3CC63149">
                  <w:pPr>
                    <w:ind w:left="-42" w:leftChars="-20" w:right="-42" w:rightChars="-20"/>
                    <w:jc w:val="center"/>
                    <w:rPr>
                      <w:sz w:val="18"/>
                      <w:szCs w:val="18"/>
                    </w:rPr>
                  </w:pPr>
                  <w:r>
                    <w:rPr>
                      <w:sz w:val="18"/>
                      <w:szCs w:val="18"/>
                    </w:rPr>
                    <w:t>核算方法</w:t>
                  </w:r>
                </w:p>
              </w:tc>
              <w:tc>
                <w:tcPr>
                  <w:tcW w:w="462" w:type="pct"/>
                  <w:shd w:val="clear" w:color="auto" w:fill="auto"/>
                  <w:vAlign w:val="center"/>
                </w:tcPr>
                <w:p w14:paraId="1A5D9E7B">
                  <w:pPr>
                    <w:ind w:left="-42" w:leftChars="-20" w:right="-42" w:rightChars="-20"/>
                    <w:rPr>
                      <w:sz w:val="18"/>
                      <w:szCs w:val="18"/>
                    </w:rPr>
                  </w:pPr>
                  <w:r>
                    <w:rPr>
                      <w:sz w:val="18"/>
                      <w:szCs w:val="18"/>
                    </w:rPr>
                    <w:t>噪声值/（dB）</w:t>
                  </w:r>
                </w:p>
              </w:tc>
              <w:tc>
                <w:tcPr>
                  <w:tcW w:w="700" w:type="pct"/>
                  <w:shd w:val="clear" w:color="auto" w:fill="auto"/>
                  <w:vAlign w:val="center"/>
                </w:tcPr>
                <w:p w14:paraId="149589D0">
                  <w:pPr>
                    <w:ind w:left="-42" w:leftChars="-20" w:right="-42" w:rightChars="-20"/>
                    <w:jc w:val="center"/>
                    <w:rPr>
                      <w:sz w:val="18"/>
                      <w:szCs w:val="18"/>
                    </w:rPr>
                  </w:pPr>
                  <w:r>
                    <w:rPr>
                      <w:sz w:val="18"/>
                      <w:szCs w:val="18"/>
                    </w:rPr>
                    <w:t>工艺</w:t>
                  </w:r>
                </w:p>
              </w:tc>
              <w:tc>
                <w:tcPr>
                  <w:tcW w:w="435" w:type="pct"/>
                  <w:shd w:val="clear" w:color="auto" w:fill="auto"/>
                  <w:vAlign w:val="center"/>
                </w:tcPr>
                <w:p w14:paraId="47D49BB9">
                  <w:pPr>
                    <w:ind w:left="-42" w:leftChars="-20" w:right="-42" w:rightChars="-20"/>
                    <w:jc w:val="center"/>
                    <w:rPr>
                      <w:sz w:val="18"/>
                      <w:szCs w:val="18"/>
                    </w:rPr>
                  </w:pPr>
                  <w:r>
                    <w:rPr>
                      <w:sz w:val="18"/>
                      <w:szCs w:val="18"/>
                    </w:rPr>
                    <w:t>降噪效果/(dB)</w:t>
                  </w:r>
                </w:p>
              </w:tc>
              <w:tc>
                <w:tcPr>
                  <w:tcW w:w="348" w:type="pct"/>
                  <w:shd w:val="clear" w:color="auto" w:fill="auto"/>
                  <w:vAlign w:val="center"/>
                </w:tcPr>
                <w:p w14:paraId="4266D3A9">
                  <w:pPr>
                    <w:ind w:left="-42" w:leftChars="-20" w:right="-42" w:rightChars="-20"/>
                    <w:jc w:val="center"/>
                    <w:rPr>
                      <w:sz w:val="18"/>
                      <w:szCs w:val="18"/>
                    </w:rPr>
                  </w:pPr>
                  <w:r>
                    <w:rPr>
                      <w:sz w:val="18"/>
                      <w:szCs w:val="18"/>
                    </w:rPr>
                    <w:t>核算方法</w:t>
                  </w:r>
                </w:p>
              </w:tc>
              <w:tc>
                <w:tcPr>
                  <w:tcW w:w="462" w:type="pct"/>
                  <w:shd w:val="clear" w:color="auto" w:fill="auto"/>
                  <w:vAlign w:val="center"/>
                </w:tcPr>
                <w:p w14:paraId="7DD2D0DC">
                  <w:pPr>
                    <w:ind w:left="-42" w:leftChars="-20" w:right="-42" w:rightChars="-20"/>
                    <w:rPr>
                      <w:sz w:val="18"/>
                      <w:szCs w:val="18"/>
                    </w:rPr>
                  </w:pPr>
                  <w:r>
                    <w:rPr>
                      <w:sz w:val="18"/>
                      <w:szCs w:val="18"/>
                    </w:rPr>
                    <w:t>噪声值/（dB）</w:t>
                  </w:r>
                </w:p>
              </w:tc>
              <w:tc>
                <w:tcPr>
                  <w:tcW w:w="405" w:type="pct"/>
                  <w:vMerge w:val="continue"/>
                  <w:shd w:val="clear" w:color="auto" w:fill="auto"/>
                  <w:vAlign w:val="center"/>
                </w:tcPr>
                <w:p w14:paraId="1BA3794A">
                  <w:pPr>
                    <w:ind w:left="-42" w:leftChars="-20" w:right="-42" w:rightChars="-20"/>
                    <w:jc w:val="center"/>
                    <w:rPr>
                      <w:sz w:val="18"/>
                      <w:szCs w:val="18"/>
                    </w:rPr>
                  </w:pPr>
                </w:p>
              </w:tc>
            </w:tr>
            <w:tr w14:paraId="554ED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shd w:val="clear" w:color="auto" w:fill="auto"/>
                  <w:vAlign w:val="center"/>
                </w:tcPr>
                <w:p w14:paraId="2A270785">
                  <w:pPr>
                    <w:ind w:left="-42" w:leftChars="-20" w:right="-42" w:rightChars="-20"/>
                    <w:jc w:val="center"/>
                    <w:textAlignment w:val="center"/>
                    <w:rPr>
                      <w:sz w:val="18"/>
                      <w:szCs w:val="18"/>
                    </w:rPr>
                  </w:pPr>
                  <w:r>
                    <w:rPr>
                      <w:rFonts w:hint="eastAsia"/>
                      <w:sz w:val="18"/>
                      <w:szCs w:val="18"/>
                    </w:rPr>
                    <w:t>送风</w:t>
                  </w:r>
                </w:p>
              </w:tc>
              <w:tc>
                <w:tcPr>
                  <w:tcW w:w="616" w:type="pct"/>
                  <w:shd w:val="clear" w:color="auto" w:fill="auto"/>
                  <w:vAlign w:val="center"/>
                </w:tcPr>
                <w:p w14:paraId="365845F8">
                  <w:pPr>
                    <w:jc w:val="center"/>
                    <w:rPr>
                      <w:sz w:val="18"/>
                      <w:szCs w:val="18"/>
                    </w:rPr>
                  </w:pPr>
                  <w:r>
                    <w:rPr>
                      <w:rFonts w:hint="eastAsia"/>
                      <w:sz w:val="18"/>
                      <w:szCs w:val="18"/>
                    </w:rPr>
                    <w:t>风机</w:t>
                  </w:r>
                </w:p>
              </w:tc>
              <w:tc>
                <w:tcPr>
                  <w:tcW w:w="615" w:type="pct"/>
                  <w:shd w:val="clear" w:color="auto" w:fill="auto"/>
                  <w:vAlign w:val="center"/>
                </w:tcPr>
                <w:p w14:paraId="73810DF6">
                  <w:pPr>
                    <w:ind w:left="-42" w:leftChars="-20" w:right="-42" w:rightChars="-20"/>
                    <w:jc w:val="center"/>
                    <w:rPr>
                      <w:sz w:val="18"/>
                      <w:szCs w:val="18"/>
                    </w:rPr>
                  </w:pPr>
                  <w:r>
                    <w:rPr>
                      <w:rFonts w:hint="eastAsia"/>
                      <w:sz w:val="18"/>
                      <w:szCs w:val="18"/>
                    </w:rPr>
                    <w:t>连续</w:t>
                  </w:r>
                </w:p>
              </w:tc>
              <w:tc>
                <w:tcPr>
                  <w:tcW w:w="416" w:type="pct"/>
                  <w:vMerge w:val="restart"/>
                  <w:shd w:val="clear" w:color="auto" w:fill="auto"/>
                  <w:vAlign w:val="center"/>
                </w:tcPr>
                <w:p w14:paraId="39019286">
                  <w:pPr>
                    <w:ind w:left="-42" w:leftChars="-20" w:right="-42" w:rightChars="-20"/>
                    <w:jc w:val="center"/>
                    <w:textAlignment w:val="center"/>
                    <w:rPr>
                      <w:sz w:val="18"/>
                      <w:szCs w:val="18"/>
                    </w:rPr>
                  </w:pPr>
                  <w:r>
                    <w:rPr>
                      <w:sz w:val="18"/>
                      <w:szCs w:val="18"/>
                    </w:rPr>
                    <w:t>类比法</w:t>
                  </w:r>
                </w:p>
              </w:tc>
              <w:tc>
                <w:tcPr>
                  <w:tcW w:w="462" w:type="pct"/>
                  <w:shd w:val="clear" w:color="auto" w:fill="auto"/>
                  <w:vAlign w:val="center"/>
                </w:tcPr>
                <w:p w14:paraId="0C5EF7C6">
                  <w:pPr>
                    <w:jc w:val="center"/>
                    <w:textAlignment w:val="baseline"/>
                    <w:rPr>
                      <w:snapToGrid w:val="0"/>
                      <w:sz w:val="18"/>
                      <w:szCs w:val="18"/>
                    </w:rPr>
                  </w:pPr>
                  <w:r>
                    <w:rPr>
                      <w:snapToGrid w:val="0"/>
                      <w:sz w:val="18"/>
                      <w:szCs w:val="18"/>
                    </w:rPr>
                    <w:t>90</w:t>
                  </w:r>
                </w:p>
              </w:tc>
              <w:tc>
                <w:tcPr>
                  <w:tcW w:w="700" w:type="pct"/>
                  <w:shd w:val="clear" w:color="auto" w:fill="auto"/>
                  <w:vAlign w:val="center"/>
                </w:tcPr>
                <w:p w14:paraId="32541948">
                  <w:pPr>
                    <w:ind w:left="-42" w:leftChars="-20" w:right="-42" w:rightChars="-20"/>
                    <w:jc w:val="center"/>
                    <w:textAlignment w:val="center"/>
                    <w:rPr>
                      <w:sz w:val="18"/>
                      <w:szCs w:val="18"/>
                    </w:rPr>
                  </w:pPr>
                  <w:r>
                    <w:rPr>
                      <w:sz w:val="18"/>
                      <w:szCs w:val="18"/>
                    </w:rPr>
                    <w:t>减振、</w:t>
                  </w:r>
                  <w:r>
                    <w:rPr>
                      <w:rFonts w:hint="eastAsia"/>
                      <w:sz w:val="18"/>
                      <w:szCs w:val="18"/>
                    </w:rPr>
                    <w:t>隔声、消</w:t>
                  </w:r>
                  <w:r>
                    <w:rPr>
                      <w:sz w:val="18"/>
                      <w:szCs w:val="18"/>
                    </w:rPr>
                    <w:t>声</w:t>
                  </w:r>
                </w:p>
              </w:tc>
              <w:tc>
                <w:tcPr>
                  <w:tcW w:w="435" w:type="pct"/>
                  <w:shd w:val="clear" w:color="auto" w:fill="auto"/>
                  <w:vAlign w:val="center"/>
                </w:tcPr>
                <w:p w14:paraId="5F5ABB64">
                  <w:pPr>
                    <w:ind w:left="-42" w:leftChars="-20" w:right="-42" w:rightChars="-20"/>
                    <w:jc w:val="center"/>
                    <w:textAlignment w:val="center"/>
                    <w:rPr>
                      <w:sz w:val="18"/>
                      <w:szCs w:val="18"/>
                    </w:rPr>
                  </w:pPr>
                  <w:r>
                    <w:rPr>
                      <w:sz w:val="18"/>
                      <w:szCs w:val="18"/>
                    </w:rPr>
                    <w:t>35</w:t>
                  </w:r>
                </w:p>
              </w:tc>
              <w:tc>
                <w:tcPr>
                  <w:tcW w:w="348" w:type="pct"/>
                  <w:vMerge w:val="restart"/>
                  <w:shd w:val="clear" w:color="auto" w:fill="auto"/>
                  <w:vAlign w:val="center"/>
                </w:tcPr>
                <w:p w14:paraId="36D3DC2C">
                  <w:pPr>
                    <w:ind w:left="-42" w:leftChars="-20" w:right="-42" w:rightChars="-20"/>
                    <w:jc w:val="center"/>
                    <w:textAlignment w:val="center"/>
                    <w:rPr>
                      <w:sz w:val="18"/>
                      <w:szCs w:val="18"/>
                    </w:rPr>
                  </w:pPr>
                  <w:r>
                    <w:rPr>
                      <w:sz w:val="18"/>
                      <w:szCs w:val="18"/>
                    </w:rPr>
                    <w:t>类比法</w:t>
                  </w:r>
                </w:p>
              </w:tc>
              <w:tc>
                <w:tcPr>
                  <w:tcW w:w="462" w:type="pct"/>
                  <w:shd w:val="clear" w:color="auto" w:fill="auto"/>
                  <w:vAlign w:val="center"/>
                </w:tcPr>
                <w:p w14:paraId="78B24C96">
                  <w:pPr>
                    <w:ind w:left="-42" w:leftChars="-20" w:right="-42" w:rightChars="-20"/>
                    <w:jc w:val="center"/>
                    <w:textAlignment w:val="center"/>
                    <w:rPr>
                      <w:sz w:val="18"/>
                      <w:szCs w:val="18"/>
                    </w:rPr>
                  </w:pPr>
                  <w:r>
                    <w:rPr>
                      <w:sz w:val="18"/>
                      <w:szCs w:val="18"/>
                    </w:rPr>
                    <w:t>55</w:t>
                  </w:r>
                </w:p>
              </w:tc>
              <w:tc>
                <w:tcPr>
                  <w:tcW w:w="405" w:type="pct"/>
                  <w:vMerge w:val="restart"/>
                  <w:shd w:val="clear" w:color="auto" w:fill="auto"/>
                  <w:vAlign w:val="center"/>
                </w:tcPr>
                <w:p w14:paraId="6B311711">
                  <w:pPr>
                    <w:ind w:left="-42" w:leftChars="-20" w:right="-42" w:rightChars="-20"/>
                    <w:jc w:val="center"/>
                    <w:textAlignment w:val="center"/>
                    <w:rPr>
                      <w:sz w:val="18"/>
                      <w:szCs w:val="18"/>
                    </w:rPr>
                  </w:pPr>
                  <w:r>
                    <w:rPr>
                      <w:sz w:val="18"/>
                      <w:szCs w:val="18"/>
                    </w:rPr>
                    <w:t>8760</w:t>
                  </w:r>
                </w:p>
              </w:tc>
            </w:tr>
            <w:tr w14:paraId="69800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shd w:val="clear" w:color="auto" w:fill="auto"/>
                  <w:vAlign w:val="center"/>
                </w:tcPr>
                <w:p w14:paraId="1CD3958B">
                  <w:pPr>
                    <w:ind w:left="-42" w:leftChars="-20" w:right="-42" w:rightChars="-20"/>
                    <w:jc w:val="center"/>
                    <w:textAlignment w:val="center"/>
                    <w:rPr>
                      <w:sz w:val="18"/>
                      <w:szCs w:val="18"/>
                    </w:rPr>
                  </w:pPr>
                  <w:r>
                    <w:rPr>
                      <w:rFonts w:hint="eastAsia"/>
                      <w:sz w:val="18"/>
                      <w:szCs w:val="18"/>
                    </w:rPr>
                    <w:t>矸石外运</w:t>
                  </w:r>
                </w:p>
              </w:tc>
              <w:tc>
                <w:tcPr>
                  <w:tcW w:w="616" w:type="pct"/>
                  <w:shd w:val="clear" w:color="auto" w:fill="auto"/>
                  <w:vAlign w:val="center"/>
                </w:tcPr>
                <w:p w14:paraId="7C1CA526">
                  <w:pPr>
                    <w:jc w:val="center"/>
                    <w:rPr>
                      <w:sz w:val="18"/>
                      <w:szCs w:val="18"/>
                    </w:rPr>
                  </w:pPr>
                  <w:r>
                    <w:rPr>
                      <w:rFonts w:hint="eastAsia"/>
                      <w:sz w:val="18"/>
                      <w:szCs w:val="18"/>
                    </w:rPr>
                    <w:t>运输车辆</w:t>
                  </w:r>
                </w:p>
              </w:tc>
              <w:tc>
                <w:tcPr>
                  <w:tcW w:w="615" w:type="pct"/>
                  <w:shd w:val="clear" w:color="auto" w:fill="auto"/>
                  <w:vAlign w:val="center"/>
                </w:tcPr>
                <w:p w14:paraId="71F890B9">
                  <w:pPr>
                    <w:jc w:val="center"/>
                    <w:rPr>
                      <w:sz w:val="18"/>
                      <w:szCs w:val="18"/>
                    </w:rPr>
                  </w:pPr>
                  <w:r>
                    <w:rPr>
                      <w:sz w:val="18"/>
                      <w:szCs w:val="18"/>
                    </w:rPr>
                    <w:t>间断性</w:t>
                  </w:r>
                </w:p>
              </w:tc>
              <w:tc>
                <w:tcPr>
                  <w:tcW w:w="416" w:type="pct"/>
                  <w:vMerge w:val="continue"/>
                  <w:shd w:val="clear" w:color="auto" w:fill="auto"/>
                </w:tcPr>
                <w:p w14:paraId="67D4F507">
                  <w:pPr>
                    <w:ind w:left="-42" w:leftChars="-20" w:right="-42" w:rightChars="-20"/>
                    <w:textAlignment w:val="center"/>
                    <w:rPr>
                      <w:sz w:val="18"/>
                      <w:szCs w:val="18"/>
                    </w:rPr>
                  </w:pPr>
                </w:p>
              </w:tc>
              <w:tc>
                <w:tcPr>
                  <w:tcW w:w="462" w:type="pct"/>
                  <w:shd w:val="clear" w:color="auto" w:fill="auto"/>
                  <w:vAlign w:val="center"/>
                </w:tcPr>
                <w:p w14:paraId="6FC8F611">
                  <w:pPr>
                    <w:jc w:val="center"/>
                    <w:rPr>
                      <w:sz w:val="18"/>
                      <w:szCs w:val="18"/>
                    </w:rPr>
                  </w:pPr>
                  <w:r>
                    <w:rPr>
                      <w:sz w:val="18"/>
                      <w:szCs w:val="18"/>
                    </w:rPr>
                    <w:t>70</w:t>
                  </w:r>
                </w:p>
              </w:tc>
              <w:tc>
                <w:tcPr>
                  <w:tcW w:w="700" w:type="pct"/>
                  <w:shd w:val="clear" w:color="auto" w:fill="auto"/>
                  <w:vAlign w:val="center"/>
                </w:tcPr>
                <w:p w14:paraId="0B94D2EE">
                  <w:pPr>
                    <w:ind w:left="-42" w:leftChars="-20" w:right="-42" w:rightChars="-20"/>
                    <w:jc w:val="center"/>
                    <w:textAlignment w:val="center"/>
                    <w:rPr>
                      <w:sz w:val="18"/>
                      <w:szCs w:val="18"/>
                    </w:rPr>
                  </w:pPr>
                  <w:r>
                    <w:rPr>
                      <w:sz w:val="18"/>
                      <w:szCs w:val="18"/>
                    </w:rPr>
                    <w:t>减速慢行</w:t>
                  </w:r>
                </w:p>
              </w:tc>
              <w:tc>
                <w:tcPr>
                  <w:tcW w:w="435" w:type="pct"/>
                  <w:shd w:val="clear" w:color="auto" w:fill="auto"/>
                  <w:vAlign w:val="center"/>
                </w:tcPr>
                <w:p w14:paraId="676CA589">
                  <w:pPr>
                    <w:ind w:left="-42" w:leftChars="-20" w:right="-42" w:rightChars="-20"/>
                    <w:jc w:val="center"/>
                    <w:textAlignment w:val="center"/>
                    <w:rPr>
                      <w:sz w:val="18"/>
                      <w:szCs w:val="18"/>
                    </w:rPr>
                  </w:pPr>
                  <w:r>
                    <w:rPr>
                      <w:sz w:val="18"/>
                      <w:szCs w:val="18"/>
                    </w:rPr>
                    <w:t>20</w:t>
                  </w:r>
                </w:p>
              </w:tc>
              <w:tc>
                <w:tcPr>
                  <w:tcW w:w="348" w:type="pct"/>
                  <w:vMerge w:val="continue"/>
                  <w:shd w:val="clear" w:color="auto" w:fill="auto"/>
                  <w:vAlign w:val="center"/>
                </w:tcPr>
                <w:p w14:paraId="4E1777FF">
                  <w:pPr>
                    <w:ind w:left="-42" w:leftChars="-20" w:right="-42" w:rightChars="-20"/>
                    <w:jc w:val="center"/>
                    <w:textAlignment w:val="center"/>
                    <w:rPr>
                      <w:sz w:val="18"/>
                      <w:szCs w:val="18"/>
                    </w:rPr>
                  </w:pPr>
                </w:p>
              </w:tc>
              <w:tc>
                <w:tcPr>
                  <w:tcW w:w="462" w:type="pct"/>
                  <w:shd w:val="clear" w:color="auto" w:fill="auto"/>
                  <w:vAlign w:val="center"/>
                </w:tcPr>
                <w:p w14:paraId="75635BCF">
                  <w:pPr>
                    <w:ind w:left="-42" w:leftChars="-20" w:right="-42" w:rightChars="-20"/>
                    <w:jc w:val="center"/>
                    <w:textAlignment w:val="center"/>
                    <w:rPr>
                      <w:sz w:val="18"/>
                      <w:szCs w:val="18"/>
                    </w:rPr>
                  </w:pPr>
                  <w:r>
                    <w:rPr>
                      <w:sz w:val="18"/>
                      <w:szCs w:val="18"/>
                    </w:rPr>
                    <w:t>50</w:t>
                  </w:r>
                </w:p>
              </w:tc>
              <w:tc>
                <w:tcPr>
                  <w:tcW w:w="405" w:type="pct"/>
                  <w:vMerge w:val="continue"/>
                  <w:shd w:val="clear" w:color="auto" w:fill="auto"/>
                  <w:vAlign w:val="center"/>
                </w:tcPr>
                <w:p w14:paraId="7FC5FCCC">
                  <w:pPr>
                    <w:ind w:left="-42" w:leftChars="-20" w:right="-42" w:rightChars="-20"/>
                    <w:jc w:val="center"/>
                    <w:textAlignment w:val="center"/>
                    <w:rPr>
                      <w:sz w:val="18"/>
                      <w:szCs w:val="18"/>
                    </w:rPr>
                  </w:pPr>
                </w:p>
              </w:tc>
            </w:tr>
            <w:tr w14:paraId="3C7E6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shd w:val="clear" w:color="auto" w:fill="auto"/>
                  <w:vAlign w:val="center"/>
                </w:tcPr>
                <w:p w14:paraId="709F5142">
                  <w:pPr>
                    <w:ind w:left="-42" w:leftChars="-20" w:right="-42" w:rightChars="-20"/>
                    <w:jc w:val="center"/>
                    <w:textAlignment w:val="center"/>
                    <w:rPr>
                      <w:sz w:val="18"/>
                      <w:szCs w:val="18"/>
                    </w:rPr>
                  </w:pPr>
                  <w:r>
                    <w:rPr>
                      <w:rFonts w:hint="eastAsia"/>
                      <w:sz w:val="18"/>
                      <w:szCs w:val="18"/>
                    </w:rPr>
                    <w:t>抽水</w:t>
                  </w:r>
                </w:p>
              </w:tc>
              <w:tc>
                <w:tcPr>
                  <w:tcW w:w="616" w:type="pct"/>
                  <w:shd w:val="clear" w:color="auto" w:fill="auto"/>
                  <w:vAlign w:val="center"/>
                </w:tcPr>
                <w:p w14:paraId="2AFD499D">
                  <w:pPr>
                    <w:jc w:val="center"/>
                    <w:rPr>
                      <w:sz w:val="18"/>
                      <w:szCs w:val="18"/>
                    </w:rPr>
                  </w:pPr>
                  <w:r>
                    <w:rPr>
                      <w:sz w:val="18"/>
                      <w:szCs w:val="18"/>
                    </w:rPr>
                    <w:t>水泵</w:t>
                  </w:r>
                </w:p>
              </w:tc>
              <w:tc>
                <w:tcPr>
                  <w:tcW w:w="615" w:type="pct"/>
                  <w:shd w:val="clear" w:color="auto" w:fill="auto"/>
                  <w:vAlign w:val="center"/>
                </w:tcPr>
                <w:p w14:paraId="51FDD098">
                  <w:pPr>
                    <w:jc w:val="center"/>
                    <w:rPr>
                      <w:sz w:val="18"/>
                      <w:szCs w:val="18"/>
                    </w:rPr>
                  </w:pPr>
                  <w:r>
                    <w:rPr>
                      <w:sz w:val="18"/>
                      <w:szCs w:val="18"/>
                    </w:rPr>
                    <w:t>间断性</w:t>
                  </w:r>
                </w:p>
              </w:tc>
              <w:tc>
                <w:tcPr>
                  <w:tcW w:w="416" w:type="pct"/>
                  <w:vMerge w:val="continue"/>
                  <w:shd w:val="clear" w:color="auto" w:fill="auto"/>
                </w:tcPr>
                <w:p w14:paraId="113838C7">
                  <w:pPr>
                    <w:ind w:left="-42" w:leftChars="-20" w:right="-42" w:rightChars="-20"/>
                    <w:textAlignment w:val="center"/>
                    <w:rPr>
                      <w:sz w:val="18"/>
                      <w:szCs w:val="18"/>
                    </w:rPr>
                  </w:pPr>
                </w:p>
              </w:tc>
              <w:tc>
                <w:tcPr>
                  <w:tcW w:w="462" w:type="pct"/>
                  <w:shd w:val="clear" w:color="auto" w:fill="auto"/>
                  <w:vAlign w:val="center"/>
                </w:tcPr>
                <w:p w14:paraId="34E6F0CD">
                  <w:pPr>
                    <w:jc w:val="center"/>
                    <w:rPr>
                      <w:sz w:val="18"/>
                      <w:szCs w:val="18"/>
                    </w:rPr>
                  </w:pPr>
                  <w:r>
                    <w:rPr>
                      <w:sz w:val="18"/>
                      <w:szCs w:val="18"/>
                    </w:rPr>
                    <w:t>85</w:t>
                  </w:r>
                </w:p>
              </w:tc>
              <w:tc>
                <w:tcPr>
                  <w:tcW w:w="700" w:type="pct"/>
                  <w:shd w:val="clear" w:color="auto" w:fill="auto"/>
                  <w:vAlign w:val="center"/>
                </w:tcPr>
                <w:p w14:paraId="1AB0BF64">
                  <w:pPr>
                    <w:ind w:left="-42" w:leftChars="-20" w:right="-42" w:rightChars="-20"/>
                    <w:jc w:val="center"/>
                    <w:textAlignment w:val="center"/>
                    <w:rPr>
                      <w:sz w:val="18"/>
                      <w:szCs w:val="18"/>
                    </w:rPr>
                  </w:pPr>
                  <w:r>
                    <w:rPr>
                      <w:sz w:val="18"/>
                      <w:szCs w:val="18"/>
                    </w:rPr>
                    <w:t>减振、隔声</w:t>
                  </w:r>
                </w:p>
              </w:tc>
              <w:tc>
                <w:tcPr>
                  <w:tcW w:w="435" w:type="pct"/>
                  <w:shd w:val="clear" w:color="auto" w:fill="auto"/>
                  <w:vAlign w:val="center"/>
                </w:tcPr>
                <w:p w14:paraId="09AB2DC8">
                  <w:pPr>
                    <w:ind w:left="-42" w:leftChars="-20" w:right="-42" w:rightChars="-20"/>
                    <w:jc w:val="center"/>
                    <w:textAlignment w:val="center"/>
                    <w:rPr>
                      <w:sz w:val="18"/>
                      <w:szCs w:val="18"/>
                    </w:rPr>
                  </w:pPr>
                  <w:r>
                    <w:rPr>
                      <w:sz w:val="18"/>
                      <w:szCs w:val="18"/>
                    </w:rPr>
                    <w:t>30</w:t>
                  </w:r>
                </w:p>
              </w:tc>
              <w:tc>
                <w:tcPr>
                  <w:tcW w:w="348" w:type="pct"/>
                  <w:vMerge w:val="continue"/>
                  <w:shd w:val="clear" w:color="auto" w:fill="auto"/>
                  <w:vAlign w:val="center"/>
                </w:tcPr>
                <w:p w14:paraId="07080BF4">
                  <w:pPr>
                    <w:ind w:left="-42" w:leftChars="-20" w:right="-42" w:rightChars="-20"/>
                    <w:jc w:val="center"/>
                    <w:textAlignment w:val="center"/>
                    <w:rPr>
                      <w:sz w:val="18"/>
                      <w:szCs w:val="18"/>
                    </w:rPr>
                  </w:pPr>
                </w:p>
              </w:tc>
              <w:tc>
                <w:tcPr>
                  <w:tcW w:w="462" w:type="pct"/>
                  <w:shd w:val="clear" w:color="auto" w:fill="auto"/>
                  <w:vAlign w:val="center"/>
                </w:tcPr>
                <w:p w14:paraId="5ABF4F41">
                  <w:pPr>
                    <w:ind w:left="-42" w:leftChars="-20" w:right="-42" w:rightChars="-20"/>
                    <w:jc w:val="center"/>
                    <w:textAlignment w:val="center"/>
                    <w:rPr>
                      <w:sz w:val="18"/>
                      <w:szCs w:val="18"/>
                    </w:rPr>
                  </w:pPr>
                  <w:r>
                    <w:rPr>
                      <w:sz w:val="18"/>
                      <w:szCs w:val="18"/>
                    </w:rPr>
                    <w:t>55</w:t>
                  </w:r>
                </w:p>
              </w:tc>
              <w:tc>
                <w:tcPr>
                  <w:tcW w:w="405" w:type="pct"/>
                  <w:vMerge w:val="continue"/>
                  <w:shd w:val="clear" w:color="auto" w:fill="auto"/>
                  <w:vAlign w:val="center"/>
                </w:tcPr>
                <w:p w14:paraId="7850529E">
                  <w:pPr>
                    <w:ind w:left="-42" w:leftChars="-20" w:right="-42" w:rightChars="-20"/>
                    <w:jc w:val="center"/>
                    <w:textAlignment w:val="center"/>
                    <w:rPr>
                      <w:sz w:val="18"/>
                      <w:szCs w:val="18"/>
                    </w:rPr>
                  </w:pPr>
                </w:p>
              </w:tc>
            </w:tr>
          </w:tbl>
          <w:p w14:paraId="1C0CDF67">
            <w:pPr>
              <w:pStyle w:val="53"/>
              <w:ind w:firstLine="480"/>
            </w:pPr>
            <w:r>
              <w:rPr>
                <w:rFonts w:hint="eastAsia"/>
              </w:rPr>
              <w:t>通过</w:t>
            </w:r>
            <w:r>
              <w:t>选用低噪声设备，采取减振、隔声</w:t>
            </w:r>
            <w:r>
              <w:rPr>
                <w:rFonts w:hint="eastAsia"/>
              </w:rPr>
              <w:t>、消声</w:t>
            </w:r>
            <w:r>
              <w:t>等措施，经距离衰减后，厂界噪声可控制在50dB（A）以下，满足《工业企业厂界环境噪声排放标准》（GB12348-2008）表1中的2类标准限值要求，且项目周围</w:t>
            </w:r>
            <w:r>
              <w:rPr>
                <w:rFonts w:hint="eastAsia"/>
              </w:rPr>
              <w:t>5</w:t>
            </w:r>
            <w:r>
              <w:t>0m范围内无声环境保护目标，故本项目建设对周围声环境影响较小。</w:t>
            </w:r>
          </w:p>
          <w:p w14:paraId="622B2C42">
            <w:pPr>
              <w:spacing w:line="520" w:lineRule="exact"/>
              <w:ind w:firstLine="482"/>
              <w:rPr>
                <w:sz w:val="24"/>
              </w:rPr>
            </w:pPr>
            <w:r>
              <w:rPr>
                <w:sz w:val="24"/>
              </w:rPr>
              <w:t>4</w:t>
            </w:r>
            <w:r>
              <w:rPr>
                <w:rFonts w:hint="eastAsia"/>
                <w:sz w:val="24"/>
              </w:rPr>
              <w:t>、固体废物影响分析</w:t>
            </w:r>
          </w:p>
          <w:p w14:paraId="3980C15E">
            <w:pPr>
              <w:spacing w:line="520" w:lineRule="exact"/>
              <w:ind w:firstLine="482"/>
              <w:rPr>
                <w:sz w:val="24"/>
              </w:rPr>
            </w:pPr>
            <w:r>
              <w:rPr>
                <w:rFonts w:hint="eastAsia"/>
                <w:sz w:val="24"/>
              </w:rPr>
              <w:t>本项目建设不改变煤矿原有开采规模，故无新增</w:t>
            </w:r>
            <w:r>
              <w:rPr>
                <w:rFonts w:hint="eastAsia"/>
                <w:sz w:val="24"/>
                <w:lang w:val="en-US" w:eastAsia="zh-CN"/>
              </w:rPr>
              <w:t>生产</w:t>
            </w:r>
            <w:r>
              <w:rPr>
                <w:rFonts w:hint="eastAsia"/>
                <w:sz w:val="24"/>
              </w:rPr>
              <w:t>固废。</w:t>
            </w:r>
          </w:p>
          <w:p w14:paraId="213497ED">
            <w:pPr>
              <w:pStyle w:val="53"/>
              <w:ind w:firstLine="480"/>
            </w:pPr>
            <w:r>
              <w:t>5</w:t>
            </w:r>
            <w:r>
              <w:rPr>
                <w:rFonts w:hint="eastAsia"/>
              </w:rPr>
              <w:t>、环境</w:t>
            </w:r>
            <w:r>
              <w:t>风险</w:t>
            </w:r>
            <w:r>
              <w:rPr>
                <w:rFonts w:hint="eastAsia"/>
              </w:rPr>
              <w:t>影响</w:t>
            </w:r>
            <w:r>
              <w:t>分析</w:t>
            </w:r>
          </w:p>
          <w:p w14:paraId="0B5DF812">
            <w:pPr>
              <w:pStyle w:val="53"/>
              <w:spacing w:line="500" w:lineRule="exact"/>
              <w:ind w:firstLine="480"/>
            </w:pPr>
            <w:r>
              <w:t>（1）风险调查及风险源分布</w:t>
            </w:r>
          </w:p>
          <w:p w14:paraId="3A33F4D0">
            <w:pPr>
              <w:pStyle w:val="53"/>
              <w:ind w:firstLine="480"/>
            </w:pPr>
            <w:r>
              <w:t>本项目</w:t>
            </w:r>
            <w:r>
              <w:rPr>
                <w:rFonts w:hint="eastAsia"/>
              </w:rPr>
              <w:t>油脂库存储</w:t>
            </w:r>
            <w:r>
              <w:t>液压油，</w:t>
            </w:r>
            <w:r>
              <w:rPr>
                <w:rFonts w:hint="eastAsia"/>
              </w:rPr>
              <w:t>均采用200L的铁质油桶</w:t>
            </w:r>
            <w:r>
              <w:t>存储，</w:t>
            </w:r>
            <w:r>
              <w:rPr>
                <w:rFonts w:hint="eastAsia"/>
              </w:rPr>
              <w:t>日常</w:t>
            </w:r>
            <w:r>
              <w:t>存储量约为0.36t</w:t>
            </w:r>
            <w:r>
              <w:rPr>
                <w:rFonts w:hint="eastAsia"/>
              </w:rPr>
              <w:t>。根据《建设项目环境风险评价技术导则》（</w:t>
            </w:r>
            <w:r>
              <w:t>HJ169-2018）中附录B</w:t>
            </w:r>
            <w:r>
              <w:rPr>
                <w:rFonts w:hint="eastAsia"/>
              </w:rPr>
              <w:t>，油类物质的临界量为2</w:t>
            </w:r>
            <w:r>
              <w:t>500</w:t>
            </w:r>
            <w:r>
              <w:rPr>
                <w:rFonts w:hint="eastAsia"/>
              </w:rPr>
              <w:t>t，</w:t>
            </w:r>
            <w:r>
              <w:rPr>
                <w:rFonts w:hint="eastAsia"/>
                <w:szCs w:val="32"/>
              </w:rPr>
              <w:t>经计算，</w:t>
            </w:r>
            <w:r>
              <w:rPr>
                <w:rFonts w:hint="eastAsia"/>
              </w:rPr>
              <w:t>本项目危险物质数量与临界量比值Q=</w:t>
            </w:r>
            <w:r>
              <w:t>0.000144</w:t>
            </w:r>
            <w:r>
              <w:rPr>
                <w:rFonts w:hint="eastAsia"/>
              </w:rPr>
              <w:t>＜1</w:t>
            </w:r>
            <w:r>
              <w:t>。</w:t>
            </w:r>
          </w:p>
          <w:p w14:paraId="7643ADF8">
            <w:pPr>
              <w:pStyle w:val="53"/>
              <w:spacing w:line="500" w:lineRule="exact"/>
              <w:ind w:firstLine="480"/>
            </w:pPr>
            <w:r>
              <w:t>（2）影响途径</w:t>
            </w:r>
          </w:p>
          <w:p w14:paraId="1D75FE34">
            <w:pPr>
              <w:pStyle w:val="53"/>
              <w:ind w:firstLine="480"/>
            </w:pPr>
            <w:r>
              <w:t>本项目环境风险包括</w:t>
            </w:r>
            <w:r>
              <w:rPr>
                <w:rFonts w:hint="eastAsia"/>
              </w:rPr>
              <w:t>油类物质</w:t>
            </w:r>
            <w:r>
              <w:rPr>
                <w:rFonts w:hint="eastAsia"/>
                <w:lang w:eastAsia="zh-CN"/>
              </w:rPr>
              <w:t>泄漏</w:t>
            </w:r>
            <w:r>
              <w:t>，以及火灾、爆炸。</w:t>
            </w:r>
            <w:r>
              <w:rPr>
                <w:rFonts w:hint="eastAsia"/>
                <w:lang w:eastAsia="zh-CN"/>
              </w:rPr>
              <w:t>泄漏</w:t>
            </w:r>
            <w:r>
              <w:t>事故可能污染地下水环境、土壤环境及大气环境，因</w:t>
            </w:r>
            <w:r>
              <w:rPr>
                <w:rFonts w:hint="eastAsia"/>
                <w:lang w:eastAsia="zh-CN"/>
              </w:rPr>
              <w:t>泄漏</w:t>
            </w:r>
            <w:r>
              <w:t>引起的火灾、爆炸事故</w:t>
            </w:r>
            <w:r>
              <w:rPr>
                <w:rFonts w:hint="eastAsia"/>
                <w:lang w:eastAsia="zh-CN"/>
              </w:rPr>
              <w:t>可能</w:t>
            </w:r>
            <w:r>
              <w:t>导致次生、伴生危险物质排放</w:t>
            </w:r>
            <w:r>
              <w:rPr>
                <w:rFonts w:hint="eastAsia"/>
              </w:rPr>
              <w:t>，污染大气环境</w:t>
            </w:r>
            <w:r>
              <w:t>。</w:t>
            </w:r>
          </w:p>
          <w:p w14:paraId="52A5D526">
            <w:pPr>
              <w:pStyle w:val="53"/>
              <w:ind w:firstLine="480"/>
            </w:pPr>
            <w:r>
              <w:t>（3）环境风险防范措施</w:t>
            </w:r>
          </w:p>
          <w:p w14:paraId="6A694DA0">
            <w:pPr>
              <w:pStyle w:val="53"/>
              <w:ind w:firstLine="480"/>
            </w:pPr>
            <w:r>
              <w:rPr>
                <w:rFonts w:hint="eastAsia" w:ascii="宋体" w:hAnsi="宋体" w:cs="宋体"/>
              </w:rPr>
              <w:t>①</w:t>
            </w:r>
            <w:r>
              <w:t>油脂库地面防渗，</w:t>
            </w:r>
            <w:r>
              <w:rPr>
                <w:rFonts w:hint="eastAsia"/>
                <w:szCs w:val="24"/>
              </w:rPr>
              <w:t>防渗满足</w:t>
            </w:r>
            <w:r>
              <w:rPr>
                <w:szCs w:val="24"/>
              </w:rPr>
              <w:t>《石油化工工程防渗技术规范》（GB/T50934-2013）重点防治区的防渗要求</w:t>
            </w:r>
            <w:r>
              <w:rPr>
                <w:rFonts w:hint="eastAsia"/>
                <w:szCs w:val="24"/>
              </w:rPr>
              <w:t>，</w:t>
            </w:r>
            <w:r>
              <w:t>设置防止流体流散的设施，门、窗采用防火门窗，储存物品的火灾危险性为丙类。</w:t>
            </w:r>
          </w:p>
          <w:p w14:paraId="64D3E457">
            <w:pPr>
              <w:pStyle w:val="53"/>
              <w:ind w:firstLine="480"/>
            </w:pPr>
            <w:r>
              <w:rPr>
                <w:rFonts w:hint="eastAsia" w:ascii="宋体" w:hAnsi="宋体" w:cs="宋体"/>
              </w:rPr>
              <w:t>②</w:t>
            </w:r>
            <w:r>
              <w:t>设立标志，加强巡检，防止人为破坏，贮存必要的应急物资。建成营运后，要提</w:t>
            </w:r>
            <w:r>
              <w:rPr>
                <w:rFonts w:hint="eastAsia"/>
                <w:lang w:eastAsia="zh-CN"/>
              </w:rPr>
              <w:t>高</w:t>
            </w:r>
            <w:r>
              <w:t>操作人员的素质和管理水平，防止或减少事故风险的发生，确保油脂库的正常运行。</w:t>
            </w:r>
          </w:p>
          <w:p w14:paraId="32C3F0C5">
            <w:pPr>
              <w:pStyle w:val="53"/>
              <w:ind w:firstLine="480"/>
              <w:rPr>
                <w:kern w:val="2"/>
                <w:szCs w:val="24"/>
              </w:rPr>
            </w:pPr>
            <w:r>
              <w:rPr>
                <w:rFonts w:hint="eastAsia"/>
                <w:kern w:val="2"/>
                <w:szCs w:val="24"/>
              </w:rPr>
              <w:t>采取上述风险防范措施，可将本项目环境风险事故发生概率降至最低。</w:t>
            </w:r>
          </w:p>
          <w:p w14:paraId="21F87615">
            <w:pPr>
              <w:pStyle w:val="53"/>
              <w:spacing w:line="500" w:lineRule="exact"/>
              <w:ind w:firstLine="480"/>
              <w:rPr>
                <w:lang w:eastAsia="ja-JP"/>
              </w:rPr>
            </w:pPr>
            <w:r>
              <w:rPr>
                <w:lang w:eastAsia="ja-JP"/>
              </w:rPr>
              <w:t>（4）风险评价结论</w:t>
            </w:r>
          </w:p>
          <w:p w14:paraId="53D6C62A">
            <w:pPr>
              <w:pStyle w:val="53"/>
              <w:ind w:firstLine="480"/>
            </w:pPr>
            <w:r>
              <w:rPr>
                <w:szCs w:val="24"/>
              </w:rPr>
              <w:t>通过对本次建设工程的环境风险分析可知，本工程的主要环境风险是油品泄漏、火灾爆炸，对区域内的大气环境、地下水环境和土壤等有潜在危害性。</w:t>
            </w:r>
            <w:r>
              <w:t>建设单位应认真落实环评提出的各项环境风险防范对策措施</w:t>
            </w:r>
            <w:r>
              <w:rPr>
                <w:rFonts w:hint="eastAsia"/>
                <w:lang w:eastAsia="zh-CN"/>
              </w:rPr>
              <w:t>，在</w:t>
            </w:r>
            <w:r>
              <w:t>生产过程中加强环境风险管控，编制环境风险应急预案，定期进行应急演练。在做好以上各项环境风险防范措施的前提下，项目的环境风险可接受。</w:t>
            </w:r>
          </w:p>
          <w:p w14:paraId="6C865FC8">
            <w:pPr>
              <w:pStyle w:val="53"/>
              <w:ind w:firstLine="480"/>
            </w:pPr>
            <w:r>
              <w:rPr>
                <w:rFonts w:hint="eastAsia"/>
              </w:rPr>
              <w:t>6、</w:t>
            </w:r>
            <w:r>
              <w:t>地下水环境影响和保护措施</w:t>
            </w:r>
          </w:p>
          <w:p w14:paraId="10AFE192">
            <w:pPr>
              <w:pStyle w:val="53"/>
              <w:spacing w:line="500" w:lineRule="exact"/>
              <w:ind w:firstLine="480"/>
            </w:pPr>
            <w:r>
              <w:rPr>
                <w:rFonts w:hint="eastAsia"/>
              </w:rPr>
              <w:t>（1）污染源及污染途径</w:t>
            </w:r>
          </w:p>
          <w:p w14:paraId="466D5689">
            <w:pPr>
              <w:pStyle w:val="53"/>
              <w:spacing w:line="500" w:lineRule="exact"/>
              <w:ind w:firstLine="480"/>
            </w:pPr>
            <w:r>
              <w:t>本项目</w:t>
            </w:r>
            <w:r>
              <w:rPr>
                <w:rFonts w:hint="eastAsia"/>
              </w:rPr>
              <w:t>设置油脂库一座，</w:t>
            </w:r>
            <w:r>
              <w:t>项目油品采用专用容器存放，底部采用防渗托盘，故正常</w:t>
            </w:r>
            <w:r>
              <w:rPr>
                <w:rFonts w:hint="eastAsia"/>
              </w:rPr>
              <w:t>状况</w:t>
            </w:r>
            <w:r>
              <w:t>不会发生液体泄漏污染</w:t>
            </w:r>
            <w:r>
              <w:rPr>
                <w:rFonts w:hint="eastAsia"/>
              </w:rPr>
              <w:t>土壤和</w:t>
            </w:r>
            <w:r>
              <w:t>地下水的情况。</w:t>
            </w:r>
            <w:r>
              <w:rPr>
                <w:rFonts w:hint="eastAsia"/>
                <w:lang w:eastAsia="zh-CN"/>
              </w:rPr>
              <w:t>因</w:t>
            </w:r>
            <w:r>
              <w:t>地质塌陷、设备老旧腐蚀等突发情况和非正常状况下可能造成</w:t>
            </w:r>
            <w:r>
              <w:rPr>
                <w:rFonts w:hint="eastAsia"/>
              </w:rPr>
              <w:t>油脂库内</w:t>
            </w:r>
            <w:r>
              <w:t>油品泄漏，对地下水</w:t>
            </w:r>
            <w:r>
              <w:rPr>
                <w:rFonts w:hint="eastAsia"/>
              </w:rPr>
              <w:t>和土壤</w:t>
            </w:r>
            <w:r>
              <w:t>造成污染，污染因子为石油类。</w:t>
            </w:r>
          </w:p>
          <w:p w14:paraId="6B9D9DF5">
            <w:pPr>
              <w:pStyle w:val="53"/>
              <w:spacing w:line="500" w:lineRule="exact"/>
              <w:ind w:firstLine="480"/>
            </w:pPr>
            <w:r>
              <w:rPr>
                <w:rFonts w:hint="eastAsia"/>
              </w:rPr>
              <w:t>污染途径主要</w:t>
            </w:r>
            <w:r>
              <w:rPr>
                <w:rFonts w:hint="eastAsia"/>
                <w:lang w:eastAsia="zh-CN"/>
              </w:rPr>
              <w:t>来自</w:t>
            </w:r>
            <w:r>
              <w:rPr>
                <w:rFonts w:hint="eastAsia"/>
              </w:rPr>
              <w:t>垂直入渗污染。</w:t>
            </w:r>
          </w:p>
          <w:p w14:paraId="18C1B831">
            <w:pPr>
              <w:pStyle w:val="53"/>
              <w:ind w:firstLine="480"/>
            </w:pPr>
            <w:r>
              <w:rPr>
                <w:rFonts w:hint="eastAsia"/>
              </w:rPr>
              <w:t>（2）分区防控措施</w:t>
            </w:r>
          </w:p>
          <w:p w14:paraId="799CA042">
            <w:pPr>
              <w:pStyle w:val="53"/>
              <w:ind w:firstLine="480"/>
            </w:pPr>
            <w:r>
              <w:t>本项目按照《环境影响评价技术导则  地下水环境》（HJ610-2016）要求做好分区防渗措施，</w:t>
            </w:r>
            <w:r>
              <w:rPr>
                <w:rFonts w:hint="eastAsia"/>
              </w:rPr>
              <w:t>油脂库按重点防渗区进行防渗，地面及裙角</w:t>
            </w:r>
            <w:r>
              <w:t>采用2mm厚的高密度聚乙烯+防渗混凝土进行防渗处理，渗透系数≤10</w:t>
            </w:r>
            <w:r>
              <w:rPr>
                <w:vertAlign w:val="superscript"/>
              </w:rPr>
              <w:t>-10</w:t>
            </w:r>
            <w:r>
              <w:t>cm/s</w:t>
            </w:r>
            <w:r>
              <w:rPr>
                <w:rFonts w:hint="eastAsia"/>
              </w:rPr>
              <w:t>，</w:t>
            </w:r>
            <w:r>
              <w:rPr>
                <w:szCs w:val="24"/>
              </w:rPr>
              <w:t>满足《环境影响评价技术导则 地下水环境》（HJ610-2016）表7中</w:t>
            </w:r>
            <w:r>
              <w:rPr>
                <w:rFonts w:hint="eastAsia"/>
                <w:szCs w:val="24"/>
              </w:rPr>
              <w:t>重点</w:t>
            </w:r>
            <w:r>
              <w:rPr>
                <w:szCs w:val="24"/>
              </w:rPr>
              <w:t>防渗区防渗技术要求（等效黏土防渗层Mb≥6.0m，渗透系数≤10</w:t>
            </w:r>
            <w:r>
              <w:rPr>
                <w:szCs w:val="24"/>
                <w:vertAlign w:val="superscript"/>
              </w:rPr>
              <w:t>-7</w:t>
            </w:r>
            <w:r>
              <w:rPr>
                <w:szCs w:val="24"/>
              </w:rPr>
              <w:t>cm/s）</w:t>
            </w:r>
            <w:r>
              <w:t>。</w:t>
            </w:r>
            <w:r>
              <w:rPr>
                <w:rFonts w:hint="eastAsia"/>
              </w:rPr>
              <w:t>厂内其他区域</w:t>
            </w:r>
            <w:r>
              <w:t>按简单防渗区进行一般地面硬化，</w:t>
            </w:r>
            <w:r>
              <w:rPr>
                <w:szCs w:val="24"/>
              </w:rPr>
              <w:t>符合《环境影响评价技术导则  地下水环境》（HJ 610-2016）简单防渗区要求</w:t>
            </w:r>
            <w:r>
              <w:rPr>
                <w:rFonts w:hint="eastAsia"/>
                <w:szCs w:val="24"/>
              </w:rPr>
              <w:t>。</w:t>
            </w:r>
            <w:r>
              <w:t>采取上述措施后，可避免项目对</w:t>
            </w:r>
            <w:r>
              <w:rPr>
                <w:rFonts w:hint="eastAsia"/>
              </w:rPr>
              <w:t>地下水</w:t>
            </w:r>
            <w:r>
              <w:t>造成污染。</w:t>
            </w:r>
          </w:p>
        </w:tc>
      </w:tr>
      <w:tr w14:paraId="04E665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9" w:hRule="atLeast"/>
          <w:jc w:val="center"/>
        </w:trPr>
        <w:tc>
          <w:tcPr>
            <w:tcW w:w="879" w:type="dxa"/>
            <w:vAlign w:val="center"/>
          </w:tcPr>
          <w:p w14:paraId="54B83D14">
            <w:pPr>
              <w:pStyle w:val="18"/>
              <w:adjustRightInd w:val="0"/>
              <w:snapToGrid w:val="0"/>
              <w:spacing w:before="0" w:beforeAutospacing="0" w:after="0" w:afterAutospacing="0"/>
              <w:jc w:val="center"/>
              <w:rPr>
                <w:rFonts w:cs="宋体"/>
                <w:bCs/>
                <w:kern w:val="2"/>
                <w:sz w:val="21"/>
                <w:szCs w:val="21"/>
              </w:rPr>
            </w:pPr>
            <w:r>
              <w:rPr>
                <w:rFonts w:hint="eastAsia" w:cs="宋体"/>
                <w:bCs/>
                <w:kern w:val="2"/>
                <w:sz w:val="21"/>
                <w:szCs w:val="21"/>
              </w:rPr>
              <w:t>选址选线环境合理性分析</w:t>
            </w:r>
          </w:p>
        </w:tc>
        <w:tc>
          <w:tcPr>
            <w:tcW w:w="8363" w:type="dxa"/>
          </w:tcPr>
          <w:p w14:paraId="023A4A1B">
            <w:pPr>
              <w:pStyle w:val="53"/>
              <w:ind w:firstLine="480"/>
              <w:rPr>
                <w:rFonts w:hint="eastAsia"/>
                <w:lang w:eastAsia="zh-CN"/>
              </w:rPr>
            </w:pPr>
            <w:bookmarkStart w:id="15" w:name="_Toc497473794"/>
            <w:r>
              <w:rPr>
                <w:rFonts w:hint="eastAsia"/>
              </w:rPr>
              <w:t>本项目副立井</w:t>
            </w:r>
            <w:r>
              <w:t>工业场地不处在江河、湖泊、水库的滩地和洪泛区</w:t>
            </w:r>
            <w:r>
              <w:rPr>
                <w:rFonts w:hint="eastAsia"/>
              </w:rPr>
              <w:t>；</w:t>
            </w:r>
            <w:r>
              <w:t>不处在自然保护区、风景名胜区、森林公园、饮用水源保护区和其他需要特别保护的区域</w:t>
            </w:r>
            <w:r>
              <w:rPr>
                <w:rFonts w:hint="eastAsia"/>
              </w:rPr>
              <w:t>；</w:t>
            </w:r>
            <w:r>
              <w:t>区域稳定性好，未发现活动性断裂，无可溶岩，地形简单，区域及周边未见滑坡、崩塌、泥石流、地面塌陷等不良地质灾害影响</w:t>
            </w:r>
            <w:r>
              <w:rPr>
                <w:rFonts w:hint="eastAsia"/>
                <w:lang w:eastAsia="zh-CN"/>
              </w:rPr>
              <w:t>。</w:t>
            </w:r>
          </w:p>
          <w:p w14:paraId="5A658D31">
            <w:pPr>
              <w:pStyle w:val="53"/>
              <w:ind w:firstLine="480"/>
              <w:rPr>
                <w:rFonts w:ascii="宋体" w:hAnsi="宋体" w:cs="宋体"/>
                <w:bCs/>
              </w:rPr>
            </w:pPr>
            <w:r>
              <w:rPr>
                <w:rFonts w:hint="eastAsia"/>
                <w:szCs w:val="20"/>
              </w:rPr>
              <w:t>本项目总占地面积为</w:t>
            </w:r>
            <w:r>
              <w:rPr>
                <w:rFonts w:hint="eastAsia"/>
                <w:lang w:eastAsia="zh-CN"/>
              </w:rPr>
              <w:t>151708</w:t>
            </w:r>
            <w:r>
              <w:rPr>
                <w:rFonts w:hint="eastAsia"/>
                <w:szCs w:val="20"/>
              </w:rPr>
              <w:t>m</w:t>
            </w:r>
            <w:r>
              <w:rPr>
                <w:rFonts w:hint="eastAsia"/>
                <w:szCs w:val="20"/>
                <w:vertAlign w:val="superscript"/>
              </w:rPr>
              <w:t>2</w:t>
            </w:r>
            <w:r>
              <w:rPr>
                <w:rFonts w:hint="eastAsia"/>
                <w:szCs w:val="20"/>
              </w:rPr>
              <w:t>，</w:t>
            </w:r>
            <w:r>
              <w:rPr>
                <w:rFonts w:hint="eastAsia"/>
                <w:lang w:val="en-US" w:eastAsia="zh-CN"/>
              </w:rPr>
              <w:t>于2006年4月10日取得鸡西市人民政府核发的土地证（梨树国用（2006）第55007号），地类为工业用地，符合国土空间规划要求</w:t>
            </w:r>
            <w:r>
              <w:t>。</w:t>
            </w:r>
            <w:r>
              <w:rPr>
                <w:rFonts w:hint="eastAsia"/>
              </w:rPr>
              <w:t>本项目排放的污染物能达标排放，不会改变评价区域现有的环境质量</w:t>
            </w:r>
            <w:r>
              <w:t>，采取本报告提出环保措施后，对周围环境的影响可以被环境所接受。因此，本项目选址合理</w:t>
            </w:r>
            <w:r>
              <w:rPr>
                <w:rFonts w:hint="eastAsia"/>
              </w:rPr>
              <w:t>。</w:t>
            </w:r>
            <w:bookmarkEnd w:id="15"/>
          </w:p>
        </w:tc>
      </w:tr>
    </w:tbl>
    <w:p w14:paraId="59F2991E">
      <w:pPr>
        <w:pStyle w:val="18"/>
        <w:jc w:val="center"/>
        <w:rPr>
          <w:rFonts w:ascii="黑体" w:hAnsi="黑体" w:eastAsia="黑体"/>
          <w:snapToGrid w:val="0"/>
          <w:sz w:val="36"/>
          <w:szCs w:val="36"/>
        </w:rPr>
        <w:sectPr>
          <w:pgSz w:w="11906" w:h="16838"/>
          <w:pgMar w:top="1440" w:right="1800" w:bottom="1440" w:left="1800" w:header="851" w:footer="1077" w:gutter="0"/>
          <w:cols w:space="425" w:num="1"/>
          <w:docGrid w:linePitch="312" w:charSpace="0"/>
        </w:sectPr>
      </w:pPr>
    </w:p>
    <w:p w14:paraId="7A4DFD66">
      <w:pPr>
        <w:pStyle w:val="18"/>
        <w:jc w:val="center"/>
        <w:outlineLvl w:val="0"/>
        <w:rPr>
          <w:rFonts w:ascii="黑体" w:hAnsi="黑体" w:eastAsia="黑体"/>
          <w:snapToGrid w:val="0"/>
          <w:sz w:val="30"/>
          <w:szCs w:val="30"/>
        </w:rPr>
      </w:pPr>
      <w:r>
        <w:rPr>
          <w:rFonts w:hint="eastAsia" w:ascii="黑体" w:hAnsi="黑体" w:eastAsia="黑体"/>
          <w:snapToGrid w:val="0"/>
          <w:sz w:val="30"/>
          <w:szCs w:val="30"/>
        </w:rPr>
        <w:t>五、主要生态环境保护措施</w:t>
      </w:r>
    </w:p>
    <w:tbl>
      <w:tblPr>
        <w:tblStyle w:val="23"/>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457"/>
      </w:tblGrid>
      <w:tr w14:paraId="281B7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4" w:hRule="atLeast"/>
          <w:jc w:val="center"/>
        </w:trPr>
        <w:tc>
          <w:tcPr>
            <w:tcW w:w="753" w:type="dxa"/>
            <w:tcMar>
              <w:left w:w="28" w:type="dxa"/>
              <w:right w:w="28" w:type="dxa"/>
            </w:tcMar>
            <w:vAlign w:val="center"/>
          </w:tcPr>
          <w:p w14:paraId="1CFF3269">
            <w:pPr>
              <w:adjustRightInd w:val="0"/>
              <w:snapToGrid w:val="0"/>
              <w:jc w:val="center"/>
              <w:rPr>
                <w:rFonts w:ascii="宋体" w:hAnsi="宋体"/>
                <w:bCs/>
                <w:szCs w:val="21"/>
              </w:rPr>
            </w:pPr>
            <w:r>
              <w:rPr>
                <w:rFonts w:hint="eastAsia" w:ascii="宋体" w:hAnsi="宋体" w:cs="宋体"/>
                <w:bCs/>
                <w:spacing w:val="10"/>
                <w:szCs w:val="21"/>
              </w:rPr>
              <w:t>施工期生态环境保护措施</w:t>
            </w:r>
          </w:p>
        </w:tc>
        <w:tc>
          <w:tcPr>
            <w:tcW w:w="8457" w:type="dxa"/>
          </w:tcPr>
          <w:p w14:paraId="0E6FE65B">
            <w:pPr>
              <w:pStyle w:val="53"/>
              <w:ind w:firstLine="480"/>
              <w:rPr>
                <w:rFonts w:ascii="宋体" w:hAnsi="宋体" w:cs="宋体"/>
                <w:bCs/>
              </w:rPr>
            </w:pPr>
            <w:r>
              <w:rPr>
                <w:rFonts w:ascii="宋体" w:hAnsi="宋体" w:cs="宋体"/>
                <w:bCs/>
              </w:rPr>
              <w:t>1</w:t>
            </w:r>
            <w:r>
              <w:rPr>
                <w:rFonts w:hint="eastAsia" w:ascii="宋体" w:hAnsi="宋体" w:cs="宋体"/>
                <w:bCs/>
              </w:rPr>
              <w:t>、大气污染防治措施</w:t>
            </w:r>
          </w:p>
          <w:p w14:paraId="1FDE70EC">
            <w:pPr>
              <w:pStyle w:val="53"/>
              <w:ind w:firstLine="480"/>
              <w:rPr>
                <w:rFonts w:ascii="宋体" w:hAnsi="宋体" w:cs="宋体"/>
                <w:bCs/>
              </w:rPr>
            </w:pPr>
            <w:r>
              <w:rPr>
                <w:rFonts w:hint="eastAsia" w:ascii="宋体" w:hAnsi="宋体" w:cs="宋体"/>
                <w:bCs/>
              </w:rPr>
              <w:t>为最大限度减少施工扬尘对项目周边环境产生的大气环境影响，保护进场道路运输对敏感点的影响，施工期采取洒水滞尘措施、适时进行洒水，散装建筑材料（主要是沙子、石子）堆场采取拦挡、覆盖等防尘措施，减少裸露地风蚀扬尘和车辆运输扬尘。具体如下：</w:t>
            </w:r>
          </w:p>
          <w:p w14:paraId="6E5B2FC9">
            <w:pPr>
              <w:pStyle w:val="53"/>
              <w:ind w:firstLine="480"/>
              <w:rPr>
                <w:rFonts w:ascii="宋体" w:hAnsi="宋体" w:cs="宋体"/>
                <w:bCs/>
              </w:rPr>
            </w:pPr>
            <w:r>
              <w:rPr>
                <w:rFonts w:hint="eastAsia" w:ascii="宋体" w:hAnsi="宋体" w:cs="宋体"/>
                <w:bCs/>
              </w:rPr>
              <w:t>（1）施工单位必须</w:t>
            </w:r>
            <w:r>
              <w:rPr>
                <w:rFonts w:hint="eastAsia" w:ascii="宋体" w:hAnsi="宋体" w:cs="宋体"/>
                <w:bCs/>
                <w:lang w:eastAsia="zh-CN"/>
              </w:rPr>
              <w:t>制定施工</w:t>
            </w:r>
            <w:r>
              <w:rPr>
                <w:rFonts w:hint="eastAsia" w:ascii="宋体" w:hAnsi="宋体" w:cs="宋体"/>
                <w:bCs/>
              </w:rPr>
              <w:t>扬尘污染防治实施方案，遇重污染预警时严禁施工现场土方作业和建筑拆除作业。</w:t>
            </w:r>
          </w:p>
          <w:p w14:paraId="5FE0F0B2">
            <w:pPr>
              <w:pStyle w:val="53"/>
              <w:ind w:firstLine="480"/>
              <w:rPr>
                <w:rFonts w:ascii="宋体" w:hAnsi="宋体" w:cs="宋体"/>
                <w:bCs/>
              </w:rPr>
            </w:pPr>
            <w:r>
              <w:rPr>
                <w:rFonts w:hint="eastAsia" w:ascii="宋体" w:hAnsi="宋体" w:cs="宋体"/>
                <w:bCs/>
              </w:rPr>
              <w:t>（2）建设项目在施工期间，应设置施工标志牌、现场平面布置图和安全生产、消防保卫、环境保护、文明施工制度板以及扬尘投诉举报电话，明确环保责任单位和责任人，接受社会监督。施工标志牌应当标明工程项目名称、建设单位、设计单位、施工单位、监理单位名称，项目经理姓名、联系电话，开工和计划竣工日期，施工许可证批准文号以及当地环境保护主管部门的污染举报电话。</w:t>
            </w:r>
          </w:p>
          <w:p w14:paraId="3EF2C71F">
            <w:pPr>
              <w:pStyle w:val="53"/>
              <w:ind w:firstLine="480"/>
              <w:rPr>
                <w:rFonts w:ascii="宋体" w:hAnsi="宋体" w:cs="宋体"/>
                <w:bCs/>
              </w:rPr>
            </w:pPr>
            <w:r>
              <w:rPr>
                <w:rFonts w:hint="eastAsia" w:ascii="宋体" w:hAnsi="宋体" w:cs="宋体"/>
                <w:bCs/>
              </w:rPr>
              <w:t>（3）项目施工期间，应在工地边界设置1.8m高围栏，围栏可视地方要求适当增加高度，围挡底端设置防溢座。严禁围挡不严或敞开式施工。</w:t>
            </w:r>
          </w:p>
          <w:p w14:paraId="2C985011">
            <w:pPr>
              <w:pStyle w:val="53"/>
              <w:ind w:firstLine="480"/>
              <w:rPr>
                <w:rFonts w:ascii="宋体" w:hAnsi="宋体" w:cs="宋体"/>
                <w:bCs/>
              </w:rPr>
            </w:pPr>
            <w:r>
              <w:rPr>
                <w:rFonts w:hint="eastAsia" w:ascii="宋体" w:hAnsi="宋体" w:cs="宋体"/>
                <w:bCs/>
              </w:rPr>
              <w:t>（4）车行道路采取硬化或者铺设礁渣、砾石或其他功能相当的材料等措施</w:t>
            </w:r>
            <w:r>
              <w:rPr>
                <w:rFonts w:hint="eastAsia" w:ascii="宋体" w:hAnsi="宋体" w:cs="宋体"/>
                <w:bCs/>
                <w:lang w:eastAsia="zh-CN"/>
              </w:rPr>
              <w:t>进行处理。</w:t>
            </w:r>
          </w:p>
          <w:p w14:paraId="5C62834E">
            <w:pPr>
              <w:pStyle w:val="53"/>
              <w:ind w:firstLine="480"/>
              <w:rPr>
                <w:rFonts w:ascii="宋体" w:hAnsi="宋体" w:cs="宋体"/>
                <w:bCs/>
              </w:rPr>
            </w:pPr>
            <w:r>
              <w:rPr>
                <w:rFonts w:hint="eastAsia" w:ascii="宋体" w:hAnsi="宋体" w:cs="宋体"/>
                <w:bCs/>
              </w:rPr>
              <w:t>（5）施工现场集中堆放的土方必须采取密闭式防尘网覆盖，严禁裸露。</w:t>
            </w:r>
          </w:p>
          <w:p w14:paraId="79D39DD8">
            <w:pPr>
              <w:pStyle w:val="53"/>
              <w:ind w:firstLine="480"/>
              <w:rPr>
                <w:rFonts w:ascii="宋体" w:hAnsi="宋体" w:cs="宋体"/>
                <w:bCs/>
              </w:rPr>
            </w:pPr>
            <w:r>
              <w:rPr>
                <w:rFonts w:hint="eastAsia" w:ascii="宋体" w:hAnsi="宋体" w:cs="宋体"/>
                <w:bCs/>
              </w:rPr>
              <w:t>（6）</w:t>
            </w:r>
            <w:r>
              <w:rPr>
                <w:rFonts w:hint="eastAsia" w:ascii="宋体" w:hAnsi="宋体" w:cs="宋体"/>
                <w:bCs/>
                <w:lang w:eastAsia="zh-CN"/>
              </w:rPr>
              <w:t>施工现场</w:t>
            </w:r>
            <w:r>
              <w:rPr>
                <w:rFonts w:hint="eastAsia" w:ascii="宋体" w:hAnsi="宋体" w:cs="宋体"/>
                <w:bCs/>
              </w:rPr>
              <w:t>运输土方、渣土等散装货物的车辆，装载的物料、渣土高度不得超过车辆槽帮上沿，</w:t>
            </w:r>
            <w:r>
              <w:rPr>
                <w:rFonts w:hint="eastAsia" w:ascii="宋体" w:hAnsi="宋体" w:cs="宋体"/>
                <w:bCs/>
                <w:lang w:eastAsia="zh-CN"/>
              </w:rPr>
              <w:t>应使用</w:t>
            </w:r>
            <w:r>
              <w:rPr>
                <w:rFonts w:hint="eastAsia" w:ascii="宋体" w:hAnsi="宋体" w:cs="宋体"/>
                <w:bCs/>
              </w:rPr>
              <w:t>苫布遮盖或者用密闭斗车</w:t>
            </w:r>
            <w:r>
              <w:rPr>
                <w:rFonts w:hint="eastAsia" w:ascii="宋体" w:hAnsi="宋体" w:cs="宋体"/>
                <w:bCs/>
                <w:lang w:eastAsia="zh-CN"/>
              </w:rPr>
              <w:t>运输，</w:t>
            </w:r>
            <w:r>
              <w:rPr>
                <w:rFonts w:hint="eastAsia" w:ascii="宋体" w:hAnsi="宋体" w:cs="宋体"/>
                <w:bCs/>
              </w:rPr>
              <w:t>严禁沿路遗漏或</w:t>
            </w:r>
            <w:r>
              <w:rPr>
                <w:rFonts w:hint="eastAsia" w:ascii="宋体" w:hAnsi="宋体" w:cs="宋体"/>
                <w:bCs/>
                <w:lang w:eastAsia="zh-CN"/>
              </w:rPr>
              <w:t>抛撒</w:t>
            </w:r>
            <w:r>
              <w:rPr>
                <w:rFonts w:hint="eastAsia" w:ascii="宋体" w:hAnsi="宋体" w:cs="宋体"/>
                <w:bCs/>
              </w:rPr>
              <w:t>。</w:t>
            </w:r>
          </w:p>
          <w:p w14:paraId="390FE0FA">
            <w:pPr>
              <w:pStyle w:val="53"/>
              <w:ind w:firstLine="480"/>
              <w:rPr>
                <w:rFonts w:ascii="宋体" w:hAnsi="宋体" w:cs="宋体"/>
                <w:bCs/>
              </w:rPr>
            </w:pPr>
            <w:r>
              <w:rPr>
                <w:rFonts w:hint="eastAsia" w:ascii="宋体" w:hAnsi="宋体" w:cs="宋体"/>
                <w:bCs/>
              </w:rPr>
              <w:t>（7）要对施工现场的水泥及其他粉尘类建筑材料进行密封存放或覆盖，严禁露天放置，工地附近每日洒水不少于3次。</w:t>
            </w:r>
          </w:p>
          <w:p w14:paraId="196EFD37">
            <w:pPr>
              <w:pStyle w:val="53"/>
              <w:ind w:firstLine="480"/>
              <w:rPr>
                <w:rFonts w:ascii="宋体" w:hAnsi="宋体" w:cs="宋体"/>
                <w:bCs/>
              </w:rPr>
            </w:pPr>
            <w:r>
              <w:rPr>
                <w:rFonts w:hint="eastAsia" w:ascii="宋体" w:hAnsi="宋体" w:cs="宋体"/>
                <w:bCs/>
              </w:rPr>
              <w:t>（8）施工现场必须设置固定垃圾存放点，垃圾应分类集中堆放并覆盖，及时清运，严禁焚烧、填埋和随意丢弃。</w:t>
            </w:r>
          </w:p>
          <w:p w14:paraId="72EFBDEE">
            <w:pPr>
              <w:pStyle w:val="53"/>
              <w:ind w:firstLine="480"/>
              <w:rPr>
                <w:rFonts w:ascii="宋体" w:hAnsi="宋体" w:cs="宋体"/>
                <w:bCs/>
              </w:rPr>
            </w:pPr>
            <w:r>
              <w:rPr>
                <w:rFonts w:hint="eastAsia" w:ascii="宋体" w:hAnsi="宋体" w:cs="宋体"/>
                <w:bCs/>
              </w:rPr>
              <w:t>（9）严禁未经冲洗和加盖篷布的运输车辆驶出工地进入城市道路，禁止在施工场地焚烧各类建筑废物、生活垃圾和煤炭等。</w:t>
            </w:r>
          </w:p>
          <w:p w14:paraId="5B504DFB">
            <w:pPr>
              <w:pStyle w:val="53"/>
              <w:ind w:firstLine="480"/>
              <w:rPr>
                <w:rFonts w:ascii="宋体" w:hAnsi="宋体" w:cs="宋体"/>
                <w:bCs/>
              </w:rPr>
            </w:pPr>
            <w:r>
              <w:rPr>
                <w:rFonts w:hint="eastAsia" w:ascii="宋体" w:hAnsi="宋体" w:cs="宋体"/>
                <w:bCs/>
              </w:rPr>
              <w:t>采取以上措施后，项目施工期间对环境空气的影响较小，可满足</w:t>
            </w:r>
            <w:r>
              <w:t>《大气污染物综合排放标准》（GB16297- 1996）表2中</w:t>
            </w:r>
            <w:r>
              <w:rPr>
                <w:rFonts w:hint="eastAsia"/>
              </w:rPr>
              <w:t>无组织</w:t>
            </w:r>
            <w:r>
              <w:t>排放监控浓度限值</w:t>
            </w:r>
            <w:r>
              <w:rPr>
                <w:rFonts w:hint="eastAsia" w:ascii="宋体" w:hAnsi="宋体" w:cs="宋体"/>
                <w:bCs/>
              </w:rPr>
              <w:t>要求，措施可行，且随着施工活动的结束，这些污染也将消失。</w:t>
            </w:r>
          </w:p>
          <w:p w14:paraId="3F33899A">
            <w:pPr>
              <w:pStyle w:val="53"/>
              <w:ind w:firstLine="480"/>
              <w:rPr>
                <w:rFonts w:ascii="宋体" w:hAnsi="宋体" w:cs="宋体"/>
                <w:bCs/>
              </w:rPr>
            </w:pPr>
            <w:r>
              <w:rPr>
                <w:rFonts w:hint="eastAsia" w:ascii="宋体" w:hAnsi="宋体" w:cs="宋体"/>
                <w:bCs/>
              </w:rPr>
              <w:t>2、水污染防治措施</w:t>
            </w:r>
          </w:p>
          <w:p w14:paraId="37329E8E">
            <w:pPr>
              <w:pStyle w:val="53"/>
              <w:ind w:firstLine="480"/>
              <w:rPr>
                <w:rFonts w:ascii="宋体" w:hAnsi="宋体" w:cs="宋体"/>
                <w:bCs/>
              </w:rPr>
            </w:pPr>
            <w:r>
              <w:rPr>
                <w:rFonts w:hint="eastAsia" w:ascii="宋体" w:hAnsi="宋体" w:cs="宋体"/>
                <w:bCs/>
              </w:rPr>
              <w:t>（1）加强施工管理，合理改善各环节用水量；</w:t>
            </w:r>
          </w:p>
          <w:p w14:paraId="2EA3FE2B">
            <w:pPr>
              <w:pStyle w:val="53"/>
              <w:ind w:firstLine="480"/>
              <w:rPr>
                <w:rFonts w:ascii="宋体" w:hAnsi="宋体" w:cs="宋体"/>
                <w:bCs/>
              </w:rPr>
            </w:pPr>
            <w:r>
              <w:rPr>
                <w:rFonts w:hint="eastAsia" w:ascii="宋体" w:hAnsi="宋体" w:cs="宋体"/>
                <w:bCs/>
              </w:rPr>
              <w:t>（2）设沉淀池，施工期间的施工废水及少量的井巷涌水采用沉淀处理，处理后回用于施工用水及防尘洒水；</w:t>
            </w:r>
          </w:p>
          <w:p w14:paraId="713C7DA7">
            <w:pPr>
              <w:pStyle w:val="53"/>
              <w:ind w:firstLine="480"/>
              <w:rPr>
                <w:rFonts w:ascii="宋体" w:hAnsi="宋体" w:cs="宋体"/>
                <w:bCs/>
              </w:rPr>
            </w:pPr>
            <w:r>
              <w:rPr>
                <w:rFonts w:hint="eastAsia" w:ascii="宋体" w:hAnsi="宋体" w:cs="宋体"/>
                <w:bCs/>
              </w:rPr>
              <w:t>（</w:t>
            </w:r>
            <w:r>
              <w:rPr>
                <w:rFonts w:ascii="宋体" w:hAnsi="宋体" w:cs="宋体"/>
                <w:bCs/>
              </w:rPr>
              <w:t>3</w:t>
            </w:r>
            <w:r>
              <w:rPr>
                <w:rFonts w:hint="eastAsia" w:ascii="宋体" w:hAnsi="宋体" w:cs="宋体"/>
                <w:bCs/>
              </w:rPr>
              <w:t>）生活污水设防渗旱厕</w:t>
            </w:r>
            <w:r>
              <w:rPr>
                <w:rFonts w:hint="eastAsia" w:ascii="宋体" w:hAnsi="宋体" w:cs="宋体"/>
                <w:bCs/>
                <w:lang w:eastAsia="zh-CN"/>
              </w:rPr>
              <w:t>进行收集</w:t>
            </w:r>
            <w:r>
              <w:rPr>
                <w:rFonts w:hint="eastAsia" w:ascii="宋体" w:hAnsi="宋体" w:cs="宋体"/>
                <w:bCs/>
              </w:rPr>
              <w:t>，定期清掏堆肥，不外排；</w:t>
            </w:r>
          </w:p>
          <w:p w14:paraId="7AD8CC2F">
            <w:pPr>
              <w:pStyle w:val="53"/>
              <w:ind w:firstLine="480"/>
              <w:rPr>
                <w:rFonts w:ascii="宋体" w:hAnsi="宋体" w:cs="宋体"/>
                <w:bCs/>
              </w:rPr>
            </w:pPr>
            <w:r>
              <w:rPr>
                <w:rFonts w:hint="eastAsia" w:ascii="宋体" w:hAnsi="宋体" w:cs="宋体"/>
                <w:bCs/>
              </w:rPr>
              <w:t>（</w:t>
            </w:r>
            <w:r>
              <w:rPr>
                <w:rFonts w:ascii="宋体" w:hAnsi="宋体" w:cs="宋体"/>
                <w:bCs/>
              </w:rPr>
              <w:t>4</w:t>
            </w:r>
            <w:r>
              <w:rPr>
                <w:rFonts w:hint="eastAsia" w:ascii="宋体" w:hAnsi="宋体" w:cs="宋体"/>
                <w:bCs/>
              </w:rPr>
              <w:t>）加强施工人员环保意识，加强施工期环保监理和环境管理，发现问题及时采取补救措施，确保工程施工期对水环境影响最小化。</w:t>
            </w:r>
          </w:p>
          <w:p w14:paraId="539934F4">
            <w:pPr>
              <w:pStyle w:val="53"/>
              <w:ind w:firstLine="480"/>
              <w:rPr>
                <w:rFonts w:ascii="宋体" w:hAnsi="宋体" w:cs="宋体"/>
                <w:bCs/>
              </w:rPr>
            </w:pPr>
            <w:r>
              <w:rPr>
                <w:rFonts w:hint="eastAsia" w:ascii="宋体" w:hAnsi="宋体" w:cs="宋体"/>
                <w:bCs/>
              </w:rPr>
              <w:t>综上，项目施工期无外排废水，经采取以上措施后，对项目水环境产生的影响较小。</w:t>
            </w:r>
          </w:p>
          <w:p w14:paraId="2FD02B5F">
            <w:pPr>
              <w:pStyle w:val="53"/>
              <w:ind w:firstLine="480"/>
            </w:pPr>
            <w:r>
              <w:rPr>
                <w:rFonts w:hint="eastAsia"/>
              </w:rPr>
              <w:t>3、噪声污染防治措施</w:t>
            </w:r>
          </w:p>
          <w:p w14:paraId="44590448">
            <w:pPr>
              <w:pStyle w:val="53"/>
              <w:ind w:firstLine="480"/>
            </w:pPr>
            <w:r>
              <w:rPr>
                <w:rFonts w:hint="eastAsia"/>
              </w:rPr>
              <w:t>项目占地范围200m范围内无居民点，对环境影响较小，为了尽可能降低施工噪声对周围环境的影响，评价要求施工单位应采取以下措施：</w:t>
            </w:r>
          </w:p>
          <w:p w14:paraId="5474308E">
            <w:pPr>
              <w:pStyle w:val="53"/>
              <w:ind w:firstLine="480"/>
            </w:pPr>
            <w:r>
              <w:rPr>
                <w:rFonts w:hint="eastAsia"/>
              </w:rPr>
              <w:t>（1）选择低噪声、低振动施工设备</w:t>
            </w:r>
            <w:r>
              <w:rPr>
                <w:rFonts w:hint="eastAsia"/>
                <w:lang w:eastAsia="zh-CN"/>
              </w:rPr>
              <w:t>；对</w:t>
            </w:r>
            <w:r>
              <w:rPr>
                <w:rFonts w:hint="eastAsia"/>
              </w:rPr>
              <w:t>施工设备进行定期保养和维护，严格按操作规范使用各类机械。</w:t>
            </w:r>
          </w:p>
          <w:p w14:paraId="0877A13D">
            <w:pPr>
              <w:pStyle w:val="53"/>
              <w:ind w:firstLine="480"/>
            </w:pPr>
            <w:r>
              <w:rPr>
                <w:rFonts w:hint="eastAsia"/>
              </w:rPr>
              <w:t>（2）加强施工车辆管理，尽可能减少鸣笛。</w:t>
            </w:r>
          </w:p>
          <w:p w14:paraId="1ADD5584">
            <w:pPr>
              <w:pStyle w:val="53"/>
              <w:ind w:firstLine="480"/>
            </w:pPr>
            <w:r>
              <w:rPr>
                <w:rFonts w:hint="eastAsia"/>
              </w:rPr>
              <w:t>（3）加强施工管理，合理安排施工作业时段，除特殊情况外，禁止在夜间（22:00</w:t>
            </w:r>
            <w:r>
              <w:rPr>
                <w:rFonts w:hint="eastAsia"/>
                <w:lang w:eastAsia="zh-CN"/>
              </w:rPr>
              <w:t>～</w:t>
            </w:r>
            <w:r>
              <w:rPr>
                <w:rFonts w:hint="eastAsia"/>
              </w:rPr>
              <w:t>次日6:00）进行施工。如必须夜间施工时，要事先办理夜施许可证，施工时，要严格控制施工噪声。</w:t>
            </w:r>
          </w:p>
          <w:p w14:paraId="50AF78EF">
            <w:pPr>
              <w:pStyle w:val="53"/>
              <w:ind w:firstLine="480"/>
            </w:pPr>
            <w:r>
              <w:rPr>
                <w:rFonts w:hint="eastAsia"/>
              </w:rPr>
              <w:t>（4）承担原材料及建筑物料运输的车辆，进出施工场地及途经环境敏感点时要做到减速慢行，严禁鸣笛。</w:t>
            </w:r>
          </w:p>
          <w:p w14:paraId="11977ECC">
            <w:pPr>
              <w:pStyle w:val="53"/>
              <w:ind w:firstLine="480"/>
            </w:pPr>
            <w:r>
              <w:rPr>
                <w:rFonts w:hint="eastAsia"/>
              </w:rPr>
              <w:t>（5）施工现场模板、钢管等维修清理时，严禁使用大锤敲打；钢材、木材等进出场装卸时，要轻拿轻放；模板、脚手架支设和拆除搬运时，必须轻拿轻放，上下左右有人传递，不得随意乱抛乱放。</w:t>
            </w:r>
          </w:p>
          <w:p w14:paraId="13168861">
            <w:pPr>
              <w:pStyle w:val="53"/>
              <w:ind w:firstLine="480"/>
            </w:pPr>
            <w:r>
              <w:rPr>
                <w:rFonts w:hint="eastAsia"/>
              </w:rPr>
              <w:t>（6）应加强管理，文明施工，合理布局施工现场；加强环保意识的宣传，采取有效措施控制人为噪声。</w:t>
            </w:r>
          </w:p>
          <w:p w14:paraId="12BDD36D">
            <w:pPr>
              <w:pStyle w:val="53"/>
              <w:ind w:firstLine="480"/>
            </w:pPr>
            <w:r>
              <w:rPr>
                <w:rFonts w:hint="eastAsia"/>
              </w:rPr>
              <w:t>经采取上述措施后，项目噪声对环境产生的影响较小，且随着施工期的结束，施工噪声的影响将消失，所以施工噪声对环境的不利影响是暂时的，短期的行为。</w:t>
            </w:r>
          </w:p>
          <w:p w14:paraId="1AC62F37">
            <w:pPr>
              <w:pStyle w:val="53"/>
              <w:ind w:firstLine="480"/>
            </w:pPr>
            <w:r>
              <w:rPr>
                <w:rFonts w:hint="eastAsia"/>
              </w:rPr>
              <w:t>4、固体废物污染防治措施</w:t>
            </w:r>
          </w:p>
          <w:p w14:paraId="767A2668">
            <w:pPr>
              <w:pStyle w:val="53"/>
              <w:ind w:firstLine="480"/>
            </w:pPr>
            <w:r>
              <w:rPr>
                <w:rFonts w:hint="eastAsia"/>
              </w:rPr>
              <w:t>（1）施工期间对土石方进行合理调配，不足填方</w:t>
            </w:r>
            <w:r>
              <w:rPr>
                <w:rFonts w:hint="eastAsia"/>
                <w:lang w:eastAsia="zh-CN"/>
              </w:rPr>
              <w:t>拟用</w:t>
            </w:r>
            <w:r>
              <w:rPr>
                <w:rFonts w:hint="eastAsia"/>
              </w:rPr>
              <w:t>井筒掘进矸石补充，不设取土场。</w:t>
            </w:r>
          </w:p>
          <w:p w14:paraId="47204BA2">
            <w:pPr>
              <w:pStyle w:val="53"/>
              <w:ind w:firstLine="480"/>
            </w:pPr>
            <w:r>
              <w:rPr>
                <w:rFonts w:hint="eastAsia"/>
              </w:rPr>
              <w:t>（2）施工人员生活垃圾经统一收集后交环卫部门处置。</w:t>
            </w:r>
          </w:p>
          <w:p w14:paraId="1DB96B03">
            <w:pPr>
              <w:pStyle w:val="53"/>
              <w:ind w:firstLine="480"/>
            </w:pPr>
            <w:r>
              <w:rPr>
                <w:rFonts w:hint="eastAsia"/>
              </w:rPr>
              <w:t>（3）建筑垃圾中废弃的砖、石、夯块等作为地基的填筑料，各类包装箱、纸有专人负责收集分类存放，统一运往废品站进行回收利用。</w:t>
            </w:r>
          </w:p>
          <w:p w14:paraId="1C449A23">
            <w:pPr>
              <w:pStyle w:val="53"/>
              <w:ind w:firstLine="480"/>
            </w:pPr>
            <w:r>
              <w:rPr>
                <w:rFonts w:hint="eastAsia"/>
              </w:rPr>
              <w:t>综上，施工期产生的固体废物均可得到妥善处置，对环境产生的不良影响较小。</w:t>
            </w:r>
          </w:p>
          <w:p w14:paraId="27E431D1">
            <w:pPr>
              <w:pStyle w:val="53"/>
              <w:bidi w:val="0"/>
            </w:pPr>
            <w:r>
              <w:rPr>
                <w:rFonts w:hint="eastAsia"/>
              </w:rPr>
              <w:t>5、生态环境防治措施</w:t>
            </w:r>
          </w:p>
          <w:p w14:paraId="1D6A26D7">
            <w:pPr>
              <w:pStyle w:val="53"/>
              <w:bidi w:val="0"/>
              <w:rPr>
                <w:rFonts w:hint="eastAsia"/>
              </w:rPr>
            </w:pPr>
            <w:r>
              <w:rPr>
                <w:rFonts w:hint="eastAsia"/>
                <w:lang w:eastAsia="zh-CN"/>
              </w:rPr>
              <w:t>（</w:t>
            </w:r>
            <w:r>
              <w:rPr>
                <w:rFonts w:hint="eastAsia"/>
                <w:lang w:val="en-US" w:eastAsia="zh-CN"/>
              </w:rPr>
              <w:t>1</w:t>
            </w:r>
            <w:r>
              <w:rPr>
                <w:rFonts w:hint="eastAsia"/>
                <w:lang w:eastAsia="zh-CN"/>
              </w:rPr>
              <w:t>）施工</w:t>
            </w:r>
            <w:r>
              <w:rPr>
                <w:rFonts w:hint="eastAsia"/>
              </w:rPr>
              <w:t>占地生态保护措施</w:t>
            </w:r>
          </w:p>
          <w:p w14:paraId="1289EE89">
            <w:pPr>
              <w:pStyle w:val="53"/>
              <w:bidi w:val="0"/>
              <w:rPr>
                <w:rFonts w:hint="eastAsia"/>
              </w:rPr>
            </w:pPr>
            <w:r>
              <w:rPr>
                <w:rFonts w:hint="eastAsia"/>
              </w:rPr>
              <w:t>划定作业边界，严禁超界占用和破坏沿线的林草地；按照有关行政法规</w:t>
            </w:r>
            <w:r>
              <w:rPr>
                <w:rFonts w:hint="eastAsia"/>
                <w:lang w:eastAsia="zh-CN"/>
              </w:rPr>
              <w:t>缴纳</w:t>
            </w:r>
            <w:r>
              <w:rPr>
                <w:rFonts w:hint="eastAsia"/>
              </w:rPr>
              <w:t xml:space="preserve">有关征地税费，按照专款专用的原则，做好土地利用规划调整工作；结合周边绿化带建设恢复施工用地；合理组织施工，缩短工期，对施工便道的路基采用分层压实，在路基两侧开挖临时排水沟；制定雨季施工计划和方案，尽量避免雨季施工等措施减少水土流失。 </w:t>
            </w:r>
          </w:p>
          <w:p w14:paraId="6E5AB2D8">
            <w:pPr>
              <w:pStyle w:val="53"/>
              <w:bidi w:val="0"/>
              <w:rPr>
                <w:rFonts w:hint="eastAsia"/>
              </w:rPr>
            </w:pPr>
            <w:r>
              <w:rPr>
                <w:rFonts w:hint="eastAsia"/>
              </w:rPr>
              <w:t>本项目所在区域植被覆盖良好，工程施工过程中会造成一定程度的水土流失，通过精心施工，加强对开挖出的土石方的规范的管理和处理，充分利用土石方和建筑垃圾，尽量避免产生弃土、弃渣，可把工程施工过程中的水土流失减到最低限度。</w:t>
            </w:r>
          </w:p>
          <w:p w14:paraId="6E19180A">
            <w:pPr>
              <w:pStyle w:val="53"/>
              <w:bidi w:val="0"/>
              <w:rPr>
                <w:rFonts w:hint="eastAsia"/>
              </w:rPr>
            </w:pPr>
            <w:r>
              <w:rPr>
                <w:rFonts w:hint="eastAsia"/>
                <w:lang w:eastAsia="zh-CN"/>
              </w:rPr>
              <w:t>（</w:t>
            </w:r>
            <w:r>
              <w:rPr>
                <w:rFonts w:hint="eastAsia"/>
                <w:lang w:val="en-US" w:eastAsia="zh-CN"/>
              </w:rPr>
              <w:t>2</w:t>
            </w:r>
            <w:r>
              <w:rPr>
                <w:rFonts w:hint="eastAsia"/>
                <w:lang w:eastAsia="zh-CN"/>
              </w:rPr>
              <w:t>）</w:t>
            </w:r>
            <w:r>
              <w:rPr>
                <w:rFonts w:hint="eastAsia"/>
              </w:rPr>
              <w:t>生态植被保护和恢复措施</w:t>
            </w:r>
          </w:p>
          <w:p w14:paraId="1F15926D">
            <w:pPr>
              <w:pStyle w:val="53"/>
              <w:bidi w:val="0"/>
              <w:rPr>
                <w:rFonts w:hint="eastAsia"/>
              </w:rPr>
            </w:pPr>
            <w:r>
              <w:rPr>
                <w:rFonts w:hint="eastAsia"/>
                <w:lang w:val="en-US" w:eastAsia="zh-CN"/>
              </w:rPr>
              <w:t>①</w:t>
            </w:r>
            <w:r>
              <w:rPr>
                <w:rFonts w:hint="eastAsia"/>
              </w:rPr>
              <w:t>施工区等临时建筑尽量减轻对土壤及植被的破坏。</w:t>
            </w:r>
          </w:p>
          <w:p w14:paraId="6A5E6C07">
            <w:pPr>
              <w:pStyle w:val="53"/>
              <w:bidi w:val="0"/>
              <w:rPr>
                <w:rFonts w:hint="eastAsia"/>
              </w:rPr>
            </w:pPr>
            <w:r>
              <w:rPr>
                <w:rFonts w:hint="eastAsia"/>
                <w:lang w:val="en-US" w:eastAsia="zh-CN"/>
              </w:rPr>
              <w:t>②</w:t>
            </w:r>
            <w:r>
              <w:rPr>
                <w:rFonts w:hint="eastAsia"/>
              </w:rPr>
              <w:t>严格按照设计文件确定征占土地范围，施工道路优先选择利用场地内现有道路，不得乱占乱压；施工作业过程</w:t>
            </w:r>
            <w:r>
              <w:rPr>
                <w:rFonts w:hint="eastAsia"/>
                <w:lang w:eastAsia="zh-CN"/>
              </w:rPr>
              <w:t>中，严格控制</w:t>
            </w:r>
            <w:r>
              <w:rPr>
                <w:rFonts w:hint="eastAsia"/>
              </w:rPr>
              <w:t xml:space="preserve">作业区域，减少不必要的碾压和破坏。 </w:t>
            </w:r>
          </w:p>
          <w:p w14:paraId="25DA0B6D">
            <w:pPr>
              <w:pStyle w:val="53"/>
              <w:bidi w:val="0"/>
              <w:rPr>
                <w:rFonts w:hint="eastAsia"/>
              </w:rPr>
            </w:pPr>
            <w:r>
              <w:rPr>
                <w:rFonts w:hint="eastAsia"/>
                <w:lang w:val="en-US" w:eastAsia="zh-CN"/>
              </w:rPr>
              <w:t>②</w:t>
            </w:r>
            <w:r>
              <w:rPr>
                <w:rFonts w:hint="eastAsia"/>
              </w:rPr>
              <w:t xml:space="preserve">工程施工过程中，对固体废物堆放严格管理，不允许将工程临时废渣随处乱排。 </w:t>
            </w:r>
          </w:p>
          <w:p w14:paraId="60548084">
            <w:pPr>
              <w:pStyle w:val="53"/>
              <w:bidi w:val="0"/>
              <w:rPr>
                <w:rFonts w:hint="eastAsia"/>
              </w:rPr>
            </w:pPr>
            <w:r>
              <w:rPr>
                <w:rFonts w:hint="eastAsia"/>
                <w:lang w:val="en-US" w:eastAsia="zh-CN"/>
              </w:rPr>
              <w:t>③</w:t>
            </w:r>
            <w:r>
              <w:rPr>
                <w:rFonts w:hint="eastAsia"/>
              </w:rPr>
              <w:t xml:space="preserve">基础等开挖时，表土剥离单独堆放，用于回填及生态恢复；设土袋挡护、拍实、覆盖草垫或苫盖纤维布等其它覆盖物。 </w:t>
            </w:r>
          </w:p>
          <w:p w14:paraId="6B2F0DCD">
            <w:pPr>
              <w:pStyle w:val="53"/>
              <w:bidi w:val="0"/>
              <w:rPr>
                <w:rFonts w:hint="eastAsia"/>
              </w:rPr>
            </w:pPr>
            <w:r>
              <w:rPr>
                <w:rFonts w:hint="eastAsia"/>
                <w:lang w:val="en-US" w:eastAsia="zh-CN"/>
              </w:rPr>
              <w:t>④</w:t>
            </w:r>
            <w:r>
              <w:rPr>
                <w:rFonts w:hint="eastAsia"/>
              </w:rPr>
              <w:t>因施工破坏植被而造成裸露的土地应在施工结束后立即整治利用，恢复植被。</w:t>
            </w:r>
          </w:p>
          <w:p w14:paraId="16ED760F">
            <w:pPr>
              <w:pStyle w:val="53"/>
              <w:bidi w:val="0"/>
              <w:rPr>
                <w:rFonts w:hint="eastAsia"/>
              </w:rPr>
            </w:pPr>
            <w:r>
              <w:rPr>
                <w:rFonts w:hint="eastAsia"/>
                <w:lang w:eastAsia="zh-CN"/>
              </w:rPr>
              <w:t>（</w:t>
            </w:r>
            <w:r>
              <w:rPr>
                <w:rFonts w:hint="eastAsia"/>
                <w:lang w:val="en-US" w:eastAsia="zh-CN"/>
              </w:rPr>
              <w:t>4</w:t>
            </w:r>
            <w:r>
              <w:rPr>
                <w:rFonts w:hint="eastAsia"/>
                <w:lang w:eastAsia="zh-CN"/>
              </w:rPr>
              <w:t>）</w:t>
            </w:r>
            <w:r>
              <w:rPr>
                <w:rFonts w:hint="eastAsia"/>
              </w:rPr>
              <w:t xml:space="preserve">陆生动物保护措施 </w:t>
            </w:r>
          </w:p>
          <w:p w14:paraId="06870CFF">
            <w:pPr>
              <w:pStyle w:val="53"/>
              <w:bidi w:val="0"/>
              <w:rPr>
                <w:rFonts w:hint="eastAsia"/>
              </w:rPr>
            </w:pPr>
            <w:r>
              <w:rPr>
                <w:rFonts w:hint="eastAsia"/>
                <w:lang w:val="en-US" w:eastAsia="zh-CN"/>
              </w:rPr>
              <w:t>①</w:t>
            </w:r>
            <w:r>
              <w:rPr>
                <w:rFonts w:hint="eastAsia"/>
              </w:rPr>
              <w:t xml:space="preserve">提高施工人员的保护意识，严禁捕猎野生动物。施工人员必须遵守《中华人民共和国野生动物保护法》。施工前对施工人员进行宣传教育，严禁捕猎这些保护动物与特有动物，施工过程中如遇到要尽量保护。 </w:t>
            </w:r>
          </w:p>
          <w:p w14:paraId="727B337A">
            <w:pPr>
              <w:pStyle w:val="53"/>
              <w:bidi w:val="0"/>
              <w:rPr>
                <w:rFonts w:hint="eastAsia"/>
              </w:rPr>
            </w:pPr>
            <w:r>
              <w:rPr>
                <w:rFonts w:hint="eastAsia"/>
                <w:lang w:val="en-US" w:eastAsia="zh-CN"/>
              </w:rPr>
              <w:t>②</w:t>
            </w:r>
            <w:r>
              <w:rPr>
                <w:rFonts w:hint="eastAsia"/>
              </w:rPr>
              <w:t xml:space="preserve">禁止施工人员捕杀动物，对施工人员进行法律知识宣传教育，在工地及周边设立爱护野生动植物的宣传牌。 </w:t>
            </w:r>
          </w:p>
          <w:p w14:paraId="2940CBEA">
            <w:pPr>
              <w:pStyle w:val="53"/>
              <w:bidi w:val="0"/>
              <w:rPr>
                <w:rFonts w:hint="eastAsia"/>
              </w:rPr>
            </w:pPr>
            <w:r>
              <w:rPr>
                <w:rFonts w:hint="eastAsia"/>
                <w:lang w:val="en-US" w:eastAsia="zh-CN"/>
              </w:rPr>
              <w:t>③</w:t>
            </w:r>
            <w:r>
              <w:rPr>
                <w:rFonts w:hint="eastAsia"/>
              </w:rPr>
              <w:t xml:space="preserve">保护野生动植物生境，施工期间加强施工场地等的防护，加强施工人员的各类卫生管理，避免生活污水的直接排放，减少污水、固体废物等对野生动物生境的影响。 </w:t>
            </w:r>
          </w:p>
          <w:p w14:paraId="51B4355C">
            <w:pPr>
              <w:pStyle w:val="53"/>
              <w:bidi w:val="0"/>
              <w:rPr>
                <w:rFonts w:hint="eastAsia"/>
              </w:rPr>
            </w:pPr>
            <w:r>
              <w:rPr>
                <w:rFonts w:hint="eastAsia"/>
                <w:lang w:val="en-US" w:eastAsia="zh-CN"/>
              </w:rPr>
              <w:t>④</w:t>
            </w:r>
            <w:r>
              <w:rPr>
                <w:rFonts w:hint="eastAsia"/>
              </w:rPr>
              <w:t>施工道路一般对现有的水系的破坏较大，因此应在施工道路上多预留一些涵洞满足水体交换和小型动物的迁徙通道。</w:t>
            </w:r>
          </w:p>
          <w:p w14:paraId="1F759D1F">
            <w:pPr>
              <w:pStyle w:val="53"/>
              <w:bidi w:val="0"/>
              <w:rPr>
                <w:rFonts w:hint="eastAsia"/>
              </w:rPr>
            </w:pPr>
            <w:r>
              <w:rPr>
                <w:rFonts w:hint="eastAsia"/>
                <w:lang w:eastAsia="zh-CN"/>
              </w:rPr>
              <w:t>（</w:t>
            </w:r>
            <w:r>
              <w:rPr>
                <w:rFonts w:hint="eastAsia"/>
                <w:lang w:val="en-US" w:eastAsia="zh-CN"/>
              </w:rPr>
              <w:t>5</w:t>
            </w:r>
            <w:r>
              <w:rPr>
                <w:rFonts w:hint="eastAsia"/>
                <w:lang w:eastAsia="zh-CN"/>
              </w:rPr>
              <w:t>）</w:t>
            </w:r>
            <w:r>
              <w:rPr>
                <w:rFonts w:hint="eastAsia"/>
              </w:rPr>
              <w:t xml:space="preserve">鸟类保护措施 </w:t>
            </w:r>
          </w:p>
          <w:p w14:paraId="2548A7F9">
            <w:pPr>
              <w:pStyle w:val="53"/>
              <w:bidi w:val="0"/>
              <w:rPr>
                <w:rFonts w:hint="eastAsia"/>
              </w:rPr>
            </w:pPr>
            <w:r>
              <w:rPr>
                <w:rFonts w:hint="eastAsia"/>
                <w:lang w:val="en-US" w:eastAsia="zh-CN"/>
              </w:rPr>
              <w:t>①</w:t>
            </w:r>
            <w:r>
              <w:rPr>
                <w:rFonts w:hint="eastAsia"/>
              </w:rPr>
              <w:t xml:space="preserve">对施工人员进行候鸟保护等法律知识宣传教育，在工地及周边设立爱护鸟类宣传牌，严禁捕猎各种鸟类。 </w:t>
            </w:r>
          </w:p>
          <w:p w14:paraId="223783D4">
            <w:pPr>
              <w:pStyle w:val="53"/>
              <w:bidi w:val="0"/>
              <w:rPr>
                <w:rFonts w:hint="eastAsia"/>
              </w:rPr>
            </w:pPr>
            <w:r>
              <w:rPr>
                <w:rFonts w:hint="eastAsia"/>
                <w:lang w:val="en-US" w:eastAsia="zh-CN"/>
              </w:rPr>
              <w:t>②</w:t>
            </w:r>
            <w:r>
              <w:rPr>
                <w:rFonts w:hint="eastAsia"/>
              </w:rPr>
              <w:t xml:space="preserve">合理安排施工时间，大型作业等活动要避开鸟类活动的高峰期，如晨昏等。 </w:t>
            </w:r>
          </w:p>
          <w:p w14:paraId="010192A2">
            <w:pPr>
              <w:pStyle w:val="53"/>
              <w:bidi w:val="0"/>
              <w:rPr>
                <w:rFonts w:hint="eastAsia"/>
              </w:rPr>
            </w:pPr>
            <w:r>
              <w:rPr>
                <w:rFonts w:hint="eastAsia"/>
                <w:lang w:val="en-US" w:eastAsia="zh-CN"/>
              </w:rPr>
              <w:t>③</w:t>
            </w:r>
            <w:r>
              <w:rPr>
                <w:rFonts w:hint="eastAsia"/>
              </w:rPr>
              <w:t xml:space="preserve">鉴于鸟类对噪声、振动和光线特殊要求，施工尽可能在白天进行，晚上做到少施工或不施工；严禁高噪声设备在夜间施工，尽量减少鸣笛。 </w:t>
            </w:r>
          </w:p>
          <w:p w14:paraId="335267F0">
            <w:pPr>
              <w:pStyle w:val="53"/>
              <w:bidi w:val="0"/>
              <w:rPr>
                <w:rFonts w:hint="eastAsia"/>
              </w:rPr>
            </w:pPr>
            <w:r>
              <w:rPr>
                <w:rFonts w:hint="eastAsia"/>
                <w:lang w:val="en-US" w:eastAsia="zh-CN"/>
              </w:rPr>
              <w:t>④</w:t>
            </w:r>
            <w:r>
              <w:rPr>
                <w:rFonts w:hint="eastAsia"/>
              </w:rPr>
              <w:t>为了减小对夜行性鸟类的干扰，应对施工场地的光源进行遮蔽，减少对外界的漏光量，尤其是在有大雾、小雨或强逆风的夜晚，应该停止施工。</w:t>
            </w:r>
          </w:p>
          <w:p w14:paraId="6DE20A08">
            <w:pPr>
              <w:pStyle w:val="53"/>
              <w:bidi w:val="0"/>
              <w:rPr>
                <w:rFonts w:hint="eastAsia"/>
              </w:rPr>
            </w:pPr>
            <w:r>
              <w:rPr>
                <w:rFonts w:hint="eastAsia"/>
                <w:lang w:eastAsia="zh-CN"/>
              </w:rPr>
              <w:t>（</w:t>
            </w:r>
            <w:r>
              <w:rPr>
                <w:rFonts w:hint="eastAsia"/>
                <w:lang w:val="en-US" w:eastAsia="zh-CN"/>
              </w:rPr>
              <w:t>5</w:t>
            </w:r>
            <w:r>
              <w:rPr>
                <w:rFonts w:hint="eastAsia"/>
                <w:lang w:eastAsia="zh-CN"/>
              </w:rPr>
              <w:t>）</w:t>
            </w:r>
            <w:r>
              <w:rPr>
                <w:rFonts w:hint="eastAsia"/>
              </w:rPr>
              <w:t>水土保持措施</w:t>
            </w:r>
          </w:p>
          <w:p w14:paraId="01EC5E74">
            <w:pPr>
              <w:pStyle w:val="53"/>
              <w:bidi w:val="0"/>
              <w:rPr>
                <w:rFonts w:hint="eastAsia"/>
              </w:rPr>
            </w:pPr>
            <w:r>
              <w:rPr>
                <w:rFonts w:hint="eastAsia"/>
              </w:rPr>
              <w:t xml:space="preserve">根据水土流失防治分区，建立完整有效的水土保持防护体系。 </w:t>
            </w:r>
          </w:p>
          <w:p w14:paraId="053D9F78">
            <w:pPr>
              <w:pStyle w:val="53"/>
              <w:bidi w:val="0"/>
            </w:pPr>
            <w:r>
              <w:rPr>
                <w:rFonts w:hint="eastAsia"/>
              </w:rPr>
              <w:t>施工前对该区域进行表土剥离，施工结束后对植被恢复区域进行表土回覆，永久占地均采取撒播种草</w:t>
            </w:r>
            <w:r>
              <w:rPr>
                <w:rFonts w:hint="eastAsia"/>
                <w:lang w:val="en-US" w:eastAsia="zh-CN"/>
              </w:rPr>
              <w:t>或硬化</w:t>
            </w:r>
            <w:r>
              <w:rPr>
                <w:rFonts w:hint="eastAsia"/>
              </w:rPr>
              <w:t>的方式进行恢复，施工期间对临时堆存表土及回填土进行密目网苫盖及编织袋拦挡措施。</w:t>
            </w:r>
          </w:p>
        </w:tc>
      </w:tr>
      <w:tr w14:paraId="44BB10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753" w:type="dxa"/>
            <w:tcMar>
              <w:left w:w="28" w:type="dxa"/>
              <w:right w:w="28" w:type="dxa"/>
            </w:tcMar>
            <w:vAlign w:val="center"/>
          </w:tcPr>
          <w:p w14:paraId="3FB1D130">
            <w:pPr>
              <w:adjustRightInd w:val="0"/>
              <w:snapToGrid w:val="0"/>
              <w:jc w:val="center"/>
              <w:rPr>
                <w:rFonts w:ascii="宋体" w:hAnsi="宋体" w:cs="宋体"/>
                <w:bCs/>
                <w:spacing w:val="10"/>
                <w:szCs w:val="21"/>
              </w:rPr>
            </w:pPr>
            <w:r>
              <w:rPr>
                <w:rFonts w:hint="eastAsia" w:ascii="宋体" w:hAnsi="宋体" w:cs="宋体"/>
                <w:bCs/>
                <w:spacing w:val="10"/>
                <w:szCs w:val="21"/>
              </w:rPr>
              <w:t>运营期生态环境保护措施</w:t>
            </w:r>
          </w:p>
        </w:tc>
        <w:tc>
          <w:tcPr>
            <w:tcW w:w="8457" w:type="dxa"/>
          </w:tcPr>
          <w:p w14:paraId="05E7A930">
            <w:pPr>
              <w:pStyle w:val="53"/>
              <w:ind w:firstLine="480"/>
            </w:pPr>
            <w:r>
              <w:rPr>
                <w:rFonts w:hint="eastAsia"/>
              </w:rPr>
              <w:t>1、大气污染防治措施</w:t>
            </w:r>
          </w:p>
          <w:p w14:paraId="7F84551C">
            <w:pPr>
              <w:pStyle w:val="53"/>
              <w:ind w:firstLine="480"/>
            </w:pPr>
            <w:r>
              <w:rPr>
                <w:rFonts w:hint="eastAsia"/>
                <w:color w:val="000000"/>
                <w:szCs w:val="28"/>
              </w:rPr>
              <w:t>（1）</w:t>
            </w:r>
            <w:r>
              <w:rPr>
                <w:color w:val="000000"/>
                <w:szCs w:val="28"/>
              </w:rPr>
              <w:t>矸石矿车通过罐笼由井下提至井上，</w:t>
            </w:r>
            <w:r>
              <w:rPr>
                <w:rFonts w:hint="eastAsia"/>
                <w:color w:val="000000"/>
                <w:szCs w:val="28"/>
              </w:rPr>
              <w:t>经密闭走廊输送机输送至翻车房，</w:t>
            </w:r>
            <w:r>
              <w:rPr>
                <w:color w:val="000000"/>
                <w:szCs w:val="28"/>
              </w:rPr>
              <w:t>经翻车机卸至缓冲仓内，再通过仓下给料机给至矸石上仓胶带输送机运至矸石仓内储存</w:t>
            </w:r>
            <w:r>
              <w:rPr>
                <w:rFonts w:hint="eastAsia"/>
                <w:color w:val="000000"/>
                <w:szCs w:val="28"/>
              </w:rPr>
              <w:t>，</w:t>
            </w:r>
            <w:r>
              <w:rPr>
                <w:rFonts w:hint="eastAsia"/>
              </w:rPr>
              <w:t>矸石装车过程采取喷淋降尘措施，矸石外运过程采取苫盖措施，减少扬尘污染。</w:t>
            </w:r>
          </w:p>
          <w:p w14:paraId="65A8E1BB">
            <w:pPr>
              <w:pStyle w:val="53"/>
              <w:ind w:firstLine="480"/>
            </w:pPr>
            <w:r>
              <w:rPr>
                <w:rFonts w:hint="eastAsia"/>
              </w:rPr>
              <w:t>（2）厂内运输道路均采取水泥硬化路面，及时</w:t>
            </w:r>
            <w:r>
              <w:t>清扫、洒水抑尘</w:t>
            </w:r>
            <w:r>
              <w:rPr>
                <w:rFonts w:hint="eastAsia"/>
              </w:rPr>
              <w:t>。</w:t>
            </w:r>
          </w:p>
          <w:p w14:paraId="75936090">
            <w:pPr>
              <w:pStyle w:val="53"/>
              <w:ind w:firstLine="480"/>
            </w:pPr>
            <w:r>
              <w:rPr>
                <w:rFonts w:hint="eastAsia"/>
              </w:rPr>
              <w:t>2、噪声污染防治措施</w:t>
            </w:r>
          </w:p>
          <w:p w14:paraId="189C35B0">
            <w:pPr>
              <w:pStyle w:val="53"/>
              <w:ind w:firstLine="520"/>
              <w:rPr>
                <w:rFonts w:ascii="宋体" w:hAnsi="宋体" w:cs="宋体"/>
                <w:bCs/>
                <w:spacing w:val="10"/>
              </w:rPr>
            </w:pPr>
            <w:r>
              <w:rPr>
                <w:rFonts w:hint="eastAsia" w:ascii="宋体" w:hAnsi="宋体" w:cs="宋体"/>
                <w:bCs/>
                <w:spacing w:val="10"/>
              </w:rPr>
              <w:t>本项目运营期主要噪声源为风机、水泵及运输车辆等，通过优化各设备布置位置，选择节能低噪设备，采取隔声、减振消声措施，再经距离衰减后，噪声对项目所在地声环境影响较小。</w:t>
            </w:r>
          </w:p>
          <w:p w14:paraId="79E3AA44">
            <w:pPr>
              <w:pStyle w:val="53"/>
              <w:ind w:firstLine="520"/>
              <w:rPr>
                <w:rFonts w:ascii="宋体" w:hAnsi="宋体" w:cs="宋体"/>
                <w:bCs/>
                <w:spacing w:val="10"/>
              </w:rPr>
            </w:pPr>
            <w:r>
              <w:rPr>
                <w:rFonts w:hint="eastAsia" w:ascii="宋体" w:hAnsi="宋体" w:cs="宋体"/>
                <w:bCs/>
                <w:spacing w:val="10"/>
              </w:rPr>
              <w:t>本项目进场道路设计时速20km/h，在运营过程中交通量较小，道路交通噪声对周围产生的影响较小。</w:t>
            </w:r>
          </w:p>
          <w:p w14:paraId="0126E9A8">
            <w:pPr>
              <w:pStyle w:val="53"/>
              <w:ind w:firstLine="520"/>
              <w:rPr>
                <w:rFonts w:ascii="宋体" w:hAnsi="宋体" w:cs="宋体"/>
                <w:bCs/>
                <w:spacing w:val="10"/>
              </w:rPr>
            </w:pPr>
            <w:r>
              <w:rPr>
                <w:rFonts w:hint="eastAsia" w:ascii="宋体" w:hAnsi="宋体" w:cs="宋体"/>
                <w:bCs/>
                <w:spacing w:val="10"/>
              </w:rPr>
              <w:t>为了进一步减少道路运输造成的环境影响，运营过程中要采取的一系列措施为：</w:t>
            </w:r>
          </w:p>
          <w:p w14:paraId="0FF6BAEE">
            <w:pPr>
              <w:pStyle w:val="53"/>
              <w:ind w:firstLine="520"/>
              <w:rPr>
                <w:rFonts w:ascii="宋体" w:hAnsi="宋体" w:cs="宋体"/>
                <w:bCs/>
                <w:spacing w:val="10"/>
              </w:rPr>
            </w:pPr>
            <w:r>
              <w:rPr>
                <w:rFonts w:hint="eastAsia" w:ascii="宋体" w:hAnsi="宋体" w:cs="宋体"/>
                <w:bCs/>
                <w:spacing w:val="10"/>
              </w:rPr>
              <w:t>（1）对进场道路应经常进行维护，保证路面完好，降低车辆通过时的噪声；</w:t>
            </w:r>
          </w:p>
          <w:p w14:paraId="076DE8E6">
            <w:pPr>
              <w:pStyle w:val="53"/>
              <w:ind w:firstLine="520"/>
              <w:rPr>
                <w:rFonts w:ascii="宋体" w:hAnsi="宋体" w:cs="宋体"/>
                <w:bCs/>
                <w:spacing w:val="10"/>
              </w:rPr>
            </w:pPr>
            <w:r>
              <w:rPr>
                <w:rFonts w:hint="eastAsia" w:ascii="宋体" w:hAnsi="宋体" w:cs="宋体"/>
                <w:bCs/>
                <w:spacing w:val="10"/>
              </w:rPr>
              <w:t>（2）</w:t>
            </w:r>
            <w:r>
              <w:rPr>
                <w:rFonts w:hint="eastAsia" w:ascii="宋体" w:hAnsi="宋体" w:cs="宋体"/>
                <w:bCs/>
                <w:spacing w:val="10"/>
                <w:lang w:eastAsia="zh-CN"/>
              </w:rPr>
              <w:t>对</w:t>
            </w:r>
            <w:r>
              <w:rPr>
                <w:rFonts w:hint="eastAsia" w:ascii="宋体" w:hAnsi="宋体" w:cs="宋体"/>
                <w:bCs/>
                <w:spacing w:val="10"/>
              </w:rPr>
              <w:t>进出场车辆采取措施限制车速；</w:t>
            </w:r>
          </w:p>
          <w:p w14:paraId="0354C78B">
            <w:pPr>
              <w:pStyle w:val="53"/>
              <w:ind w:firstLine="520"/>
              <w:rPr>
                <w:rFonts w:ascii="宋体" w:hAnsi="宋体" w:cs="宋体"/>
                <w:bCs/>
                <w:spacing w:val="10"/>
              </w:rPr>
            </w:pPr>
            <w:r>
              <w:rPr>
                <w:rFonts w:hint="eastAsia" w:ascii="宋体" w:hAnsi="宋体" w:cs="宋体"/>
                <w:bCs/>
                <w:spacing w:val="10"/>
              </w:rPr>
              <w:t>（3）车辆进出场应尽量安排在白天进行，禁止夜间运输。</w:t>
            </w:r>
          </w:p>
          <w:p w14:paraId="27C0A38E">
            <w:pPr>
              <w:pStyle w:val="53"/>
              <w:ind w:firstLine="520"/>
              <w:rPr>
                <w:rFonts w:ascii="宋体" w:hAnsi="宋体" w:cs="宋体"/>
                <w:bCs/>
                <w:spacing w:val="10"/>
              </w:rPr>
            </w:pPr>
            <w:r>
              <w:rPr>
                <w:rFonts w:hint="eastAsia" w:ascii="宋体" w:hAnsi="宋体" w:cs="宋体"/>
                <w:bCs/>
                <w:spacing w:val="10"/>
              </w:rPr>
              <w:t>3、固体废物污染防治措施</w:t>
            </w:r>
          </w:p>
          <w:p w14:paraId="21EC0361">
            <w:pPr>
              <w:pStyle w:val="53"/>
              <w:ind w:firstLine="480"/>
            </w:pPr>
            <w:r>
              <w:t>本</w:t>
            </w:r>
            <w:r>
              <w:rPr>
                <w:rFonts w:hint="eastAsia"/>
              </w:rPr>
              <w:t>项目</w:t>
            </w:r>
            <w:r>
              <w:t>新建</w:t>
            </w:r>
            <w:r>
              <w:rPr>
                <w:rFonts w:hint="eastAsia"/>
              </w:rPr>
              <w:t>副立井</w:t>
            </w:r>
            <w:r>
              <w:t>工业</w:t>
            </w:r>
            <w:r>
              <w:rPr>
                <w:rFonts w:hint="eastAsia"/>
              </w:rPr>
              <w:t>广</w:t>
            </w:r>
            <w:r>
              <w:t>场地内设有排矸系统，矸石仓内的矸石由汽车运走，可用于制砂、制砖、铺设道路和回填沟壑等。</w:t>
            </w:r>
          </w:p>
          <w:p w14:paraId="3554B825">
            <w:pPr>
              <w:pStyle w:val="53"/>
              <w:ind w:firstLine="480"/>
            </w:pPr>
            <w:r>
              <w:rPr>
                <w:rFonts w:hint="eastAsia"/>
              </w:rPr>
              <w:t>4、地下水保护措施</w:t>
            </w:r>
          </w:p>
          <w:p w14:paraId="436B87C7">
            <w:pPr>
              <w:pStyle w:val="53"/>
              <w:ind w:firstLine="480"/>
            </w:pPr>
            <w:r>
              <w:t>按照《环境影响评价技术导则  地下水环境》（HJ610-2016）要求做好分区防渗措施，</w:t>
            </w:r>
            <w:r>
              <w:rPr>
                <w:rFonts w:hint="eastAsia"/>
              </w:rPr>
              <w:t>油脂库按重点防渗区进行防渗，地面及裙角</w:t>
            </w:r>
            <w:r>
              <w:t>采用2mm厚的高密度聚乙烯+防渗混凝土进行防渗处理，渗透系数≤10</w:t>
            </w:r>
            <w:r>
              <w:rPr>
                <w:vertAlign w:val="superscript"/>
              </w:rPr>
              <w:t>-10</w:t>
            </w:r>
            <w:r>
              <w:t>cm/s</w:t>
            </w:r>
            <w:r>
              <w:rPr>
                <w:rFonts w:hint="eastAsia"/>
              </w:rPr>
              <w:t>，</w:t>
            </w:r>
            <w:r>
              <w:rPr>
                <w:szCs w:val="24"/>
              </w:rPr>
              <w:t>满足《环境影响评价技术导则 地下水环境》（HJ610-2016）表7中</w:t>
            </w:r>
            <w:r>
              <w:rPr>
                <w:rFonts w:hint="eastAsia"/>
                <w:szCs w:val="24"/>
              </w:rPr>
              <w:t>重点</w:t>
            </w:r>
            <w:r>
              <w:rPr>
                <w:szCs w:val="24"/>
              </w:rPr>
              <w:t>防渗区防渗技术要求（等效黏土防渗层Mb≥6.0m，渗透系数≤10</w:t>
            </w:r>
            <w:r>
              <w:rPr>
                <w:szCs w:val="24"/>
                <w:vertAlign w:val="superscript"/>
              </w:rPr>
              <w:t>-7</w:t>
            </w:r>
            <w:r>
              <w:rPr>
                <w:szCs w:val="24"/>
              </w:rPr>
              <w:t>cm/s）</w:t>
            </w:r>
            <w:r>
              <w:t>。</w:t>
            </w:r>
            <w:r>
              <w:rPr>
                <w:rFonts w:hint="eastAsia"/>
              </w:rPr>
              <w:t>厂内其他区域</w:t>
            </w:r>
            <w:r>
              <w:t>按简单防渗区进行一般地面硬化，</w:t>
            </w:r>
            <w:r>
              <w:rPr>
                <w:szCs w:val="24"/>
              </w:rPr>
              <w:t>符合《环境影响评价技术导则  地下水环境》（HJ 610-2016）简单防渗区要求</w:t>
            </w:r>
            <w:r>
              <w:rPr>
                <w:rFonts w:hint="eastAsia"/>
                <w:szCs w:val="24"/>
              </w:rPr>
              <w:t>。</w:t>
            </w:r>
          </w:p>
          <w:p w14:paraId="734F9B03">
            <w:pPr>
              <w:pStyle w:val="53"/>
              <w:ind w:firstLine="520"/>
              <w:rPr>
                <w:rFonts w:ascii="宋体" w:hAnsi="宋体" w:cs="宋体"/>
                <w:bCs/>
                <w:spacing w:val="10"/>
              </w:rPr>
            </w:pPr>
            <w:r>
              <w:rPr>
                <w:rFonts w:hint="eastAsia" w:ascii="宋体" w:hAnsi="宋体" w:cs="宋体"/>
                <w:bCs/>
                <w:spacing w:val="10"/>
                <w:lang w:val="en-US" w:eastAsia="zh-CN"/>
              </w:rPr>
              <w:t>5</w:t>
            </w:r>
            <w:r>
              <w:rPr>
                <w:rFonts w:hint="eastAsia" w:ascii="宋体" w:hAnsi="宋体" w:cs="宋体"/>
                <w:bCs/>
                <w:spacing w:val="10"/>
              </w:rPr>
              <w:t>、环境风险防范措施</w:t>
            </w:r>
          </w:p>
          <w:p w14:paraId="1B801D3C">
            <w:pPr>
              <w:pStyle w:val="53"/>
              <w:ind w:firstLine="480"/>
            </w:pPr>
            <w:r>
              <w:rPr>
                <w:rFonts w:hint="eastAsia"/>
              </w:rPr>
              <w:t>（1）</w:t>
            </w:r>
            <w:r>
              <w:t>油脂库地面防渗，</w:t>
            </w:r>
            <w:r>
              <w:rPr>
                <w:rFonts w:hint="eastAsia"/>
                <w:szCs w:val="24"/>
              </w:rPr>
              <w:t>防渗满足</w:t>
            </w:r>
            <w:r>
              <w:rPr>
                <w:szCs w:val="24"/>
              </w:rPr>
              <w:t>《石油化工工程防渗技术规范》（GB/T50934-2013）重点防治区的防渗要求</w:t>
            </w:r>
            <w:r>
              <w:rPr>
                <w:rFonts w:hint="eastAsia"/>
                <w:szCs w:val="24"/>
              </w:rPr>
              <w:t>，</w:t>
            </w:r>
            <w:r>
              <w:t>设置防止流体流散的设施，门、窗采用防火门窗，储存物品的火灾危险性为丙类。</w:t>
            </w:r>
          </w:p>
          <w:p w14:paraId="310FC310">
            <w:pPr>
              <w:pStyle w:val="53"/>
              <w:ind w:firstLine="480"/>
              <w:rPr>
                <w:rFonts w:ascii="宋体" w:hAnsi="宋体" w:cs="宋体"/>
                <w:bCs/>
                <w:spacing w:val="10"/>
              </w:rPr>
            </w:pPr>
            <w:r>
              <w:rPr>
                <w:rFonts w:hint="eastAsia"/>
              </w:rPr>
              <w:t>（2）</w:t>
            </w:r>
            <w:r>
              <w:t>设立标志，加强巡检，防止人为破坏，贮存必要的应急物资。建成营运后，要提</w:t>
            </w:r>
            <w:r>
              <w:rPr>
                <w:rFonts w:hint="eastAsia"/>
                <w:lang w:eastAsia="zh-CN"/>
              </w:rPr>
              <w:t>高</w:t>
            </w:r>
            <w:r>
              <w:t>操作人员的素质和管理水平，防止或减少事故风险的发生，确保油脂库的正常运行。</w:t>
            </w:r>
          </w:p>
        </w:tc>
      </w:tr>
      <w:tr w14:paraId="02AF1A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2" w:hRule="atLeast"/>
          <w:jc w:val="center"/>
        </w:trPr>
        <w:tc>
          <w:tcPr>
            <w:tcW w:w="753" w:type="dxa"/>
            <w:vAlign w:val="center"/>
          </w:tcPr>
          <w:p w14:paraId="576F6134">
            <w:pPr>
              <w:adjustRightInd w:val="0"/>
              <w:snapToGrid w:val="0"/>
              <w:jc w:val="center"/>
              <w:rPr>
                <w:rFonts w:ascii="宋体" w:hAnsi="宋体" w:cs="宋体"/>
                <w:bCs/>
                <w:spacing w:val="10"/>
                <w:szCs w:val="21"/>
              </w:rPr>
            </w:pPr>
            <w:r>
              <w:rPr>
                <w:rFonts w:hint="eastAsia" w:ascii="宋体" w:hAnsi="宋体"/>
                <w:bCs/>
                <w:szCs w:val="21"/>
              </w:rPr>
              <w:t>其他</w:t>
            </w:r>
          </w:p>
        </w:tc>
        <w:tc>
          <w:tcPr>
            <w:tcW w:w="8457" w:type="dxa"/>
          </w:tcPr>
          <w:p w14:paraId="66F0E22D">
            <w:pPr>
              <w:pStyle w:val="53"/>
              <w:ind w:firstLine="480"/>
            </w:pPr>
            <w:r>
              <w:t>环境管理及监测计划</w:t>
            </w:r>
            <w:r>
              <w:rPr>
                <w:rFonts w:hint="eastAsia"/>
              </w:rPr>
              <w:t>：</w:t>
            </w:r>
          </w:p>
          <w:p w14:paraId="70F0E384">
            <w:pPr>
              <w:pStyle w:val="53"/>
              <w:ind w:firstLine="480"/>
            </w:pPr>
            <w:r>
              <w:rPr>
                <w:rFonts w:hint="eastAsia"/>
              </w:rPr>
              <w:t>（1）环境管理</w:t>
            </w:r>
          </w:p>
          <w:p w14:paraId="11FDC3C9">
            <w:pPr>
              <w:pStyle w:val="53"/>
              <w:ind w:firstLine="480"/>
            </w:pPr>
            <w:r>
              <w:t>环境管理应该贯穿于建设项目从立项到运行的整个过程，并对建设项目的不同阶段制定相应的环保条例，规定不同阶段的环保内容，明确不同部门的工作职责，具体情况见下表。</w:t>
            </w:r>
          </w:p>
          <w:p w14:paraId="2202E97E">
            <w:pPr>
              <w:pStyle w:val="74"/>
              <w:bidi w:val="0"/>
            </w:pPr>
          </w:p>
          <w:p w14:paraId="4F4CB0C3">
            <w:pPr>
              <w:pStyle w:val="74"/>
              <w:bidi w:val="0"/>
            </w:pPr>
            <w:r>
              <w:t>表5-1  建设项目各阶段环境管理工作计划表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774"/>
              <w:gridCol w:w="6798"/>
            </w:tblGrid>
            <w:tr w14:paraId="2EAF2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93" w:type="dxa"/>
                  <w:gridSpan w:val="2"/>
                  <w:vAlign w:val="center"/>
                </w:tcPr>
                <w:p w14:paraId="4C261243">
                  <w:pPr>
                    <w:pStyle w:val="52"/>
                  </w:pPr>
                  <w:r>
                    <w:t>各阶段</w:t>
                  </w:r>
                </w:p>
              </w:tc>
              <w:tc>
                <w:tcPr>
                  <w:tcW w:w="7413" w:type="dxa"/>
                  <w:vAlign w:val="center"/>
                </w:tcPr>
                <w:p w14:paraId="6B9783FB">
                  <w:pPr>
                    <w:pStyle w:val="52"/>
                  </w:pPr>
                  <w:r>
                    <w:t>环境管理工作计划的具体内容</w:t>
                  </w:r>
                </w:p>
              </w:tc>
            </w:tr>
            <w:tr w14:paraId="0E451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93" w:type="dxa"/>
                  <w:gridSpan w:val="2"/>
                  <w:vAlign w:val="center"/>
                </w:tcPr>
                <w:p w14:paraId="106E6341">
                  <w:pPr>
                    <w:pStyle w:val="52"/>
                  </w:pPr>
                  <w:r>
                    <w:t>环境管理</w:t>
                  </w:r>
                </w:p>
                <w:p w14:paraId="75E25D5F">
                  <w:pPr>
                    <w:pStyle w:val="52"/>
                  </w:pPr>
                  <w:r>
                    <w:t>机构的职能</w:t>
                  </w:r>
                </w:p>
              </w:tc>
              <w:tc>
                <w:tcPr>
                  <w:tcW w:w="7413" w:type="dxa"/>
                  <w:vAlign w:val="center"/>
                </w:tcPr>
                <w:p w14:paraId="0824FE86">
                  <w:pPr>
                    <w:pStyle w:val="52"/>
                    <w:jc w:val="both"/>
                  </w:pPr>
                  <w:r>
                    <w:t>根据国家建设项目环境管理规定，认真落实各项环保手续，完成各级环保主管部门对企业提出的环境要求，对企业内部各项管理计划的执行及完成情况进行监督，确保环境管理工作真正发挥作用。</w:t>
                  </w:r>
                </w:p>
              </w:tc>
            </w:tr>
            <w:tr w14:paraId="7173E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93" w:type="dxa"/>
                  <w:gridSpan w:val="2"/>
                  <w:vAlign w:val="center"/>
                </w:tcPr>
                <w:p w14:paraId="0C424EEE">
                  <w:pPr>
                    <w:pStyle w:val="52"/>
                  </w:pPr>
                  <w:r>
                    <w:t>企业环境</w:t>
                  </w:r>
                </w:p>
                <w:p w14:paraId="66DAA699">
                  <w:pPr>
                    <w:pStyle w:val="52"/>
                  </w:pPr>
                  <w:r>
                    <w:t>管理总要求</w:t>
                  </w:r>
                </w:p>
              </w:tc>
              <w:tc>
                <w:tcPr>
                  <w:tcW w:w="7413" w:type="dxa"/>
                  <w:vAlign w:val="center"/>
                </w:tcPr>
                <w:p w14:paraId="6D3626E0">
                  <w:pPr>
                    <w:pStyle w:val="52"/>
                    <w:jc w:val="both"/>
                  </w:pPr>
                  <w:r>
                    <w:rPr>
                      <w:rFonts w:hint="eastAsia" w:ascii="宋体" w:hAnsi="宋体" w:cs="宋体"/>
                    </w:rPr>
                    <w:t>①</w:t>
                  </w:r>
                  <w:r>
                    <w:t>项目投产后试生产3个月内，进行环保设施竣工验收；</w:t>
                  </w:r>
                </w:p>
                <w:p w14:paraId="517E63C6">
                  <w:pPr>
                    <w:pStyle w:val="52"/>
                    <w:jc w:val="both"/>
                  </w:pPr>
                  <w:r>
                    <w:rPr>
                      <w:rFonts w:hint="eastAsia" w:ascii="宋体" w:hAnsi="宋体" w:cs="宋体"/>
                    </w:rPr>
                    <w:t>②</w:t>
                  </w:r>
                  <w:r>
                    <w:t>生产运行阶段，定期请当地环保部门监督、检查，协助</w:t>
                  </w:r>
                  <w:r>
                    <w:rPr>
                      <w:rFonts w:hint="eastAsia"/>
                      <w:lang w:eastAsia="zh-CN"/>
                    </w:rPr>
                    <w:t>做好</w:t>
                  </w:r>
                  <w:r>
                    <w:t>环境管理工作，对不达标装置及时整改；</w:t>
                  </w:r>
                </w:p>
                <w:p w14:paraId="78C67B44">
                  <w:pPr>
                    <w:pStyle w:val="52"/>
                    <w:jc w:val="both"/>
                  </w:pPr>
                  <w:r>
                    <w:rPr>
                      <w:rFonts w:hint="eastAsia" w:ascii="宋体" w:hAnsi="宋体" w:cs="宋体"/>
                    </w:rPr>
                    <w:t>③</w:t>
                  </w:r>
                  <w:r>
                    <w:t>配合环境监测单位搞好监测工作。</w:t>
                  </w:r>
                </w:p>
              </w:tc>
            </w:tr>
            <w:tr w14:paraId="21D35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93" w:type="dxa"/>
                  <w:gridSpan w:val="2"/>
                  <w:vAlign w:val="center"/>
                </w:tcPr>
                <w:p w14:paraId="1CC91146">
                  <w:pPr>
                    <w:pStyle w:val="52"/>
                  </w:pPr>
                  <w:r>
                    <w:rPr>
                      <w:rFonts w:hint="eastAsia"/>
                    </w:rPr>
                    <w:t>施工阶段</w:t>
                  </w:r>
                </w:p>
              </w:tc>
              <w:tc>
                <w:tcPr>
                  <w:tcW w:w="7413" w:type="dxa"/>
                  <w:vAlign w:val="center"/>
                </w:tcPr>
                <w:p w14:paraId="01A10128">
                  <w:pPr>
                    <w:pStyle w:val="52"/>
                    <w:jc w:val="both"/>
                  </w:pPr>
                  <w:r>
                    <w:rPr>
                      <w:rFonts w:hint="eastAsia"/>
                    </w:rPr>
                    <w:t>①</w:t>
                  </w:r>
                  <w:r>
                    <w:t>高度重视对生态环境的影响，项目建设施工用地严格限定在用地范围内。</w:t>
                  </w:r>
                </w:p>
                <w:p w14:paraId="18B60292">
                  <w:pPr>
                    <w:pStyle w:val="52"/>
                    <w:jc w:val="both"/>
                  </w:pPr>
                  <w:r>
                    <w:rPr>
                      <w:rFonts w:hint="eastAsia"/>
                    </w:rPr>
                    <w:t>②</w:t>
                  </w:r>
                  <w:r>
                    <w:t>选择具备相应资质的施工单位，对施工中造成的环境污染</w:t>
                  </w:r>
                  <w:r>
                    <w:rPr>
                      <w:rFonts w:hint="eastAsia"/>
                      <w:lang w:eastAsia="zh-CN"/>
                    </w:rPr>
                    <w:t>以及</w:t>
                  </w:r>
                  <w:r>
                    <w:t>新增水土流失，及时进行治理；</w:t>
                  </w:r>
                </w:p>
                <w:p w14:paraId="68A87668">
                  <w:pPr>
                    <w:pStyle w:val="52"/>
                    <w:jc w:val="both"/>
                    <w:rPr>
                      <w:rFonts w:ascii="宋体" w:hAnsi="宋体" w:cs="宋体"/>
                    </w:rPr>
                  </w:pPr>
                  <w:r>
                    <w:rPr>
                      <w:rFonts w:hint="eastAsia"/>
                    </w:rPr>
                    <w:t>③</w:t>
                  </w:r>
                  <w:r>
                    <w:t>必须严格执行“三同时”制度与竣工验收制度。项目环保工程与主体工程同时设计，同时施工。</w:t>
                  </w:r>
                </w:p>
              </w:tc>
            </w:tr>
            <w:tr w14:paraId="10806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3" w:type="dxa"/>
                  <w:vMerge w:val="restart"/>
                  <w:vAlign w:val="center"/>
                </w:tcPr>
                <w:p w14:paraId="0644AEE4">
                  <w:pPr>
                    <w:pStyle w:val="52"/>
                  </w:pPr>
                  <w:r>
                    <w:t>竣工</w:t>
                  </w:r>
                </w:p>
                <w:p w14:paraId="13F60F36">
                  <w:pPr>
                    <w:pStyle w:val="52"/>
                  </w:pPr>
                  <w:r>
                    <w:t>验收</w:t>
                  </w:r>
                </w:p>
                <w:p w14:paraId="61B24ECD">
                  <w:pPr>
                    <w:pStyle w:val="52"/>
                  </w:pPr>
                  <w:r>
                    <w:t>阶段</w:t>
                  </w:r>
                </w:p>
              </w:tc>
              <w:tc>
                <w:tcPr>
                  <w:tcW w:w="810" w:type="dxa"/>
                  <w:vAlign w:val="center"/>
                </w:tcPr>
                <w:p w14:paraId="1085F38E">
                  <w:pPr>
                    <w:pStyle w:val="52"/>
                  </w:pPr>
                  <w:r>
                    <w:t>自检</w:t>
                  </w:r>
                </w:p>
                <w:p w14:paraId="7DDD4355">
                  <w:pPr>
                    <w:pStyle w:val="52"/>
                  </w:pPr>
                  <w:r>
                    <w:t>准备</w:t>
                  </w:r>
                </w:p>
                <w:p w14:paraId="2C6D0F4A">
                  <w:pPr>
                    <w:pStyle w:val="52"/>
                  </w:pPr>
                  <w:r>
                    <w:t>阶段</w:t>
                  </w:r>
                </w:p>
              </w:tc>
              <w:tc>
                <w:tcPr>
                  <w:tcW w:w="7413" w:type="dxa"/>
                  <w:vAlign w:val="center"/>
                </w:tcPr>
                <w:p w14:paraId="6EF043A6">
                  <w:pPr>
                    <w:pStyle w:val="52"/>
                    <w:jc w:val="both"/>
                  </w:pPr>
                  <w:r>
                    <w:rPr>
                      <w:rFonts w:hint="eastAsia" w:ascii="宋体" w:hAnsi="宋体" w:cs="宋体"/>
                    </w:rPr>
                    <w:t>①</w:t>
                  </w:r>
                  <w:r>
                    <w:t>检查施工项目是否按设计规定全部完工；</w:t>
                  </w:r>
                  <w:r>
                    <w:rPr>
                      <w:rFonts w:hint="eastAsia" w:ascii="宋体" w:hAnsi="宋体" w:cs="宋体"/>
                    </w:rPr>
                    <w:t>②</w:t>
                  </w:r>
                  <w:r>
                    <w:t>向环保部门申请试运行；</w:t>
                  </w:r>
                </w:p>
                <w:p w14:paraId="1260393C">
                  <w:pPr>
                    <w:pStyle w:val="52"/>
                    <w:jc w:val="both"/>
                  </w:pPr>
                  <w:r>
                    <w:rPr>
                      <w:rFonts w:hint="eastAsia" w:ascii="宋体" w:hAnsi="宋体" w:cs="宋体"/>
                    </w:rPr>
                    <w:t>③</w:t>
                  </w:r>
                  <w:r>
                    <w:t>组织检查试运行前的各项准备工作；</w:t>
                  </w:r>
                  <w:r>
                    <w:rPr>
                      <w:rFonts w:hint="eastAsia" w:ascii="宋体" w:hAnsi="宋体" w:cs="宋体"/>
                    </w:rPr>
                    <w:t>④</w:t>
                  </w:r>
                  <w:r>
                    <w:t>检查操作技术文件和管理制度是否健全；</w:t>
                  </w:r>
                  <w:r>
                    <w:rPr>
                      <w:rFonts w:hint="eastAsia" w:ascii="宋体" w:hAnsi="宋体" w:cs="宋体"/>
                    </w:rPr>
                    <w:t>⑤</w:t>
                  </w:r>
                  <w:r>
                    <w:t>建立环保档案。</w:t>
                  </w:r>
                </w:p>
              </w:tc>
            </w:tr>
            <w:tr w14:paraId="279DC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3" w:type="dxa"/>
                  <w:vMerge w:val="continue"/>
                  <w:vAlign w:val="center"/>
                </w:tcPr>
                <w:p w14:paraId="28B25F2C">
                  <w:pPr>
                    <w:pStyle w:val="52"/>
                  </w:pPr>
                </w:p>
              </w:tc>
              <w:tc>
                <w:tcPr>
                  <w:tcW w:w="810" w:type="dxa"/>
                  <w:vAlign w:val="center"/>
                </w:tcPr>
                <w:p w14:paraId="5DF9E995">
                  <w:pPr>
                    <w:pStyle w:val="52"/>
                  </w:pPr>
                  <w:r>
                    <w:t>预</w:t>
                  </w:r>
                </w:p>
                <w:p w14:paraId="5782E7B9">
                  <w:pPr>
                    <w:pStyle w:val="52"/>
                  </w:pPr>
                  <w:r>
                    <w:t>验收</w:t>
                  </w:r>
                </w:p>
                <w:p w14:paraId="540081F1">
                  <w:pPr>
                    <w:pStyle w:val="52"/>
                  </w:pPr>
                  <w:r>
                    <w:t>阶段</w:t>
                  </w:r>
                </w:p>
              </w:tc>
              <w:tc>
                <w:tcPr>
                  <w:tcW w:w="7413" w:type="dxa"/>
                  <w:vAlign w:val="center"/>
                </w:tcPr>
                <w:p w14:paraId="3285DD4F">
                  <w:pPr>
                    <w:pStyle w:val="52"/>
                    <w:jc w:val="both"/>
                  </w:pPr>
                  <w:r>
                    <w:rPr>
                      <w:rFonts w:hint="eastAsia" w:ascii="宋体" w:hAnsi="宋体" w:cs="宋体"/>
                    </w:rPr>
                    <w:t>①</w:t>
                  </w:r>
                  <w:r>
                    <w:t>检查污染治理效果和各污染源污染物排放情况；</w:t>
                  </w:r>
                </w:p>
                <w:p w14:paraId="5487E29C">
                  <w:pPr>
                    <w:pStyle w:val="52"/>
                    <w:jc w:val="both"/>
                  </w:pPr>
                  <w:r>
                    <w:rPr>
                      <w:rFonts w:hint="eastAsia" w:ascii="宋体" w:hAnsi="宋体" w:cs="宋体"/>
                    </w:rPr>
                    <w:t>②</w:t>
                  </w:r>
                  <w:r>
                    <w:t>对检查出来的问题，要提出解决或补救措施，落实投资，确保完成期限；</w:t>
                  </w:r>
                </w:p>
                <w:p w14:paraId="7C0D5C60">
                  <w:pPr>
                    <w:pStyle w:val="52"/>
                    <w:jc w:val="both"/>
                  </w:pPr>
                  <w:r>
                    <w:rPr>
                      <w:rFonts w:hint="eastAsia" w:ascii="宋体" w:hAnsi="宋体" w:cs="宋体"/>
                    </w:rPr>
                    <w:t>③</w:t>
                  </w:r>
                  <w:r>
                    <w:t>邀请环境监测站按环评选定的监测点或断面，有重点地考核生产设施、环保设施运行情况，污染物产生、治理和排污情况以及环境污染水平，并提交《建设项目环境保护竣工验收监测报告》，回答环保工程是否满足竣工验收要求和具备验收条件。</w:t>
                  </w:r>
                </w:p>
              </w:tc>
            </w:tr>
            <w:tr w14:paraId="6AB27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3" w:type="dxa"/>
                  <w:vMerge w:val="continue"/>
                  <w:vAlign w:val="center"/>
                </w:tcPr>
                <w:p w14:paraId="6B4F0D52">
                  <w:pPr>
                    <w:pStyle w:val="52"/>
                  </w:pPr>
                </w:p>
              </w:tc>
              <w:tc>
                <w:tcPr>
                  <w:tcW w:w="810" w:type="dxa"/>
                  <w:vAlign w:val="center"/>
                </w:tcPr>
                <w:p w14:paraId="52BEFF52">
                  <w:pPr>
                    <w:pStyle w:val="52"/>
                  </w:pPr>
                  <w:r>
                    <w:t>正式</w:t>
                  </w:r>
                </w:p>
                <w:p w14:paraId="0455C270">
                  <w:pPr>
                    <w:pStyle w:val="52"/>
                  </w:pPr>
                  <w:r>
                    <w:t>验收</w:t>
                  </w:r>
                </w:p>
                <w:p w14:paraId="6910E766">
                  <w:pPr>
                    <w:pStyle w:val="52"/>
                  </w:pPr>
                  <w:r>
                    <w:t>阶段</w:t>
                  </w:r>
                </w:p>
              </w:tc>
              <w:tc>
                <w:tcPr>
                  <w:tcW w:w="7413" w:type="dxa"/>
                  <w:vAlign w:val="center"/>
                </w:tcPr>
                <w:p w14:paraId="488A3468">
                  <w:pPr>
                    <w:pStyle w:val="52"/>
                    <w:jc w:val="both"/>
                  </w:pPr>
                  <w:r>
                    <w:rPr>
                      <w:rFonts w:hint="eastAsia" w:ascii="宋体" w:hAnsi="宋体" w:cs="宋体"/>
                    </w:rPr>
                    <w:t>①</w:t>
                  </w:r>
                  <w:r>
                    <w:t>建设项目竣工后，建设单位或者其委托的技术机构应当依照国家有关法律法规、建设项目竣工环境保护验收技术规范、建设项目环境影响报告书和审批决定等，如查实、监测、记载建设项目环境保护设施的建设和调试情况，同时还应如实记载其他环境保护对策措施“三同时”落实情况，编制竣工环境保护验收报告；</w:t>
                  </w:r>
                </w:p>
                <w:p w14:paraId="79095963">
                  <w:pPr>
                    <w:pStyle w:val="52"/>
                    <w:jc w:val="both"/>
                  </w:pPr>
                  <w:r>
                    <w:rPr>
                      <w:rFonts w:hint="eastAsia" w:ascii="宋体" w:hAnsi="宋体" w:cs="宋体"/>
                    </w:rPr>
                    <w:t>②</w:t>
                  </w:r>
                  <w:r>
                    <w:t>验收报告编制完成后，建设单位应组织成立验收工作组，验收工作组</w:t>
                  </w:r>
                  <w:r>
                    <w:rPr>
                      <w:rFonts w:hint="eastAsia"/>
                      <w:lang w:eastAsia="zh-CN"/>
                    </w:rPr>
                    <w:t>由</w:t>
                  </w:r>
                  <w:r>
                    <w:t>建设单位、设计单位、施工单位、环境影响报告书编制机构、验收报告编制机构等单位代表和专业技术专家组成；验收工作组应当严格依照国家有关法律法规、建设项目竣工验收环境保护验收技术规范、建设项目环境影响报告书和审批决定等要求对建设项目配套建设的环境保护设施进行验收，环境保护设施落实情况，环境保护设施调试效果和工程建设对环境的影响，验收存</w:t>
                  </w:r>
                  <w:r>
                    <w:rPr>
                      <w:rFonts w:hint="eastAsia"/>
                      <w:lang w:eastAsia="zh-CN"/>
                    </w:rPr>
                    <w:t>在的</w:t>
                  </w:r>
                  <w:r>
                    <w:t>主要问题，验收结论和手续要求；</w:t>
                  </w:r>
                </w:p>
                <w:p w14:paraId="76B72279">
                  <w:pPr>
                    <w:pStyle w:val="52"/>
                    <w:jc w:val="both"/>
                  </w:pPr>
                  <w:r>
                    <w:rPr>
                      <w:rFonts w:hint="eastAsia" w:ascii="宋体" w:hAnsi="宋体" w:cs="宋体"/>
                    </w:rPr>
                    <w:t>③</w:t>
                  </w:r>
                  <w:r>
                    <w:t>建设单位向生态环境局申请办理《排污许可证》，转入日常环境保护监督管理。</w:t>
                  </w:r>
                </w:p>
              </w:tc>
            </w:tr>
            <w:tr w14:paraId="17CED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93" w:type="dxa"/>
                  <w:gridSpan w:val="2"/>
                  <w:vAlign w:val="center"/>
                </w:tcPr>
                <w:p w14:paraId="5AB41543">
                  <w:pPr>
                    <w:pStyle w:val="52"/>
                  </w:pPr>
                  <w:r>
                    <w:t>生产</w:t>
                  </w:r>
                </w:p>
                <w:p w14:paraId="49A09DAE">
                  <w:pPr>
                    <w:pStyle w:val="52"/>
                  </w:pPr>
                  <w:r>
                    <w:t>运行</w:t>
                  </w:r>
                </w:p>
                <w:p w14:paraId="31CDFD18">
                  <w:pPr>
                    <w:pStyle w:val="52"/>
                  </w:pPr>
                  <w:r>
                    <w:t>阶段</w:t>
                  </w:r>
                </w:p>
              </w:tc>
              <w:tc>
                <w:tcPr>
                  <w:tcW w:w="7413" w:type="dxa"/>
                  <w:vAlign w:val="center"/>
                </w:tcPr>
                <w:p w14:paraId="4673563D">
                  <w:pPr>
                    <w:pStyle w:val="52"/>
                    <w:jc w:val="both"/>
                  </w:pPr>
                  <w:r>
                    <w:rPr>
                      <w:rFonts w:hint="eastAsia" w:ascii="宋体" w:hAnsi="宋体" w:cs="宋体"/>
                    </w:rPr>
                    <w:t>①</w:t>
                  </w:r>
                  <w:r>
                    <w:t>严格执行各项生产及环境管理制度，把污染防治和环境管理纳入企业日常经营管理活动，从计划管理、生产管理、技术管理、设备管理到经济成本核算都要有控制污染的内容和指标，并要落实到岗位，保证生产的正常进行；</w:t>
                  </w:r>
                </w:p>
                <w:p w14:paraId="51C037CD">
                  <w:pPr>
                    <w:pStyle w:val="52"/>
                    <w:jc w:val="both"/>
                  </w:pPr>
                  <w:r>
                    <w:rPr>
                      <w:rFonts w:hint="eastAsia" w:ascii="宋体" w:hAnsi="宋体" w:cs="宋体"/>
                    </w:rPr>
                    <w:t>②</w:t>
                  </w:r>
                  <w:r>
                    <w:t>企业主要领导负责实行环保责任制，指标逐级分解，做到奖罚分明；</w:t>
                  </w:r>
                </w:p>
                <w:p w14:paraId="5629A4EA">
                  <w:pPr>
                    <w:pStyle w:val="52"/>
                    <w:jc w:val="both"/>
                  </w:pPr>
                  <w:r>
                    <w:rPr>
                      <w:rFonts w:hint="eastAsia" w:ascii="宋体" w:hAnsi="宋体" w:cs="宋体"/>
                    </w:rPr>
                    <w:t>③</w:t>
                  </w:r>
                  <w:r>
                    <w:t>设立环保设施运行卡，对环保设施定期进行检查、维护，做到勤查、勤记、勤养护，重点对生产废水回用情况，跑、冒、滴、漏现象进行检查；</w:t>
                  </w:r>
                </w:p>
                <w:p w14:paraId="16A87F00">
                  <w:pPr>
                    <w:pStyle w:val="52"/>
                    <w:jc w:val="both"/>
                  </w:pPr>
                  <w:r>
                    <w:rPr>
                      <w:rFonts w:hint="eastAsia" w:ascii="宋体" w:hAnsi="宋体" w:cs="宋体"/>
                    </w:rPr>
                    <w:t>④</w:t>
                  </w:r>
                  <w:r>
                    <w:t>建立健全企业的污染监测系统，按照监测计划定期组织厂内的污染源监测，对不达标装置立即寻找原因，及时处理，为企业环境管理提供依据；</w:t>
                  </w:r>
                </w:p>
                <w:p w14:paraId="591CDC3E">
                  <w:pPr>
                    <w:pStyle w:val="52"/>
                    <w:jc w:val="both"/>
                  </w:pPr>
                  <w:r>
                    <w:rPr>
                      <w:rFonts w:hint="eastAsia" w:ascii="宋体" w:hAnsi="宋体" w:cs="宋体"/>
                    </w:rPr>
                    <w:t>⑤</w:t>
                  </w:r>
                  <w:r>
                    <w:t>建立环境保护信息反馈和群众监督制度，重视群众监察监督作用，提高全员环境意识，鼓励职工及外部人员对企业生产状况提出意见，并通过积极吸取宝贵建议提高企业环境管理水平，监察企业生产和管理活动违背环保法规和制度的行为；</w:t>
                  </w:r>
                </w:p>
                <w:p w14:paraId="433A2E09">
                  <w:pPr>
                    <w:pStyle w:val="52"/>
                    <w:jc w:val="both"/>
                  </w:pPr>
                  <w:r>
                    <w:rPr>
                      <w:rFonts w:hint="eastAsia" w:ascii="宋体" w:hAnsi="宋体" w:cs="宋体"/>
                    </w:rPr>
                    <w:t>⑥</w:t>
                  </w:r>
                  <w:r>
                    <w:t>不断加强技术培训，组织企业间技术交流，提高操作水平，保持操作工人队伍稳定；</w:t>
                  </w:r>
                </w:p>
                <w:p w14:paraId="2A04DE3F">
                  <w:pPr>
                    <w:pStyle w:val="52"/>
                    <w:jc w:val="both"/>
                  </w:pPr>
                  <w:r>
                    <w:rPr>
                      <w:rFonts w:hint="eastAsia" w:ascii="宋体" w:hAnsi="宋体" w:cs="宋体"/>
                    </w:rPr>
                    <w:t>⑦</w:t>
                  </w:r>
                  <w:r>
                    <w:t>积极配合环保部门的检查、验收，监督、检查。定期向环保部门汇报情况。</w:t>
                  </w:r>
                </w:p>
              </w:tc>
            </w:tr>
          </w:tbl>
          <w:p w14:paraId="0424A471">
            <w:pPr>
              <w:pStyle w:val="53"/>
              <w:ind w:firstLine="480"/>
            </w:pPr>
            <w:r>
              <w:rPr>
                <w:rFonts w:hint="eastAsia"/>
              </w:rPr>
              <w:t>（2）环境监测计划</w:t>
            </w:r>
          </w:p>
          <w:p w14:paraId="4221D3D4">
            <w:pPr>
              <w:pStyle w:val="53"/>
              <w:ind w:firstLine="480"/>
            </w:pPr>
            <w:r>
              <w:t>本项目环境监测计划可委托</w:t>
            </w:r>
            <w:r>
              <w:rPr>
                <w:rFonts w:hint="eastAsia"/>
              </w:rPr>
              <w:t>有资质的单位</w:t>
            </w:r>
            <w:r>
              <w:t>监测，具体见</w:t>
            </w:r>
            <w:r>
              <w:rPr>
                <w:rFonts w:hint="eastAsia"/>
              </w:rPr>
              <w:t>下表</w:t>
            </w:r>
            <w:r>
              <w:t>。</w:t>
            </w:r>
          </w:p>
          <w:p w14:paraId="26C8530B">
            <w:pPr>
              <w:pStyle w:val="74"/>
            </w:pPr>
            <w:r>
              <w:rPr>
                <w:rFonts w:hint="eastAsia"/>
              </w:rPr>
              <w:t>表</w:t>
            </w:r>
            <w:r>
              <w:t>5-2</w:t>
            </w:r>
            <w:r>
              <w:rPr>
                <w:rFonts w:hint="eastAsia"/>
              </w:rPr>
              <w:t xml:space="preserve">   监测计划</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505"/>
              <w:gridCol w:w="742"/>
              <w:gridCol w:w="663"/>
              <w:gridCol w:w="965"/>
              <w:gridCol w:w="1943"/>
              <w:gridCol w:w="2829"/>
            </w:tblGrid>
            <w:tr w14:paraId="2356B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Align w:val="center"/>
                </w:tcPr>
                <w:p w14:paraId="6E269D77">
                  <w:pPr>
                    <w:pStyle w:val="52"/>
                  </w:pPr>
                  <w:r>
                    <w:rPr>
                      <w:rFonts w:hint="eastAsia"/>
                    </w:rPr>
                    <w:t>时段</w:t>
                  </w:r>
                </w:p>
              </w:tc>
              <w:tc>
                <w:tcPr>
                  <w:tcW w:w="0" w:type="auto"/>
                  <w:vAlign w:val="center"/>
                </w:tcPr>
                <w:p w14:paraId="5A73E194">
                  <w:pPr>
                    <w:pStyle w:val="52"/>
                  </w:pPr>
                  <w:r>
                    <w:t>类别</w:t>
                  </w:r>
                </w:p>
              </w:tc>
              <w:tc>
                <w:tcPr>
                  <w:tcW w:w="0" w:type="auto"/>
                  <w:vAlign w:val="center"/>
                </w:tcPr>
                <w:p w14:paraId="2AA1D4A4">
                  <w:pPr>
                    <w:pStyle w:val="52"/>
                  </w:pPr>
                  <w:r>
                    <w:t>监测点位</w:t>
                  </w:r>
                </w:p>
              </w:tc>
              <w:tc>
                <w:tcPr>
                  <w:tcW w:w="0" w:type="auto"/>
                  <w:vAlign w:val="center"/>
                </w:tcPr>
                <w:p w14:paraId="1D67644F">
                  <w:pPr>
                    <w:pStyle w:val="52"/>
                  </w:pPr>
                  <w:r>
                    <w:t>监测因子</w:t>
                  </w:r>
                </w:p>
              </w:tc>
              <w:tc>
                <w:tcPr>
                  <w:tcW w:w="965" w:type="dxa"/>
                  <w:vAlign w:val="center"/>
                </w:tcPr>
                <w:p w14:paraId="227FDE2D">
                  <w:pPr>
                    <w:pStyle w:val="52"/>
                  </w:pPr>
                  <w:r>
                    <w:t>监测频率</w:t>
                  </w:r>
                </w:p>
              </w:tc>
              <w:tc>
                <w:tcPr>
                  <w:tcW w:w="1843" w:type="dxa"/>
                  <w:vAlign w:val="center"/>
                </w:tcPr>
                <w:p w14:paraId="1E7B3606">
                  <w:pPr>
                    <w:pStyle w:val="52"/>
                  </w:pPr>
                  <w:r>
                    <w:rPr>
                      <w:rFonts w:hint="eastAsia"/>
                    </w:rPr>
                    <w:t>监测方法</w:t>
                  </w:r>
                </w:p>
              </w:tc>
              <w:tc>
                <w:tcPr>
                  <w:tcW w:w="2829" w:type="dxa"/>
                  <w:vAlign w:val="center"/>
                </w:tcPr>
                <w:p w14:paraId="77D43734">
                  <w:pPr>
                    <w:pStyle w:val="52"/>
                  </w:pPr>
                  <w:r>
                    <w:t>控制目标</w:t>
                  </w:r>
                </w:p>
              </w:tc>
            </w:tr>
            <w:tr w14:paraId="5320E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restart"/>
                  <w:vAlign w:val="center"/>
                </w:tcPr>
                <w:p w14:paraId="513CCC6F">
                  <w:pPr>
                    <w:pStyle w:val="52"/>
                  </w:pPr>
                  <w:r>
                    <w:rPr>
                      <w:rFonts w:hint="eastAsia"/>
                    </w:rPr>
                    <w:t>运营期</w:t>
                  </w:r>
                </w:p>
              </w:tc>
              <w:tc>
                <w:tcPr>
                  <w:tcW w:w="0" w:type="auto"/>
                  <w:vAlign w:val="center"/>
                </w:tcPr>
                <w:p w14:paraId="247BB0AB">
                  <w:pPr>
                    <w:pStyle w:val="52"/>
                  </w:pPr>
                  <w:r>
                    <w:t>废气</w:t>
                  </w:r>
                </w:p>
              </w:tc>
              <w:tc>
                <w:tcPr>
                  <w:tcW w:w="0" w:type="auto"/>
                  <w:vAlign w:val="center"/>
                </w:tcPr>
                <w:p w14:paraId="38354AA4">
                  <w:pPr>
                    <w:pStyle w:val="52"/>
                  </w:pPr>
                  <w:r>
                    <w:t>厂界</w:t>
                  </w:r>
                </w:p>
              </w:tc>
              <w:tc>
                <w:tcPr>
                  <w:tcW w:w="0" w:type="auto"/>
                  <w:vAlign w:val="center"/>
                </w:tcPr>
                <w:p w14:paraId="6F7D4A18">
                  <w:pPr>
                    <w:pStyle w:val="52"/>
                  </w:pPr>
                  <w:r>
                    <w:t>颗粒物</w:t>
                  </w:r>
                </w:p>
              </w:tc>
              <w:tc>
                <w:tcPr>
                  <w:tcW w:w="965" w:type="dxa"/>
                  <w:vAlign w:val="center"/>
                </w:tcPr>
                <w:p w14:paraId="349076BA">
                  <w:pPr>
                    <w:pStyle w:val="52"/>
                  </w:pPr>
                  <w:r>
                    <w:t>1次/</w:t>
                  </w:r>
                  <w:r>
                    <w:rPr>
                      <w:rFonts w:hint="eastAsia"/>
                    </w:rPr>
                    <w:t>年</w:t>
                  </w:r>
                </w:p>
              </w:tc>
              <w:tc>
                <w:tcPr>
                  <w:tcW w:w="1843" w:type="dxa"/>
                  <w:vAlign w:val="center"/>
                </w:tcPr>
                <w:p w14:paraId="252788BA">
                  <w:pPr>
                    <w:pStyle w:val="52"/>
                  </w:pPr>
                  <w:r>
                    <w:rPr>
                      <w:rFonts w:hint="eastAsia"/>
                    </w:rPr>
                    <w:t>重量法</w:t>
                  </w:r>
                </w:p>
              </w:tc>
              <w:tc>
                <w:tcPr>
                  <w:tcW w:w="2829" w:type="dxa"/>
                  <w:vAlign w:val="center"/>
                </w:tcPr>
                <w:p w14:paraId="78B50229">
                  <w:pPr>
                    <w:pStyle w:val="52"/>
                  </w:pPr>
                  <w:r>
                    <w:t>满足《大气污染物综合排放标准》</w:t>
                  </w:r>
                  <w:r>
                    <w:rPr>
                      <w:rFonts w:hint="eastAsia"/>
                    </w:rPr>
                    <w:t>GB</w:t>
                  </w:r>
                  <w:r>
                    <w:t>16297-1996</w:t>
                  </w:r>
                  <w:r>
                    <w:rPr>
                      <w:rFonts w:hint="eastAsia"/>
                    </w:rPr>
                    <w:t>表2</w:t>
                  </w:r>
                  <w:r>
                    <w:t>无组织排放监控浓度限值要求</w:t>
                  </w:r>
                </w:p>
              </w:tc>
            </w:tr>
            <w:tr w14:paraId="6BB09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vAlign w:val="center"/>
                </w:tcPr>
                <w:p w14:paraId="2F5AD0FC">
                  <w:pPr>
                    <w:pStyle w:val="52"/>
                  </w:pPr>
                </w:p>
              </w:tc>
              <w:tc>
                <w:tcPr>
                  <w:tcW w:w="0" w:type="auto"/>
                  <w:vAlign w:val="center"/>
                </w:tcPr>
                <w:p w14:paraId="4A1025F8">
                  <w:pPr>
                    <w:pStyle w:val="52"/>
                  </w:pPr>
                  <w:r>
                    <w:t>噪声</w:t>
                  </w:r>
                </w:p>
              </w:tc>
              <w:tc>
                <w:tcPr>
                  <w:tcW w:w="0" w:type="auto"/>
                  <w:vAlign w:val="center"/>
                </w:tcPr>
                <w:p w14:paraId="688D6D70">
                  <w:pPr>
                    <w:pStyle w:val="52"/>
                  </w:pPr>
                  <w:r>
                    <w:t>厂界外1m</w:t>
                  </w:r>
                </w:p>
              </w:tc>
              <w:tc>
                <w:tcPr>
                  <w:tcW w:w="0" w:type="auto"/>
                  <w:vAlign w:val="center"/>
                </w:tcPr>
                <w:p w14:paraId="14AC536E">
                  <w:pPr>
                    <w:pStyle w:val="52"/>
                  </w:pPr>
                  <w:r>
                    <w:t>等效声级</w:t>
                  </w:r>
                </w:p>
              </w:tc>
              <w:tc>
                <w:tcPr>
                  <w:tcW w:w="965" w:type="dxa"/>
                  <w:vAlign w:val="center"/>
                </w:tcPr>
                <w:p w14:paraId="32097276">
                  <w:pPr>
                    <w:pStyle w:val="52"/>
                  </w:pPr>
                  <w:r>
                    <w:rPr>
                      <w:rFonts w:hint="eastAsia"/>
                    </w:rPr>
                    <w:t>1</w:t>
                  </w:r>
                  <w:r>
                    <w:t>次/</w:t>
                  </w:r>
                  <w:r>
                    <w:rPr>
                      <w:rFonts w:hint="eastAsia"/>
                    </w:rPr>
                    <w:t>季度</w:t>
                  </w:r>
                </w:p>
              </w:tc>
              <w:tc>
                <w:tcPr>
                  <w:tcW w:w="1843" w:type="dxa"/>
                  <w:vAlign w:val="center"/>
                </w:tcPr>
                <w:p w14:paraId="2F78E7FE">
                  <w:pPr>
                    <w:pStyle w:val="52"/>
                  </w:pPr>
                  <w:r>
                    <w:rPr>
                      <w:szCs w:val="21"/>
                    </w:rPr>
                    <w:t>《工业企业厂界环境噪声排放标准》（GB12348-2008）</w:t>
                  </w:r>
                </w:p>
              </w:tc>
              <w:tc>
                <w:tcPr>
                  <w:tcW w:w="2829" w:type="dxa"/>
                  <w:vAlign w:val="center"/>
                </w:tcPr>
                <w:p w14:paraId="4C68CDEB">
                  <w:pPr>
                    <w:pStyle w:val="52"/>
                  </w:pPr>
                  <w:r>
                    <w:t>满足《工业企业厂界环境噪声排放标准》GB12348-2008中2类标准</w:t>
                  </w:r>
                </w:p>
              </w:tc>
            </w:tr>
          </w:tbl>
          <w:p w14:paraId="0FE942AA">
            <w:pPr>
              <w:adjustRightInd w:val="0"/>
              <w:snapToGrid w:val="0"/>
              <w:rPr>
                <w:rFonts w:ascii="宋体" w:hAnsi="宋体" w:cs="宋体"/>
                <w:bCs/>
                <w:spacing w:val="10"/>
                <w:szCs w:val="21"/>
              </w:rPr>
            </w:pPr>
          </w:p>
        </w:tc>
      </w:tr>
      <w:tr w14:paraId="5B37CD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3" w:hRule="atLeast"/>
          <w:jc w:val="center"/>
        </w:trPr>
        <w:tc>
          <w:tcPr>
            <w:tcW w:w="753" w:type="dxa"/>
            <w:vAlign w:val="center"/>
          </w:tcPr>
          <w:p w14:paraId="12957096">
            <w:pPr>
              <w:adjustRightInd w:val="0"/>
              <w:snapToGrid w:val="0"/>
              <w:jc w:val="center"/>
              <w:rPr>
                <w:rFonts w:ascii="宋体" w:hAnsi="宋体" w:cs="宋体"/>
                <w:bCs/>
                <w:spacing w:val="10"/>
                <w:szCs w:val="21"/>
              </w:rPr>
            </w:pPr>
            <w:r>
              <w:rPr>
                <w:rFonts w:hint="eastAsia" w:ascii="宋体" w:hAnsi="宋体"/>
                <w:bCs/>
                <w:szCs w:val="21"/>
              </w:rPr>
              <w:t>环保投资</w:t>
            </w:r>
          </w:p>
        </w:tc>
        <w:tc>
          <w:tcPr>
            <w:tcW w:w="8457" w:type="dxa"/>
          </w:tcPr>
          <w:p w14:paraId="0A0CEBB0">
            <w:pPr>
              <w:pStyle w:val="53"/>
              <w:ind w:firstLine="480"/>
              <w:rPr>
                <w:bCs/>
              </w:rPr>
            </w:pPr>
            <w:r>
              <w:t>本项目总投资为</w:t>
            </w:r>
            <w:r>
              <w:rPr>
                <w:rFonts w:hint="eastAsia"/>
                <w:color w:val="000000"/>
                <w:szCs w:val="28"/>
                <w:lang w:eastAsia="zh-CN"/>
              </w:rPr>
              <w:t>36095.73</w:t>
            </w:r>
            <w:r>
              <w:t>万元，环保投资总额为144.15</w:t>
            </w:r>
            <w:r>
              <w:rPr>
                <w:rFonts w:hint="eastAsia"/>
              </w:rPr>
              <w:t>万</w:t>
            </w:r>
            <w:r>
              <w:t>元，占总投资</w:t>
            </w:r>
            <w:r>
              <w:rPr>
                <w:rFonts w:hint="eastAsia"/>
              </w:rPr>
              <w:t>的</w:t>
            </w:r>
            <w:r>
              <w:t>0.7</w:t>
            </w:r>
            <w:r>
              <w:rPr>
                <w:rFonts w:hint="eastAsia"/>
              </w:rPr>
              <w:t>%</w:t>
            </w:r>
            <w:r>
              <w:t>。具体见表5-3。</w:t>
            </w:r>
          </w:p>
          <w:p w14:paraId="2CBA641A">
            <w:pPr>
              <w:pStyle w:val="74"/>
            </w:pPr>
            <w:r>
              <w:t>表5-3  项目环保措施及投资一览表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992"/>
              <w:gridCol w:w="5245"/>
              <w:gridCol w:w="1267"/>
            </w:tblGrid>
            <w:tr w14:paraId="5BBDC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059F16E3">
                  <w:pPr>
                    <w:pStyle w:val="52"/>
                  </w:pPr>
                  <w:r>
                    <w:rPr>
                      <w:rFonts w:hint="eastAsia"/>
                    </w:rPr>
                    <w:t>时期</w:t>
                  </w:r>
                </w:p>
              </w:tc>
              <w:tc>
                <w:tcPr>
                  <w:tcW w:w="603" w:type="pct"/>
                  <w:vAlign w:val="center"/>
                </w:tcPr>
                <w:p w14:paraId="433DA2FC">
                  <w:pPr>
                    <w:pStyle w:val="52"/>
                  </w:pPr>
                  <w:r>
                    <w:t>项目</w:t>
                  </w:r>
                </w:p>
              </w:tc>
              <w:tc>
                <w:tcPr>
                  <w:tcW w:w="3187" w:type="pct"/>
                  <w:vAlign w:val="center"/>
                </w:tcPr>
                <w:p w14:paraId="2EA270F2">
                  <w:pPr>
                    <w:pStyle w:val="52"/>
                  </w:pPr>
                  <w:r>
                    <w:t>主要设施</w:t>
                  </w:r>
                </w:p>
              </w:tc>
              <w:tc>
                <w:tcPr>
                  <w:tcW w:w="770" w:type="pct"/>
                  <w:vAlign w:val="center"/>
                </w:tcPr>
                <w:p w14:paraId="28D3ADC3">
                  <w:pPr>
                    <w:pStyle w:val="52"/>
                  </w:pPr>
                  <w:r>
                    <w:t>投资额（万元）</w:t>
                  </w:r>
                </w:p>
              </w:tc>
            </w:tr>
            <w:tr w14:paraId="58DF2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restart"/>
                  <w:vAlign w:val="center"/>
                </w:tcPr>
                <w:p w14:paraId="2DD4D14B">
                  <w:pPr>
                    <w:pStyle w:val="52"/>
                  </w:pPr>
                  <w:r>
                    <w:rPr>
                      <w:rFonts w:hint="eastAsia"/>
                    </w:rPr>
                    <w:t>施工期</w:t>
                  </w:r>
                </w:p>
              </w:tc>
              <w:tc>
                <w:tcPr>
                  <w:tcW w:w="603" w:type="pct"/>
                  <w:vAlign w:val="center"/>
                </w:tcPr>
                <w:p w14:paraId="586DE3B7">
                  <w:pPr>
                    <w:pStyle w:val="52"/>
                  </w:pPr>
                  <w:r>
                    <w:rPr>
                      <w:rFonts w:hint="eastAsia"/>
                    </w:rPr>
                    <w:t>废水治理</w:t>
                  </w:r>
                </w:p>
              </w:tc>
              <w:tc>
                <w:tcPr>
                  <w:tcW w:w="3187" w:type="pct"/>
                  <w:vAlign w:val="center"/>
                </w:tcPr>
                <w:p w14:paraId="0AC5C989">
                  <w:pPr>
                    <w:pStyle w:val="52"/>
                  </w:pPr>
                  <w:r>
                    <w:rPr>
                      <w:rFonts w:hint="eastAsia"/>
                    </w:rPr>
                    <w:t>沉淀池、防渗旱厕</w:t>
                  </w:r>
                </w:p>
              </w:tc>
              <w:tc>
                <w:tcPr>
                  <w:tcW w:w="770" w:type="pct"/>
                  <w:vAlign w:val="center"/>
                </w:tcPr>
                <w:p w14:paraId="60D14F61">
                  <w:pPr>
                    <w:pStyle w:val="52"/>
                  </w:pPr>
                  <w:r>
                    <w:rPr>
                      <w:rFonts w:hint="eastAsia"/>
                    </w:rPr>
                    <w:t>5</w:t>
                  </w:r>
                  <w:r>
                    <w:t>.5</w:t>
                  </w:r>
                </w:p>
              </w:tc>
            </w:tr>
            <w:tr w14:paraId="5687E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continue"/>
                  <w:vAlign w:val="center"/>
                </w:tcPr>
                <w:p w14:paraId="4E26585E">
                  <w:pPr>
                    <w:pStyle w:val="52"/>
                  </w:pPr>
                </w:p>
              </w:tc>
              <w:tc>
                <w:tcPr>
                  <w:tcW w:w="603" w:type="pct"/>
                  <w:vAlign w:val="center"/>
                </w:tcPr>
                <w:p w14:paraId="3018F3D4">
                  <w:pPr>
                    <w:pStyle w:val="52"/>
                  </w:pPr>
                  <w:r>
                    <w:rPr>
                      <w:rFonts w:hint="eastAsia"/>
                    </w:rPr>
                    <w:t>废气治理</w:t>
                  </w:r>
                </w:p>
              </w:tc>
              <w:tc>
                <w:tcPr>
                  <w:tcW w:w="3187" w:type="pct"/>
                  <w:vAlign w:val="center"/>
                </w:tcPr>
                <w:p w14:paraId="484ED226">
                  <w:pPr>
                    <w:pStyle w:val="52"/>
                  </w:pPr>
                  <w:r>
                    <w:rPr>
                      <w:rFonts w:hint="eastAsia"/>
                    </w:rPr>
                    <w:t>喷淋降尘、防尘围挡</w:t>
                  </w:r>
                </w:p>
              </w:tc>
              <w:tc>
                <w:tcPr>
                  <w:tcW w:w="770" w:type="pct"/>
                  <w:vAlign w:val="center"/>
                </w:tcPr>
                <w:p w14:paraId="12E0D63F">
                  <w:pPr>
                    <w:pStyle w:val="52"/>
                  </w:pPr>
                  <w:r>
                    <w:rPr>
                      <w:rFonts w:hint="eastAsia"/>
                    </w:rPr>
                    <w:t>1</w:t>
                  </w:r>
                  <w:r>
                    <w:t>5.0</w:t>
                  </w:r>
                </w:p>
              </w:tc>
            </w:tr>
            <w:tr w14:paraId="6840A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continue"/>
                  <w:vAlign w:val="center"/>
                </w:tcPr>
                <w:p w14:paraId="339F54BF">
                  <w:pPr>
                    <w:pStyle w:val="52"/>
                  </w:pPr>
                </w:p>
              </w:tc>
              <w:tc>
                <w:tcPr>
                  <w:tcW w:w="603" w:type="pct"/>
                  <w:vAlign w:val="center"/>
                </w:tcPr>
                <w:p w14:paraId="0282EA59">
                  <w:pPr>
                    <w:pStyle w:val="52"/>
                  </w:pPr>
                  <w:r>
                    <w:rPr>
                      <w:rFonts w:hint="eastAsia"/>
                    </w:rPr>
                    <w:t>噪声治理</w:t>
                  </w:r>
                </w:p>
              </w:tc>
              <w:tc>
                <w:tcPr>
                  <w:tcW w:w="3187" w:type="pct"/>
                  <w:vAlign w:val="center"/>
                </w:tcPr>
                <w:p w14:paraId="73650C54">
                  <w:pPr>
                    <w:pStyle w:val="52"/>
                  </w:pPr>
                  <w:r>
                    <w:rPr>
                      <w:rFonts w:hint="eastAsia"/>
                    </w:rPr>
                    <w:t>隔声</w:t>
                  </w:r>
                </w:p>
              </w:tc>
              <w:tc>
                <w:tcPr>
                  <w:tcW w:w="770" w:type="pct"/>
                  <w:vAlign w:val="center"/>
                </w:tcPr>
                <w:p w14:paraId="0696F4F9">
                  <w:pPr>
                    <w:pStyle w:val="52"/>
                  </w:pPr>
                  <w:r>
                    <w:rPr>
                      <w:rFonts w:hint="eastAsia"/>
                    </w:rPr>
                    <w:t>2</w:t>
                  </w:r>
                  <w:r>
                    <w:t>.0</w:t>
                  </w:r>
                </w:p>
              </w:tc>
            </w:tr>
            <w:tr w14:paraId="25576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restart"/>
                  <w:vAlign w:val="center"/>
                </w:tcPr>
                <w:p w14:paraId="1B94F719">
                  <w:pPr>
                    <w:pStyle w:val="52"/>
                  </w:pPr>
                  <w:r>
                    <w:rPr>
                      <w:rFonts w:hint="eastAsia"/>
                    </w:rPr>
                    <w:t>运营期</w:t>
                  </w:r>
                </w:p>
              </w:tc>
              <w:tc>
                <w:tcPr>
                  <w:tcW w:w="603" w:type="pct"/>
                  <w:vAlign w:val="center"/>
                </w:tcPr>
                <w:p w14:paraId="3CD841CA">
                  <w:pPr>
                    <w:pStyle w:val="52"/>
                  </w:pPr>
                  <w:r>
                    <w:rPr>
                      <w:rFonts w:hint="eastAsia"/>
                    </w:rPr>
                    <w:t>废气治理</w:t>
                  </w:r>
                </w:p>
              </w:tc>
              <w:tc>
                <w:tcPr>
                  <w:tcW w:w="3187" w:type="pct"/>
                  <w:vAlign w:val="center"/>
                </w:tcPr>
                <w:p w14:paraId="4F60B5B4">
                  <w:pPr>
                    <w:pStyle w:val="52"/>
                  </w:pPr>
                  <w:r>
                    <w:rPr>
                      <w:rFonts w:hint="eastAsia"/>
                    </w:rPr>
                    <w:t>矸石密闭传输系统、喷淋降尘措施</w:t>
                  </w:r>
                </w:p>
              </w:tc>
              <w:tc>
                <w:tcPr>
                  <w:tcW w:w="770" w:type="pct"/>
                  <w:vAlign w:val="center"/>
                </w:tcPr>
                <w:p w14:paraId="4C2793A1">
                  <w:pPr>
                    <w:pStyle w:val="52"/>
                  </w:pPr>
                  <w:r>
                    <w:t>70.15</w:t>
                  </w:r>
                </w:p>
              </w:tc>
            </w:tr>
            <w:tr w14:paraId="72217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continue"/>
                  <w:vAlign w:val="center"/>
                </w:tcPr>
                <w:p w14:paraId="26292F13">
                  <w:pPr>
                    <w:pStyle w:val="52"/>
                  </w:pPr>
                </w:p>
              </w:tc>
              <w:tc>
                <w:tcPr>
                  <w:tcW w:w="603" w:type="pct"/>
                  <w:vAlign w:val="center"/>
                </w:tcPr>
                <w:p w14:paraId="14FFB722">
                  <w:pPr>
                    <w:pStyle w:val="52"/>
                  </w:pPr>
                  <w:r>
                    <w:rPr>
                      <w:rFonts w:hint="eastAsia"/>
                    </w:rPr>
                    <w:t>噪声治理</w:t>
                  </w:r>
                </w:p>
              </w:tc>
              <w:tc>
                <w:tcPr>
                  <w:tcW w:w="3187" w:type="pct"/>
                  <w:vAlign w:val="center"/>
                </w:tcPr>
                <w:p w14:paraId="312154EA">
                  <w:pPr>
                    <w:pStyle w:val="52"/>
                  </w:pPr>
                  <w:r>
                    <w:rPr>
                      <w:rFonts w:hint="eastAsia"/>
                    </w:rPr>
                    <w:t>隔声、减振、消声</w:t>
                  </w:r>
                </w:p>
              </w:tc>
              <w:tc>
                <w:tcPr>
                  <w:tcW w:w="770" w:type="pct"/>
                  <w:vAlign w:val="center"/>
                </w:tcPr>
                <w:p w14:paraId="66C36C5F">
                  <w:pPr>
                    <w:pStyle w:val="52"/>
                  </w:pPr>
                  <w:r>
                    <w:t>10.0</w:t>
                  </w:r>
                </w:p>
              </w:tc>
            </w:tr>
            <w:tr w14:paraId="30125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continue"/>
                  <w:vAlign w:val="center"/>
                </w:tcPr>
                <w:p w14:paraId="050AFC35">
                  <w:pPr>
                    <w:pStyle w:val="52"/>
                  </w:pPr>
                </w:p>
              </w:tc>
              <w:tc>
                <w:tcPr>
                  <w:tcW w:w="603" w:type="pct"/>
                  <w:vAlign w:val="center"/>
                </w:tcPr>
                <w:p w14:paraId="117A3454">
                  <w:pPr>
                    <w:pStyle w:val="52"/>
                  </w:pPr>
                  <w:r>
                    <w:rPr>
                      <w:rFonts w:hint="eastAsia"/>
                    </w:rPr>
                    <w:t>地下水保护</w:t>
                  </w:r>
                </w:p>
              </w:tc>
              <w:tc>
                <w:tcPr>
                  <w:tcW w:w="3187" w:type="pct"/>
                  <w:vAlign w:val="center"/>
                </w:tcPr>
                <w:p w14:paraId="18364167">
                  <w:pPr>
                    <w:pStyle w:val="52"/>
                  </w:pPr>
                  <w:r>
                    <w:rPr>
                      <w:rFonts w:hint="eastAsia"/>
                    </w:rPr>
                    <w:t>分区防渗</w:t>
                  </w:r>
                </w:p>
              </w:tc>
              <w:tc>
                <w:tcPr>
                  <w:tcW w:w="770" w:type="pct"/>
                  <w:vAlign w:val="center"/>
                </w:tcPr>
                <w:p w14:paraId="7477B972">
                  <w:pPr>
                    <w:pStyle w:val="52"/>
                  </w:pPr>
                  <w:r>
                    <w:t>5.5</w:t>
                  </w:r>
                </w:p>
              </w:tc>
            </w:tr>
            <w:tr w14:paraId="7CBEE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continue"/>
                  <w:vAlign w:val="center"/>
                </w:tcPr>
                <w:p w14:paraId="17AAD19E">
                  <w:pPr>
                    <w:pStyle w:val="52"/>
                  </w:pPr>
                </w:p>
              </w:tc>
              <w:tc>
                <w:tcPr>
                  <w:tcW w:w="603" w:type="pct"/>
                  <w:vAlign w:val="center"/>
                </w:tcPr>
                <w:p w14:paraId="0F385D76">
                  <w:pPr>
                    <w:pStyle w:val="52"/>
                  </w:pPr>
                  <w:r>
                    <w:rPr>
                      <w:rFonts w:hint="eastAsia"/>
                    </w:rPr>
                    <w:t>绿化</w:t>
                  </w:r>
                </w:p>
              </w:tc>
              <w:tc>
                <w:tcPr>
                  <w:tcW w:w="3187" w:type="pct"/>
                  <w:vAlign w:val="center"/>
                </w:tcPr>
                <w:p w14:paraId="00664127">
                  <w:pPr>
                    <w:pStyle w:val="52"/>
                  </w:pPr>
                  <w:r>
                    <w:rPr>
                      <w:rFonts w:hint="eastAsia"/>
                      <w:lang w:val="en-US" w:eastAsia="zh-CN"/>
                    </w:rPr>
                    <w:t>场地</w:t>
                  </w:r>
                  <w:r>
                    <w:rPr>
                      <w:rFonts w:hint="eastAsia"/>
                    </w:rPr>
                    <w:t>绿化</w:t>
                  </w:r>
                </w:p>
              </w:tc>
              <w:tc>
                <w:tcPr>
                  <w:tcW w:w="770" w:type="pct"/>
                  <w:vAlign w:val="center"/>
                </w:tcPr>
                <w:p w14:paraId="6DDE1B01">
                  <w:pPr>
                    <w:pStyle w:val="52"/>
                  </w:pPr>
                  <w:r>
                    <w:t>36.0</w:t>
                  </w:r>
                </w:p>
              </w:tc>
            </w:tr>
            <w:tr w14:paraId="2DD5C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3" w:type="pct"/>
                  <w:gridSpan w:val="2"/>
                  <w:vAlign w:val="center"/>
                </w:tcPr>
                <w:p w14:paraId="43500DB6">
                  <w:pPr>
                    <w:pStyle w:val="52"/>
                  </w:pPr>
                  <w:r>
                    <w:t>合计</w:t>
                  </w:r>
                </w:p>
              </w:tc>
              <w:tc>
                <w:tcPr>
                  <w:tcW w:w="3187" w:type="pct"/>
                  <w:vAlign w:val="center"/>
                </w:tcPr>
                <w:p w14:paraId="712AD129">
                  <w:pPr>
                    <w:pStyle w:val="52"/>
                  </w:pPr>
                </w:p>
              </w:tc>
              <w:tc>
                <w:tcPr>
                  <w:tcW w:w="770" w:type="pct"/>
                  <w:vAlign w:val="center"/>
                </w:tcPr>
                <w:p w14:paraId="12A70E21">
                  <w:pPr>
                    <w:pStyle w:val="52"/>
                  </w:pPr>
                  <w:r>
                    <w:fldChar w:fldCharType="begin"/>
                  </w:r>
                  <w:r>
                    <w:instrText xml:space="preserve"> =SUM(ABOVE) </w:instrText>
                  </w:r>
                  <w:r>
                    <w:fldChar w:fldCharType="separate"/>
                  </w:r>
                  <w:r>
                    <w:t>144.15</w:t>
                  </w:r>
                  <w:r>
                    <w:fldChar w:fldCharType="end"/>
                  </w:r>
                </w:p>
              </w:tc>
            </w:tr>
          </w:tbl>
          <w:p w14:paraId="139F2414">
            <w:pPr>
              <w:adjustRightInd w:val="0"/>
              <w:snapToGrid w:val="0"/>
              <w:rPr>
                <w:rFonts w:ascii="宋体" w:hAnsi="宋体" w:cs="宋体"/>
                <w:bCs/>
                <w:spacing w:val="10"/>
                <w:szCs w:val="21"/>
              </w:rPr>
            </w:pPr>
          </w:p>
        </w:tc>
      </w:tr>
    </w:tbl>
    <w:p w14:paraId="33E9B7EE">
      <w:pPr>
        <w:sectPr>
          <w:pgSz w:w="11907" w:h="16840"/>
          <w:pgMar w:top="1440" w:right="1797" w:bottom="1440" w:left="1797" w:header="851" w:footer="1077" w:gutter="0"/>
          <w:cols w:space="425" w:num="1"/>
          <w:docGrid w:linePitch="312" w:charSpace="0"/>
        </w:sectPr>
      </w:pPr>
    </w:p>
    <w:p w14:paraId="7A83938E">
      <w:pPr>
        <w:pStyle w:val="18"/>
        <w:jc w:val="center"/>
        <w:outlineLvl w:val="0"/>
        <w:rPr>
          <w:rFonts w:ascii="黑体" w:hAnsi="黑体" w:eastAsia="黑体"/>
          <w:snapToGrid w:val="0"/>
          <w:sz w:val="30"/>
          <w:szCs w:val="30"/>
        </w:rPr>
      </w:pPr>
      <w:r>
        <w:rPr>
          <w:rFonts w:hint="eastAsia" w:ascii="黑体" w:hAnsi="黑体" w:eastAsia="黑体"/>
          <w:snapToGrid w:val="0"/>
          <w:sz w:val="30"/>
          <w:szCs w:val="30"/>
        </w:rPr>
        <w:t>六、生态环境保护措施监督检查清单</w:t>
      </w:r>
    </w:p>
    <w:tbl>
      <w:tblPr>
        <w:tblStyle w:val="23"/>
        <w:tblW w:w="53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09"/>
        <w:gridCol w:w="2325"/>
        <w:gridCol w:w="1701"/>
        <w:gridCol w:w="2425"/>
        <w:gridCol w:w="1126"/>
      </w:tblGrid>
      <w:tr w14:paraId="18B33E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Merge w:val="restart"/>
            <w:tcBorders>
              <w:tl2br w:val="single" w:color="auto" w:sz="4" w:space="0"/>
            </w:tcBorders>
            <w:vAlign w:val="center"/>
          </w:tcPr>
          <w:p w14:paraId="24C0A0C7">
            <w:pPr>
              <w:pStyle w:val="18"/>
              <w:adjustRightInd w:val="0"/>
              <w:snapToGrid w:val="0"/>
              <w:spacing w:before="0" w:beforeAutospacing="0" w:after="0" w:afterAutospacing="0"/>
              <w:jc w:val="right"/>
              <w:outlineLvl w:val="0"/>
              <w:rPr>
                <w:rFonts w:ascii="Times New Roman" w:hAnsi="Times New Roman"/>
                <w:kern w:val="2"/>
                <w:sz w:val="21"/>
                <w:szCs w:val="21"/>
              </w:rPr>
            </w:pPr>
            <w:r>
              <w:rPr>
                <w:rFonts w:ascii="Times New Roman" w:hAnsi="Times New Roman"/>
                <w:kern w:val="2"/>
                <w:sz w:val="21"/>
                <w:szCs w:val="21"/>
              </w:rPr>
              <w:t>内容</w:t>
            </w:r>
          </w:p>
          <w:p w14:paraId="0CE4C53E">
            <w:pPr>
              <w:pStyle w:val="18"/>
              <w:adjustRightInd w:val="0"/>
              <w:snapToGrid w:val="0"/>
              <w:spacing w:before="0" w:beforeAutospacing="0" w:after="0" w:afterAutospacing="0"/>
              <w:outlineLvl w:val="0"/>
              <w:rPr>
                <w:rFonts w:ascii="Times New Roman" w:hAnsi="Times New Roman"/>
                <w:kern w:val="2"/>
                <w:sz w:val="21"/>
                <w:szCs w:val="21"/>
              </w:rPr>
            </w:pPr>
          </w:p>
          <w:p w14:paraId="3F6F91EC">
            <w:pPr>
              <w:pStyle w:val="18"/>
              <w:adjustRightInd w:val="0"/>
              <w:snapToGrid w:val="0"/>
              <w:spacing w:before="0" w:beforeAutospacing="0" w:after="0" w:afterAutospacing="0"/>
              <w:outlineLvl w:val="0"/>
              <w:rPr>
                <w:rFonts w:ascii="Times New Roman" w:hAnsi="Times New Roman"/>
                <w:kern w:val="2"/>
                <w:sz w:val="21"/>
                <w:szCs w:val="21"/>
              </w:rPr>
            </w:pPr>
            <w:r>
              <w:rPr>
                <w:rFonts w:ascii="Times New Roman" w:hAnsi="Times New Roman"/>
                <w:kern w:val="2"/>
                <w:sz w:val="21"/>
                <w:szCs w:val="21"/>
              </w:rPr>
              <w:t>要素</w:t>
            </w:r>
          </w:p>
        </w:tc>
        <w:tc>
          <w:tcPr>
            <w:tcW w:w="2291" w:type="pct"/>
            <w:gridSpan w:val="2"/>
            <w:vAlign w:val="center"/>
          </w:tcPr>
          <w:p w14:paraId="363DDFA1">
            <w:pPr>
              <w:pStyle w:val="18"/>
              <w:adjustRightInd w:val="0"/>
              <w:snapToGrid w:val="0"/>
              <w:spacing w:before="0" w:beforeAutospacing="0" w:after="0" w:afterAutospacing="0"/>
              <w:jc w:val="center"/>
              <w:outlineLvl w:val="0"/>
              <w:rPr>
                <w:rFonts w:ascii="Times New Roman" w:hAnsi="Times New Roman"/>
                <w:kern w:val="2"/>
                <w:sz w:val="21"/>
                <w:szCs w:val="21"/>
              </w:rPr>
            </w:pPr>
            <w:r>
              <w:rPr>
                <w:rFonts w:ascii="Times New Roman" w:hAnsi="Times New Roman"/>
                <w:kern w:val="2"/>
                <w:sz w:val="21"/>
                <w:szCs w:val="21"/>
              </w:rPr>
              <w:t>施工期</w:t>
            </w:r>
          </w:p>
        </w:tc>
        <w:tc>
          <w:tcPr>
            <w:tcW w:w="2021" w:type="pct"/>
            <w:gridSpan w:val="2"/>
            <w:vAlign w:val="center"/>
          </w:tcPr>
          <w:p w14:paraId="7EB8F59B">
            <w:pPr>
              <w:pStyle w:val="18"/>
              <w:adjustRightInd w:val="0"/>
              <w:snapToGrid w:val="0"/>
              <w:spacing w:before="0" w:beforeAutospacing="0" w:after="0" w:afterAutospacing="0"/>
              <w:jc w:val="center"/>
              <w:outlineLvl w:val="0"/>
              <w:rPr>
                <w:rFonts w:ascii="Times New Roman" w:hAnsi="Times New Roman"/>
                <w:kern w:val="2"/>
                <w:sz w:val="21"/>
                <w:szCs w:val="21"/>
              </w:rPr>
            </w:pPr>
            <w:r>
              <w:rPr>
                <w:rFonts w:ascii="Times New Roman" w:hAnsi="Times New Roman"/>
                <w:kern w:val="2"/>
                <w:sz w:val="21"/>
                <w:szCs w:val="21"/>
              </w:rPr>
              <w:t>运营期</w:t>
            </w:r>
          </w:p>
        </w:tc>
      </w:tr>
      <w:tr w14:paraId="086191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Merge w:val="continue"/>
            <w:vAlign w:val="center"/>
          </w:tcPr>
          <w:p w14:paraId="2F71DD2A">
            <w:pPr>
              <w:pStyle w:val="18"/>
              <w:adjustRightInd w:val="0"/>
              <w:snapToGrid w:val="0"/>
              <w:spacing w:before="0" w:beforeAutospacing="0" w:after="0" w:afterAutospacing="0"/>
              <w:ind w:firstLine="840"/>
              <w:jc w:val="center"/>
              <w:outlineLvl w:val="0"/>
              <w:rPr>
                <w:rFonts w:ascii="Times New Roman" w:hAnsi="Times New Roman"/>
                <w:kern w:val="2"/>
                <w:sz w:val="21"/>
                <w:szCs w:val="21"/>
              </w:rPr>
            </w:pPr>
          </w:p>
        </w:tc>
        <w:tc>
          <w:tcPr>
            <w:tcW w:w="1323" w:type="pct"/>
            <w:vAlign w:val="center"/>
          </w:tcPr>
          <w:p w14:paraId="3E3E693A">
            <w:pPr>
              <w:pStyle w:val="18"/>
              <w:adjustRightInd w:val="0"/>
              <w:snapToGrid w:val="0"/>
              <w:spacing w:before="0" w:beforeAutospacing="0" w:after="0" w:afterAutospacing="0"/>
              <w:jc w:val="center"/>
              <w:outlineLvl w:val="0"/>
              <w:rPr>
                <w:rFonts w:ascii="Times New Roman" w:hAnsi="Times New Roman"/>
                <w:kern w:val="2"/>
                <w:sz w:val="21"/>
                <w:szCs w:val="21"/>
              </w:rPr>
            </w:pPr>
            <w:r>
              <w:rPr>
                <w:rFonts w:ascii="Times New Roman" w:hAnsi="Times New Roman"/>
                <w:kern w:val="2"/>
                <w:sz w:val="21"/>
                <w:szCs w:val="21"/>
              </w:rPr>
              <w:t>环境保护措施</w:t>
            </w:r>
          </w:p>
        </w:tc>
        <w:tc>
          <w:tcPr>
            <w:tcW w:w="968" w:type="pct"/>
            <w:vAlign w:val="center"/>
          </w:tcPr>
          <w:p w14:paraId="7B57AF28">
            <w:pPr>
              <w:pStyle w:val="18"/>
              <w:adjustRightInd w:val="0"/>
              <w:snapToGrid w:val="0"/>
              <w:spacing w:before="0" w:beforeAutospacing="0" w:after="0" w:afterAutospacing="0"/>
              <w:jc w:val="center"/>
              <w:outlineLvl w:val="0"/>
              <w:rPr>
                <w:rFonts w:ascii="Times New Roman" w:hAnsi="Times New Roman"/>
                <w:kern w:val="2"/>
                <w:sz w:val="21"/>
                <w:szCs w:val="21"/>
              </w:rPr>
            </w:pPr>
            <w:r>
              <w:rPr>
                <w:rFonts w:ascii="Times New Roman" w:hAnsi="Times New Roman"/>
                <w:kern w:val="2"/>
                <w:sz w:val="21"/>
                <w:szCs w:val="21"/>
              </w:rPr>
              <w:t>验收要求</w:t>
            </w:r>
          </w:p>
        </w:tc>
        <w:tc>
          <w:tcPr>
            <w:tcW w:w="1380" w:type="pct"/>
            <w:vAlign w:val="center"/>
          </w:tcPr>
          <w:p w14:paraId="6DE7909B">
            <w:pPr>
              <w:pStyle w:val="18"/>
              <w:adjustRightInd w:val="0"/>
              <w:snapToGrid w:val="0"/>
              <w:spacing w:before="0" w:beforeAutospacing="0" w:after="0" w:afterAutospacing="0"/>
              <w:jc w:val="center"/>
              <w:outlineLvl w:val="0"/>
              <w:rPr>
                <w:rFonts w:ascii="Times New Roman" w:hAnsi="Times New Roman"/>
                <w:kern w:val="2"/>
                <w:sz w:val="21"/>
                <w:szCs w:val="21"/>
              </w:rPr>
            </w:pPr>
            <w:r>
              <w:rPr>
                <w:rFonts w:ascii="Times New Roman" w:hAnsi="Times New Roman"/>
                <w:kern w:val="2"/>
                <w:sz w:val="21"/>
                <w:szCs w:val="21"/>
              </w:rPr>
              <w:t>环境保护措施</w:t>
            </w:r>
          </w:p>
        </w:tc>
        <w:tc>
          <w:tcPr>
            <w:tcW w:w="641" w:type="pct"/>
            <w:vAlign w:val="center"/>
          </w:tcPr>
          <w:p w14:paraId="67A38CE8">
            <w:pPr>
              <w:pStyle w:val="18"/>
              <w:adjustRightInd w:val="0"/>
              <w:snapToGrid w:val="0"/>
              <w:spacing w:before="0" w:beforeAutospacing="0" w:after="0" w:afterAutospacing="0"/>
              <w:jc w:val="center"/>
              <w:outlineLvl w:val="0"/>
              <w:rPr>
                <w:rFonts w:ascii="Times New Roman" w:hAnsi="Times New Roman"/>
                <w:kern w:val="2"/>
                <w:sz w:val="21"/>
                <w:szCs w:val="21"/>
              </w:rPr>
            </w:pPr>
            <w:r>
              <w:rPr>
                <w:rFonts w:ascii="Times New Roman" w:hAnsi="Times New Roman"/>
                <w:kern w:val="2"/>
                <w:sz w:val="21"/>
                <w:szCs w:val="21"/>
              </w:rPr>
              <w:t>验收要求</w:t>
            </w:r>
          </w:p>
        </w:tc>
      </w:tr>
      <w:tr w14:paraId="28BBC4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220C211A">
            <w:pPr>
              <w:adjustRightInd w:val="0"/>
              <w:snapToGrid w:val="0"/>
              <w:jc w:val="center"/>
              <w:rPr>
                <w:szCs w:val="21"/>
              </w:rPr>
            </w:pPr>
            <w:r>
              <w:rPr>
                <w:szCs w:val="21"/>
              </w:rPr>
              <w:t>陆生生态</w:t>
            </w:r>
          </w:p>
        </w:tc>
        <w:tc>
          <w:tcPr>
            <w:tcW w:w="1323" w:type="pct"/>
            <w:vAlign w:val="center"/>
          </w:tcPr>
          <w:p w14:paraId="465EB88A">
            <w:pPr>
              <w:pStyle w:val="49"/>
              <w:rPr>
                <w:szCs w:val="21"/>
              </w:rPr>
            </w:pPr>
            <w:r>
              <w:t>严格控制施工界限</w:t>
            </w:r>
            <w:r>
              <w:rPr>
                <w:rFonts w:hint="eastAsia"/>
              </w:rPr>
              <w:t>；</w:t>
            </w:r>
            <w:r>
              <w:t>合理安排施工时期</w:t>
            </w:r>
            <w:r>
              <w:rPr>
                <w:rFonts w:hint="eastAsia"/>
              </w:rPr>
              <w:t>；表土剥离，用于后期场地绿化用土；</w:t>
            </w:r>
            <w:r>
              <w:t>避开暴雨季节施工可避免土壤和</w:t>
            </w:r>
            <w:r>
              <w:rPr>
                <w:rFonts w:hint="eastAsia"/>
                <w:lang w:eastAsia="zh-CN"/>
              </w:rPr>
              <w:t>水土流失</w:t>
            </w:r>
            <w:r>
              <w:t>；避开大风季节施工可避免土壤风蚀吹失。使用挡护设备，覆盖施工作业破坏面和松土层，防止土壤流失。及早进行绿化、硬化以减少裸露面积。</w:t>
            </w:r>
          </w:p>
        </w:tc>
        <w:tc>
          <w:tcPr>
            <w:tcW w:w="968" w:type="pct"/>
            <w:vAlign w:val="center"/>
          </w:tcPr>
          <w:p w14:paraId="3ADA54A9">
            <w:pPr>
              <w:adjustRightInd w:val="0"/>
              <w:snapToGrid w:val="0"/>
              <w:jc w:val="center"/>
              <w:rPr>
                <w:szCs w:val="21"/>
              </w:rPr>
            </w:pPr>
            <w:r>
              <w:rPr>
                <w:rFonts w:hint="eastAsia"/>
                <w:szCs w:val="21"/>
              </w:rPr>
              <w:t>减少水土流失</w:t>
            </w:r>
          </w:p>
        </w:tc>
        <w:tc>
          <w:tcPr>
            <w:tcW w:w="1380" w:type="pct"/>
            <w:vAlign w:val="center"/>
          </w:tcPr>
          <w:p w14:paraId="77EE33A6">
            <w:pPr>
              <w:adjustRightInd w:val="0"/>
              <w:snapToGrid w:val="0"/>
              <w:jc w:val="center"/>
              <w:rPr>
                <w:szCs w:val="21"/>
              </w:rPr>
            </w:pPr>
            <w:r>
              <w:rPr>
                <w:rFonts w:hint="eastAsia"/>
                <w:szCs w:val="21"/>
              </w:rPr>
              <w:t>场地绿化、硬化</w:t>
            </w:r>
          </w:p>
        </w:tc>
        <w:tc>
          <w:tcPr>
            <w:tcW w:w="641" w:type="pct"/>
            <w:vAlign w:val="center"/>
          </w:tcPr>
          <w:p w14:paraId="08406051">
            <w:pPr>
              <w:adjustRightInd w:val="0"/>
              <w:snapToGrid w:val="0"/>
              <w:jc w:val="center"/>
              <w:rPr>
                <w:szCs w:val="21"/>
              </w:rPr>
            </w:pPr>
            <w:r>
              <w:rPr>
                <w:rFonts w:hint="eastAsia"/>
                <w:szCs w:val="21"/>
              </w:rPr>
              <w:t>场地绿化、硬化</w:t>
            </w:r>
          </w:p>
        </w:tc>
      </w:tr>
      <w:tr w14:paraId="4F5DB0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4669F650">
            <w:pPr>
              <w:adjustRightInd w:val="0"/>
              <w:snapToGrid w:val="0"/>
              <w:jc w:val="center"/>
              <w:rPr>
                <w:szCs w:val="21"/>
              </w:rPr>
            </w:pPr>
            <w:r>
              <w:rPr>
                <w:szCs w:val="21"/>
              </w:rPr>
              <w:t>水生生态</w:t>
            </w:r>
          </w:p>
        </w:tc>
        <w:tc>
          <w:tcPr>
            <w:tcW w:w="1323" w:type="pct"/>
            <w:vAlign w:val="center"/>
          </w:tcPr>
          <w:p w14:paraId="6A1B2790">
            <w:pPr>
              <w:adjustRightInd w:val="0"/>
              <w:snapToGrid w:val="0"/>
              <w:jc w:val="center"/>
              <w:rPr>
                <w:szCs w:val="21"/>
              </w:rPr>
            </w:pPr>
            <w:r>
              <w:rPr>
                <w:szCs w:val="21"/>
              </w:rPr>
              <w:t>/</w:t>
            </w:r>
          </w:p>
        </w:tc>
        <w:tc>
          <w:tcPr>
            <w:tcW w:w="968" w:type="pct"/>
            <w:vAlign w:val="center"/>
          </w:tcPr>
          <w:p w14:paraId="2EC9AA9C">
            <w:pPr>
              <w:adjustRightInd w:val="0"/>
              <w:snapToGrid w:val="0"/>
              <w:jc w:val="center"/>
              <w:rPr>
                <w:szCs w:val="21"/>
              </w:rPr>
            </w:pPr>
            <w:r>
              <w:rPr>
                <w:szCs w:val="21"/>
              </w:rPr>
              <w:t>/</w:t>
            </w:r>
          </w:p>
        </w:tc>
        <w:tc>
          <w:tcPr>
            <w:tcW w:w="1380" w:type="pct"/>
            <w:vAlign w:val="center"/>
          </w:tcPr>
          <w:p w14:paraId="09A300B6">
            <w:pPr>
              <w:adjustRightInd w:val="0"/>
              <w:snapToGrid w:val="0"/>
              <w:jc w:val="center"/>
              <w:rPr>
                <w:szCs w:val="21"/>
              </w:rPr>
            </w:pPr>
            <w:r>
              <w:rPr>
                <w:szCs w:val="21"/>
              </w:rPr>
              <w:t>/</w:t>
            </w:r>
          </w:p>
        </w:tc>
        <w:tc>
          <w:tcPr>
            <w:tcW w:w="641" w:type="pct"/>
            <w:vAlign w:val="center"/>
          </w:tcPr>
          <w:p w14:paraId="4D5EF805">
            <w:pPr>
              <w:adjustRightInd w:val="0"/>
              <w:snapToGrid w:val="0"/>
              <w:jc w:val="center"/>
              <w:rPr>
                <w:szCs w:val="21"/>
              </w:rPr>
            </w:pPr>
            <w:r>
              <w:rPr>
                <w:szCs w:val="21"/>
              </w:rPr>
              <w:t>/</w:t>
            </w:r>
          </w:p>
        </w:tc>
      </w:tr>
      <w:tr w14:paraId="7D775F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584D0D83">
            <w:pPr>
              <w:adjustRightInd w:val="0"/>
              <w:snapToGrid w:val="0"/>
              <w:jc w:val="center"/>
              <w:rPr>
                <w:szCs w:val="21"/>
              </w:rPr>
            </w:pPr>
            <w:r>
              <w:rPr>
                <w:szCs w:val="21"/>
              </w:rPr>
              <w:t>地表水环境</w:t>
            </w:r>
          </w:p>
        </w:tc>
        <w:tc>
          <w:tcPr>
            <w:tcW w:w="1323" w:type="pct"/>
            <w:vAlign w:val="center"/>
          </w:tcPr>
          <w:p w14:paraId="1F0C4750">
            <w:pPr>
              <w:adjustRightInd w:val="0"/>
              <w:snapToGrid w:val="0"/>
              <w:jc w:val="center"/>
              <w:rPr>
                <w:szCs w:val="21"/>
              </w:rPr>
            </w:pPr>
            <w:r>
              <w:rPr>
                <w:rFonts w:hint="eastAsia"/>
              </w:rPr>
              <w:t>施工生活污水排入防渗旱厕，定期清掏堆肥；施工废水经沉淀后，回用于场地降尘。</w:t>
            </w:r>
          </w:p>
        </w:tc>
        <w:tc>
          <w:tcPr>
            <w:tcW w:w="968" w:type="pct"/>
            <w:vAlign w:val="center"/>
          </w:tcPr>
          <w:p w14:paraId="3518910B">
            <w:pPr>
              <w:adjustRightInd w:val="0"/>
              <w:snapToGrid w:val="0"/>
              <w:jc w:val="center"/>
              <w:rPr>
                <w:szCs w:val="21"/>
              </w:rPr>
            </w:pPr>
            <w:r>
              <w:rPr>
                <w:rFonts w:hint="eastAsia"/>
                <w:szCs w:val="21"/>
              </w:rPr>
              <w:t>无废水外排</w:t>
            </w:r>
          </w:p>
        </w:tc>
        <w:tc>
          <w:tcPr>
            <w:tcW w:w="1380" w:type="pct"/>
            <w:vAlign w:val="center"/>
          </w:tcPr>
          <w:p w14:paraId="0A8129B1">
            <w:pPr>
              <w:tabs>
                <w:tab w:val="left" w:pos="750"/>
              </w:tabs>
              <w:jc w:val="center"/>
              <w:rPr>
                <w:rFonts w:hint="eastAsia" w:eastAsia="宋体"/>
                <w:szCs w:val="21"/>
                <w:lang w:eastAsia="zh-CN"/>
              </w:rPr>
            </w:pPr>
            <w:r>
              <w:rPr>
                <w:szCs w:val="21"/>
              </w:rPr>
              <w:t>/</w:t>
            </w:r>
          </w:p>
        </w:tc>
        <w:tc>
          <w:tcPr>
            <w:tcW w:w="641" w:type="pct"/>
            <w:vAlign w:val="center"/>
          </w:tcPr>
          <w:p w14:paraId="182924D9">
            <w:pPr>
              <w:adjustRightInd w:val="0"/>
              <w:snapToGrid w:val="0"/>
              <w:jc w:val="center"/>
              <w:rPr>
                <w:szCs w:val="21"/>
              </w:rPr>
            </w:pPr>
            <w:r>
              <w:rPr>
                <w:rFonts w:hint="eastAsia"/>
                <w:szCs w:val="21"/>
              </w:rPr>
              <w:t>无废水外排</w:t>
            </w:r>
          </w:p>
        </w:tc>
      </w:tr>
      <w:tr w14:paraId="15868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67972343">
            <w:pPr>
              <w:adjustRightInd w:val="0"/>
              <w:snapToGrid w:val="0"/>
              <w:jc w:val="center"/>
              <w:rPr>
                <w:szCs w:val="21"/>
              </w:rPr>
            </w:pPr>
            <w:r>
              <w:rPr>
                <w:szCs w:val="21"/>
              </w:rPr>
              <w:t>地下水及土壤环境</w:t>
            </w:r>
          </w:p>
        </w:tc>
        <w:tc>
          <w:tcPr>
            <w:tcW w:w="1323" w:type="pct"/>
            <w:vAlign w:val="center"/>
          </w:tcPr>
          <w:p w14:paraId="2C30AE10">
            <w:pPr>
              <w:adjustRightInd w:val="0"/>
              <w:snapToGrid w:val="0"/>
              <w:jc w:val="center"/>
              <w:rPr>
                <w:szCs w:val="21"/>
              </w:rPr>
            </w:pPr>
            <w:r>
              <w:rPr>
                <w:szCs w:val="21"/>
              </w:rPr>
              <w:t>/</w:t>
            </w:r>
          </w:p>
        </w:tc>
        <w:tc>
          <w:tcPr>
            <w:tcW w:w="968" w:type="pct"/>
            <w:vAlign w:val="center"/>
          </w:tcPr>
          <w:p w14:paraId="629264CA">
            <w:pPr>
              <w:adjustRightInd w:val="0"/>
              <w:snapToGrid w:val="0"/>
              <w:jc w:val="center"/>
              <w:rPr>
                <w:szCs w:val="21"/>
              </w:rPr>
            </w:pPr>
            <w:r>
              <w:rPr>
                <w:szCs w:val="21"/>
              </w:rPr>
              <w:t>/</w:t>
            </w:r>
          </w:p>
        </w:tc>
        <w:tc>
          <w:tcPr>
            <w:tcW w:w="1380" w:type="pct"/>
            <w:vAlign w:val="center"/>
          </w:tcPr>
          <w:p w14:paraId="25319671">
            <w:pPr>
              <w:adjustRightInd w:val="0"/>
              <w:snapToGrid w:val="0"/>
              <w:jc w:val="center"/>
              <w:rPr>
                <w:szCs w:val="21"/>
              </w:rPr>
            </w:pPr>
            <w:r>
              <w:rPr>
                <w:rFonts w:hint="eastAsia"/>
                <w:szCs w:val="21"/>
              </w:rPr>
              <w:t>分区防渗</w:t>
            </w:r>
          </w:p>
        </w:tc>
        <w:tc>
          <w:tcPr>
            <w:tcW w:w="641" w:type="pct"/>
            <w:vAlign w:val="center"/>
          </w:tcPr>
          <w:p w14:paraId="7A652698">
            <w:pPr>
              <w:adjustRightInd w:val="0"/>
              <w:snapToGrid w:val="0"/>
              <w:jc w:val="center"/>
              <w:rPr>
                <w:szCs w:val="21"/>
              </w:rPr>
            </w:pPr>
            <w:r>
              <w:rPr>
                <w:rFonts w:hint="eastAsia"/>
                <w:szCs w:val="21"/>
              </w:rPr>
              <w:t>符合防渗要求</w:t>
            </w:r>
          </w:p>
        </w:tc>
      </w:tr>
      <w:tr w14:paraId="04217B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643F4316">
            <w:pPr>
              <w:adjustRightInd w:val="0"/>
              <w:snapToGrid w:val="0"/>
              <w:jc w:val="center"/>
              <w:rPr>
                <w:szCs w:val="21"/>
              </w:rPr>
            </w:pPr>
            <w:r>
              <w:rPr>
                <w:szCs w:val="21"/>
              </w:rPr>
              <w:t>声环境</w:t>
            </w:r>
          </w:p>
        </w:tc>
        <w:tc>
          <w:tcPr>
            <w:tcW w:w="1323" w:type="pct"/>
            <w:vAlign w:val="center"/>
          </w:tcPr>
          <w:p w14:paraId="69FD9688">
            <w:pPr>
              <w:pStyle w:val="49"/>
              <w:jc w:val="both"/>
              <w:rPr>
                <w:szCs w:val="21"/>
              </w:rPr>
            </w:pPr>
            <w:r>
              <w:rPr>
                <w:rFonts w:hint="eastAsia"/>
              </w:rPr>
              <w:t>选择低噪声设备、厂界设隔声围挡、合理安排</w:t>
            </w:r>
            <w:r>
              <w:rPr>
                <w:rFonts w:hint="eastAsia"/>
                <w:lang w:eastAsia="zh-CN"/>
              </w:rPr>
              <w:t>施工时间</w:t>
            </w:r>
            <w:r>
              <w:rPr>
                <w:rFonts w:hint="eastAsia"/>
              </w:rPr>
              <w:t>等。</w:t>
            </w:r>
          </w:p>
        </w:tc>
        <w:tc>
          <w:tcPr>
            <w:tcW w:w="968" w:type="pct"/>
            <w:vAlign w:val="center"/>
          </w:tcPr>
          <w:p w14:paraId="4A5695D5">
            <w:pPr>
              <w:adjustRightInd w:val="0"/>
              <w:snapToGrid w:val="0"/>
              <w:jc w:val="center"/>
              <w:rPr>
                <w:szCs w:val="21"/>
              </w:rPr>
            </w:pPr>
            <w:r>
              <w:rPr>
                <w:rFonts w:hint="eastAsia"/>
                <w:szCs w:val="21"/>
              </w:rPr>
              <w:t>《建筑施工噪声排放标准》</w:t>
            </w:r>
          </w:p>
          <w:p w14:paraId="4084BCB1">
            <w:pPr>
              <w:adjustRightInd w:val="0"/>
              <w:snapToGrid w:val="0"/>
              <w:jc w:val="center"/>
              <w:rPr>
                <w:szCs w:val="21"/>
              </w:rPr>
            </w:pPr>
            <w:r>
              <w:rPr>
                <w:rFonts w:hint="eastAsia"/>
                <w:szCs w:val="21"/>
              </w:rPr>
              <w:t>（GB</w:t>
            </w:r>
            <w:r>
              <w:rPr>
                <w:rFonts w:hint="eastAsia"/>
                <w:szCs w:val="21"/>
                <w:lang w:eastAsia="zh-CN"/>
              </w:rPr>
              <w:t>12523-2025</w:t>
            </w:r>
            <w:r>
              <w:rPr>
                <w:rFonts w:hint="eastAsia"/>
                <w:szCs w:val="21"/>
              </w:rPr>
              <w:t>）</w:t>
            </w:r>
          </w:p>
        </w:tc>
        <w:tc>
          <w:tcPr>
            <w:tcW w:w="1380" w:type="pct"/>
            <w:vAlign w:val="center"/>
          </w:tcPr>
          <w:p w14:paraId="3F47B19C">
            <w:pPr>
              <w:adjustRightInd w:val="0"/>
              <w:snapToGrid w:val="0"/>
              <w:jc w:val="center"/>
              <w:rPr>
                <w:szCs w:val="21"/>
              </w:rPr>
            </w:pPr>
            <w:r>
              <w:rPr>
                <w:rFonts w:hint="eastAsia"/>
                <w:szCs w:val="21"/>
              </w:rPr>
              <w:t>合理布置、低噪设备、基础减振、隔声、消声</w:t>
            </w:r>
          </w:p>
        </w:tc>
        <w:tc>
          <w:tcPr>
            <w:tcW w:w="641" w:type="pct"/>
            <w:vAlign w:val="center"/>
          </w:tcPr>
          <w:p w14:paraId="3C75894F">
            <w:pPr>
              <w:adjustRightInd w:val="0"/>
              <w:snapToGrid w:val="0"/>
              <w:jc w:val="center"/>
              <w:rPr>
                <w:szCs w:val="21"/>
              </w:rPr>
            </w:pPr>
            <w:r>
              <w:rPr>
                <w:szCs w:val="21"/>
              </w:rPr>
              <w:t>《工业企业厂界环境噪声排放标准》（GB12348-2008）中2类标准</w:t>
            </w:r>
          </w:p>
        </w:tc>
      </w:tr>
      <w:tr w14:paraId="48A458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137E971C">
            <w:pPr>
              <w:adjustRightInd w:val="0"/>
              <w:snapToGrid w:val="0"/>
              <w:jc w:val="center"/>
              <w:rPr>
                <w:szCs w:val="21"/>
              </w:rPr>
            </w:pPr>
            <w:r>
              <w:rPr>
                <w:szCs w:val="21"/>
              </w:rPr>
              <w:t>振动</w:t>
            </w:r>
          </w:p>
        </w:tc>
        <w:tc>
          <w:tcPr>
            <w:tcW w:w="1323" w:type="pct"/>
            <w:vAlign w:val="center"/>
          </w:tcPr>
          <w:p w14:paraId="7A77BE06">
            <w:pPr>
              <w:adjustRightInd w:val="0"/>
              <w:snapToGrid w:val="0"/>
              <w:jc w:val="center"/>
              <w:rPr>
                <w:szCs w:val="21"/>
              </w:rPr>
            </w:pPr>
            <w:r>
              <w:rPr>
                <w:szCs w:val="21"/>
              </w:rPr>
              <w:t>/</w:t>
            </w:r>
          </w:p>
        </w:tc>
        <w:tc>
          <w:tcPr>
            <w:tcW w:w="968" w:type="pct"/>
            <w:vAlign w:val="center"/>
          </w:tcPr>
          <w:p w14:paraId="5EC1D680">
            <w:pPr>
              <w:adjustRightInd w:val="0"/>
              <w:snapToGrid w:val="0"/>
              <w:jc w:val="center"/>
              <w:rPr>
                <w:szCs w:val="21"/>
              </w:rPr>
            </w:pPr>
            <w:r>
              <w:rPr>
                <w:szCs w:val="21"/>
              </w:rPr>
              <w:t>/</w:t>
            </w:r>
          </w:p>
        </w:tc>
        <w:tc>
          <w:tcPr>
            <w:tcW w:w="1380" w:type="pct"/>
            <w:vAlign w:val="center"/>
          </w:tcPr>
          <w:p w14:paraId="4D4EE31C">
            <w:pPr>
              <w:adjustRightInd w:val="0"/>
              <w:snapToGrid w:val="0"/>
              <w:jc w:val="center"/>
              <w:rPr>
                <w:szCs w:val="21"/>
              </w:rPr>
            </w:pPr>
            <w:r>
              <w:rPr>
                <w:szCs w:val="21"/>
              </w:rPr>
              <w:t>/</w:t>
            </w:r>
          </w:p>
        </w:tc>
        <w:tc>
          <w:tcPr>
            <w:tcW w:w="641" w:type="pct"/>
            <w:vAlign w:val="center"/>
          </w:tcPr>
          <w:p w14:paraId="666B979D">
            <w:pPr>
              <w:adjustRightInd w:val="0"/>
              <w:snapToGrid w:val="0"/>
              <w:jc w:val="center"/>
              <w:rPr>
                <w:szCs w:val="21"/>
              </w:rPr>
            </w:pPr>
            <w:r>
              <w:rPr>
                <w:szCs w:val="21"/>
              </w:rPr>
              <w:t>/</w:t>
            </w:r>
          </w:p>
        </w:tc>
      </w:tr>
      <w:tr w14:paraId="69136F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63D86129">
            <w:pPr>
              <w:adjustRightInd w:val="0"/>
              <w:snapToGrid w:val="0"/>
              <w:jc w:val="center"/>
              <w:rPr>
                <w:szCs w:val="21"/>
              </w:rPr>
            </w:pPr>
            <w:r>
              <w:rPr>
                <w:szCs w:val="21"/>
              </w:rPr>
              <w:t>大气环境</w:t>
            </w:r>
          </w:p>
        </w:tc>
        <w:tc>
          <w:tcPr>
            <w:tcW w:w="1323" w:type="pct"/>
            <w:vAlign w:val="center"/>
          </w:tcPr>
          <w:p w14:paraId="7F144A6A">
            <w:pPr>
              <w:adjustRightInd w:val="0"/>
              <w:snapToGrid w:val="0"/>
              <w:jc w:val="center"/>
              <w:rPr>
                <w:szCs w:val="21"/>
              </w:rPr>
            </w:pPr>
            <w:r>
              <w:rPr>
                <w:rFonts w:hint="eastAsia"/>
              </w:rPr>
              <w:t>运输物料车辆均采取篷布覆盖措施；进场道路以及场内道路及时清扫、洒水降尘；施工场界设防尘围挡</w:t>
            </w:r>
            <w:r>
              <w:rPr>
                <w:rFonts w:hint="eastAsia"/>
                <w:lang w:eastAsia="zh-CN"/>
              </w:rPr>
              <w:t>。</w:t>
            </w:r>
          </w:p>
        </w:tc>
        <w:tc>
          <w:tcPr>
            <w:tcW w:w="968" w:type="pct"/>
            <w:vAlign w:val="center"/>
          </w:tcPr>
          <w:p w14:paraId="4877D39F">
            <w:pPr>
              <w:adjustRightInd w:val="0"/>
              <w:snapToGrid w:val="0"/>
              <w:jc w:val="center"/>
              <w:rPr>
                <w:szCs w:val="21"/>
              </w:rPr>
            </w:pPr>
            <w:r>
              <w:rPr>
                <w:szCs w:val="21"/>
              </w:rPr>
              <w:t>《大气污染物综合排放标准》（GB16297-1996）</w:t>
            </w:r>
            <w:r>
              <w:rPr>
                <w:rFonts w:hint="eastAsia"/>
                <w:szCs w:val="21"/>
              </w:rPr>
              <w:t>中无组织排放标准</w:t>
            </w:r>
          </w:p>
        </w:tc>
        <w:tc>
          <w:tcPr>
            <w:tcW w:w="1380" w:type="pct"/>
            <w:vAlign w:val="center"/>
          </w:tcPr>
          <w:p w14:paraId="37FE5234">
            <w:pPr>
              <w:adjustRightInd w:val="0"/>
              <w:snapToGrid w:val="0"/>
              <w:jc w:val="center"/>
              <w:rPr>
                <w:szCs w:val="21"/>
              </w:rPr>
            </w:pPr>
            <w:r>
              <w:rPr>
                <w:rFonts w:hint="eastAsia"/>
                <w:szCs w:val="21"/>
              </w:rPr>
              <w:t>矸石输送环节密闭，装车过程喷淋降尘，场地道路</w:t>
            </w:r>
            <w:r>
              <w:rPr>
                <w:rFonts w:hint="eastAsia"/>
              </w:rPr>
              <w:t>及时</w:t>
            </w:r>
            <w:r>
              <w:t>清扫、洒水抑尘</w:t>
            </w:r>
            <w:r>
              <w:rPr>
                <w:rFonts w:hint="eastAsia"/>
              </w:rPr>
              <w:t>。</w:t>
            </w:r>
          </w:p>
        </w:tc>
        <w:tc>
          <w:tcPr>
            <w:tcW w:w="641" w:type="pct"/>
            <w:vAlign w:val="center"/>
          </w:tcPr>
          <w:p w14:paraId="32A46DC2">
            <w:pPr>
              <w:adjustRightInd w:val="0"/>
              <w:snapToGrid w:val="0"/>
              <w:jc w:val="center"/>
              <w:rPr>
                <w:szCs w:val="21"/>
              </w:rPr>
            </w:pPr>
            <w:r>
              <w:rPr>
                <w:szCs w:val="21"/>
              </w:rPr>
              <w:t>《大气污染物综合排放标准》（GB16297-1996）</w:t>
            </w:r>
            <w:r>
              <w:rPr>
                <w:rFonts w:hint="eastAsia"/>
                <w:szCs w:val="21"/>
              </w:rPr>
              <w:t>中无组织排放标准</w:t>
            </w:r>
          </w:p>
        </w:tc>
      </w:tr>
      <w:tr w14:paraId="404D2F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29A12C1F">
            <w:pPr>
              <w:adjustRightInd w:val="0"/>
              <w:snapToGrid w:val="0"/>
              <w:jc w:val="center"/>
              <w:rPr>
                <w:szCs w:val="21"/>
              </w:rPr>
            </w:pPr>
            <w:r>
              <w:rPr>
                <w:szCs w:val="21"/>
              </w:rPr>
              <w:t>固体废物</w:t>
            </w:r>
          </w:p>
        </w:tc>
        <w:tc>
          <w:tcPr>
            <w:tcW w:w="1323" w:type="pct"/>
            <w:vAlign w:val="center"/>
          </w:tcPr>
          <w:p w14:paraId="27266A9E">
            <w:pPr>
              <w:adjustRightInd w:val="0"/>
              <w:snapToGrid w:val="0"/>
              <w:jc w:val="center"/>
              <w:rPr>
                <w:szCs w:val="21"/>
              </w:rPr>
            </w:pPr>
            <w:r>
              <w:rPr>
                <w:snapToGrid w:val="0"/>
              </w:rPr>
              <w:t>井筒开凿</w:t>
            </w:r>
            <w:r>
              <w:t>岩土</w:t>
            </w:r>
            <w:r>
              <w:rPr>
                <w:rFonts w:hint="eastAsia"/>
                <w:color w:val="000000"/>
              </w:rPr>
              <w:t>一部分用于地面工程填方，剩余部分用于周边道路垫道使用</w:t>
            </w:r>
            <w:r>
              <w:t>。</w:t>
            </w:r>
            <w:r>
              <w:rPr>
                <w:rFonts w:hint="eastAsia"/>
              </w:rPr>
              <w:t>施工人员生活垃圾经统一收集后交环卫部门处置；建筑垃圾中废弃的砖、石、夯块等作为地基的填筑料，各类包装箱、纸有专人负责收集分类存放，统一运往废品站进行回收利用。</w:t>
            </w:r>
          </w:p>
        </w:tc>
        <w:tc>
          <w:tcPr>
            <w:tcW w:w="968" w:type="pct"/>
            <w:vAlign w:val="center"/>
          </w:tcPr>
          <w:p w14:paraId="07D50293">
            <w:pPr>
              <w:adjustRightInd w:val="0"/>
              <w:snapToGrid w:val="0"/>
              <w:jc w:val="center"/>
              <w:rPr>
                <w:szCs w:val="21"/>
              </w:rPr>
            </w:pPr>
            <w:r>
              <w:rPr>
                <w:szCs w:val="21"/>
              </w:rPr>
              <w:t>处置率100%</w:t>
            </w:r>
          </w:p>
        </w:tc>
        <w:tc>
          <w:tcPr>
            <w:tcW w:w="1380" w:type="pct"/>
            <w:vAlign w:val="center"/>
          </w:tcPr>
          <w:p w14:paraId="47101F9E">
            <w:pPr>
              <w:adjustRightInd w:val="0"/>
              <w:snapToGrid w:val="0"/>
              <w:jc w:val="center"/>
              <w:rPr>
                <w:rFonts w:hint="default" w:eastAsia="宋体"/>
                <w:lang w:val="en-US" w:eastAsia="zh-CN"/>
              </w:rPr>
            </w:pPr>
            <w:r>
              <w:rPr>
                <w:rFonts w:hint="eastAsia"/>
                <w:szCs w:val="21"/>
              </w:rPr>
              <w:t>矸石</w:t>
            </w:r>
            <w:r>
              <w:t>用于制砂、制砖、铺设道路和回填沟壑</w:t>
            </w:r>
          </w:p>
        </w:tc>
        <w:tc>
          <w:tcPr>
            <w:tcW w:w="641" w:type="pct"/>
            <w:vAlign w:val="center"/>
          </w:tcPr>
          <w:p w14:paraId="02F30681">
            <w:pPr>
              <w:adjustRightInd w:val="0"/>
              <w:snapToGrid w:val="0"/>
              <w:jc w:val="center"/>
              <w:rPr>
                <w:szCs w:val="21"/>
              </w:rPr>
            </w:pPr>
            <w:r>
              <w:rPr>
                <w:szCs w:val="21"/>
              </w:rPr>
              <w:t>处置率100%</w:t>
            </w:r>
          </w:p>
        </w:tc>
      </w:tr>
      <w:tr w14:paraId="62773F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6C2D84A8">
            <w:pPr>
              <w:adjustRightInd w:val="0"/>
              <w:snapToGrid w:val="0"/>
              <w:jc w:val="center"/>
              <w:rPr>
                <w:szCs w:val="21"/>
              </w:rPr>
            </w:pPr>
            <w:r>
              <w:rPr>
                <w:szCs w:val="21"/>
              </w:rPr>
              <w:t>电磁环境</w:t>
            </w:r>
          </w:p>
        </w:tc>
        <w:tc>
          <w:tcPr>
            <w:tcW w:w="1323" w:type="pct"/>
            <w:vAlign w:val="center"/>
          </w:tcPr>
          <w:p w14:paraId="294722CF">
            <w:pPr>
              <w:adjustRightInd w:val="0"/>
              <w:snapToGrid w:val="0"/>
              <w:jc w:val="center"/>
              <w:rPr>
                <w:szCs w:val="21"/>
              </w:rPr>
            </w:pPr>
            <w:r>
              <w:rPr>
                <w:szCs w:val="21"/>
              </w:rPr>
              <w:t>/</w:t>
            </w:r>
          </w:p>
        </w:tc>
        <w:tc>
          <w:tcPr>
            <w:tcW w:w="968" w:type="pct"/>
            <w:vAlign w:val="center"/>
          </w:tcPr>
          <w:p w14:paraId="290F29C1">
            <w:pPr>
              <w:adjustRightInd w:val="0"/>
              <w:snapToGrid w:val="0"/>
              <w:jc w:val="center"/>
              <w:rPr>
                <w:szCs w:val="21"/>
              </w:rPr>
            </w:pPr>
            <w:r>
              <w:rPr>
                <w:szCs w:val="21"/>
              </w:rPr>
              <w:t>/</w:t>
            </w:r>
          </w:p>
        </w:tc>
        <w:tc>
          <w:tcPr>
            <w:tcW w:w="1380" w:type="pct"/>
            <w:vAlign w:val="center"/>
          </w:tcPr>
          <w:p w14:paraId="45C1A0B0">
            <w:pPr>
              <w:adjustRightInd w:val="0"/>
              <w:snapToGrid w:val="0"/>
              <w:jc w:val="center"/>
              <w:rPr>
                <w:szCs w:val="21"/>
              </w:rPr>
            </w:pPr>
            <w:r>
              <w:rPr>
                <w:rFonts w:hint="eastAsia"/>
                <w:szCs w:val="21"/>
              </w:rPr>
              <w:t>/</w:t>
            </w:r>
          </w:p>
        </w:tc>
        <w:tc>
          <w:tcPr>
            <w:tcW w:w="641" w:type="pct"/>
            <w:vAlign w:val="center"/>
          </w:tcPr>
          <w:p w14:paraId="303E5608">
            <w:pPr>
              <w:adjustRightInd w:val="0"/>
              <w:snapToGrid w:val="0"/>
              <w:jc w:val="center"/>
              <w:rPr>
                <w:szCs w:val="21"/>
              </w:rPr>
            </w:pPr>
            <w:r>
              <w:rPr>
                <w:rFonts w:hint="eastAsia"/>
                <w:szCs w:val="21"/>
              </w:rPr>
              <w:t>/</w:t>
            </w:r>
          </w:p>
        </w:tc>
      </w:tr>
      <w:tr w14:paraId="26322D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13C94697">
            <w:pPr>
              <w:adjustRightInd w:val="0"/>
              <w:snapToGrid w:val="0"/>
              <w:jc w:val="center"/>
              <w:rPr>
                <w:szCs w:val="21"/>
              </w:rPr>
            </w:pPr>
            <w:r>
              <w:rPr>
                <w:szCs w:val="21"/>
              </w:rPr>
              <w:t>环境风险</w:t>
            </w:r>
          </w:p>
        </w:tc>
        <w:tc>
          <w:tcPr>
            <w:tcW w:w="1323" w:type="pct"/>
            <w:vAlign w:val="center"/>
          </w:tcPr>
          <w:p w14:paraId="2BA5CA5A">
            <w:pPr>
              <w:adjustRightInd w:val="0"/>
              <w:snapToGrid w:val="0"/>
              <w:jc w:val="center"/>
              <w:rPr>
                <w:szCs w:val="21"/>
              </w:rPr>
            </w:pPr>
            <w:r>
              <w:rPr>
                <w:szCs w:val="21"/>
              </w:rPr>
              <w:t>/</w:t>
            </w:r>
          </w:p>
        </w:tc>
        <w:tc>
          <w:tcPr>
            <w:tcW w:w="968" w:type="pct"/>
            <w:vAlign w:val="center"/>
          </w:tcPr>
          <w:p w14:paraId="12509AB7">
            <w:pPr>
              <w:adjustRightInd w:val="0"/>
              <w:snapToGrid w:val="0"/>
              <w:jc w:val="center"/>
              <w:rPr>
                <w:szCs w:val="21"/>
              </w:rPr>
            </w:pPr>
            <w:r>
              <w:rPr>
                <w:szCs w:val="21"/>
              </w:rPr>
              <w:t>/</w:t>
            </w:r>
          </w:p>
        </w:tc>
        <w:tc>
          <w:tcPr>
            <w:tcW w:w="1380" w:type="pct"/>
            <w:vAlign w:val="center"/>
          </w:tcPr>
          <w:p w14:paraId="394C24EA">
            <w:pPr>
              <w:pStyle w:val="49"/>
              <w:rPr>
                <w:szCs w:val="21"/>
              </w:rPr>
            </w:pPr>
            <w:r>
              <w:t>油脂库地面防渗，设置防止流体流散的设施，门、窗采用防火门窗。设立标志，加强巡检，防止人为破坏，贮存必要的应急物资。</w:t>
            </w:r>
          </w:p>
        </w:tc>
        <w:tc>
          <w:tcPr>
            <w:tcW w:w="641" w:type="pct"/>
            <w:vAlign w:val="center"/>
          </w:tcPr>
          <w:p w14:paraId="3930F4F5">
            <w:pPr>
              <w:adjustRightInd w:val="0"/>
              <w:snapToGrid w:val="0"/>
              <w:jc w:val="center"/>
              <w:rPr>
                <w:szCs w:val="21"/>
              </w:rPr>
            </w:pPr>
            <w:r>
              <w:rPr>
                <w:rFonts w:hint="eastAsia"/>
                <w:szCs w:val="21"/>
              </w:rPr>
              <w:t>按要求执行</w:t>
            </w:r>
          </w:p>
        </w:tc>
      </w:tr>
      <w:tr w14:paraId="2304E2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6E0B40AF">
            <w:pPr>
              <w:adjustRightInd w:val="0"/>
              <w:snapToGrid w:val="0"/>
              <w:jc w:val="center"/>
              <w:rPr>
                <w:szCs w:val="21"/>
              </w:rPr>
            </w:pPr>
            <w:r>
              <w:rPr>
                <w:szCs w:val="21"/>
              </w:rPr>
              <w:t>环境监测</w:t>
            </w:r>
          </w:p>
        </w:tc>
        <w:tc>
          <w:tcPr>
            <w:tcW w:w="1323" w:type="pct"/>
            <w:vAlign w:val="center"/>
          </w:tcPr>
          <w:p w14:paraId="40BD6313">
            <w:pPr>
              <w:adjustRightInd w:val="0"/>
              <w:snapToGrid w:val="0"/>
              <w:jc w:val="center"/>
              <w:rPr>
                <w:szCs w:val="21"/>
              </w:rPr>
            </w:pPr>
            <w:r>
              <w:rPr>
                <w:szCs w:val="21"/>
              </w:rPr>
              <w:t>/</w:t>
            </w:r>
          </w:p>
        </w:tc>
        <w:tc>
          <w:tcPr>
            <w:tcW w:w="968" w:type="pct"/>
            <w:vAlign w:val="center"/>
          </w:tcPr>
          <w:p w14:paraId="3C8EA027">
            <w:pPr>
              <w:adjustRightInd w:val="0"/>
              <w:snapToGrid w:val="0"/>
              <w:jc w:val="center"/>
              <w:rPr>
                <w:szCs w:val="21"/>
              </w:rPr>
            </w:pPr>
            <w:r>
              <w:rPr>
                <w:szCs w:val="21"/>
              </w:rPr>
              <w:t>/</w:t>
            </w:r>
          </w:p>
        </w:tc>
        <w:tc>
          <w:tcPr>
            <w:tcW w:w="1380" w:type="pct"/>
            <w:vAlign w:val="center"/>
          </w:tcPr>
          <w:p w14:paraId="639906A1">
            <w:pPr>
              <w:adjustRightInd w:val="0"/>
              <w:snapToGrid w:val="0"/>
              <w:jc w:val="center"/>
              <w:rPr>
                <w:szCs w:val="21"/>
              </w:rPr>
            </w:pPr>
            <w:r>
              <w:rPr>
                <w:rFonts w:hint="eastAsia"/>
                <w:szCs w:val="21"/>
              </w:rPr>
              <w:t>噪声：厂界噪声监测</w:t>
            </w:r>
          </w:p>
          <w:p w14:paraId="46A2C040">
            <w:pPr>
              <w:adjustRightInd w:val="0"/>
              <w:snapToGrid w:val="0"/>
              <w:jc w:val="center"/>
              <w:rPr>
                <w:szCs w:val="21"/>
              </w:rPr>
            </w:pPr>
            <w:r>
              <w:rPr>
                <w:rFonts w:hint="eastAsia"/>
                <w:szCs w:val="21"/>
              </w:rPr>
              <w:t>废气：无组织排放颗粒物监测</w:t>
            </w:r>
          </w:p>
        </w:tc>
        <w:tc>
          <w:tcPr>
            <w:tcW w:w="641" w:type="pct"/>
            <w:vAlign w:val="center"/>
          </w:tcPr>
          <w:p w14:paraId="6CB6270C">
            <w:pPr>
              <w:adjustRightInd w:val="0"/>
              <w:snapToGrid w:val="0"/>
              <w:jc w:val="center"/>
              <w:rPr>
                <w:szCs w:val="21"/>
              </w:rPr>
            </w:pPr>
            <w:r>
              <w:rPr>
                <w:rFonts w:hint="eastAsia"/>
                <w:szCs w:val="21"/>
              </w:rPr>
              <w:t>符合标准要求</w:t>
            </w:r>
          </w:p>
        </w:tc>
      </w:tr>
      <w:tr w14:paraId="6E53C9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8" w:type="pct"/>
            <w:vAlign w:val="center"/>
          </w:tcPr>
          <w:p w14:paraId="0D6CA596">
            <w:pPr>
              <w:adjustRightInd w:val="0"/>
              <w:snapToGrid w:val="0"/>
              <w:jc w:val="center"/>
              <w:rPr>
                <w:szCs w:val="21"/>
              </w:rPr>
            </w:pPr>
            <w:r>
              <w:rPr>
                <w:szCs w:val="21"/>
              </w:rPr>
              <w:t>其他</w:t>
            </w:r>
          </w:p>
        </w:tc>
        <w:tc>
          <w:tcPr>
            <w:tcW w:w="1323" w:type="pct"/>
            <w:vAlign w:val="center"/>
          </w:tcPr>
          <w:p w14:paraId="1C192DE2">
            <w:pPr>
              <w:adjustRightInd w:val="0"/>
              <w:snapToGrid w:val="0"/>
              <w:jc w:val="center"/>
              <w:rPr>
                <w:szCs w:val="21"/>
              </w:rPr>
            </w:pPr>
            <w:r>
              <w:rPr>
                <w:szCs w:val="21"/>
              </w:rPr>
              <w:t>/</w:t>
            </w:r>
          </w:p>
        </w:tc>
        <w:tc>
          <w:tcPr>
            <w:tcW w:w="968" w:type="pct"/>
            <w:vAlign w:val="center"/>
          </w:tcPr>
          <w:p w14:paraId="0D01E808">
            <w:pPr>
              <w:adjustRightInd w:val="0"/>
              <w:snapToGrid w:val="0"/>
              <w:jc w:val="center"/>
              <w:rPr>
                <w:szCs w:val="21"/>
              </w:rPr>
            </w:pPr>
            <w:r>
              <w:rPr>
                <w:szCs w:val="21"/>
              </w:rPr>
              <w:t>/</w:t>
            </w:r>
          </w:p>
        </w:tc>
        <w:tc>
          <w:tcPr>
            <w:tcW w:w="1380" w:type="pct"/>
            <w:vAlign w:val="center"/>
          </w:tcPr>
          <w:p w14:paraId="1D2F45D6">
            <w:pPr>
              <w:adjustRightInd w:val="0"/>
              <w:snapToGrid w:val="0"/>
              <w:jc w:val="center"/>
              <w:rPr>
                <w:szCs w:val="21"/>
              </w:rPr>
            </w:pPr>
            <w:r>
              <w:rPr>
                <w:szCs w:val="21"/>
              </w:rPr>
              <w:t>/</w:t>
            </w:r>
          </w:p>
        </w:tc>
        <w:tc>
          <w:tcPr>
            <w:tcW w:w="641" w:type="pct"/>
            <w:vAlign w:val="center"/>
          </w:tcPr>
          <w:p w14:paraId="3996EECC">
            <w:pPr>
              <w:adjustRightInd w:val="0"/>
              <w:snapToGrid w:val="0"/>
              <w:jc w:val="center"/>
              <w:rPr>
                <w:szCs w:val="21"/>
              </w:rPr>
            </w:pPr>
            <w:r>
              <w:rPr>
                <w:szCs w:val="21"/>
              </w:rPr>
              <w:t>/</w:t>
            </w:r>
          </w:p>
        </w:tc>
      </w:tr>
    </w:tbl>
    <w:p w14:paraId="1F69C2FB"/>
    <w:p w14:paraId="3769ED47">
      <w:pPr>
        <w:pStyle w:val="18"/>
        <w:spacing w:before="0" w:beforeAutospacing="0" w:line="14" w:lineRule="auto"/>
        <w:jc w:val="center"/>
        <w:outlineLvl w:val="0"/>
        <w:rPr>
          <w:rFonts w:ascii="黑体" w:hAnsi="黑体" w:eastAsia="黑体"/>
          <w:snapToGrid w:val="0"/>
          <w:sz w:val="30"/>
          <w:szCs w:val="30"/>
        </w:rPr>
      </w:pPr>
      <w:r>
        <w:rPr>
          <w:rFonts w:ascii="黑体" w:hAnsi="黑体" w:eastAsia="黑体"/>
          <w:snapToGrid w:val="0"/>
          <w:sz w:val="30"/>
          <w:szCs w:val="30"/>
        </w:rPr>
        <w:br w:type="page"/>
      </w:r>
    </w:p>
    <w:p w14:paraId="75C08B51">
      <w:pPr>
        <w:pStyle w:val="18"/>
        <w:spacing w:before="192" w:beforeLines="80" w:beforeAutospacing="0"/>
        <w:jc w:val="center"/>
        <w:outlineLvl w:val="0"/>
        <w:rPr>
          <w:rFonts w:ascii="黑体" w:hAnsi="黑体" w:eastAsia="黑体"/>
          <w:snapToGrid w:val="0"/>
          <w:sz w:val="30"/>
          <w:szCs w:val="30"/>
        </w:rPr>
      </w:pPr>
      <w:r>
        <w:rPr>
          <w:rFonts w:hint="eastAsia" w:ascii="黑体" w:hAnsi="黑体" w:eastAsia="黑体"/>
          <w:snapToGrid w:val="0"/>
          <w:sz w:val="30"/>
          <w:szCs w:val="30"/>
        </w:rPr>
        <w:t>七、结论</w:t>
      </w:r>
    </w:p>
    <w:tbl>
      <w:tblPr>
        <w:tblStyle w:val="23"/>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7A95F6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06" w:hRule="atLeast"/>
          <w:jc w:val="center"/>
        </w:trPr>
        <w:tc>
          <w:tcPr>
            <w:tcW w:w="9289" w:type="dxa"/>
          </w:tcPr>
          <w:p w14:paraId="76AD8A0C">
            <w:pPr>
              <w:pStyle w:val="53"/>
              <w:ind w:firstLine="480"/>
              <w:rPr>
                <w:rFonts w:ascii="宋体" w:hAnsi="宋体" w:cs="宋体"/>
              </w:rPr>
            </w:pPr>
            <w:r>
              <w:t>本项目符合国家产业政策，符合</w:t>
            </w:r>
            <w:r>
              <w:rPr>
                <w:rFonts w:hint="eastAsia"/>
                <w:lang w:val="en-US" w:eastAsia="zh-CN"/>
              </w:rPr>
              <w:t>生态环境分区管控</w:t>
            </w:r>
            <w:r>
              <w:t>要求。本项目通过对</w:t>
            </w:r>
            <w:r>
              <w:rPr>
                <w:rFonts w:hint="eastAsia"/>
              </w:rPr>
              <w:t>大气环境</w:t>
            </w:r>
            <w:r>
              <w:t>、声环境、水环境、固体废物</w:t>
            </w:r>
            <w:r>
              <w:rPr>
                <w:rFonts w:hint="eastAsia"/>
              </w:rPr>
              <w:t>及</w:t>
            </w:r>
            <w:r>
              <w:t>生态环境等各项环境因素</w:t>
            </w:r>
            <w:r>
              <w:rPr>
                <w:rFonts w:hint="eastAsia"/>
                <w:lang w:eastAsia="zh-CN"/>
              </w:rPr>
              <w:t>有效</w:t>
            </w:r>
            <w:r>
              <w:t>防治，在确保报告</w:t>
            </w:r>
            <w:r>
              <w:rPr>
                <w:rFonts w:hint="eastAsia"/>
              </w:rPr>
              <w:t>表</w:t>
            </w:r>
            <w:r>
              <w:t>提出的污染防治措施全面实施并正常运行的前提下，通过加强环境管理及环境监测，</w:t>
            </w:r>
            <w:r>
              <w:rPr>
                <w:rFonts w:hint="eastAsia"/>
                <w:lang w:eastAsia="zh-CN"/>
              </w:rPr>
              <w:t>最大限度地减少</w:t>
            </w:r>
            <w:r>
              <w:t>对环境</w:t>
            </w:r>
            <w:r>
              <w:rPr>
                <w:rFonts w:hint="eastAsia"/>
              </w:rPr>
              <w:t>的</w:t>
            </w:r>
            <w:r>
              <w:t>影响，</w:t>
            </w:r>
            <w:r>
              <w:rPr>
                <w:rFonts w:hint="eastAsia"/>
              </w:rPr>
              <w:t>项目</w:t>
            </w:r>
            <w:r>
              <w:t>建设能够被周围环境所接受。因此，</w:t>
            </w:r>
            <w:r>
              <w:rPr>
                <w:rFonts w:hint="eastAsia"/>
              </w:rPr>
              <w:t>本项目</w:t>
            </w:r>
            <w:r>
              <w:t>的建设从环境保护的角度分析是可行的。</w:t>
            </w:r>
          </w:p>
        </w:tc>
      </w:tr>
    </w:tbl>
    <w:p w14:paraId="2B19F819">
      <w:pPr>
        <w:pStyle w:val="18"/>
        <w:adjustRightInd w:val="0"/>
        <w:snapToGrid w:val="0"/>
        <w:spacing w:before="0" w:beforeAutospacing="0" w:after="0" w:afterAutospacing="0" w:line="648" w:lineRule="auto"/>
        <w:outlineLvl w:val="0"/>
        <w:sectPr>
          <w:pgSz w:w="11906" w:h="16838"/>
          <w:pgMar w:top="1440" w:right="1800" w:bottom="1440" w:left="1800" w:header="851" w:footer="1077" w:gutter="0"/>
          <w:cols w:space="425" w:num="1"/>
          <w:docGrid w:linePitch="312" w:charSpace="0"/>
        </w:sectPr>
      </w:pPr>
    </w:p>
    <w:p w14:paraId="19D4B814">
      <w:pPr>
        <w:pStyle w:val="18"/>
        <w:keepNext/>
        <w:widowControl w:val="0"/>
        <w:adjustRightInd w:val="0"/>
        <w:snapToGrid w:val="0"/>
        <w:spacing w:before="0" w:beforeAutospacing="0" w:after="0" w:afterAutospacing="0"/>
        <w:outlineLvl w:val="1"/>
        <w:rPr>
          <w:b/>
        </w:rPr>
      </w:pPr>
      <w:r>
        <w:rPr>
          <w:rFonts w:hint="eastAsia"/>
          <w:b/>
        </w:rPr>
        <w:t>附图1</w:t>
      </w:r>
      <w:r>
        <w:rPr>
          <w:b/>
        </w:rPr>
        <w:t xml:space="preserve">  </w:t>
      </w:r>
      <w:r>
        <w:rPr>
          <w:rFonts w:hint="eastAsia"/>
          <w:b/>
        </w:rPr>
        <w:t>地理位置图</w:t>
      </w:r>
    </w:p>
    <w:p w14:paraId="1CEBAAFF">
      <w:r>
        <w:rPr>
          <w:rFonts w:hint="eastAsia" w:eastAsia="宋体"/>
          <w:lang w:eastAsia="zh-CN"/>
        </w:rPr>
        <w:drawing>
          <wp:inline distT="0" distB="0" distL="114300" distR="114300">
            <wp:extent cx="8858250" cy="5444490"/>
            <wp:effectExtent l="0" t="0" r="0" b="3810"/>
            <wp:docPr id="32" name="图片 32" descr="地理位置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地理位置图副本"/>
                    <pic:cNvPicPr>
                      <a:picLocks noChangeAspect="1"/>
                    </pic:cNvPicPr>
                  </pic:nvPicPr>
                  <pic:blipFill>
                    <a:blip r:embed="rId18"/>
                    <a:stretch>
                      <a:fillRect/>
                    </a:stretch>
                  </pic:blipFill>
                  <pic:spPr>
                    <a:xfrm>
                      <a:off x="0" y="0"/>
                      <a:ext cx="8858250" cy="5444490"/>
                    </a:xfrm>
                    <a:prstGeom prst="rect">
                      <a:avLst/>
                    </a:prstGeom>
                  </pic:spPr>
                </pic:pic>
              </a:graphicData>
            </a:graphic>
          </wp:inline>
        </w:drawing>
      </w:r>
    </w:p>
    <w:p w14:paraId="41DAD38E"/>
    <w:p w14:paraId="3FE7234D">
      <w:pPr>
        <w:pStyle w:val="18"/>
        <w:keepNext/>
        <w:widowControl w:val="0"/>
        <w:adjustRightInd w:val="0"/>
        <w:snapToGrid w:val="0"/>
        <w:spacing w:before="0" w:beforeAutospacing="0" w:after="0" w:afterAutospacing="0"/>
        <w:outlineLvl w:val="1"/>
        <w:rPr>
          <w:rFonts w:hint="default" w:eastAsia="宋体"/>
          <w:b/>
          <w:lang w:val="en-US" w:eastAsia="zh-CN"/>
        </w:rPr>
      </w:pPr>
      <w:r>
        <w:rPr>
          <w:rFonts w:hint="eastAsia"/>
          <w:b/>
        </w:rPr>
        <w:t>附图</w:t>
      </w:r>
      <w:r>
        <w:rPr>
          <w:rFonts w:hint="eastAsia"/>
          <w:b/>
          <w:lang w:val="en-US" w:eastAsia="zh-CN"/>
        </w:rPr>
        <w:t>2</w:t>
      </w:r>
      <w:r>
        <w:rPr>
          <w:b/>
        </w:rPr>
        <w:t xml:space="preserve"> </w:t>
      </w:r>
      <w:r>
        <w:rPr>
          <w:rFonts w:hint="eastAsia"/>
          <w:b/>
          <w:lang w:val="en-US" w:eastAsia="zh-CN"/>
        </w:rPr>
        <w:t xml:space="preserve"> 项目平面布置图</w:t>
      </w:r>
    </w:p>
    <w:p w14:paraId="5FE27040">
      <w:pPr>
        <w:pStyle w:val="16"/>
        <w:ind w:left="0" w:leftChars="0" w:firstLine="0" w:firstLineChars="0"/>
      </w:pPr>
      <w:r>
        <w:rPr>
          <w:rFonts w:hint="eastAsia" w:eastAsia="宋体"/>
          <w:lang w:eastAsia="zh-CN"/>
        </w:rPr>
        <w:drawing>
          <wp:inline distT="0" distB="0" distL="114300" distR="114300">
            <wp:extent cx="5680710" cy="8034655"/>
            <wp:effectExtent l="0" t="0" r="4445" b="15240"/>
            <wp:docPr id="33" name="图片 33" descr="514方案总平面最终节能_t3_t3-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14方案总平面最终节能_t3_t3-模型"/>
                    <pic:cNvPicPr>
                      <a:picLocks noChangeAspect="1"/>
                    </pic:cNvPicPr>
                  </pic:nvPicPr>
                  <pic:blipFill>
                    <a:blip r:embed="rId19"/>
                    <a:stretch>
                      <a:fillRect/>
                    </a:stretch>
                  </pic:blipFill>
                  <pic:spPr>
                    <a:xfrm rot="16200000">
                      <a:off x="0" y="0"/>
                      <a:ext cx="5680710" cy="8034655"/>
                    </a:xfrm>
                    <a:prstGeom prst="rect">
                      <a:avLst/>
                    </a:prstGeom>
                  </pic:spPr>
                </pic:pic>
              </a:graphicData>
            </a:graphic>
          </wp:inline>
        </w:drawing>
      </w:r>
    </w:p>
    <w:p w14:paraId="2D540CFA">
      <w:pPr>
        <w:pStyle w:val="18"/>
        <w:keepNext/>
        <w:widowControl w:val="0"/>
        <w:adjustRightInd w:val="0"/>
        <w:snapToGrid w:val="0"/>
        <w:spacing w:before="0" w:beforeAutospacing="0" w:after="0" w:afterAutospacing="0"/>
        <w:outlineLvl w:val="1"/>
        <w:rPr>
          <w:rFonts w:hint="default" w:eastAsia="宋体"/>
          <w:b/>
          <w:lang w:val="en-US" w:eastAsia="zh-CN"/>
        </w:rPr>
      </w:pPr>
      <w:r>
        <w:rPr>
          <w:rFonts w:hint="eastAsia"/>
          <w:b/>
        </w:rPr>
        <w:t>附图</w:t>
      </w:r>
      <w:r>
        <w:rPr>
          <w:rFonts w:hint="eastAsia"/>
          <w:b/>
          <w:lang w:val="en-US" w:eastAsia="zh-CN"/>
        </w:rPr>
        <w:t>3</w:t>
      </w:r>
      <w:r>
        <w:rPr>
          <w:b/>
        </w:rPr>
        <w:t xml:space="preserve"> </w:t>
      </w:r>
      <w:r>
        <w:rPr>
          <w:rFonts w:hint="eastAsia"/>
          <w:b/>
          <w:lang w:val="en-US" w:eastAsia="zh-CN"/>
        </w:rPr>
        <w:t xml:space="preserve"> 评价范围示意图</w:t>
      </w:r>
    </w:p>
    <w:p w14:paraId="17E5BE50">
      <w:pPr>
        <w:rPr>
          <w:rFonts w:hint="eastAsia" w:eastAsia="宋体"/>
          <w:lang w:eastAsia="zh-CN"/>
        </w:rPr>
      </w:pPr>
      <w:r>
        <w:rPr>
          <w:rFonts w:hint="eastAsia" w:eastAsia="宋体"/>
          <w:lang w:eastAsia="zh-CN"/>
        </w:rPr>
        <w:drawing>
          <wp:inline distT="0" distB="0" distL="114300" distR="114300">
            <wp:extent cx="8853805" cy="5527040"/>
            <wp:effectExtent l="0" t="0" r="4445" b="16510"/>
            <wp:docPr id="35" name="图片 35" descr="评价范围示意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评价范围示意图副本"/>
                    <pic:cNvPicPr>
                      <a:picLocks noChangeAspect="1"/>
                    </pic:cNvPicPr>
                  </pic:nvPicPr>
                  <pic:blipFill>
                    <a:blip r:embed="rId20"/>
                    <a:stretch>
                      <a:fillRect/>
                    </a:stretch>
                  </pic:blipFill>
                  <pic:spPr>
                    <a:xfrm>
                      <a:off x="0" y="0"/>
                      <a:ext cx="8853805" cy="5527040"/>
                    </a:xfrm>
                    <a:prstGeom prst="rect">
                      <a:avLst/>
                    </a:prstGeom>
                  </pic:spPr>
                </pic:pic>
              </a:graphicData>
            </a:graphic>
          </wp:inline>
        </w:drawing>
      </w:r>
    </w:p>
    <w:p w14:paraId="3A61ED82"/>
    <w:p w14:paraId="61D19170">
      <w:pPr>
        <w:pStyle w:val="16"/>
        <w:sectPr>
          <w:pgSz w:w="16838" w:h="11906" w:orient="landscape"/>
          <w:pgMar w:top="1134" w:right="1440" w:bottom="1134" w:left="1440" w:header="851" w:footer="1077" w:gutter="0"/>
          <w:cols w:space="425" w:num="1"/>
          <w:docGrid w:linePitch="312" w:charSpace="0"/>
        </w:sectPr>
      </w:pPr>
    </w:p>
    <w:p w14:paraId="50872D72">
      <w:pPr>
        <w:pStyle w:val="18"/>
        <w:keepNext/>
        <w:widowControl w:val="0"/>
        <w:adjustRightInd w:val="0"/>
        <w:snapToGrid w:val="0"/>
        <w:spacing w:before="0" w:beforeAutospacing="0" w:after="0" w:afterAutospacing="0"/>
        <w:outlineLvl w:val="1"/>
        <w:rPr>
          <w:b/>
        </w:rPr>
      </w:pPr>
      <w:r>
        <w:rPr>
          <w:rFonts w:hint="eastAsia"/>
          <w:b/>
        </w:rPr>
        <w:t>附图</w:t>
      </w:r>
      <w:r>
        <w:rPr>
          <w:b/>
        </w:rPr>
        <w:t xml:space="preserve">4  </w:t>
      </w:r>
      <w:r>
        <w:rPr>
          <w:rFonts w:hint="eastAsia"/>
          <w:b/>
        </w:rPr>
        <w:t>施工总平面布置及生态环境保护措施平面布置示意图</w:t>
      </w:r>
    </w:p>
    <w:p w14:paraId="44F9F2A6">
      <w:pPr>
        <w:rPr>
          <w:rFonts w:hint="eastAsia" w:eastAsia="宋体"/>
          <w:lang w:eastAsia="zh-CN"/>
        </w:rPr>
      </w:pPr>
      <w:r>
        <w:drawing>
          <wp:inline distT="0" distB="0" distL="114300" distR="114300">
            <wp:extent cx="6118860" cy="7058660"/>
            <wp:effectExtent l="0" t="0" r="15240" b="889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21"/>
                    <a:stretch>
                      <a:fillRect/>
                    </a:stretch>
                  </pic:blipFill>
                  <pic:spPr>
                    <a:xfrm>
                      <a:off x="0" y="0"/>
                      <a:ext cx="6118860" cy="7058660"/>
                    </a:xfrm>
                    <a:prstGeom prst="rect">
                      <a:avLst/>
                    </a:prstGeom>
                    <a:noFill/>
                    <a:ln>
                      <a:noFill/>
                    </a:ln>
                  </pic:spPr>
                </pic:pic>
              </a:graphicData>
            </a:graphic>
          </wp:inline>
        </w:drawing>
      </w:r>
    </w:p>
    <w:p w14:paraId="0929FA16">
      <w:pPr>
        <w:rPr>
          <w:rFonts w:hint="eastAsia" w:eastAsia="宋体"/>
          <w:lang w:eastAsia="zh-CN"/>
        </w:rPr>
      </w:pPr>
    </w:p>
    <w:p w14:paraId="158596BF">
      <w:pPr>
        <w:sectPr>
          <w:pgSz w:w="11906" w:h="16838"/>
          <w:pgMar w:top="1440" w:right="1134" w:bottom="1440" w:left="1134" w:header="851" w:footer="1077" w:gutter="0"/>
          <w:cols w:space="425" w:num="1"/>
          <w:docGrid w:linePitch="312" w:charSpace="0"/>
        </w:sectPr>
      </w:pPr>
    </w:p>
    <w:p w14:paraId="11451E56">
      <w:pPr>
        <w:pStyle w:val="18"/>
        <w:keepNext/>
        <w:widowControl w:val="0"/>
        <w:adjustRightInd w:val="0"/>
        <w:snapToGrid w:val="0"/>
        <w:spacing w:before="0" w:beforeAutospacing="0" w:after="0" w:afterAutospacing="0"/>
        <w:outlineLvl w:val="1"/>
        <w:rPr>
          <w:b/>
        </w:rPr>
      </w:pPr>
      <w:r>
        <w:rPr>
          <w:rFonts w:hint="eastAsia"/>
          <w:b/>
        </w:rPr>
        <w:t>附图</w:t>
      </w:r>
      <w:r>
        <w:rPr>
          <w:rFonts w:hint="eastAsia"/>
          <w:b/>
          <w:lang w:val="en-US" w:eastAsia="zh-CN"/>
        </w:rPr>
        <w:t>5</w:t>
      </w:r>
      <w:r>
        <w:rPr>
          <w:b/>
        </w:rPr>
        <w:t xml:space="preserve">  </w:t>
      </w:r>
      <w:r>
        <w:rPr>
          <w:rFonts w:hint="eastAsia"/>
          <w:b/>
          <w:lang w:val="en-US" w:eastAsia="zh-CN"/>
        </w:rPr>
        <w:t>项目与</w:t>
      </w:r>
      <w:r>
        <w:rPr>
          <w:rFonts w:hint="eastAsia"/>
          <w:b/>
        </w:rPr>
        <w:t>环境管控单元</w:t>
      </w:r>
      <w:r>
        <w:rPr>
          <w:rFonts w:hint="eastAsia"/>
          <w:b/>
          <w:lang w:val="en-US" w:eastAsia="zh-CN"/>
        </w:rPr>
        <w:t>叠加</w:t>
      </w:r>
      <w:r>
        <w:rPr>
          <w:rFonts w:hint="eastAsia"/>
          <w:b/>
        </w:rPr>
        <w:t>图</w:t>
      </w:r>
    </w:p>
    <w:p w14:paraId="23A97DC5">
      <w:pPr>
        <w:jc w:val="center"/>
        <w:rPr>
          <w:rFonts w:hint="eastAsia"/>
        </w:rPr>
      </w:pPr>
      <w:r>
        <w:rPr>
          <w:rFonts w:eastAsia="Times New Roman"/>
          <w:snapToGrid w:val="0"/>
          <w:color w:val="000000"/>
          <w:w w:val="0"/>
          <w:kern w:val="0"/>
          <w:sz w:val="0"/>
          <w:szCs w:val="0"/>
          <w:u w:color="000000"/>
          <w:shd w:val="clear" w:color="000000" w:fill="000000"/>
          <w:lang w:val="zh-CN" w:eastAsia="zh-CN" w:bidi="zh-CN"/>
        </w:rPr>
        <w:t xml:space="preserve"> </w:t>
      </w:r>
      <w:r>
        <w:drawing>
          <wp:inline distT="0" distB="0" distL="114300" distR="114300">
            <wp:extent cx="7781925" cy="3971925"/>
            <wp:effectExtent l="0" t="0" r="9525" b="9525"/>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22"/>
                    <a:stretch>
                      <a:fillRect/>
                    </a:stretch>
                  </pic:blipFill>
                  <pic:spPr>
                    <a:xfrm>
                      <a:off x="0" y="0"/>
                      <a:ext cx="7781925" cy="3971925"/>
                    </a:xfrm>
                    <a:prstGeom prst="rect">
                      <a:avLst/>
                    </a:prstGeom>
                    <a:noFill/>
                    <a:ln>
                      <a:noFill/>
                    </a:ln>
                  </pic:spPr>
                </pic:pic>
              </a:graphicData>
            </a:graphic>
          </wp:inline>
        </w:drawing>
      </w:r>
      <w:r>
        <w:rPr>
          <w:rFonts w:hint="eastAsia"/>
        </w:rPr>
        <w:t xml:space="preserve"> </w:t>
      </w:r>
    </w:p>
    <w:p w14:paraId="4277B015">
      <w:pPr>
        <w:pStyle w:val="18"/>
        <w:keepNext/>
        <w:widowControl w:val="0"/>
        <w:adjustRightInd w:val="0"/>
        <w:snapToGrid w:val="0"/>
        <w:spacing w:before="0" w:beforeAutospacing="0" w:after="0" w:afterAutospacing="0"/>
        <w:outlineLvl w:val="1"/>
        <w:rPr>
          <w:b/>
        </w:rPr>
      </w:pPr>
      <w:r>
        <w:rPr>
          <w:rFonts w:hint="eastAsia"/>
          <w:b/>
        </w:rPr>
        <w:t>附图</w:t>
      </w:r>
      <w:r>
        <w:rPr>
          <w:rFonts w:hint="eastAsia"/>
          <w:b/>
          <w:lang w:val="en-US" w:eastAsia="zh-CN"/>
        </w:rPr>
        <w:t>6</w:t>
      </w:r>
      <w:r>
        <w:rPr>
          <w:b/>
        </w:rPr>
        <w:t xml:space="preserve">  </w:t>
      </w:r>
      <w:r>
        <w:rPr>
          <w:rFonts w:hint="eastAsia"/>
          <w:b/>
          <w:lang w:val="en-US" w:eastAsia="zh-CN"/>
        </w:rPr>
        <w:t>项目与生态保护红线位置关系</w:t>
      </w:r>
      <w:r>
        <w:rPr>
          <w:rFonts w:hint="eastAsia"/>
          <w:b/>
        </w:rPr>
        <w:t>图</w:t>
      </w:r>
    </w:p>
    <w:p w14:paraId="7B02B51E">
      <w:pPr>
        <w:jc w:val="center"/>
        <w:rPr>
          <w:rFonts w:hint="eastAsia"/>
        </w:rPr>
      </w:pPr>
      <w:r>
        <w:drawing>
          <wp:inline distT="0" distB="0" distL="114300" distR="114300">
            <wp:extent cx="8860155" cy="4912360"/>
            <wp:effectExtent l="0" t="0" r="17145" b="2540"/>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23"/>
                    <a:stretch>
                      <a:fillRect/>
                    </a:stretch>
                  </pic:blipFill>
                  <pic:spPr>
                    <a:xfrm>
                      <a:off x="0" y="0"/>
                      <a:ext cx="8860155" cy="4912360"/>
                    </a:xfrm>
                    <a:prstGeom prst="rect">
                      <a:avLst/>
                    </a:prstGeom>
                    <a:noFill/>
                    <a:ln>
                      <a:noFill/>
                    </a:ln>
                  </pic:spPr>
                </pic:pic>
              </a:graphicData>
            </a:graphic>
          </wp:inline>
        </w:drawing>
      </w:r>
    </w:p>
    <w:p w14:paraId="55EA0550">
      <w:pPr>
        <w:rPr>
          <w:rFonts w:hint="eastAsia" w:eastAsia="宋体"/>
          <w:lang w:eastAsia="zh-CN"/>
        </w:rPr>
      </w:pPr>
    </w:p>
    <w:p w14:paraId="0DDAA92E">
      <w:pPr>
        <w:jc w:val="center"/>
      </w:pPr>
    </w:p>
    <w:p w14:paraId="7315F13F">
      <w:pPr>
        <w:sectPr>
          <w:pgSz w:w="16838" w:h="11906" w:orient="landscape"/>
          <w:pgMar w:top="1134" w:right="1440" w:bottom="1134" w:left="1440" w:header="851" w:footer="1077" w:gutter="0"/>
          <w:cols w:space="425" w:num="1"/>
          <w:docGrid w:linePitch="312" w:charSpace="0"/>
        </w:sectPr>
      </w:pPr>
    </w:p>
    <w:p w14:paraId="392B4DED">
      <w:pPr>
        <w:pStyle w:val="18"/>
        <w:keepNext/>
        <w:widowControl w:val="0"/>
        <w:adjustRightInd w:val="0"/>
        <w:snapToGrid w:val="0"/>
        <w:spacing w:before="0" w:beforeAutospacing="0" w:after="0" w:afterAutospacing="0"/>
        <w:outlineLvl w:val="1"/>
        <w:rPr>
          <w:b/>
        </w:rPr>
      </w:pPr>
      <w:r>
        <w:rPr>
          <w:rFonts w:hint="eastAsia"/>
          <w:b/>
        </w:rPr>
        <w:t>附图</w:t>
      </w:r>
      <w:r>
        <w:rPr>
          <w:rFonts w:hint="eastAsia"/>
          <w:b/>
          <w:lang w:val="en-US" w:eastAsia="zh-CN"/>
        </w:rPr>
        <w:t>7</w:t>
      </w:r>
      <w:r>
        <w:rPr>
          <w:b/>
        </w:rPr>
        <w:t xml:space="preserve">  </w:t>
      </w:r>
      <w:r>
        <w:rPr>
          <w:rFonts w:hint="eastAsia"/>
          <w:b/>
        </w:rPr>
        <w:t>跟踪监测点位布置图</w:t>
      </w:r>
    </w:p>
    <w:p w14:paraId="3C023B19">
      <w:pPr>
        <w:pStyle w:val="64"/>
        <w:bidi w:val="0"/>
        <w:spacing w:line="240" w:lineRule="auto"/>
        <w:rPr>
          <w:rFonts w:hint="eastAsia" w:eastAsia="宋体"/>
          <w:lang w:eastAsia="zh-CN"/>
        </w:rPr>
      </w:pPr>
      <w:r>
        <w:rPr>
          <w:rFonts w:hint="eastAsia" w:eastAsia="宋体"/>
          <w:lang w:eastAsia="zh-CN"/>
        </w:rPr>
        <w:drawing>
          <wp:inline distT="0" distB="0" distL="114300" distR="114300">
            <wp:extent cx="6114415" cy="6264910"/>
            <wp:effectExtent l="0" t="0" r="635" b="2540"/>
            <wp:docPr id="51" name="图片 51" descr="跟踪监测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跟踪监测副本"/>
                    <pic:cNvPicPr>
                      <a:picLocks noChangeAspect="1"/>
                    </pic:cNvPicPr>
                  </pic:nvPicPr>
                  <pic:blipFill>
                    <a:blip r:embed="rId24"/>
                    <a:stretch>
                      <a:fillRect/>
                    </a:stretch>
                  </pic:blipFill>
                  <pic:spPr>
                    <a:xfrm>
                      <a:off x="0" y="0"/>
                      <a:ext cx="6114415" cy="6264910"/>
                    </a:xfrm>
                    <a:prstGeom prst="rect">
                      <a:avLst/>
                    </a:prstGeom>
                  </pic:spPr>
                </pic:pic>
              </a:graphicData>
            </a:graphic>
          </wp:inline>
        </w:drawing>
      </w:r>
    </w:p>
    <w:p w14:paraId="42F06CAF">
      <w:pPr>
        <w:pStyle w:val="18"/>
        <w:keepNext/>
        <w:widowControl w:val="0"/>
        <w:adjustRightInd w:val="0"/>
        <w:snapToGrid w:val="0"/>
        <w:spacing w:before="0" w:beforeAutospacing="0" w:after="0" w:afterAutospacing="0"/>
        <w:outlineLvl w:val="1"/>
        <w:rPr>
          <w:b/>
        </w:rPr>
      </w:pPr>
      <w:r>
        <w:rPr>
          <w:rFonts w:hint="eastAsia"/>
          <w:b/>
        </w:rPr>
        <w:t>附件</w:t>
      </w:r>
      <w:r>
        <w:rPr>
          <w:b/>
        </w:rPr>
        <w:t xml:space="preserve">1  </w:t>
      </w:r>
      <w:r>
        <w:rPr>
          <w:rFonts w:hint="eastAsia"/>
          <w:b/>
        </w:rPr>
        <w:t>初设批复</w:t>
      </w:r>
    </w:p>
    <w:p w14:paraId="1C864AFF">
      <w:r>
        <w:drawing>
          <wp:inline distT="0" distB="0" distL="0" distR="0">
            <wp:extent cx="6120130" cy="86550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r>
        <w:drawing>
          <wp:inline distT="0" distB="0" distL="0" distR="0">
            <wp:extent cx="6120130" cy="86550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r>
        <w:drawing>
          <wp:inline distT="0" distB="0" distL="0" distR="0">
            <wp:extent cx="6120130" cy="86550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r>
        <w:drawing>
          <wp:inline distT="0" distB="0" distL="0" distR="0">
            <wp:extent cx="6120130" cy="86550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r>
        <w:drawing>
          <wp:inline distT="0" distB="0" distL="0" distR="0">
            <wp:extent cx="6120130" cy="86550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r>
        <w:drawing>
          <wp:inline distT="0" distB="0" distL="0" distR="0">
            <wp:extent cx="6120130" cy="865505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14:paraId="66F7CECF"/>
    <w:p w14:paraId="3388AFCC">
      <w:pPr>
        <w:pStyle w:val="18"/>
        <w:keepNext/>
        <w:widowControl w:val="0"/>
        <w:adjustRightInd w:val="0"/>
        <w:snapToGrid w:val="0"/>
        <w:spacing w:before="0" w:beforeAutospacing="0" w:after="0" w:afterAutospacing="0"/>
        <w:outlineLvl w:val="1"/>
        <w:rPr>
          <w:b/>
        </w:rPr>
      </w:pPr>
      <w:r>
        <w:rPr>
          <w:rFonts w:hint="eastAsia"/>
          <w:b/>
        </w:rPr>
        <w:t>附件</w:t>
      </w:r>
      <w:r>
        <w:rPr>
          <w:b/>
        </w:rPr>
        <w:t xml:space="preserve">2  </w:t>
      </w:r>
      <w:r>
        <w:rPr>
          <w:rFonts w:hint="eastAsia"/>
          <w:b/>
          <w:lang w:val="en-US" w:eastAsia="zh-CN"/>
        </w:rPr>
        <w:t>土地</w:t>
      </w:r>
      <w:r>
        <w:rPr>
          <w:rFonts w:hint="eastAsia"/>
          <w:b/>
        </w:rPr>
        <w:t>手续</w:t>
      </w:r>
    </w:p>
    <w:p w14:paraId="27D98D20">
      <w:pPr>
        <w:jc w:val="center"/>
      </w:pPr>
      <w:r>
        <w:drawing>
          <wp:inline distT="0" distB="0" distL="114300" distR="114300">
            <wp:extent cx="5038725" cy="8411845"/>
            <wp:effectExtent l="0" t="0" r="9525"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1"/>
                    <a:stretch>
                      <a:fillRect/>
                    </a:stretch>
                  </pic:blipFill>
                  <pic:spPr>
                    <a:xfrm>
                      <a:off x="0" y="0"/>
                      <a:ext cx="5038725" cy="8411845"/>
                    </a:xfrm>
                    <a:prstGeom prst="rect">
                      <a:avLst/>
                    </a:prstGeom>
                    <a:noFill/>
                    <a:ln>
                      <a:noFill/>
                    </a:ln>
                  </pic:spPr>
                </pic:pic>
              </a:graphicData>
            </a:graphic>
          </wp:inline>
        </w:drawing>
      </w:r>
    </w:p>
    <w:p w14:paraId="48380683">
      <w:pPr>
        <w:jc w:val="center"/>
      </w:pPr>
      <w:r>
        <w:drawing>
          <wp:inline distT="0" distB="0" distL="114300" distR="114300">
            <wp:extent cx="5524500" cy="766762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2"/>
                    <a:stretch>
                      <a:fillRect/>
                    </a:stretch>
                  </pic:blipFill>
                  <pic:spPr>
                    <a:xfrm>
                      <a:off x="0" y="0"/>
                      <a:ext cx="5524500" cy="7667625"/>
                    </a:xfrm>
                    <a:prstGeom prst="rect">
                      <a:avLst/>
                    </a:prstGeom>
                    <a:noFill/>
                    <a:ln>
                      <a:noFill/>
                    </a:ln>
                  </pic:spPr>
                </pic:pic>
              </a:graphicData>
            </a:graphic>
          </wp:inline>
        </w:drawing>
      </w:r>
    </w:p>
    <w:p w14:paraId="6A052DB9">
      <w:pPr>
        <w:jc w:val="center"/>
      </w:pPr>
      <w:r>
        <w:drawing>
          <wp:inline distT="0" distB="0" distL="114300" distR="114300">
            <wp:extent cx="6113780" cy="8415020"/>
            <wp:effectExtent l="0" t="0" r="127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3"/>
                    <a:stretch>
                      <a:fillRect/>
                    </a:stretch>
                  </pic:blipFill>
                  <pic:spPr>
                    <a:xfrm>
                      <a:off x="0" y="0"/>
                      <a:ext cx="6113780" cy="8415020"/>
                    </a:xfrm>
                    <a:prstGeom prst="rect">
                      <a:avLst/>
                    </a:prstGeom>
                    <a:noFill/>
                    <a:ln>
                      <a:noFill/>
                    </a:ln>
                  </pic:spPr>
                </pic:pic>
              </a:graphicData>
            </a:graphic>
          </wp:inline>
        </w:drawing>
      </w:r>
    </w:p>
    <w:p w14:paraId="4BBF0720">
      <w:pPr>
        <w:jc w:val="center"/>
      </w:pPr>
      <w:r>
        <w:drawing>
          <wp:inline distT="0" distB="0" distL="114300" distR="114300">
            <wp:extent cx="5857875" cy="8629650"/>
            <wp:effectExtent l="0" t="0" r="9525" b="0"/>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4"/>
                    <a:stretch>
                      <a:fillRect/>
                    </a:stretch>
                  </pic:blipFill>
                  <pic:spPr>
                    <a:xfrm>
                      <a:off x="0" y="0"/>
                      <a:ext cx="5857875" cy="8629650"/>
                    </a:xfrm>
                    <a:prstGeom prst="rect">
                      <a:avLst/>
                    </a:prstGeom>
                    <a:noFill/>
                    <a:ln>
                      <a:noFill/>
                    </a:ln>
                  </pic:spPr>
                </pic:pic>
              </a:graphicData>
            </a:graphic>
          </wp:inline>
        </w:drawing>
      </w:r>
    </w:p>
    <w:p w14:paraId="6DA87224">
      <w:pPr>
        <w:pStyle w:val="18"/>
        <w:keepNext/>
        <w:widowControl w:val="0"/>
        <w:adjustRightInd w:val="0"/>
        <w:snapToGrid w:val="0"/>
        <w:spacing w:before="0" w:beforeAutospacing="0" w:after="0" w:afterAutospacing="0"/>
        <w:outlineLvl w:val="1"/>
        <w:rPr>
          <w:b/>
        </w:rPr>
      </w:pPr>
      <w:r>
        <w:rPr>
          <w:rFonts w:hint="eastAsia"/>
          <w:b/>
        </w:rPr>
        <w:t>附件</w:t>
      </w:r>
      <w:r>
        <w:rPr>
          <w:b/>
        </w:rPr>
        <w:t xml:space="preserve">3  </w:t>
      </w:r>
      <w:r>
        <w:rPr>
          <w:rFonts w:hint="eastAsia"/>
          <w:b/>
        </w:rPr>
        <w:t>环境空气质量现状监测报告</w:t>
      </w:r>
    </w:p>
    <w:p w14:paraId="722FB4D4">
      <w:pPr>
        <w:rPr>
          <w:rFonts w:hint="eastAsia" w:eastAsia="宋体"/>
          <w:lang w:eastAsia="zh-CN"/>
        </w:rPr>
      </w:pPr>
      <w:r>
        <w:rPr>
          <w:rFonts w:hint="eastAsia" w:eastAsia="宋体"/>
          <w:lang w:eastAsia="zh-CN"/>
        </w:rPr>
        <w:drawing>
          <wp:inline distT="0" distB="0" distL="114300" distR="114300">
            <wp:extent cx="6114415" cy="8648065"/>
            <wp:effectExtent l="0" t="0" r="635" b="635"/>
            <wp:docPr id="16" name="图片 16" descr="黑龙江龙煤鸡西矿业有限责任公司平岗煤矿（辅助提升系统改造项目）-环境空气-3月(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黑龙江龙煤鸡西矿业有限责任公司平岗煤矿（辅助提升系统改造项目）-环境空气-3月(1)_00"/>
                    <pic:cNvPicPr>
                      <a:picLocks noChangeAspect="1"/>
                    </pic:cNvPicPr>
                  </pic:nvPicPr>
                  <pic:blipFill>
                    <a:blip r:embed="rId35"/>
                    <a:stretch>
                      <a:fillRect/>
                    </a:stretch>
                  </pic:blipFill>
                  <pic:spPr>
                    <a:xfrm>
                      <a:off x="0" y="0"/>
                      <a:ext cx="6114415" cy="8648065"/>
                    </a:xfrm>
                    <a:prstGeom prst="rect">
                      <a:avLst/>
                    </a:prstGeom>
                  </pic:spPr>
                </pic:pic>
              </a:graphicData>
            </a:graphic>
          </wp:inline>
        </w:drawing>
      </w:r>
      <w:r>
        <w:rPr>
          <w:rFonts w:hint="eastAsia" w:eastAsia="宋体"/>
          <w:lang w:eastAsia="zh-CN"/>
        </w:rPr>
        <w:drawing>
          <wp:inline distT="0" distB="0" distL="114300" distR="114300">
            <wp:extent cx="6114415" cy="8648065"/>
            <wp:effectExtent l="0" t="0" r="635" b="635"/>
            <wp:docPr id="15" name="图片 15" descr="黑龙江龙煤鸡西矿业有限责任公司平岗煤矿（辅助提升系统改造项目）-环境空气-3月(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黑龙江龙煤鸡西矿业有限责任公司平岗煤矿（辅助提升系统改造项目）-环境空气-3月(1)_01"/>
                    <pic:cNvPicPr>
                      <a:picLocks noChangeAspect="1"/>
                    </pic:cNvPicPr>
                  </pic:nvPicPr>
                  <pic:blipFill>
                    <a:blip r:embed="rId36"/>
                    <a:stretch>
                      <a:fillRect/>
                    </a:stretch>
                  </pic:blipFill>
                  <pic:spPr>
                    <a:xfrm>
                      <a:off x="0" y="0"/>
                      <a:ext cx="6114415" cy="8648065"/>
                    </a:xfrm>
                    <a:prstGeom prst="rect">
                      <a:avLst/>
                    </a:prstGeom>
                  </pic:spPr>
                </pic:pic>
              </a:graphicData>
            </a:graphic>
          </wp:inline>
        </w:drawing>
      </w:r>
      <w:r>
        <w:rPr>
          <w:rFonts w:hint="eastAsia" w:eastAsia="宋体"/>
          <w:lang w:eastAsia="zh-CN"/>
        </w:rPr>
        <w:drawing>
          <wp:inline distT="0" distB="0" distL="114300" distR="114300">
            <wp:extent cx="6114415" cy="8648065"/>
            <wp:effectExtent l="0" t="0" r="635" b="635"/>
            <wp:docPr id="8" name="图片 8" descr="黑龙江龙煤鸡西矿业有限责任公司平岗煤矿（辅助提升系统改造项目）-环境空气-3月(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黑龙江龙煤鸡西矿业有限责任公司平岗煤矿（辅助提升系统改造项目）-环境空气-3月(1)_02"/>
                    <pic:cNvPicPr>
                      <a:picLocks noChangeAspect="1"/>
                    </pic:cNvPicPr>
                  </pic:nvPicPr>
                  <pic:blipFill>
                    <a:blip r:embed="rId37"/>
                    <a:stretch>
                      <a:fillRect/>
                    </a:stretch>
                  </pic:blipFill>
                  <pic:spPr>
                    <a:xfrm>
                      <a:off x="0" y="0"/>
                      <a:ext cx="6114415" cy="8648065"/>
                    </a:xfrm>
                    <a:prstGeom prst="rect">
                      <a:avLst/>
                    </a:prstGeom>
                  </pic:spPr>
                </pic:pic>
              </a:graphicData>
            </a:graphic>
          </wp:inline>
        </w:drawing>
      </w:r>
      <w:r>
        <w:rPr>
          <w:rFonts w:hint="eastAsia" w:eastAsia="宋体"/>
          <w:lang w:eastAsia="zh-CN"/>
        </w:rPr>
        <w:drawing>
          <wp:inline distT="0" distB="0" distL="114300" distR="114300">
            <wp:extent cx="6114415" cy="8648065"/>
            <wp:effectExtent l="0" t="0" r="635" b="635"/>
            <wp:docPr id="4" name="图片 4" descr="黑龙江龙煤鸡西矿业有限责任公司平岗煤矿（辅助提升系统改造项目）-环境空气-3月(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黑龙江龙煤鸡西矿业有限责任公司平岗煤矿（辅助提升系统改造项目）-环境空气-3月(1)_03"/>
                    <pic:cNvPicPr>
                      <a:picLocks noChangeAspect="1"/>
                    </pic:cNvPicPr>
                  </pic:nvPicPr>
                  <pic:blipFill>
                    <a:blip r:embed="rId38"/>
                    <a:stretch>
                      <a:fillRect/>
                    </a:stretch>
                  </pic:blipFill>
                  <pic:spPr>
                    <a:xfrm>
                      <a:off x="0" y="0"/>
                      <a:ext cx="6114415" cy="8648065"/>
                    </a:xfrm>
                    <a:prstGeom prst="rect">
                      <a:avLst/>
                    </a:prstGeom>
                  </pic:spPr>
                </pic:pic>
              </a:graphicData>
            </a:graphic>
          </wp:inline>
        </w:drawing>
      </w:r>
      <w:r>
        <w:rPr>
          <w:rFonts w:hint="eastAsia" w:eastAsia="宋体"/>
          <w:lang w:eastAsia="zh-CN"/>
        </w:rPr>
        <w:drawing>
          <wp:inline distT="0" distB="0" distL="114300" distR="114300">
            <wp:extent cx="6114415" cy="8648065"/>
            <wp:effectExtent l="0" t="0" r="635" b="635"/>
            <wp:docPr id="3" name="图片 3" descr="黑龙江龙煤鸡西矿业有限责任公司平岗煤矿（辅助提升系统改造项目）-环境空气-3月(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黑龙江龙煤鸡西矿业有限责任公司平岗煤矿（辅助提升系统改造项目）-环境空气-3月(1)_04"/>
                    <pic:cNvPicPr>
                      <a:picLocks noChangeAspect="1"/>
                    </pic:cNvPicPr>
                  </pic:nvPicPr>
                  <pic:blipFill>
                    <a:blip r:embed="rId39"/>
                    <a:stretch>
                      <a:fillRect/>
                    </a:stretch>
                  </pic:blipFill>
                  <pic:spPr>
                    <a:xfrm>
                      <a:off x="0" y="0"/>
                      <a:ext cx="6114415" cy="8648065"/>
                    </a:xfrm>
                    <a:prstGeom prst="rect">
                      <a:avLst/>
                    </a:prstGeom>
                  </pic:spPr>
                </pic:pic>
              </a:graphicData>
            </a:graphic>
          </wp:inline>
        </w:drawing>
      </w:r>
    </w:p>
    <w:p w14:paraId="5D51B9EB">
      <w:pPr>
        <w:pStyle w:val="22"/>
        <w:sectPr>
          <w:pgSz w:w="11906" w:h="16838"/>
          <w:pgMar w:top="1440" w:right="1134" w:bottom="1440" w:left="1134" w:header="851" w:footer="1077" w:gutter="0"/>
          <w:cols w:space="425" w:num="1"/>
          <w:docGrid w:linePitch="312" w:charSpace="0"/>
        </w:sectPr>
      </w:pPr>
    </w:p>
    <w:p w14:paraId="252DFA7B">
      <w:pPr>
        <w:pStyle w:val="18"/>
        <w:keepNext/>
        <w:widowControl w:val="0"/>
        <w:adjustRightInd w:val="0"/>
        <w:snapToGrid w:val="0"/>
        <w:spacing w:before="0" w:beforeAutospacing="0" w:after="0" w:afterAutospacing="0"/>
        <w:outlineLvl w:val="1"/>
        <w:rPr>
          <w:rFonts w:hint="default" w:eastAsia="宋体"/>
          <w:b/>
          <w:lang w:val="en-US" w:eastAsia="zh-CN"/>
        </w:rPr>
      </w:pPr>
      <w:r>
        <w:rPr>
          <w:rFonts w:hint="eastAsia"/>
          <w:b/>
        </w:rPr>
        <w:t>附件</w:t>
      </w:r>
      <w:r>
        <w:rPr>
          <w:rFonts w:hint="eastAsia"/>
          <w:b/>
          <w:lang w:val="en-US" w:eastAsia="zh-CN"/>
        </w:rPr>
        <w:t>4</w:t>
      </w:r>
      <w:r>
        <w:rPr>
          <w:b/>
        </w:rPr>
        <w:t xml:space="preserve">  </w:t>
      </w:r>
      <w:r>
        <w:rPr>
          <w:rFonts w:hint="eastAsia"/>
          <w:b/>
          <w:lang w:val="en-US" w:eastAsia="zh-CN"/>
        </w:rPr>
        <w:t>生态环境分区管控分析报告</w:t>
      </w:r>
    </w:p>
    <w:p w14:paraId="2B391CA2">
      <w:pPr>
        <w:pStyle w:val="8"/>
        <w:ind w:left="0" w:leftChars="0" w:firstLine="0" w:firstLineChars="0"/>
      </w:pPr>
      <w:r>
        <w:drawing>
          <wp:inline distT="0" distB="0" distL="114300" distR="114300">
            <wp:extent cx="6118860" cy="4330065"/>
            <wp:effectExtent l="0" t="0" r="15240" b="13335"/>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40"/>
                    <a:stretch>
                      <a:fillRect/>
                    </a:stretch>
                  </pic:blipFill>
                  <pic:spPr>
                    <a:xfrm>
                      <a:off x="0" y="0"/>
                      <a:ext cx="6118860" cy="4330065"/>
                    </a:xfrm>
                    <a:prstGeom prst="rect">
                      <a:avLst/>
                    </a:prstGeom>
                    <a:noFill/>
                    <a:ln>
                      <a:noFill/>
                    </a:ln>
                  </pic:spPr>
                </pic:pic>
              </a:graphicData>
            </a:graphic>
          </wp:inline>
        </w:drawing>
      </w:r>
      <w:r>
        <w:rPr>
          <w:rFonts w:hint="eastAsia" w:eastAsia="宋体"/>
          <w:lang w:eastAsia="zh-CN"/>
        </w:rPr>
        <w:drawing>
          <wp:inline distT="0" distB="0" distL="114300" distR="114300">
            <wp:extent cx="5610860" cy="3967480"/>
            <wp:effectExtent l="0" t="0" r="8890" b="13970"/>
            <wp:docPr id="47" name="图片 47" descr="黑龙江龙煤鸡西矿业有限责任公司平岗煤矿辅助提升系统改造_2026年05月14日223215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黑龙江龙煤鸡西矿业有限责任公司平岗煤矿辅助提升系统改造_2026年05月14日223215_分析报告_02"/>
                    <pic:cNvPicPr>
                      <a:picLocks noChangeAspect="1"/>
                    </pic:cNvPicPr>
                  </pic:nvPicPr>
                  <pic:blipFill>
                    <a:blip r:embed="rId41"/>
                    <a:stretch>
                      <a:fillRect/>
                    </a:stretch>
                  </pic:blipFill>
                  <pic:spPr>
                    <a:xfrm>
                      <a:off x="0" y="0"/>
                      <a:ext cx="5610860" cy="396748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46" name="图片 46" descr="黑龙江龙煤鸡西矿业有限责任公司平岗煤矿辅助提升系统改造_2026年05月14日223215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黑龙江龙煤鸡西矿业有限责任公司平岗煤矿辅助提升系统改造_2026年05月14日223215_分析报告_03"/>
                    <pic:cNvPicPr>
                      <a:picLocks noChangeAspect="1"/>
                    </pic:cNvPicPr>
                  </pic:nvPicPr>
                  <pic:blipFill>
                    <a:blip r:embed="rId42"/>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45" name="图片 45" descr="黑龙江龙煤鸡西矿业有限责任公司平岗煤矿辅助提升系统改造_2026年05月14日223215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黑龙江龙煤鸡西矿业有限责任公司平岗煤矿辅助提升系统改造_2026年05月14日223215_分析报告_04"/>
                    <pic:cNvPicPr>
                      <a:picLocks noChangeAspect="1"/>
                    </pic:cNvPicPr>
                  </pic:nvPicPr>
                  <pic:blipFill>
                    <a:blip r:embed="rId43"/>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44" name="图片 44" descr="黑龙江龙煤鸡西矿业有限责任公司平岗煤矿辅助提升系统改造_2026年05月14日223215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黑龙江龙煤鸡西矿业有限责任公司平岗煤矿辅助提升系统改造_2026年05月14日223215_分析报告_05"/>
                    <pic:cNvPicPr>
                      <a:picLocks noChangeAspect="1"/>
                    </pic:cNvPicPr>
                  </pic:nvPicPr>
                  <pic:blipFill>
                    <a:blip r:embed="rId44"/>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43" name="图片 43" descr="黑龙江龙煤鸡西矿业有限责任公司平岗煤矿辅助提升系统改造_2026年05月14日223215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黑龙江龙煤鸡西矿业有限责任公司平岗煤矿辅助提升系统改造_2026年05月14日223215_分析报告_06"/>
                    <pic:cNvPicPr>
                      <a:picLocks noChangeAspect="1"/>
                    </pic:cNvPicPr>
                  </pic:nvPicPr>
                  <pic:blipFill>
                    <a:blip r:embed="rId45"/>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42" name="图片 42" descr="黑龙江龙煤鸡西矿业有限责任公司平岗煤矿辅助提升系统改造_2026年05月14日223215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黑龙江龙煤鸡西矿业有限责任公司平岗煤矿辅助提升系统改造_2026年05月14日223215_分析报告_07"/>
                    <pic:cNvPicPr>
                      <a:picLocks noChangeAspect="1"/>
                    </pic:cNvPicPr>
                  </pic:nvPicPr>
                  <pic:blipFill>
                    <a:blip r:embed="rId46"/>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41" name="图片 41" descr="黑龙江龙煤鸡西矿业有限责任公司平岗煤矿辅助提升系统改造_2026年05月14日223215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黑龙江龙煤鸡西矿业有限责任公司平岗煤矿辅助提升系统改造_2026年05月14日223215_分析报告_08"/>
                    <pic:cNvPicPr>
                      <a:picLocks noChangeAspect="1"/>
                    </pic:cNvPicPr>
                  </pic:nvPicPr>
                  <pic:blipFill>
                    <a:blip r:embed="rId47"/>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40" name="图片 40" descr="黑龙江龙煤鸡西矿业有限责任公司平岗煤矿辅助提升系统改造_2026年05月14日223215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黑龙江龙煤鸡西矿业有限责任公司平岗煤矿辅助提升系统改造_2026年05月14日223215_分析报告_09"/>
                    <pic:cNvPicPr>
                      <a:picLocks noChangeAspect="1"/>
                    </pic:cNvPicPr>
                  </pic:nvPicPr>
                  <pic:blipFill>
                    <a:blip r:embed="rId48"/>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39" name="图片 39" descr="黑龙江龙煤鸡西矿业有限责任公司平岗煤矿辅助提升系统改造_2026年05月14日223215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黑龙江龙煤鸡西矿业有限责任公司平岗煤矿辅助提升系统改造_2026年05月14日223215_分析报告_10"/>
                    <pic:cNvPicPr>
                      <a:picLocks noChangeAspect="1"/>
                    </pic:cNvPicPr>
                  </pic:nvPicPr>
                  <pic:blipFill>
                    <a:blip r:embed="rId49"/>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38" name="图片 38" descr="黑龙江龙煤鸡西矿业有限责任公司平岗煤矿辅助提升系统改造_2026年05月14日223215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黑龙江龙煤鸡西矿业有限责任公司平岗煤矿辅助提升系统改造_2026年05月14日223215_分析报告_11"/>
                    <pic:cNvPicPr>
                      <a:picLocks noChangeAspect="1"/>
                    </pic:cNvPicPr>
                  </pic:nvPicPr>
                  <pic:blipFill>
                    <a:blip r:embed="rId50"/>
                    <a:stretch>
                      <a:fillRect/>
                    </a:stretch>
                  </pic:blipFill>
                  <pic:spPr>
                    <a:xfrm>
                      <a:off x="0" y="0"/>
                      <a:ext cx="6117590" cy="4325620"/>
                    </a:xfrm>
                    <a:prstGeom prst="rect">
                      <a:avLst/>
                    </a:prstGeom>
                  </pic:spPr>
                </pic:pic>
              </a:graphicData>
            </a:graphic>
          </wp:inline>
        </w:drawing>
      </w:r>
      <w:r>
        <w:rPr>
          <w:rFonts w:hint="eastAsia" w:eastAsia="宋体"/>
          <w:lang w:eastAsia="zh-CN"/>
        </w:rPr>
        <w:drawing>
          <wp:inline distT="0" distB="0" distL="114300" distR="114300">
            <wp:extent cx="6117590" cy="4325620"/>
            <wp:effectExtent l="0" t="0" r="16510" b="17780"/>
            <wp:docPr id="37" name="图片 37" descr="黑龙江龙煤鸡西矿业有限责任公司平岗煤矿辅助提升系统改造_2026年05月14日223215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黑龙江龙煤鸡西矿业有限责任公司平岗煤矿辅助提升系统改造_2026年05月14日223215_分析报告_12"/>
                    <pic:cNvPicPr>
                      <a:picLocks noChangeAspect="1"/>
                    </pic:cNvPicPr>
                  </pic:nvPicPr>
                  <pic:blipFill>
                    <a:blip r:embed="rId51"/>
                    <a:stretch>
                      <a:fillRect/>
                    </a:stretch>
                  </pic:blipFill>
                  <pic:spPr>
                    <a:xfrm>
                      <a:off x="0" y="0"/>
                      <a:ext cx="6117590" cy="4325620"/>
                    </a:xfrm>
                    <a:prstGeom prst="rect">
                      <a:avLst/>
                    </a:prstGeom>
                  </pic:spPr>
                </pic:pic>
              </a:graphicData>
            </a:graphic>
          </wp:inline>
        </w:drawing>
      </w:r>
    </w:p>
    <w:sectPr>
      <w:pgSz w:w="11906" w:h="16838"/>
      <w:pgMar w:top="1440" w:right="1134" w:bottom="1440" w:left="1134" w:header="851" w:footer="1077"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D74AB18-078D-485C-A00F-A6A980CEC29F}"/>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仿宋_GB2312">
    <w:panose1 w:val="02010609030101010101"/>
    <w:charset w:val="86"/>
    <w:family w:val="modern"/>
    <w:pitch w:val="default"/>
    <w:sig w:usb0="00000001" w:usb1="080E0000" w:usb2="00000000" w:usb3="00000000" w:csb0="00040000" w:csb1="00000000"/>
    <w:embedRegular r:id="rId2" w:fontKey="{51C84F9A-A883-405B-9227-709F3CAB4C27}"/>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方正小标宋_GBK">
    <w:panose1 w:val="03000509000000000000"/>
    <w:charset w:val="86"/>
    <w:family w:val="script"/>
    <w:pitch w:val="default"/>
    <w:sig w:usb0="00000001" w:usb1="080E0000" w:usb2="00000000" w:usb3="00000000" w:csb0="00040000" w:csb1="00000000"/>
    <w:embedRegular r:id="rId3" w:fontKey="{9E8F6E70-3617-481A-B619-B68B6AEB3443}"/>
  </w:font>
  <w:font w:name="楷体_GB2312">
    <w:panose1 w:val="02010609030101010101"/>
    <w:charset w:val="86"/>
    <w:family w:val="modern"/>
    <w:pitch w:val="default"/>
    <w:sig w:usb0="00000001" w:usb1="080E0000" w:usb2="00000000" w:usb3="00000000" w:csb0="00040000" w:csb1="00000000"/>
    <w:embedRegular r:id="rId4" w:fontKey="{19D495F1-E9E9-4BE3-916B-F981396AE1CD}"/>
  </w:font>
  <w:font w:name="华文仿宋">
    <w:panose1 w:val="02010600040101010101"/>
    <w:charset w:val="86"/>
    <w:family w:val="auto"/>
    <w:pitch w:val="default"/>
    <w:sig w:usb0="00000287" w:usb1="080F0000" w:usb2="00000000" w:usb3="00000000" w:csb0="0004009F" w:csb1="DFD70000"/>
    <w:embedRegular r:id="rId5" w:fontKey="{E6D2DCE6-38DC-4F8C-9CF9-6331E1AA6A8C}"/>
  </w:font>
  <w:font w:name="仿宋">
    <w:panose1 w:val="02010609060101010101"/>
    <w:charset w:val="86"/>
    <w:family w:val="modern"/>
    <w:pitch w:val="default"/>
    <w:sig w:usb0="800002BF" w:usb1="38CF7CFA" w:usb2="00000016" w:usb3="00000000" w:csb0="00040001" w:csb1="00000000"/>
    <w:embedRegular r:id="rId6" w:fontKey="{04F85F35-F639-4D9E-8FAD-43B85145372C}"/>
  </w:font>
  <w:font w:name="Wingdings 2">
    <w:panose1 w:val="05020102010507070707"/>
    <w:charset w:val="02"/>
    <w:family w:val="roman"/>
    <w:pitch w:val="default"/>
    <w:sig w:usb0="00000000" w:usb1="00000000" w:usb2="00000000" w:usb3="00000000" w:csb0="80000000" w:csb1="00000000"/>
    <w:embedRegular r:id="rId7" w:fontKey="{CEEFC75C-4294-4CCB-BFCA-2B6AA6B4C33A}"/>
  </w:font>
  <w:font w:name="WPSEMBED1">
    <w:panose1 w:val="02010609030101010101"/>
    <w:charset w:val="86"/>
    <w:family w:val="auto"/>
    <w:pitch w:val="default"/>
    <w:sig w:usb0="00000001" w:usb1="080E0000" w:usb2="00000000" w:usb3="00000000" w:csb0="00040000" w:csb1="00000000"/>
  </w:font>
  <w:font w:name="WPSEMBED2">
    <w:panose1 w:val="03000509000000000000"/>
    <w:charset w:val="86"/>
    <w:family w:val="auto"/>
    <w:pitch w:val="default"/>
    <w:sig w:usb0="00000001" w:usb1="080E0000" w:usb2="00000000" w:usb3="00000000" w:csb0="00040000" w:csb1="00000000"/>
  </w:font>
  <w:font w:name="WPSEMBED3">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70B77">
    <w:pPr>
      <w:pStyle w:val="1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5F0346">
    <w:pPr>
      <w:pStyle w:val="13"/>
      <w:framePr w:wrap="around" w:vAnchor="text" w:hAnchor="margin" w:xAlign="outside" w:y="1"/>
      <w:rPr>
        <w:rStyle w:val="27"/>
      </w:rPr>
    </w:pPr>
    <w:r>
      <w:rPr>
        <w:rStyle w:val="27"/>
      </w:rPr>
      <w:fldChar w:fldCharType="begin"/>
    </w:r>
    <w:r>
      <w:rPr>
        <w:rStyle w:val="27"/>
      </w:rPr>
      <w:instrText xml:space="preserve">PAGE  </w:instrText>
    </w:r>
    <w:r>
      <w:rPr>
        <w:rStyle w:val="27"/>
      </w:rPr>
      <w:fldChar w:fldCharType="end"/>
    </w:r>
  </w:p>
  <w:p w14:paraId="2A0D8067">
    <w:pPr>
      <w:pStyle w:val="1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20FF89">
    <w:pPr>
      <w:pStyle w:val="13"/>
      <w:ind w:firstLine="480"/>
      <w:jc w:val="center"/>
    </w:pPr>
    <w:r>
      <w:fldChar w:fldCharType="begin"/>
    </w:r>
    <w:r>
      <w:instrText xml:space="preserve">PAGE   \* MERGEFORMAT</w:instrText>
    </w:r>
    <w:r>
      <w:fldChar w:fldCharType="separate"/>
    </w:r>
    <w:r>
      <w:rPr>
        <w:lang w:val="zh-CN"/>
      </w:rPr>
      <w:t>52</w:t>
    </w:r>
    <w:r>
      <w:fldChar w:fldCharType="end"/>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2"/>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VhOGQwYzU0ZTJmY2IwNmY3MjkzM2VmMmQwNmNmZWUifQ=="/>
  </w:docVars>
  <w:rsids>
    <w:rsidRoot w:val="00A14947"/>
    <w:rsid w:val="00001CED"/>
    <w:rsid w:val="00001E67"/>
    <w:rsid w:val="00003CD8"/>
    <w:rsid w:val="00007D40"/>
    <w:rsid w:val="000145FC"/>
    <w:rsid w:val="00014965"/>
    <w:rsid w:val="0001523A"/>
    <w:rsid w:val="00016ECB"/>
    <w:rsid w:val="00017DE6"/>
    <w:rsid w:val="00021536"/>
    <w:rsid w:val="00024053"/>
    <w:rsid w:val="000269F6"/>
    <w:rsid w:val="00031939"/>
    <w:rsid w:val="00032D25"/>
    <w:rsid w:val="00033E04"/>
    <w:rsid w:val="00037B78"/>
    <w:rsid w:val="00043515"/>
    <w:rsid w:val="0005219D"/>
    <w:rsid w:val="0005568F"/>
    <w:rsid w:val="00060BDB"/>
    <w:rsid w:val="0006153D"/>
    <w:rsid w:val="00061B1F"/>
    <w:rsid w:val="000664DB"/>
    <w:rsid w:val="0007127D"/>
    <w:rsid w:val="00071AE5"/>
    <w:rsid w:val="00074783"/>
    <w:rsid w:val="00075FCC"/>
    <w:rsid w:val="000801E0"/>
    <w:rsid w:val="00082A29"/>
    <w:rsid w:val="0008331D"/>
    <w:rsid w:val="00083C18"/>
    <w:rsid w:val="0008482E"/>
    <w:rsid w:val="00091367"/>
    <w:rsid w:val="00092899"/>
    <w:rsid w:val="000A129E"/>
    <w:rsid w:val="000A1506"/>
    <w:rsid w:val="000A178E"/>
    <w:rsid w:val="000A557E"/>
    <w:rsid w:val="000B058F"/>
    <w:rsid w:val="000B1F81"/>
    <w:rsid w:val="000B20DE"/>
    <w:rsid w:val="000B28AA"/>
    <w:rsid w:val="000B3731"/>
    <w:rsid w:val="000B693F"/>
    <w:rsid w:val="000C09AC"/>
    <w:rsid w:val="000C0A63"/>
    <w:rsid w:val="000C3761"/>
    <w:rsid w:val="000C3A68"/>
    <w:rsid w:val="000C437E"/>
    <w:rsid w:val="000C577D"/>
    <w:rsid w:val="000D5A68"/>
    <w:rsid w:val="000E05F9"/>
    <w:rsid w:val="000E359A"/>
    <w:rsid w:val="000E3B4D"/>
    <w:rsid w:val="000E5F16"/>
    <w:rsid w:val="000F0715"/>
    <w:rsid w:val="000F1255"/>
    <w:rsid w:val="000F24BE"/>
    <w:rsid w:val="000F419A"/>
    <w:rsid w:val="000F4452"/>
    <w:rsid w:val="000F6DA1"/>
    <w:rsid w:val="000F701B"/>
    <w:rsid w:val="00101BEE"/>
    <w:rsid w:val="001056A0"/>
    <w:rsid w:val="0010736A"/>
    <w:rsid w:val="0010785A"/>
    <w:rsid w:val="00115279"/>
    <w:rsid w:val="00117459"/>
    <w:rsid w:val="0011749A"/>
    <w:rsid w:val="00122734"/>
    <w:rsid w:val="0012378A"/>
    <w:rsid w:val="00127A68"/>
    <w:rsid w:val="0013603E"/>
    <w:rsid w:val="00140B13"/>
    <w:rsid w:val="00141B68"/>
    <w:rsid w:val="001466DA"/>
    <w:rsid w:val="00147B76"/>
    <w:rsid w:val="001523EB"/>
    <w:rsid w:val="001535AB"/>
    <w:rsid w:val="00154DE1"/>
    <w:rsid w:val="00155B40"/>
    <w:rsid w:val="00157435"/>
    <w:rsid w:val="0016224F"/>
    <w:rsid w:val="00163EEA"/>
    <w:rsid w:val="001675F7"/>
    <w:rsid w:val="00167A07"/>
    <w:rsid w:val="0017046A"/>
    <w:rsid w:val="001704A3"/>
    <w:rsid w:val="0017504D"/>
    <w:rsid w:val="00177422"/>
    <w:rsid w:val="00184E6D"/>
    <w:rsid w:val="00184F10"/>
    <w:rsid w:val="00185546"/>
    <w:rsid w:val="001875E7"/>
    <w:rsid w:val="0019146B"/>
    <w:rsid w:val="00194398"/>
    <w:rsid w:val="00195AE1"/>
    <w:rsid w:val="001A6F83"/>
    <w:rsid w:val="001A7D2A"/>
    <w:rsid w:val="001B574C"/>
    <w:rsid w:val="001B6A3F"/>
    <w:rsid w:val="001B7E3A"/>
    <w:rsid w:val="001C0AF9"/>
    <w:rsid w:val="001C155A"/>
    <w:rsid w:val="001C2F57"/>
    <w:rsid w:val="001C48C0"/>
    <w:rsid w:val="001C5F0E"/>
    <w:rsid w:val="001D0C6B"/>
    <w:rsid w:val="001D2065"/>
    <w:rsid w:val="001D22E0"/>
    <w:rsid w:val="001D381F"/>
    <w:rsid w:val="001D3C14"/>
    <w:rsid w:val="001D6726"/>
    <w:rsid w:val="001E05CE"/>
    <w:rsid w:val="001E252D"/>
    <w:rsid w:val="001E3E77"/>
    <w:rsid w:val="001E4357"/>
    <w:rsid w:val="001E593E"/>
    <w:rsid w:val="001E6250"/>
    <w:rsid w:val="001E6617"/>
    <w:rsid w:val="001F1D93"/>
    <w:rsid w:val="001F3347"/>
    <w:rsid w:val="001F4440"/>
    <w:rsid w:val="001F5528"/>
    <w:rsid w:val="001F69E4"/>
    <w:rsid w:val="002019E3"/>
    <w:rsid w:val="00203DD7"/>
    <w:rsid w:val="00206A65"/>
    <w:rsid w:val="00212D31"/>
    <w:rsid w:val="002130C7"/>
    <w:rsid w:val="0021547C"/>
    <w:rsid w:val="002176C3"/>
    <w:rsid w:val="002218A8"/>
    <w:rsid w:val="0022306D"/>
    <w:rsid w:val="00226574"/>
    <w:rsid w:val="002278EC"/>
    <w:rsid w:val="002357C7"/>
    <w:rsid w:val="002367C4"/>
    <w:rsid w:val="00242283"/>
    <w:rsid w:val="002423D0"/>
    <w:rsid w:val="0024290B"/>
    <w:rsid w:val="002443A4"/>
    <w:rsid w:val="0025059D"/>
    <w:rsid w:val="0025074F"/>
    <w:rsid w:val="0025679E"/>
    <w:rsid w:val="00260C68"/>
    <w:rsid w:val="00261421"/>
    <w:rsid w:val="002636E4"/>
    <w:rsid w:val="002648B0"/>
    <w:rsid w:val="00270A85"/>
    <w:rsid w:val="00275271"/>
    <w:rsid w:val="0027535E"/>
    <w:rsid w:val="00275AA6"/>
    <w:rsid w:val="002807D5"/>
    <w:rsid w:val="00282CCD"/>
    <w:rsid w:val="00284629"/>
    <w:rsid w:val="00290A41"/>
    <w:rsid w:val="0029267D"/>
    <w:rsid w:val="002A168C"/>
    <w:rsid w:val="002A2C48"/>
    <w:rsid w:val="002A3EED"/>
    <w:rsid w:val="002A4A39"/>
    <w:rsid w:val="002A5A17"/>
    <w:rsid w:val="002A6425"/>
    <w:rsid w:val="002B49E2"/>
    <w:rsid w:val="002B7B00"/>
    <w:rsid w:val="002B7C44"/>
    <w:rsid w:val="002C0496"/>
    <w:rsid w:val="002C0A2C"/>
    <w:rsid w:val="002C1388"/>
    <w:rsid w:val="002C3C6A"/>
    <w:rsid w:val="002C7238"/>
    <w:rsid w:val="002D1C4F"/>
    <w:rsid w:val="002D42DB"/>
    <w:rsid w:val="002E19F7"/>
    <w:rsid w:val="002E1F3A"/>
    <w:rsid w:val="002E298A"/>
    <w:rsid w:val="002E328F"/>
    <w:rsid w:val="002E632A"/>
    <w:rsid w:val="002F02A4"/>
    <w:rsid w:val="002F0430"/>
    <w:rsid w:val="002F272B"/>
    <w:rsid w:val="002F46C7"/>
    <w:rsid w:val="002F7C6D"/>
    <w:rsid w:val="00300542"/>
    <w:rsid w:val="00301F7B"/>
    <w:rsid w:val="003027E4"/>
    <w:rsid w:val="0030332C"/>
    <w:rsid w:val="00312296"/>
    <w:rsid w:val="0031340E"/>
    <w:rsid w:val="00316464"/>
    <w:rsid w:val="00316958"/>
    <w:rsid w:val="0032073A"/>
    <w:rsid w:val="00321895"/>
    <w:rsid w:val="00321D8E"/>
    <w:rsid w:val="00326394"/>
    <w:rsid w:val="00326630"/>
    <w:rsid w:val="00327DFB"/>
    <w:rsid w:val="00334996"/>
    <w:rsid w:val="003362B9"/>
    <w:rsid w:val="00336969"/>
    <w:rsid w:val="00336C52"/>
    <w:rsid w:val="00337487"/>
    <w:rsid w:val="00340181"/>
    <w:rsid w:val="00341B3E"/>
    <w:rsid w:val="00341B42"/>
    <w:rsid w:val="00345154"/>
    <w:rsid w:val="0034560E"/>
    <w:rsid w:val="00350523"/>
    <w:rsid w:val="00352975"/>
    <w:rsid w:val="00356868"/>
    <w:rsid w:val="0036485B"/>
    <w:rsid w:val="00365B98"/>
    <w:rsid w:val="00373B0D"/>
    <w:rsid w:val="00376988"/>
    <w:rsid w:val="00381179"/>
    <w:rsid w:val="003811DA"/>
    <w:rsid w:val="00381A72"/>
    <w:rsid w:val="00383357"/>
    <w:rsid w:val="0039538F"/>
    <w:rsid w:val="003976B7"/>
    <w:rsid w:val="00397C36"/>
    <w:rsid w:val="003A09EB"/>
    <w:rsid w:val="003A1948"/>
    <w:rsid w:val="003B152A"/>
    <w:rsid w:val="003B18A2"/>
    <w:rsid w:val="003B545B"/>
    <w:rsid w:val="003C10D3"/>
    <w:rsid w:val="003C1300"/>
    <w:rsid w:val="003C666F"/>
    <w:rsid w:val="003C6D03"/>
    <w:rsid w:val="003D3EE9"/>
    <w:rsid w:val="003E0E8E"/>
    <w:rsid w:val="003E1C3E"/>
    <w:rsid w:val="003E7681"/>
    <w:rsid w:val="003F0809"/>
    <w:rsid w:val="003F1553"/>
    <w:rsid w:val="003F1FC2"/>
    <w:rsid w:val="003F2B67"/>
    <w:rsid w:val="003F611C"/>
    <w:rsid w:val="003F755C"/>
    <w:rsid w:val="00406F01"/>
    <w:rsid w:val="00410E5B"/>
    <w:rsid w:val="00411B36"/>
    <w:rsid w:val="004121D7"/>
    <w:rsid w:val="00415452"/>
    <w:rsid w:val="00416D50"/>
    <w:rsid w:val="00417772"/>
    <w:rsid w:val="00420E6A"/>
    <w:rsid w:val="00421387"/>
    <w:rsid w:val="004219B5"/>
    <w:rsid w:val="00433CA9"/>
    <w:rsid w:val="0043521D"/>
    <w:rsid w:val="00435A08"/>
    <w:rsid w:val="00436445"/>
    <w:rsid w:val="00440F55"/>
    <w:rsid w:val="00442024"/>
    <w:rsid w:val="0044254C"/>
    <w:rsid w:val="00442CA3"/>
    <w:rsid w:val="004432EF"/>
    <w:rsid w:val="00443F6A"/>
    <w:rsid w:val="004442EC"/>
    <w:rsid w:val="00446CD0"/>
    <w:rsid w:val="00450A17"/>
    <w:rsid w:val="00465B93"/>
    <w:rsid w:val="00466321"/>
    <w:rsid w:val="004672AF"/>
    <w:rsid w:val="004727B0"/>
    <w:rsid w:val="00480247"/>
    <w:rsid w:val="0048081D"/>
    <w:rsid w:val="0048117E"/>
    <w:rsid w:val="00483819"/>
    <w:rsid w:val="004855F6"/>
    <w:rsid w:val="00486F0C"/>
    <w:rsid w:val="00490289"/>
    <w:rsid w:val="00491E4B"/>
    <w:rsid w:val="004929A7"/>
    <w:rsid w:val="0049430F"/>
    <w:rsid w:val="00494670"/>
    <w:rsid w:val="00497299"/>
    <w:rsid w:val="004A0EB4"/>
    <w:rsid w:val="004A23C4"/>
    <w:rsid w:val="004A3823"/>
    <w:rsid w:val="004A59BB"/>
    <w:rsid w:val="004B3B4C"/>
    <w:rsid w:val="004B43A3"/>
    <w:rsid w:val="004B4C49"/>
    <w:rsid w:val="004B58A5"/>
    <w:rsid w:val="004B63D9"/>
    <w:rsid w:val="004C0882"/>
    <w:rsid w:val="004C55BE"/>
    <w:rsid w:val="004C7026"/>
    <w:rsid w:val="004E5B30"/>
    <w:rsid w:val="004F0631"/>
    <w:rsid w:val="004F0779"/>
    <w:rsid w:val="004F1230"/>
    <w:rsid w:val="004F173F"/>
    <w:rsid w:val="004F177C"/>
    <w:rsid w:val="004F2DCE"/>
    <w:rsid w:val="004F5B0D"/>
    <w:rsid w:val="00502EE2"/>
    <w:rsid w:val="005039CB"/>
    <w:rsid w:val="00504284"/>
    <w:rsid w:val="0050558F"/>
    <w:rsid w:val="005057E0"/>
    <w:rsid w:val="00505FB4"/>
    <w:rsid w:val="00506286"/>
    <w:rsid w:val="00510813"/>
    <w:rsid w:val="00511DE0"/>
    <w:rsid w:val="005153FC"/>
    <w:rsid w:val="00517F02"/>
    <w:rsid w:val="00520510"/>
    <w:rsid w:val="00524547"/>
    <w:rsid w:val="005258A2"/>
    <w:rsid w:val="00530F7C"/>
    <w:rsid w:val="005333FF"/>
    <w:rsid w:val="00534567"/>
    <w:rsid w:val="00534F43"/>
    <w:rsid w:val="00535A84"/>
    <w:rsid w:val="00536244"/>
    <w:rsid w:val="00536889"/>
    <w:rsid w:val="00540102"/>
    <w:rsid w:val="00542E07"/>
    <w:rsid w:val="005531EE"/>
    <w:rsid w:val="00554A7B"/>
    <w:rsid w:val="0055572C"/>
    <w:rsid w:val="0056064F"/>
    <w:rsid w:val="00561B84"/>
    <w:rsid w:val="0056230F"/>
    <w:rsid w:val="0056383A"/>
    <w:rsid w:val="005669CE"/>
    <w:rsid w:val="00571D98"/>
    <w:rsid w:val="005720AE"/>
    <w:rsid w:val="0058030D"/>
    <w:rsid w:val="00581009"/>
    <w:rsid w:val="00582045"/>
    <w:rsid w:val="00590AE3"/>
    <w:rsid w:val="005918F1"/>
    <w:rsid w:val="0059544D"/>
    <w:rsid w:val="005965C6"/>
    <w:rsid w:val="005A06B7"/>
    <w:rsid w:val="005A1759"/>
    <w:rsid w:val="005A333C"/>
    <w:rsid w:val="005C2581"/>
    <w:rsid w:val="005C2780"/>
    <w:rsid w:val="005C27FA"/>
    <w:rsid w:val="005D0369"/>
    <w:rsid w:val="005D53FE"/>
    <w:rsid w:val="005D551B"/>
    <w:rsid w:val="005D7A0F"/>
    <w:rsid w:val="005E0438"/>
    <w:rsid w:val="005E1791"/>
    <w:rsid w:val="005E2395"/>
    <w:rsid w:val="005E2CE6"/>
    <w:rsid w:val="005E6223"/>
    <w:rsid w:val="005E6324"/>
    <w:rsid w:val="005E79BA"/>
    <w:rsid w:val="005F228B"/>
    <w:rsid w:val="005F29CD"/>
    <w:rsid w:val="005F4DFB"/>
    <w:rsid w:val="005F6CC0"/>
    <w:rsid w:val="00600745"/>
    <w:rsid w:val="006022F7"/>
    <w:rsid w:val="00603E5B"/>
    <w:rsid w:val="00603E82"/>
    <w:rsid w:val="00604BC8"/>
    <w:rsid w:val="0061134A"/>
    <w:rsid w:val="006150C3"/>
    <w:rsid w:val="00615B4C"/>
    <w:rsid w:val="00615B5D"/>
    <w:rsid w:val="0062146F"/>
    <w:rsid w:val="00624CFC"/>
    <w:rsid w:val="006328C7"/>
    <w:rsid w:val="006343AF"/>
    <w:rsid w:val="0063634A"/>
    <w:rsid w:val="0064250D"/>
    <w:rsid w:val="00644505"/>
    <w:rsid w:val="0065228A"/>
    <w:rsid w:val="006535EB"/>
    <w:rsid w:val="00663016"/>
    <w:rsid w:val="00674605"/>
    <w:rsid w:val="006748B8"/>
    <w:rsid w:val="0068305F"/>
    <w:rsid w:val="0068535B"/>
    <w:rsid w:val="0068736E"/>
    <w:rsid w:val="00687F73"/>
    <w:rsid w:val="0069290A"/>
    <w:rsid w:val="00697032"/>
    <w:rsid w:val="006975AC"/>
    <w:rsid w:val="006A15FB"/>
    <w:rsid w:val="006A6B05"/>
    <w:rsid w:val="006A72BF"/>
    <w:rsid w:val="006A7711"/>
    <w:rsid w:val="006B11FF"/>
    <w:rsid w:val="006B332A"/>
    <w:rsid w:val="006B33BD"/>
    <w:rsid w:val="006C354D"/>
    <w:rsid w:val="006C3F75"/>
    <w:rsid w:val="006D170E"/>
    <w:rsid w:val="006D312C"/>
    <w:rsid w:val="006E06AF"/>
    <w:rsid w:val="006E1834"/>
    <w:rsid w:val="006E3BEC"/>
    <w:rsid w:val="006F1789"/>
    <w:rsid w:val="00706C5D"/>
    <w:rsid w:val="007118E6"/>
    <w:rsid w:val="00720924"/>
    <w:rsid w:val="007225C9"/>
    <w:rsid w:val="00735CD7"/>
    <w:rsid w:val="007400EA"/>
    <w:rsid w:val="00744659"/>
    <w:rsid w:val="00746152"/>
    <w:rsid w:val="007507DA"/>
    <w:rsid w:val="00750A73"/>
    <w:rsid w:val="007514E9"/>
    <w:rsid w:val="00753B7B"/>
    <w:rsid w:val="00754034"/>
    <w:rsid w:val="00754BF1"/>
    <w:rsid w:val="00755A30"/>
    <w:rsid w:val="00755E1C"/>
    <w:rsid w:val="00756556"/>
    <w:rsid w:val="0076132B"/>
    <w:rsid w:val="007623AE"/>
    <w:rsid w:val="007627D4"/>
    <w:rsid w:val="00762BAA"/>
    <w:rsid w:val="007673A4"/>
    <w:rsid w:val="00770B19"/>
    <w:rsid w:val="00774FA0"/>
    <w:rsid w:val="00776620"/>
    <w:rsid w:val="00777B6D"/>
    <w:rsid w:val="00784855"/>
    <w:rsid w:val="00784F39"/>
    <w:rsid w:val="0078545C"/>
    <w:rsid w:val="007906C4"/>
    <w:rsid w:val="007940EA"/>
    <w:rsid w:val="007967E8"/>
    <w:rsid w:val="007A22D2"/>
    <w:rsid w:val="007A5A36"/>
    <w:rsid w:val="007A63F2"/>
    <w:rsid w:val="007A64B7"/>
    <w:rsid w:val="007A70D9"/>
    <w:rsid w:val="007B68DE"/>
    <w:rsid w:val="007C1857"/>
    <w:rsid w:val="007C346F"/>
    <w:rsid w:val="007C514F"/>
    <w:rsid w:val="007D0F95"/>
    <w:rsid w:val="007D16E6"/>
    <w:rsid w:val="007D7ECB"/>
    <w:rsid w:val="007E25A1"/>
    <w:rsid w:val="007E4BD2"/>
    <w:rsid w:val="007E7110"/>
    <w:rsid w:val="007E7145"/>
    <w:rsid w:val="007F1E38"/>
    <w:rsid w:val="007F3916"/>
    <w:rsid w:val="007F5742"/>
    <w:rsid w:val="00801179"/>
    <w:rsid w:val="00802479"/>
    <w:rsid w:val="0080521E"/>
    <w:rsid w:val="00805346"/>
    <w:rsid w:val="00805372"/>
    <w:rsid w:val="00805B7B"/>
    <w:rsid w:val="0081293E"/>
    <w:rsid w:val="00812DF3"/>
    <w:rsid w:val="00814FFB"/>
    <w:rsid w:val="00820568"/>
    <w:rsid w:val="00821228"/>
    <w:rsid w:val="00831A80"/>
    <w:rsid w:val="008332C8"/>
    <w:rsid w:val="00833743"/>
    <w:rsid w:val="008340A4"/>
    <w:rsid w:val="008362DD"/>
    <w:rsid w:val="00836799"/>
    <w:rsid w:val="00837028"/>
    <w:rsid w:val="00837131"/>
    <w:rsid w:val="00845F57"/>
    <w:rsid w:val="0084651B"/>
    <w:rsid w:val="008521E0"/>
    <w:rsid w:val="008525B0"/>
    <w:rsid w:val="00854E63"/>
    <w:rsid w:val="008650E7"/>
    <w:rsid w:val="00867CBC"/>
    <w:rsid w:val="00870A49"/>
    <w:rsid w:val="00876C30"/>
    <w:rsid w:val="00877017"/>
    <w:rsid w:val="008773C0"/>
    <w:rsid w:val="00880364"/>
    <w:rsid w:val="00886C4C"/>
    <w:rsid w:val="0088711C"/>
    <w:rsid w:val="00890B14"/>
    <w:rsid w:val="00890DC5"/>
    <w:rsid w:val="00892ECF"/>
    <w:rsid w:val="00892F06"/>
    <w:rsid w:val="00894285"/>
    <w:rsid w:val="008A02DD"/>
    <w:rsid w:val="008A40AE"/>
    <w:rsid w:val="008A4E19"/>
    <w:rsid w:val="008A67C5"/>
    <w:rsid w:val="008A77EF"/>
    <w:rsid w:val="008B22E1"/>
    <w:rsid w:val="008B3C78"/>
    <w:rsid w:val="008B4AE9"/>
    <w:rsid w:val="008C0EB4"/>
    <w:rsid w:val="008C13E4"/>
    <w:rsid w:val="008C1857"/>
    <w:rsid w:val="008C30AD"/>
    <w:rsid w:val="008D068E"/>
    <w:rsid w:val="008D078D"/>
    <w:rsid w:val="008D0F7A"/>
    <w:rsid w:val="008D63BE"/>
    <w:rsid w:val="008E0CFF"/>
    <w:rsid w:val="008E1EF0"/>
    <w:rsid w:val="008E3023"/>
    <w:rsid w:val="008E5D6B"/>
    <w:rsid w:val="008E689B"/>
    <w:rsid w:val="008E6FD6"/>
    <w:rsid w:val="008E76F0"/>
    <w:rsid w:val="008F1354"/>
    <w:rsid w:val="008F15FE"/>
    <w:rsid w:val="008F2A94"/>
    <w:rsid w:val="008F5187"/>
    <w:rsid w:val="008F709C"/>
    <w:rsid w:val="0090312B"/>
    <w:rsid w:val="00904587"/>
    <w:rsid w:val="00904961"/>
    <w:rsid w:val="0091353E"/>
    <w:rsid w:val="00913922"/>
    <w:rsid w:val="0091736D"/>
    <w:rsid w:val="00922CF9"/>
    <w:rsid w:val="00931001"/>
    <w:rsid w:val="00931863"/>
    <w:rsid w:val="00933524"/>
    <w:rsid w:val="0094278D"/>
    <w:rsid w:val="009444AB"/>
    <w:rsid w:val="0094790D"/>
    <w:rsid w:val="009519E6"/>
    <w:rsid w:val="0095308A"/>
    <w:rsid w:val="00955AEE"/>
    <w:rsid w:val="00956F14"/>
    <w:rsid w:val="009620FD"/>
    <w:rsid w:val="0096247A"/>
    <w:rsid w:val="009630B7"/>
    <w:rsid w:val="00964E01"/>
    <w:rsid w:val="00965F4B"/>
    <w:rsid w:val="00970F8A"/>
    <w:rsid w:val="00971FB5"/>
    <w:rsid w:val="00972D2A"/>
    <w:rsid w:val="00975CC5"/>
    <w:rsid w:val="00976328"/>
    <w:rsid w:val="00976777"/>
    <w:rsid w:val="00976B4E"/>
    <w:rsid w:val="00982AD1"/>
    <w:rsid w:val="00984458"/>
    <w:rsid w:val="00985283"/>
    <w:rsid w:val="00987322"/>
    <w:rsid w:val="00990408"/>
    <w:rsid w:val="00990769"/>
    <w:rsid w:val="009A0F3B"/>
    <w:rsid w:val="009A3425"/>
    <w:rsid w:val="009A3983"/>
    <w:rsid w:val="009A6135"/>
    <w:rsid w:val="009A72C7"/>
    <w:rsid w:val="009B0897"/>
    <w:rsid w:val="009B6673"/>
    <w:rsid w:val="009C147A"/>
    <w:rsid w:val="009C1BB7"/>
    <w:rsid w:val="009C7EC7"/>
    <w:rsid w:val="009D0852"/>
    <w:rsid w:val="009D1FBF"/>
    <w:rsid w:val="009E1FB8"/>
    <w:rsid w:val="009E399C"/>
    <w:rsid w:val="009E40F8"/>
    <w:rsid w:val="009E43C1"/>
    <w:rsid w:val="009E7E95"/>
    <w:rsid w:val="009F116F"/>
    <w:rsid w:val="009F329E"/>
    <w:rsid w:val="009F7ED3"/>
    <w:rsid w:val="00A02194"/>
    <w:rsid w:val="00A03607"/>
    <w:rsid w:val="00A047FF"/>
    <w:rsid w:val="00A04FEF"/>
    <w:rsid w:val="00A122CD"/>
    <w:rsid w:val="00A12A32"/>
    <w:rsid w:val="00A13F07"/>
    <w:rsid w:val="00A14248"/>
    <w:rsid w:val="00A14947"/>
    <w:rsid w:val="00A16C6E"/>
    <w:rsid w:val="00A23DC5"/>
    <w:rsid w:val="00A26228"/>
    <w:rsid w:val="00A33559"/>
    <w:rsid w:val="00A34028"/>
    <w:rsid w:val="00A35568"/>
    <w:rsid w:val="00A37056"/>
    <w:rsid w:val="00A42549"/>
    <w:rsid w:val="00A4358F"/>
    <w:rsid w:val="00A4428F"/>
    <w:rsid w:val="00A46F67"/>
    <w:rsid w:val="00A501C8"/>
    <w:rsid w:val="00A53A3B"/>
    <w:rsid w:val="00A546C7"/>
    <w:rsid w:val="00A54AA1"/>
    <w:rsid w:val="00A568FF"/>
    <w:rsid w:val="00A61496"/>
    <w:rsid w:val="00A61833"/>
    <w:rsid w:val="00A61FCC"/>
    <w:rsid w:val="00A624C6"/>
    <w:rsid w:val="00A63CEC"/>
    <w:rsid w:val="00A7031E"/>
    <w:rsid w:val="00A728B1"/>
    <w:rsid w:val="00A75A15"/>
    <w:rsid w:val="00A763DE"/>
    <w:rsid w:val="00A803D6"/>
    <w:rsid w:val="00A804FA"/>
    <w:rsid w:val="00A81282"/>
    <w:rsid w:val="00A8713F"/>
    <w:rsid w:val="00A87F90"/>
    <w:rsid w:val="00A91167"/>
    <w:rsid w:val="00A9171C"/>
    <w:rsid w:val="00A92FFD"/>
    <w:rsid w:val="00A95975"/>
    <w:rsid w:val="00A9708D"/>
    <w:rsid w:val="00AA0470"/>
    <w:rsid w:val="00AA1FB4"/>
    <w:rsid w:val="00AA2C17"/>
    <w:rsid w:val="00AA4172"/>
    <w:rsid w:val="00AB1914"/>
    <w:rsid w:val="00AB5330"/>
    <w:rsid w:val="00AB7747"/>
    <w:rsid w:val="00AC2532"/>
    <w:rsid w:val="00AC7288"/>
    <w:rsid w:val="00AD1507"/>
    <w:rsid w:val="00AD5A70"/>
    <w:rsid w:val="00AD738B"/>
    <w:rsid w:val="00AE13FA"/>
    <w:rsid w:val="00AE1BF4"/>
    <w:rsid w:val="00AE28AC"/>
    <w:rsid w:val="00AE4514"/>
    <w:rsid w:val="00AE5D97"/>
    <w:rsid w:val="00AE6794"/>
    <w:rsid w:val="00AF434A"/>
    <w:rsid w:val="00B01110"/>
    <w:rsid w:val="00B02262"/>
    <w:rsid w:val="00B03CEC"/>
    <w:rsid w:val="00B04898"/>
    <w:rsid w:val="00B1209F"/>
    <w:rsid w:val="00B12AD0"/>
    <w:rsid w:val="00B12DCE"/>
    <w:rsid w:val="00B207F2"/>
    <w:rsid w:val="00B24144"/>
    <w:rsid w:val="00B24F30"/>
    <w:rsid w:val="00B24FF1"/>
    <w:rsid w:val="00B30898"/>
    <w:rsid w:val="00B31ABF"/>
    <w:rsid w:val="00B335AE"/>
    <w:rsid w:val="00B37CE1"/>
    <w:rsid w:val="00B40ACF"/>
    <w:rsid w:val="00B46BAA"/>
    <w:rsid w:val="00B50B5F"/>
    <w:rsid w:val="00B54128"/>
    <w:rsid w:val="00B55826"/>
    <w:rsid w:val="00B55D06"/>
    <w:rsid w:val="00B60426"/>
    <w:rsid w:val="00B622DD"/>
    <w:rsid w:val="00B63522"/>
    <w:rsid w:val="00B64B19"/>
    <w:rsid w:val="00B738D3"/>
    <w:rsid w:val="00B76F1D"/>
    <w:rsid w:val="00B855F9"/>
    <w:rsid w:val="00B92A19"/>
    <w:rsid w:val="00B9544C"/>
    <w:rsid w:val="00B97D93"/>
    <w:rsid w:val="00BA1B32"/>
    <w:rsid w:val="00BA273A"/>
    <w:rsid w:val="00BA29E9"/>
    <w:rsid w:val="00BB3618"/>
    <w:rsid w:val="00BB4030"/>
    <w:rsid w:val="00BB582E"/>
    <w:rsid w:val="00BB7A04"/>
    <w:rsid w:val="00BC0C9E"/>
    <w:rsid w:val="00BC32DC"/>
    <w:rsid w:val="00BD1B51"/>
    <w:rsid w:val="00BD3F28"/>
    <w:rsid w:val="00BD47F6"/>
    <w:rsid w:val="00BE0522"/>
    <w:rsid w:val="00BE251A"/>
    <w:rsid w:val="00BE312D"/>
    <w:rsid w:val="00BE316B"/>
    <w:rsid w:val="00BE3FCA"/>
    <w:rsid w:val="00BF58BC"/>
    <w:rsid w:val="00C00F37"/>
    <w:rsid w:val="00C03ABE"/>
    <w:rsid w:val="00C05719"/>
    <w:rsid w:val="00C07C92"/>
    <w:rsid w:val="00C10578"/>
    <w:rsid w:val="00C12A80"/>
    <w:rsid w:val="00C1525A"/>
    <w:rsid w:val="00C17650"/>
    <w:rsid w:val="00C17D62"/>
    <w:rsid w:val="00C21B6B"/>
    <w:rsid w:val="00C21FDC"/>
    <w:rsid w:val="00C24EE7"/>
    <w:rsid w:val="00C2596A"/>
    <w:rsid w:val="00C271BE"/>
    <w:rsid w:val="00C27425"/>
    <w:rsid w:val="00C3203A"/>
    <w:rsid w:val="00C328FE"/>
    <w:rsid w:val="00C33A05"/>
    <w:rsid w:val="00C40E3A"/>
    <w:rsid w:val="00C42500"/>
    <w:rsid w:val="00C4409D"/>
    <w:rsid w:val="00C455BE"/>
    <w:rsid w:val="00C45E18"/>
    <w:rsid w:val="00C51E5F"/>
    <w:rsid w:val="00C61E4B"/>
    <w:rsid w:val="00C62E3A"/>
    <w:rsid w:val="00C64503"/>
    <w:rsid w:val="00C64A1F"/>
    <w:rsid w:val="00C64BFF"/>
    <w:rsid w:val="00C70CD4"/>
    <w:rsid w:val="00C72093"/>
    <w:rsid w:val="00C763C9"/>
    <w:rsid w:val="00C77401"/>
    <w:rsid w:val="00C80057"/>
    <w:rsid w:val="00C82C79"/>
    <w:rsid w:val="00C82E63"/>
    <w:rsid w:val="00C83C78"/>
    <w:rsid w:val="00C84753"/>
    <w:rsid w:val="00C91611"/>
    <w:rsid w:val="00C95152"/>
    <w:rsid w:val="00CA3585"/>
    <w:rsid w:val="00CA395E"/>
    <w:rsid w:val="00CA3D5A"/>
    <w:rsid w:val="00CA4C7C"/>
    <w:rsid w:val="00CA5419"/>
    <w:rsid w:val="00CB0183"/>
    <w:rsid w:val="00CB1EA3"/>
    <w:rsid w:val="00CB552C"/>
    <w:rsid w:val="00CB6A9E"/>
    <w:rsid w:val="00CB702A"/>
    <w:rsid w:val="00CC6181"/>
    <w:rsid w:val="00CD0410"/>
    <w:rsid w:val="00CD2BCD"/>
    <w:rsid w:val="00CD36AA"/>
    <w:rsid w:val="00CD3791"/>
    <w:rsid w:val="00CD41F6"/>
    <w:rsid w:val="00CD65B0"/>
    <w:rsid w:val="00CD6D2D"/>
    <w:rsid w:val="00CD7E7A"/>
    <w:rsid w:val="00CE02CD"/>
    <w:rsid w:val="00CE10E9"/>
    <w:rsid w:val="00CE1B5D"/>
    <w:rsid w:val="00CE2184"/>
    <w:rsid w:val="00CE3624"/>
    <w:rsid w:val="00CF0C28"/>
    <w:rsid w:val="00CF3C76"/>
    <w:rsid w:val="00CF7D60"/>
    <w:rsid w:val="00D0072E"/>
    <w:rsid w:val="00D03158"/>
    <w:rsid w:val="00D15727"/>
    <w:rsid w:val="00D16332"/>
    <w:rsid w:val="00D22B10"/>
    <w:rsid w:val="00D24972"/>
    <w:rsid w:val="00D2515E"/>
    <w:rsid w:val="00D308ED"/>
    <w:rsid w:val="00D36F7D"/>
    <w:rsid w:val="00D3724B"/>
    <w:rsid w:val="00D5102D"/>
    <w:rsid w:val="00D556A1"/>
    <w:rsid w:val="00D56178"/>
    <w:rsid w:val="00D56CF0"/>
    <w:rsid w:val="00D56F5C"/>
    <w:rsid w:val="00D62338"/>
    <w:rsid w:val="00D63979"/>
    <w:rsid w:val="00D704B1"/>
    <w:rsid w:val="00D70B63"/>
    <w:rsid w:val="00D72B92"/>
    <w:rsid w:val="00D72ED4"/>
    <w:rsid w:val="00D73C6B"/>
    <w:rsid w:val="00D73F61"/>
    <w:rsid w:val="00D754C0"/>
    <w:rsid w:val="00D76981"/>
    <w:rsid w:val="00D776A2"/>
    <w:rsid w:val="00D801C4"/>
    <w:rsid w:val="00D90836"/>
    <w:rsid w:val="00D95896"/>
    <w:rsid w:val="00D95CC6"/>
    <w:rsid w:val="00D96185"/>
    <w:rsid w:val="00DA2DA3"/>
    <w:rsid w:val="00DA3C9E"/>
    <w:rsid w:val="00DA6030"/>
    <w:rsid w:val="00DA6615"/>
    <w:rsid w:val="00DA6F0C"/>
    <w:rsid w:val="00DA76AE"/>
    <w:rsid w:val="00DB03FB"/>
    <w:rsid w:val="00DB0DBC"/>
    <w:rsid w:val="00DB181E"/>
    <w:rsid w:val="00DB1C7A"/>
    <w:rsid w:val="00DB2983"/>
    <w:rsid w:val="00DB343D"/>
    <w:rsid w:val="00DB5579"/>
    <w:rsid w:val="00DB5CFE"/>
    <w:rsid w:val="00DC0106"/>
    <w:rsid w:val="00DC0BE3"/>
    <w:rsid w:val="00DC72A6"/>
    <w:rsid w:val="00DD0AA7"/>
    <w:rsid w:val="00DD2113"/>
    <w:rsid w:val="00DD265E"/>
    <w:rsid w:val="00DE4F11"/>
    <w:rsid w:val="00DE74D4"/>
    <w:rsid w:val="00DF1930"/>
    <w:rsid w:val="00DF19B1"/>
    <w:rsid w:val="00DF514A"/>
    <w:rsid w:val="00DF7C27"/>
    <w:rsid w:val="00E0358D"/>
    <w:rsid w:val="00E06327"/>
    <w:rsid w:val="00E2064B"/>
    <w:rsid w:val="00E25239"/>
    <w:rsid w:val="00E265B1"/>
    <w:rsid w:val="00E275B0"/>
    <w:rsid w:val="00E33AAA"/>
    <w:rsid w:val="00E36A6D"/>
    <w:rsid w:val="00E412D0"/>
    <w:rsid w:val="00E416BB"/>
    <w:rsid w:val="00E47CDB"/>
    <w:rsid w:val="00E566BC"/>
    <w:rsid w:val="00E60982"/>
    <w:rsid w:val="00E60C8D"/>
    <w:rsid w:val="00E6162F"/>
    <w:rsid w:val="00E6311B"/>
    <w:rsid w:val="00E65D97"/>
    <w:rsid w:val="00E67EFD"/>
    <w:rsid w:val="00E702DC"/>
    <w:rsid w:val="00E71FFB"/>
    <w:rsid w:val="00E74F97"/>
    <w:rsid w:val="00E76D1D"/>
    <w:rsid w:val="00E77A43"/>
    <w:rsid w:val="00E806F8"/>
    <w:rsid w:val="00E8089A"/>
    <w:rsid w:val="00E87752"/>
    <w:rsid w:val="00E8793B"/>
    <w:rsid w:val="00E905C2"/>
    <w:rsid w:val="00E90F81"/>
    <w:rsid w:val="00E91A6D"/>
    <w:rsid w:val="00E923EF"/>
    <w:rsid w:val="00E9242D"/>
    <w:rsid w:val="00E92513"/>
    <w:rsid w:val="00E929CE"/>
    <w:rsid w:val="00EA0430"/>
    <w:rsid w:val="00EA47C3"/>
    <w:rsid w:val="00EA6F05"/>
    <w:rsid w:val="00EB041C"/>
    <w:rsid w:val="00EB7F1A"/>
    <w:rsid w:val="00EC5874"/>
    <w:rsid w:val="00ED10D8"/>
    <w:rsid w:val="00ED192D"/>
    <w:rsid w:val="00ED30B4"/>
    <w:rsid w:val="00ED31F5"/>
    <w:rsid w:val="00ED6A8D"/>
    <w:rsid w:val="00EE0C77"/>
    <w:rsid w:val="00EE3471"/>
    <w:rsid w:val="00EE3B12"/>
    <w:rsid w:val="00EF2759"/>
    <w:rsid w:val="00EF458F"/>
    <w:rsid w:val="00EF45EB"/>
    <w:rsid w:val="00EF5099"/>
    <w:rsid w:val="00EF5E33"/>
    <w:rsid w:val="00F00075"/>
    <w:rsid w:val="00F07822"/>
    <w:rsid w:val="00F0790E"/>
    <w:rsid w:val="00F15C95"/>
    <w:rsid w:val="00F176B0"/>
    <w:rsid w:val="00F22985"/>
    <w:rsid w:val="00F241AB"/>
    <w:rsid w:val="00F2654C"/>
    <w:rsid w:val="00F31382"/>
    <w:rsid w:val="00F31627"/>
    <w:rsid w:val="00F31D7C"/>
    <w:rsid w:val="00F35829"/>
    <w:rsid w:val="00F42868"/>
    <w:rsid w:val="00F465A7"/>
    <w:rsid w:val="00F50B7C"/>
    <w:rsid w:val="00F5202D"/>
    <w:rsid w:val="00F52CF6"/>
    <w:rsid w:val="00F54496"/>
    <w:rsid w:val="00F61097"/>
    <w:rsid w:val="00F61486"/>
    <w:rsid w:val="00F629DD"/>
    <w:rsid w:val="00F64CF7"/>
    <w:rsid w:val="00F74345"/>
    <w:rsid w:val="00F74441"/>
    <w:rsid w:val="00F77F30"/>
    <w:rsid w:val="00F82589"/>
    <w:rsid w:val="00F82B19"/>
    <w:rsid w:val="00F90AA7"/>
    <w:rsid w:val="00F9212D"/>
    <w:rsid w:val="00FA2C0F"/>
    <w:rsid w:val="00FA301A"/>
    <w:rsid w:val="00FA406A"/>
    <w:rsid w:val="00FA58E1"/>
    <w:rsid w:val="00FA5CB6"/>
    <w:rsid w:val="00FA758D"/>
    <w:rsid w:val="00FB5C2D"/>
    <w:rsid w:val="00FC0EA6"/>
    <w:rsid w:val="00FC1C47"/>
    <w:rsid w:val="00FC58B9"/>
    <w:rsid w:val="00FC66AC"/>
    <w:rsid w:val="00FD09AE"/>
    <w:rsid w:val="00FD18F4"/>
    <w:rsid w:val="00FD74B4"/>
    <w:rsid w:val="00FE1F13"/>
    <w:rsid w:val="00FE2C0C"/>
    <w:rsid w:val="00FE3321"/>
    <w:rsid w:val="00FE5D5B"/>
    <w:rsid w:val="00FE5DCA"/>
    <w:rsid w:val="00FF6FCE"/>
    <w:rsid w:val="00FF7518"/>
    <w:rsid w:val="00FF7FD8"/>
    <w:rsid w:val="03C119F4"/>
    <w:rsid w:val="05742AC8"/>
    <w:rsid w:val="06352F05"/>
    <w:rsid w:val="063E7D85"/>
    <w:rsid w:val="070875E0"/>
    <w:rsid w:val="07293586"/>
    <w:rsid w:val="07295285"/>
    <w:rsid w:val="07770C56"/>
    <w:rsid w:val="08161374"/>
    <w:rsid w:val="092217DD"/>
    <w:rsid w:val="093A7294"/>
    <w:rsid w:val="0A101191"/>
    <w:rsid w:val="0A25230F"/>
    <w:rsid w:val="0BD27BF6"/>
    <w:rsid w:val="0E110D06"/>
    <w:rsid w:val="0F13775A"/>
    <w:rsid w:val="0F9A112B"/>
    <w:rsid w:val="106D2F64"/>
    <w:rsid w:val="10B63710"/>
    <w:rsid w:val="111C2F7A"/>
    <w:rsid w:val="113013DE"/>
    <w:rsid w:val="122B06C2"/>
    <w:rsid w:val="13951726"/>
    <w:rsid w:val="14396509"/>
    <w:rsid w:val="1447165C"/>
    <w:rsid w:val="149A4CFA"/>
    <w:rsid w:val="17735226"/>
    <w:rsid w:val="1A1C66C0"/>
    <w:rsid w:val="1A42393B"/>
    <w:rsid w:val="1B046F80"/>
    <w:rsid w:val="1B3267B5"/>
    <w:rsid w:val="1B5F4E0C"/>
    <w:rsid w:val="1BC25DC8"/>
    <w:rsid w:val="1C5E7925"/>
    <w:rsid w:val="1C887FC8"/>
    <w:rsid w:val="1D5F6196"/>
    <w:rsid w:val="1D6132A5"/>
    <w:rsid w:val="1D8E56D5"/>
    <w:rsid w:val="1E7A43DA"/>
    <w:rsid w:val="1EB277FE"/>
    <w:rsid w:val="1FE7539E"/>
    <w:rsid w:val="20963CB8"/>
    <w:rsid w:val="20B07FB6"/>
    <w:rsid w:val="213B74B1"/>
    <w:rsid w:val="215A2310"/>
    <w:rsid w:val="21DE318A"/>
    <w:rsid w:val="21EF5B80"/>
    <w:rsid w:val="22576990"/>
    <w:rsid w:val="229C4EAB"/>
    <w:rsid w:val="252D53FE"/>
    <w:rsid w:val="25EC2D81"/>
    <w:rsid w:val="264528BD"/>
    <w:rsid w:val="27D15DD1"/>
    <w:rsid w:val="28A76295"/>
    <w:rsid w:val="29206EB8"/>
    <w:rsid w:val="29E325E0"/>
    <w:rsid w:val="2A452503"/>
    <w:rsid w:val="2BA936A8"/>
    <w:rsid w:val="2C315A5A"/>
    <w:rsid w:val="2CA71809"/>
    <w:rsid w:val="2D9E56F5"/>
    <w:rsid w:val="2E667F96"/>
    <w:rsid w:val="2E8226AB"/>
    <w:rsid w:val="2F832C79"/>
    <w:rsid w:val="2FEF2D58"/>
    <w:rsid w:val="30580BC9"/>
    <w:rsid w:val="311E2ED7"/>
    <w:rsid w:val="315C449C"/>
    <w:rsid w:val="31B82709"/>
    <w:rsid w:val="321E04BF"/>
    <w:rsid w:val="32400B34"/>
    <w:rsid w:val="329E6876"/>
    <w:rsid w:val="33D934D4"/>
    <w:rsid w:val="33FE2F6A"/>
    <w:rsid w:val="343D3F7F"/>
    <w:rsid w:val="36074A7F"/>
    <w:rsid w:val="36923549"/>
    <w:rsid w:val="36B75FBF"/>
    <w:rsid w:val="36FB4891"/>
    <w:rsid w:val="38F12CD3"/>
    <w:rsid w:val="38F94775"/>
    <w:rsid w:val="392971ED"/>
    <w:rsid w:val="3B3763D1"/>
    <w:rsid w:val="3CDA245A"/>
    <w:rsid w:val="3CEE0A37"/>
    <w:rsid w:val="3F660E74"/>
    <w:rsid w:val="404C242B"/>
    <w:rsid w:val="407A6407"/>
    <w:rsid w:val="40F14449"/>
    <w:rsid w:val="420727B7"/>
    <w:rsid w:val="423A3BCC"/>
    <w:rsid w:val="433A6FE6"/>
    <w:rsid w:val="4350713C"/>
    <w:rsid w:val="436653E0"/>
    <w:rsid w:val="44CD14E0"/>
    <w:rsid w:val="458946E9"/>
    <w:rsid w:val="46D955A7"/>
    <w:rsid w:val="47133957"/>
    <w:rsid w:val="4779329E"/>
    <w:rsid w:val="47A07E0C"/>
    <w:rsid w:val="4870272E"/>
    <w:rsid w:val="49DC7715"/>
    <w:rsid w:val="4A023139"/>
    <w:rsid w:val="4A7B576F"/>
    <w:rsid w:val="4C4A0649"/>
    <w:rsid w:val="4CE470D3"/>
    <w:rsid w:val="4DEC4FB0"/>
    <w:rsid w:val="4E075D8A"/>
    <w:rsid w:val="4FBC121A"/>
    <w:rsid w:val="4FC62A8C"/>
    <w:rsid w:val="4FE20F0D"/>
    <w:rsid w:val="50504C4B"/>
    <w:rsid w:val="509C6E7C"/>
    <w:rsid w:val="5162104E"/>
    <w:rsid w:val="53A039CC"/>
    <w:rsid w:val="53A1505A"/>
    <w:rsid w:val="54063E08"/>
    <w:rsid w:val="543437E8"/>
    <w:rsid w:val="559B174B"/>
    <w:rsid w:val="55CE0CF4"/>
    <w:rsid w:val="56B22A9C"/>
    <w:rsid w:val="57092D47"/>
    <w:rsid w:val="57B72A76"/>
    <w:rsid w:val="5A3C747D"/>
    <w:rsid w:val="5ABE2233"/>
    <w:rsid w:val="5B276D18"/>
    <w:rsid w:val="5BDF5D95"/>
    <w:rsid w:val="5DF87A0F"/>
    <w:rsid w:val="5F1A2B43"/>
    <w:rsid w:val="5FB837BB"/>
    <w:rsid w:val="5FE80A50"/>
    <w:rsid w:val="600A4D82"/>
    <w:rsid w:val="62364782"/>
    <w:rsid w:val="63D40BE9"/>
    <w:rsid w:val="63E0211F"/>
    <w:rsid w:val="65373578"/>
    <w:rsid w:val="666833D5"/>
    <w:rsid w:val="673F2C7A"/>
    <w:rsid w:val="681F6961"/>
    <w:rsid w:val="68610A2F"/>
    <w:rsid w:val="68805514"/>
    <w:rsid w:val="694E2071"/>
    <w:rsid w:val="697A3B33"/>
    <w:rsid w:val="699E2456"/>
    <w:rsid w:val="6B322639"/>
    <w:rsid w:val="6C636C38"/>
    <w:rsid w:val="6DB34098"/>
    <w:rsid w:val="6DB545B6"/>
    <w:rsid w:val="6E4375A0"/>
    <w:rsid w:val="6E514CED"/>
    <w:rsid w:val="6E79491A"/>
    <w:rsid w:val="6EB563D5"/>
    <w:rsid w:val="6F225983"/>
    <w:rsid w:val="6FFC5590"/>
    <w:rsid w:val="70301DA3"/>
    <w:rsid w:val="706D1DD0"/>
    <w:rsid w:val="70856B87"/>
    <w:rsid w:val="70D527EE"/>
    <w:rsid w:val="713F387A"/>
    <w:rsid w:val="715B5300"/>
    <w:rsid w:val="715F4BD7"/>
    <w:rsid w:val="71D27F8A"/>
    <w:rsid w:val="71F744C6"/>
    <w:rsid w:val="71F960CF"/>
    <w:rsid w:val="731F5D5E"/>
    <w:rsid w:val="741E793C"/>
    <w:rsid w:val="758D75E2"/>
    <w:rsid w:val="77762421"/>
    <w:rsid w:val="780F09F4"/>
    <w:rsid w:val="789C4F47"/>
    <w:rsid w:val="78A90480"/>
    <w:rsid w:val="79811327"/>
    <w:rsid w:val="7A364017"/>
    <w:rsid w:val="7A8265E1"/>
    <w:rsid w:val="7B686D42"/>
    <w:rsid w:val="7B841746"/>
    <w:rsid w:val="7D0239FF"/>
    <w:rsid w:val="7D5E40CD"/>
    <w:rsid w:val="7D693BED"/>
    <w:rsid w:val="7F020AC4"/>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ocked="1"/>
    <w:lsdException w:qFormat="1" w:uiPriority="0" w:name="heading 3" w:locked="1"/>
    <w:lsdException w:qFormat="1" w:unhideWhenUsed="0" w:uiPriority="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ocked="1"/>
    <w:lsdException w:qFormat="1"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3"/>
    <w:basedOn w:val="1"/>
    <w:next w:val="1"/>
    <w:link w:val="47"/>
    <w:semiHidden/>
    <w:unhideWhenUsed/>
    <w:qFormat/>
    <w:locked/>
    <w:uiPriority w:val="0"/>
    <w:pPr>
      <w:keepNext/>
      <w:keepLines/>
      <w:spacing w:before="260" w:after="260" w:line="416" w:lineRule="auto"/>
      <w:outlineLvl w:val="2"/>
    </w:pPr>
    <w:rPr>
      <w:b/>
      <w:bCs/>
      <w:sz w:val="32"/>
      <w:szCs w:val="32"/>
    </w:rPr>
  </w:style>
  <w:style w:type="paragraph" w:styleId="4">
    <w:name w:val="heading 4"/>
    <w:basedOn w:val="1"/>
    <w:next w:val="1"/>
    <w:link w:val="82"/>
    <w:qFormat/>
    <w:locked/>
    <w:uiPriority w:val="9"/>
    <w:pPr>
      <w:keepNext/>
      <w:keepLines/>
      <w:spacing w:before="280" w:after="290" w:line="376" w:lineRule="auto"/>
      <w:outlineLvl w:val="3"/>
    </w:pPr>
    <w:rPr>
      <w:rFonts w:ascii="Cambria" w:hAnsi="Cambria"/>
      <w:b/>
      <w:bCs/>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59"/>
    <w:qFormat/>
    <w:uiPriority w:val="0"/>
    <w:pPr>
      <w:ind w:firstLine="420" w:firstLineChars="200"/>
    </w:pPr>
    <w:rPr>
      <w:rFonts w:ascii="宋体"/>
      <w:kern w:val="0"/>
      <w:sz w:val="20"/>
      <w:szCs w:val="20"/>
    </w:rPr>
  </w:style>
  <w:style w:type="paragraph" w:styleId="6">
    <w:name w:val="annotation text"/>
    <w:basedOn w:val="1"/>
    <w:link w:val="40"/>
    <w:semiHidden/>
    <w:qFormat/>
    <w:uiPriority w:val="0"/>
    <w:pPr>
      <w:jc w:val="left"/>
    </w:pPr>
    <w:rPr>
      <w:kern w:val="0"/>
      <w:sz w:val="20"/>
    </w:rPr>
  </w:style>
  <w:style w:type="paragraph" w:styleId="7">
    <w:name w:val="Body Text"/>
    <w:basedOn w:val="1"/>
    <w:link w:val="31"/>
    <w:qFormat/>
    <w:uiPriority w:val="0"/>
    <w:pPr>
      <w:widowControl/>
      <w:snapToGrid w:val="0"/>
      <w:spacing w:before="60" w:after="160" w:line="259" w:lineRule="auto"/>
      <w:ind w:right="113"/>
    </w:pPr>
    <w:rPr>
      <w:kern w:val="0"/>
      <w:sz w:val="18"/>
      <w:szCs w:val="18"/>
    </w:rPr>
  </w:style>
  <w:style w:type="paragraph" w:styleId="8">
    <w:name w:val="Body Text Indent"/>
    <w:basedOn w:val="1"/>
    <w:next w:val="6"/>
    <w:link w:val="42"/>
    <w:semiHidden/>
    <w:qFormat/>
    <w:uiPriority w:val="0"/>
    <w:pPr>
      <w:spacing w:after="120"/>
      <w:ind w:left="420" w:leftChars="200"/>
    </w:pPr>
  </w:style>
  <w:style w:type="paragraph" w:styleId="9">
    <w:name w:val="Plain Text"/>
    <w:basedOn w:val="1"/>
    <w:link w:val="60"/>
    <w:qFormat/>
    <w:uiPriority w:val="0"/>
    <w:rPr>
      <w:rFonts w:ascii="宋体" w:hAnsi="Courier New"/>
      <w:kern w:val="0"/>
      <w:szCs w:val="21"/>
    </w:rPr>
  </w:style>
  <w:style w:type="paragraph" w:styleId="10">
    <w:name w:val="Date"/>
    <w:basedOn w:val="1"/>
    <w:next w:val="1"/>
    <w:link w:val="33"/>
    <w:qFormat/>
    <w:uiPriority w:val="0"/>
    <w:pPr>
      <w:ind w:left="100" w:leftChars="2500"/>
    </w:pPr>
    <w:rPr>
      <w:kern w:val="0"/>
      <w:sz w:val="20"/>
    </w:rPr>
  </w:style>
  <w:style w:type="paragraph" w:styleId="11">
    <w:name w:val="Body Text Indent 2"/>
    <w:basedOn w:val="1"/>
    <w:link w:val="85"/>
    <w:qFormat/>
    <w:uiPriority w:val="0"/>
    <w:pPr>
      <w:spacing w:after="120" w:line="480" w:lineRule="auto"/>
      <w:ind w:left="420" w:leftChars="200"/>
    </w:pPr>
  </w:style>
  <w:style w:type="paragraph" w:styleId="12">
    <w:name w:val="Balloon Text"/>
    <w:basedOn w:val="1"/>
    <w:link w:val="39"/>
    <w:semiHidden/>
    <w:qFormat/>
    <w:uiPriority w:val="0"/>
    <w:rPr>
      <w:sz w:val="18"/>
      <w:szCs w:val="18"/>
    </w:rPr>
  </w:style>
  <w:style w:type="paragraph" w:styleId="13">
    <w:name w:val="footer"/>
    <w:basedOn w:val="1"/>
    <w:link w:val="30"/>
    <w:qFormat/>
    <w:uiPriority w:val="99"/>
    <w:pPr>
      <w:tabs>
        <w:tab w:val="center" w:pos="4153"/>
        <w:tab w:val="right" w:pos="8306"/>
      </w:tabs>
      <w:snapToGrid w:val="0"/>
      <w:jc w:val="left"/>
    </w:pPr>
    <w:rPr>
      <w:sz w:val="18"/>
      <w:szCs w:val="18"/>
    </w:rPr>
  </w:style>
  <w:style w:type="paragraph" w:styleId="14">
    <w:name w:val="header"/>
    <w:basedOn w:val="1"/>
    <w:link w:val="29"/>
    <w:qFormat/>
    <w:uiPriority w:val="0"/>
    <w:pPr>
      <w:pBdr>
        <w:bottom w:val="single" w:color="auto" w:sz="6" w:space="1"/>
      </w:pBdr>
      <w:tabs>
        <w:tab w:val="center" w:pos="4153"/>
        <w:tab w:val="right" w:pos="8306"/>
      </w:tabs>
      <w:snapToGrid w:val="0"/>
      <w:jc w:val="center"/>
    </w:pPr>
    <w:rPr>
      <w:sz w:val="18"/>
      <w:szCs w:val="18"/>
    </w:rPr>
  </w:style>
  <w:style w:type="paragraph" w:styleId="15">
    <w:name w:val="table of figures"/>
    <w:basedOn w:val="1"/>
    <w:next w:val="1"/>
    <w:unhideWhenUsed/>
    <w:qFormat/>
    <w:uiPriority w:val="99"/>
    <w:pPr>
      <w:ind w:left="200" w:leftChars="200" w:hanging="200" w:hangingChars="200"/>
    </w:pPr>
  </w:style>
  <w:style w:type="paragraph" w:styleId="16">
    <w:name w:val="toc 2"/>
    <w:basedOn w:val="1"/>
    <w:next w:val="1"/>
    <w:autoRedefine/>
    <w:qFormat/>
    <w:locked/>
    <w:uiPriority w:val="0"/>
    <w:pPr>
      <w:ind w:left="420" w:leftChars="200"/>
    </w:pPr>
  </w:style>
  <w:style w:type="paragraph" w:styleId="17">
    <w:name w:val="Body Text 2"/>
    <w:basedOn w:val="1"/>
    <w:link w:val="69"/>
    <w:qFormat/>
    <w:uiPriority w:val="0"/>
    <w:pPr>
      <w:spacing w:after="120" w:line="480" w:lineRule="auto"/>
    </w:pPr>
  </w:style>
  <w:style w:type="paragraph" w:styleId="18">
    <w:name w:val="Normal (Web)"/>
    <w:basedOn w:val="1"/>
    <w:link w:val="32"/>
    <w:qFormat/>
    <w:uiPriority w:val="99"/>
    <w:pPr>
      <w:widowControl/>
      <w:spacing w:before="100" w:beforeAutospacing="1" w:after="100" w:afterAutospacing="1"/>
      <w:jc w:val="left"/>
    </w:pPr>
    <w:rPr>
      <w:rFonts w:ascii="宋体" w:hAnsi="宋体"/>
      <w:kern w:val="0"/>
      <w:sz w:val="24"/>
    </w:rPr>
  </w:style>
  <w:style w:type="paragraph" w:styleId="19">
    <w:name w:val="Title"/>
    <w:basedOn w:val="1"/>
    <w:next w:val="1"/>
    <w:link w:val="72"/>
    <w:qFormat/>
    <w:locked/>
    <w:uiPriority w:val="0"/>
    <w:pPr>
      <w:spacing w:before="240" w:after="60"/>
      <w:jc w:val="center"/>
      <w:outlineLvl w:val="0"/>
    </w:pPr>
    <w:rPr>
      <w:rFonts w:ascii="等线 Light" w:hAnsi="等线 Light"/>
      <w:b/>
      <w:bCs/>
      <w:sz w:val="32"/>
      <w:szCs w:val="32"/>
    </w:rPr>
  </w:style>
  <w:style w:type="paragraph" w:styleId="20">
    <w:name w:val="annotation subject"/>
    <w:basedOn w:val="6"/>
    <w:next w:val="6"/>
    <w:link w:val="43"/>
    <w:semiHidden/>
    <w:qFormat/>
    <w:uiPriority w:val="0"/>
    <w:rPr>
      <w:b/>
      <w:bCs/>
    </w:rPr>
  </w:style>
  <w:style w:type="paragraph" w:styleId="21">
    <w:name w:val="Body Text First Indent"/>
    <w:basedOn w:val="7"/>
    <w:link w:val="95"/>
    <w:qFormat/>
    <w:uiPriority w:val="0"/>
    <w:pPr>
      <w:widowControl w:val="0"/>
      <w:snapToGrid/>
      <w:spacing w:before="0" w:after="120" w:line="240" w:lineRule="auto"/>
      <w:ind w:right="0" w:firstLine="420" w:firstLineChars="100"/>
    </w:pPr>
    <w:rPr>
      <w:kern w:val="2"/>
      <w:sz w:val="21"/>
      <w:szCs w:val="24"/>
    </w:rPr>
  </w:style>
  <w:style w:type="paragraph" w:styleId="22">
    <w:name w:val="Body Text First Indent 2"/>
    <w:basedOn w:val="8"/>
    <w:next w:val="8"/>
    <w:qFormat/>
    <w:uiPriority w:val="0"/>
    <w:pPr>
      <w:spacing w:before="0" w:beforeLines="0" w:after="120" w:line="240" w:lineRule="auto"/>
      <w:ind w:left="420" w:leftChars="200" w:firstLine="210" w:firstLineChars="200"/>
    </w:pPr>
    <w:rPr>
      <w:sz w:val="21"/>
      <w:szCs w:val="24"/>
    </w:rPr>
  </w:style>
  <w:style w:type="table" w:styleId="24">
    <w:name w:val="Table Grid"/>
    <w:basedOn w:val="2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locked/>
    <w:uiPriority w:val="0"/>
    <w:rPr>
      <w:b/>
      <w:bCs/>
    </w:rPr>
  </w:style>
  <w:style w:type="character" w:styleId="27">
    <w:name w:val="page number"/>
    <w:basedOn w:val="25"/>
    <w:qFormat/>
    <w:uiPriority w:val="0"/>
  </w:style>
  <w:style w:type="character" w:styleId="28">
    <w:name w:val="annotation reference"/>
    <w:qFormat/>
    <w:uiPriority w:val="0"/>
    <w:rPr>
      <w:sz w:val="21"/>
    </w:rPr>
  </w:style>
  <w:style w:type="character" w:customStyle="1" w:styleId="29">
    <w:name w:val="页眉 字符"/>
    <w:link w:val="14"/>
    <w:qFormat/>
    <w:locked/>
    <w:uiPriority w:val="0"/>
    <w:rPr>
      <w:rFonts w:cs="Times New Roman"/>
      <w:sz w:val="18"/>
      <w:szCs w:val="18"/>
    </w:rPr>
  </w:style>
  <w:style w:type="character" w:customStyle="1" w:styleId="30">
    <w:name w:val="页脚 字符"/>
    <w:link w:val="13"/>
    <w:qFormat/>
    <w:locked/>
    <w:uiPriority w:val="99"/>
    <w:rPr>
      <w:rFonts w:cs="Times New Roman"/>
      <w:sz w:val="18"/>
      <w:szCs w:val="18"/>
    </w:rPr>
  </w:style>
  <w:style w:type="character" w:customStyle="1" w:styleId="31">
    <w:name w:val="正文文本 字符"/>
    <w:link w:val="7"/>
    <w:qFormat/>
    <w:locked/>
    <w:uiPriority w:val="0"/>
    <w:rPr>
      <w:sz w:val="18"/>
    </w:rPr>
  </w:style>
  <w:style w:type="character" w:customStyle="1" w:styleId="32">
    <w:name w:val="普通(网站) 字符"/>
    <w:link w:val="18"/>
    <w:qFormat/>
    <w:locked/>
    <w:uiPriority w:val="0"/>
    <w:rPr>
      <w:rFonts w:ascii="宋体" w:hAnsi="宋体" w:eastAsia="宋体"/>
      <w:sz w:val="24"/>
    </w:rPr>
  </w:style>
  <w:style w:type="character" w:customStyle="1" w:styleId="33">
    <w:name w:val="日期 字符1"/>
    <w:link w:val="10"/>
    <w:qFormat/>
    <w:locked/>
    <w:uiPriority w:val="0"/>
    <w:rPr>
      <w:rFonts w:ascii="Times New Roman" w:hAnsi="Times New Roman" w:eastAsia="宋体"/>
      <w:sz w:val="24"/>
    </w:rPr>
  </w:style>
  <w:style w:type="character" w:customStyle="1" w:styleId="34">
    <w:name w:val="日期 字符"/>
    <w:semiHidden/>
    <w:qFormat/>
    <w:uiPriority w:val="0"/>
    <w:rPr>
      <w:rFonts w:ascii="Times New Roman" w:hAnsi="Times New Roman" w:eastAsia="宋体" w:cs="Times New Roman"/>
      <w:sz w:val="24"/>
      <w:szCs w:val="24"/>
    </w:rPr>
  </w:style>
  <w:style w:type="character" w:customStyle="1" w:styleId="35">
    <w:name w:val="正文文本 字符1"/>
    <w:qFormat/>
    <w:uiPriority w:val="99"/>
    <w:rPr>
      <w:rFonts w:ascii="Times New Roman" w:hAnsi="Times New Roman" w:eastAsia="宋体" w:cs="Times New Roman"/>
      <w:sz w:val="24"/>
      <w:szCs w:val="24"/>
    </w:rPr>
  </w:style>
  <w:style w:type="paragraph" w:customStyle="1" w:styleId="36">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37">
    <w:name w:val="表格 Char"/>
    <w:link w:val="38"/>
    <w:qFormat/>
    <w:locked/>
    <w:uiPriority w:val="0"/>
    <w:rPr>
      <w:rFonts w:ascii="宋体"/>
      <w:sz w:val="21"/>
    </w:rPr>
  </w:style>
  <w:style w:type="paragraph" w:customStyle="1" w:styleId="38">
    <w:name w:val="表格"/>
    <w:basedOn w:val="1"/>
    <w:next w:val="1"/>
    <w:link w:val="37"/>
    <w:qFormat/>
    <w:uiPriority w:val="0"/>
    <w:pPr>
      <w:adjustRightInd w:val="0"/>
      <w:snapToGrid w:val="0"/>
      <w:spacing w:beforeLines="10" w:afterLines="10" w:line="259" w:lineRule="auto"/>
      <w:jc w:val="center"/>
    </w:pPr>
    <w:rPr>
      <w:rFonts w:ascii="宋体"/>
      <w:kern w:val="0"/>
      <w:sz w:val="20"/>
      <w:szCs w:val="21"/>
    </w:rPr>
  </w:style>
  <w:style w:type="character" w:customStyle="1" w:styleId="39">
    <w:name w:val="批注框文本 字符"/>
    <w:link w:val="12"/>
    <w:semiHidden/>
    <w:qFormat/>
    <w:locked/>
    <w:uiPriority w:val="0"/>
    <w:rPr>
      <w:rFonts w:ascii="Times New Roman" w:hAnsi="Times New Roman" w:eastAsia="宋体" w:cs="Times New Roman"/>
      <w:sz w:val="18"/>
      <w:szCs w:val="18"/>
    </w:rPr>
  </w:style>
  <w:style w:type="character" w:customStyle="1" w:styleId="40">
    <w:name w:val="批注文字 字符"/>
    <w:link w:val="6"/>
    <w:qFormat/>
    <w:locked/>
    <w:uiPriority w:val="0"/>
    <w:rPr>
      <w:rFonts w:ascii="Times New Roman" w:hAnsi="Times New Roman" w:eastAsia="宋体"/>
      <w:sz w:val="24"/>
    </w:rPr>
  </w:style>
  <w:style w:type="character" w:customStyle="1" w:styleId="41">
    <w:name w:val="批注文字 字符1"/>
    <w:semiHidden/>
    <w:qFormat/>
    <w:uiPriority w:val="0"/>
    <w:rPr>
      <w:rFonts w:ascii="Times New Roman" w:hAnsi="Times New Roman" w:eastAsia="宋体" w:cs="Times New Roman"/>
      <w:sz w:val="24"/>
      <w:szCs w:val="24"/>
    </w:rPr>
  </w:style>
  <w:style w:type="character" w:customStyle="1" w:styleId="42">
    <w:name w:val="正文文本缩进 字符"/>
    <w:link w:val="8"/>
    <w:semiHidden/>
    <w:qFormat/>
    <w:locked/>
    <w:uiPriority w:val="0"/>
    <w:rPr>
      <w:rFonts w:ascii="Times New Roman" w:hAnsi="Times New Roman" w:eastAsia="宋体" w:cs="Times New Roman"/>
      <w:sz w:val="24"/>
      <w:szCs w:val="24"/>
    </w:rPr>
  </w:style>
  <w:style w:type="character" w:customStyle="1" w:styleId="43">
    <w:name w:val="批注主题 字符"/>
    <w:link w:val="20"/>
    <w:semiHidden/>
    <w:qFormat/>
    <w:locked/>
    <w:uiPriority w:val="0"/>
    <w:rPr>
      <w:rFonts w:ascii="Times New Roman" w:hAnsi="Times New Roman" w:eastAsia="宋体" w:cs="Times New Roman"/>
      <w:b/>
      <w:bCs/>
      <w:kern w:val="2"/>
      <w:sz w:val="24"/>
      <w:szCs w:val="24"/>
    </w:rPr>
  </w:style>
  <w:style w:type="character" w:customStyle="1" w:styleId="44">
    <w:name w:val="普通(网站) Char"/>
    <w:qFormat/>
    <w:locked/>
    <w:uiPriority w:val="0"/>
    <w:rPr>
      <w:rFonts w:ascii="宋体" w:hAnsi="宋体" w:eastAsia="宋体"/>
      <w:sz w:val="24"/>
    </w:rPr>
  </w:style>
  <w:style w:type="paragraph" w:customStyle="1" w:styleId="45">
    <w:name w:val="【正文】"/>
    <w:basedOn w:val="1"/>
    <w:link w:val="46"/>
    <w:qFormat/>
    <w:uiPriority w:val="0"/>
    <w:pPr>
      <w:spacing w:line="520" w:lineRule="exact"/>
      <w:ind w:firstLine="200" w:firstLineChars="200"/>
    </w:pPr>
    <w:rPr>
      <w:sz w:val="24"/>
    </w:rPr>
  </w:style>
  <w:style w:type="character" w:customStyle="1" w:styleId="46">
    <w:name w:val="【正文】 Char"/>
    <w:link w:val="45"/>
    <w:qFormat/>
    <w:uiPriority w:val="0"/>
    <w:rPr>
      <w:kern w:val="2"/>
      <w:sz w:val="24"/>
      <w:szCs w:val="24"/>
    </w:rPr>
  </w:style>
  <w:style w:type="character" w:customStyle="1" w:styleId="47">
    <w:name w:val="标题 3 字符"/>
    <w:link w:val="3"/>
    <w:semiHidden/>
    <w:qFormat/>
    <w:uiPriority w:val="0"/>
    <w:rPr>
      <w:b/>
      <w:bCs/>
      <w:kern w:val="2"/>
      <w:sz w:val="32"/>
      <w:szCs w:val="32"/>
    </w:rPr>
  </w:style>
  <w:style w:type="paragraph" w:customStyle="1" w:styleId="48">
    <w:name w:val="【a表头】"/>
    <w:basedOn w:val="1"/>
    <w:link w:val="50"/>
    <w:qFormat/>
    <w:uiPriority w:val="99"/>
    <w:pPr>
      <w:keepNext/>
      <w:adjustRightInd w:val="0"/>
      <w:snapToGrid w:val="0"/>
      <w:spacing w:line="520" w:lineRule="exact"/>
      <w:jc w:val="center"/>
    </w:pPr>
    <w:rPr>
      <w:b/>
      <w:kern w:val="0"/>
      <w:szCs w:val="21"/>
    </w:rPr>
  </w:style>
  <w:style w:type="paragraph" w:customStyle="1" w:styleId="49">
    <w:name w:val="【表中】"/>
    <w:basedOn w:val="1"/>
    <w:qFormat/>
    <w:uiPriority w:val="0"/>
    <w:pPr>
      <w:tabs>
        <w:tab w:val="left" w:leader="middleDot" w:pos="7371"/>
      </w:tabs>
      <w:adjustRightInd w:val="0"/>
      <w:snapToGrid w:val="0"/>
      <w:jc w:val="center"/>
    </w:pPr>
  </w:style>
  <w:style w:type="character" w:customStyle="1" w:styleId="50">
    <w:name w:val="【a表头】 字符"/>
    <w:link w:val="48"/>
    <w:qFormat/>
    <w:uiPriority w:val="0"/>
    <w:rPr>
      <w:b/>
      <w:sz w:val="21"/>
      <w:szCs w:val="21"/>
    </w:rPr>
  </w:style>
  <w:style w:type="character" w:customStyle="1" w:styleId="51">
    <w:name w:val="【表中文字】 Char Char"/>
    <w:link w:val="52"/>
    <w:qFormat/>
    <w:uiPriority w:val="0"/>
    <w:rPr>
      <w:sz w:val="21"/>
    </w:rPr>
  </w:style>
  <w:style w:type="paragraph" w:customStyle="1" w:styleId="52">
    <w:name w:val="【表中文字】"/>
    <w:basedOn w:val="1"/>
    <w:link w:val="51"/>
    <w:qFormat/>
    <w:uiPriority w:val="0"/>
    <w:pPr>
      <w:jc w:val="center"/>
    </w:pPr>
    <w:rPr>
      <w:kern w:val="0"/>
      <w:szCs w:val="20"/>
    </w:rPr>
  </w:style>
  <w:style w:type="paragraph" w:customStyle="1" w:styleId="53">
    <w:name w:val="a正文"/>
    <w:basedOn w:val="54"/>
    <w:link w:val="55"/>
    <w:qFormat/>
    <w:uiPriority w:val="0"/>
    <w:pPr>
      <w:spacing w:line="520" w:lineRule="exact"/>
      <w:ind w:firstLine="200" w:firstLineChars="200"/>
    </w:pPr>
    <w:rPr>
      <w:kern w:val="0"/>
      <w:sz w:val="24"/>
      <w:szCs w:val="21"/>
    </w:rPr>
  </w:style>
  <w:style w:type="paragraph" w:customStyle="1" w:styleId="54">
    <w:name w:val="正文格式"/>
    <w:basedOn w:val="1"/>
    <w:qFormat/>
    <w:uiPriority w:val="0"/>
    <w:pPr>
      <w:spacing w:line="360" w:lineRule="auto"/>
      <w:ind w:firstLine="420" w:firstLineChars="200"/>
    </w:pPr>
    <w:rPr>
      <w:kern w:val="0"/>
      <w:szCs w:val="21"/>
    </w:rPr>
  </w:style>
  <w:style w:type="character" w:customStyle="1" w:styleId="55">
    <w:name w:val="a正文 Char"/>
    <w:link w:val="53"/>
    <w:qFormat/>
    <w:uiPriority w:val="0"/>
    <w:rPr>
      <w:sz w:val="24"/>
      <w:szCs w:val="21"/>
    </w:rPr>
  </w:style>
  <w:style w:type="paragraph" w:customStyle="1" w:styleId="56">
    <w:name w:val="标题3"/>
    <w:basedOn w:val="3"/>
    <w:link w:val="57"/>
    <w:qFormat/>
    <w:uiPriority w:val="0"/>
    <w:pPr>
      <w:spacing w:before="0" w:afterLines="50" w:line="240" w:lineRule="auto"/>
      <w:jc w:val="center"/>
    </w:pPr>
    <w:rPr>
      <w:rFonts w:ascii="Calibri" w:hAnsi="Calibri" w:eastAsia="黑体" w:cs="宋体"/>
    </w:rPr>
  </w:style>
  <w:style w:type="character" w:customStyle="1" w:styleId="57">
    <w:name w:val="标题3 Char"/>
    <w:link w:val="56"/>
    <w:qFormat/>
    <w:uiPriority w:val="0"/>
    <w:rPr>
      <w:rFonts w:ascii="Calibri" w:hAnsi="Calibri" w:eastAsia="黑体" w:cs="宋体"/>
      <w:b/>
      <w:bCs/>
      <w:kern w:val="2"/>
      <w:sz w:val="32"/>
      <w:szCs w:val="32"/>
    </w:rPr>
  </w:style>
  <w:style w:type="paragraph" w:customStyle="1" w:styleId="58">
    <w:name w:val=".表1-1-1内容"/>
    <w:basedOn w:val="1"/>
    <w:qFormat/>
    <w:uiPriority w:val="0"/>
    <w:pPr>
      <w:spacing w:line="300" w:lineRule="exact"/>
      <w:jc w:val="center"/>
    </w:pPr>
    <w:rPr>
      <w:kern w:val="0"/>
      <w:szCs w:val="21"/>
    </w:rPr>
  </w:style>
  <w:style w:type="character" w:customStyle="1" w:styleId="59">
    <w:name w:val="正文缩进 字符"/>
    <w:link w:val="5"/>
    <w:qFormat/>
    <w:locked/>
    <w:uiPriority w:val="0"/>
    <w:rPr>
      <w:rFonts w:ascii="宋体"/>
    </w:rPr>
  </w:style>
  <w:style w:type="character" w:customStyle="1" w:styleId="60">
    <w:name w:val="纯文本 字符"/>
    <w:link w:val="9"/>
    <w:qFormat/>
    <w:uiPriority w:val="99"/>
    <w:rPr>
      <w:rFonts w:ascii="宋体" w:hAnsi="Courier New"/>
      <w:sz w:val="21"/>
      <w:szCs w:val="21"/>
    </w:rPr>
  </w:style>
  <w:style w:type="paragraph" w:customStyle="1" w:styleId="61">
    <w:name w:val=".表1-1-1"/>
    <w:basedOn w:val="1"/>
    <w:qFormat/>
    <w:uiPriority w:val="0"/>
    <w:pPr>
      <w:spacing w:line="500" w:lineRule="exact"/>
      <w:jc w:val="center"/>
    </w:pPr>
    <w:rPr>
      <w:rFonts w:eastAsia="黑体"/>
      <w:kern w:val="0"/>
    </w:rPr>
  </w:style>
  <w:style w:type="paragraph" w:customStyle="1" w:styleId="62">
    <w:name w:val="表格标题"/>
    <w:basedOn w:val="1"/>
    <w:next w:val="1"/>
    <w:link w:val="100"/>
    <w:qFormat/>
    <w:uiPriority w:val="0"/>
    <w:pPr>
      <w:keepNext/>
      <w:tabs>
        <w:tab w:val="left" w:pos="0"/>
        <w:tab w:val="left" w:pos="360"/>
      </w:tabs>
      <w:adjustRightInd w:val="0"/>
      <w:snapToGrid w:val="0"/>
      <w:spacing w:line="360" w:lineRule="auto"/>
      <w:ind w:firstLine="425" w:firstLineChars="200"/>
      <w:jc w:val="center"/>
      <w:textAlignment w:val="baseline"/>
    </w:pPr>
    <w:rPr>
      <w:rFonts w:ascii="Arial" w:hAnsi="Arial"/>
      <w:b/>
      <w:kern w:val="0"/>
      <w:sz w:val="24"/>
      <w:szCs w:val="20"/>
    </w:rPr>
  </w:style>
  <w:style w:type="paragraph" w:customStyle="1" w:styleId="63">
    <w:name w:val="..正文"/>
    <w:basedOn w:val="1"/>
    <w:qFormat/>
    <w:uiPriority w:val="0"/>
    <w:pPr>
      <w:spacing w:line="500" w:lineRule="exact"/>
      <w:ind w:firstLine="480" w:firstLineChars="200"/>
      <w:jc w:val="left"/>
    </w:pPr>
    <w:rPr>
      <w:kern w:val="0"/>
    </w:rPr>
  </w:style>
  <w:style w:type="paragraph" w:customStyle="1" w:styleId="64">
    <w:name w:val="表格中文字"/>
    <w:basedOn w:val="1"/>
    <w:qFormat/>
    <w:uiPriority w:val="0"/>
    <w:pPr>
      <w:spacing w:line="360" w:lineRule="exact"/>
      <w:jc w:val="center"/>
    </w:pPr>
    <w:rPr>
      <w:kern w:val="0"/>
      <w:szCs w:val="21"/>
    </w:rPr>
  </w:style>
  <w:style w:type="character" w:customStyle="1" w:styleId="65">
    <w:name w:val="NormalCharacter"/>
    <w:qFormat/>
    <w:uiPriority w:val="0"/>
  </w:style>
  <w:style w:type="paragraph" w:customStyle="1" w:styleId="66">
    <w:name w:val=".标题1.1.1"/>
    <w:basedOn w:val="1"/>
    <w:qFormat/>
    <w:uiPriority w:val="0"/>
    <w:pPr>
      <w:spacing w:line="500" w:lineRule="exact"/>
      <w:outlineLvl w:val="2"/>
    </w:pPr>
    <w:rPr>
      <w:rFonts w:ascii="黑体" w:hAnsi="黑体" w:eastAsia="黑体"/>
      <w:kern w:val="0"/>
    </w:rPr>
  </w:style>
  <w:style w:type="paragraph" w:customStyle="1" w:styleId="67">
    <w:name w:val="Char1 Char Char Char"/>
    <w:basedOn w:val="1"/>
    <w:qFormat/>
    <w:uiPriority w:val="0"/>
    <w:rPr>
      <w:rFonts w:ascii="Tahoma" w:hAnsi="Tahoma"/>
      <w:sz w:val="24"/>
      <w:szCs w:val="20"/>
    </w:rPr>
  </w:style>
  <w:style w:type="paragraph" w:customStyle="1" w:styleId="68">
    <w:name w:val="【图号】"/>
    <w:basedOn w:val="1"/>
    <w:qFormat/>
    <w:uiPriority w:val="0"/>
    <w:pPr>
      <w:adjustRightInd w:val="0"/>
      <w:snapToGrid w:val="0"/>
      <w:jc w:val="center"/>
    </w:pPr>
    <w:rPr>
      <w:b/>
      <w:kern w:val="0"/>
      <w:szCs w:val="20"/>
      <w:lang w:val="zh-CN"/>
    </w:rPr>
  </w:style>
  <w:style w:type="character" w:customStyle="1" w:styleId="69">
    <w:name w:val="正文文本 2 字符"/>
    <w:link w:val="17"/>
    <w:qFormat/>
    <w:uiPriority w:val="0"/>
    <w:rPr>
      <w:kern w:val="2"/>
      <w:sz w:val="21"/>
      <w:szCs w:val="24"/>
    </w:rPr>
  </w:style>
  <w:style w:type="paragraph" w:customStyle="1" w:styleId="70">
    <w:name w:val="表中的文字"/>
    <w:basedOn w:val="19"/>
    <w:link w:val="71"/>
    <w:qFormat/>
    <w:uiPriority w:val="0"/>
    <w:pPr>
      <w:spacing w:before="0" w:after="0"/>
      <w:outlineLvl w:val="9"/>
    </w:pPr>
    <w:rPr>
      <w:rFonts w:ascii="Times New Roman" w:hAnsi="Times New Roman"/>
      <w:b w:val="0"/>
      <w:sz w:val="21"/>
      <w:szCs w:val="21"/>
    </w:rPr>
  </w:style>
  <w:style w:type="character" w:customStyle="1" w:styleId="71">
    <w:name w:val="表中的文字 Char"/>
    <w:link w:val="70"/>
    <w:qFormat/>
    <w:uiPriority w:val="0"/>
    <w:rPr>
      <w:bCs/>
      <w:kern w:val="2"/>
      <w:sz w:val="21"/>
      <w:szCs w:val="21"/>
    </w:rPr>
  </w:style>
  <w:style w:type="character" w:customStyle="1" w:styleId="72">
    <w:name w:val="标题 字符"/>
    <w:link w:val="19"/>
    <w:qFormat/>
    <w:uiPriority w:val="0"/>
    <w:rPr>
      <w:rFonts w:ascii="等线 Light" w:hAnsi="等线 Light" w:cs="Times New Roman"/>
      <w:b/>
      <w:bCs/>
      <w:kern w:val="2"/>
      <w:sz w:val="32"/>
      <w:szCs w:val="32"/>
    </w:rPr>
  </w:style>
  <w:style w:type="character" w:customStyle="1" w:styleId="73">
    <w:name w:val="表头 Char"/>
    <w:link w:val="74"/>
    <w:qFormat/>
    <w:uiPriority w:val="0"/>
    <w:rPr>
      <w:b/>
      <w:sz w:val="21"/>
      <w:szCs w:val="21"/>
    </w:rPr>
  </w:style>
  <w:style w:type="paragraph" w:customStyle="1" w:styleId="74">
    <w:name w:val="表头"/>
    <w:basedOn w:val="48"/>
    <w:next w:val="1"/>
    <w:link w:val="73"/>
    <w:qFormat/>
    <w:uiPriority w:val="0"/>
  </w:style>
  <w:style w:type="paragraph" w:customStyle="1" w:styleId="75">
    <w:name w:val="雪表文"/>
    <w:basedOn w:val="1"/>
    <w:qFormat/>
    <w:uiPriority w:val="0"/>
    <w:pPr>
      <w:spacing w:line="360" w:lineRule="exact"/>
      <w:jc w:val="center"/>
      <w:textAlignment w:val="center"/>
    </w:pPr>
    <w:rPr>
      <w:bCs/>
      <w:iCs/>
      <w:szCs w:val="28"/>
    </w:rPr>
  </w:style>
  <w:style w:type="paragraph" w:customStyle="1" w:styleId="76">
    <w:name w:val="正文00"/>
    <w:basedOn w:val="1"/>
    <w:link w:val="77"/>
    <w:qFormat/>
    <w:uiPriority w:val="0"/>
    <w:pPr>
      <w:widowControl/>
      <w:spacing w:line="360" w:lineRule="auto"/>
      <w:ind w:firstLine="480" w:firstLineChars="200"/>
      <w:jc w:val="left"/>
    </w:pPr>
    <w:rPr>
      <w:rFonts w:cs="宋体"/>
      <w:kern w:val="0"/>
      <w:sz w:val="24"/>
      <w:szCs w:val="20"/>
    </w:rPr>
  </w:style>
  <w:style w:type="character" w:customStyle="1" w:styleId="77">
    <w:name w:val="正文00 Char"/>
    <w:link w:val="76"/>
    <w:qFormat/>
    <w:uiPriority w:val="0"/>
    <w:rPr>
      <w:rFonts w:cs="宋体"/>
      <w:sz w:val="24"/>
    </w:rPr>
  </w:style>
  <w:style w:type="character" w:customStyle="1" w:styleId="78">
    <w:name w:val="【表头】 Char"/>
    <w:link w:val="79"/>
    <w:qFormat/>
    <w:uiPriority w:val="0"/>
    <w:rPr>
      <w:b/>
      <w:sz w:val="21"/>
      <w:szCs w:val="21"/>
    </w:rPr>
  </w:style>
  <w:style w:type="paragraph" w:customStyle="1" w:styleId="79">
    <w:name w:val="【表头】"/>
    <w:basedOn w:val="80"/>
    <w:link w:val="78"/>
    <w:qFormat/>
    <w:uiPriority w:val="0"/>
  </w:style>
  <w:style w:type="paragraph" w:customStyle="1" w:styleId="80">
    <w:name w:val="0"/>
    <w:basedOn w:val="1"/>
    <w:qFormat/>
    <w:uiPriority w:val="99"/>
    <w:pPr>
      <w:widowControl/>
      <w:snapToGrid w:val="0"/>
      <w:jc w:val="left"/>
    </w:pPr>
    <w:rPr>
      <w:rFonts w:ascii="宋体"/>
      <w:kern w:val="0"/>
      <w:sz w:val="20"/>
      <w:szCs w:val="20"/>
    </w:rPr>
  </w:style>
  <w:style w:type="paragraph" w:customStyle="1" w:styleId="81">
    <w:name w:val=".标题1.1.1.1"/>
    <w:basedOn w:val="1"/>
    <w:qFormat/>
    <w:uiPriority w:val="0"/>
    <w:pPr>
      <w:spacing w:line="500" w:lineRule="exact"/>
      <w:outlineLvl w:val="3"/>
    </w:pPr>
    <w:rPr>
      <w:rFonts w:ascii="宋体" w:hAnsi="宋体"/>
      <w:kern w:val="0"/>
    </w:rPr>
  </w:style>
  <w:style w:type="character" w:customStyle="1" w:styleId="82">
    <w:name w:val="标题 4 字符"/>
    <w:link w:val="4"/>
    <w:qFormat/>
    <w:uiPriority w:val="9"/>
    <w:rPr>
      <w:rFonts w:ascii="Cambria" w:hAnsi="Cambria"/>
      <w:b/>
      <w:bCs/>
      <w:kern w:val="2"/>
      <w:sz w:val="28"/>
      <w:szCs w:val="28"/>
    </w:rPr>
  </w:style>
  <w:style w:type="paragraph" w:customStyle="1" w:styleId="83">
    <w:name w:val="Default"/>
    <w:next w:val="1"/>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paragraph" w:customStyle="1" w:styleId="84">
    <w:name w:val="Char1"/>
    <w:basedOn w:val="1"/>
    <w:qFormat/>
    <w:uiPriority w:val="0"/>
    <w:rPr>
      <w:rFonts w:ascii="宋体" w:hAnsi="宋体"/>
      <w:kern w:val="0"/>
      <w:szCs w:val="20"/>
    </w:rPr>
  </w:style>
  <w:style w:type="character" w:customStyle="1" w:styleId="85">
    <w:name w:val="正文文本缩进 2 字符"/>
    <w:link w:val="11"/>
    <w:qFormat/>
    <w:uiPriority w:val="0"/>
    <w:rPr>
      <w:kern w:val="2"/>
      <w:sz w:val="21"/>
      <w:szCs w:val="24"/>
    </w:rPr>
  </w:style>
  <w:style w:type="character" w:customStyle="1" w:styleId="86">
    <w:name w:val="【表中文字】 Char"/>
    <w:qFormat/>
    <w:locked/>
    <w:uiPriority w:val="0"/>
    <w:rPr>
      <w:kern w:val="2"/>
      <w:sz w:val="24"/>
    </w:rPr>
  </w:style>
  <w:style w:type="paragraph" w:customStyle="1" w:styleId="87">
    <w:name w:val="S-正文"/>
    <w:basedOn w:val="1"/>
    <w:qFormat/>
    <w:uiPriority w:val="0"/>
    <w:rPr>
      <w:rFonts w:cs="黑体"/>
      <w:szCs w:val="22"/>
    </w:rPr>
  </w:style>
  <w:style w:type="paragraph" w:customStyle="1" w:styleId="88">
    <w:name w:val="Normal (Web)1"/>
    <w:basedOn w:val="1"/>
    <w:next w:val="1"/>
    <w:qFormat/>
    <w:uiPriority w:val="0"/>
    <w:pPr>
      <w:widowControl/>
      <w:jc w:val="left"/>
    </w:pPr>
    <w:rPr>
      <w:rFonts w:ascii="宋体"/>
      <w:kern w:val="0"/>
      <w:sz w:val="24"/>
      <w:szCs w:val="21"/>
    </w:rPr>
  </w:style>
  <w:style w:type="character" w:customStyle="1" w:styleId="89">
    <w:name w:val="font31"/>
    <w:qFormat/>
    <w:uiPriority w:val="0"/>
    <w:rPr>
      <w:rFonts w:hint="eastAsia" w:ascii="宋体" w:hAnsi="宋体" w:eastAsia="宋体" w:cs="宋体"/>
      <w:b/>
      <w:color w:val="000000"/>
      <w:sz w:val="20"/>
      <w:szCs w:val="20"/>
      <w:u w:val="none"/>
    </w:rPr>
  </w:style>
  <w:style w:type="paragraph" w:customStyle="1" w:styleId="90">
    <w:name w:val="正文2"/>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91">
    <w:name w:val="首行缩进表格正文"/>
    <w:basedOn w:val="1"/>
    <w:link w:val="92"/>
    <w:qFormat/>
    <w:uiPriority w:val="0"/>
    <w:pPr>
      <w:spacing w:line="360" w:lineRule="auto"/>
      <w:ind w:firstLine="720" w:firstLineChars="200"/>
      <w:jc w:val="left"/>
    </w:pPr>
  </w:style>
  <w:style w:type="character" w:customStyle="1" w:styleId="92">
    <w:name w:val="首行缩进表格正文 Char"/>
    <w:link w:val="91"/>
    <w:qFormat/>
    <w:uiPriority w:val="0"/>
    <w:rPr>
      <w:kern w:val="2"/>
      <w:sz w:val="21"/>
      <w:szCs w:val="24"/>
    </w:rPr>
  </w:style>
  <w:style w:type="character" w:customStyle="1" w:styleId="93">
    <w:name w:val="新正文 Char"/>
    <w:link w:val="94"/>
    <w:qFormat/>
    <w:uiPriority w:val="0"/>
    <w:rPr>
      <w:rFonts w:ascii="宋体" w:hAnsi="宋体"/>
      <w:sz w:val="24"/>
      <w:szCs w:val="24"/>
    </w:rPr>
  </w:style>
  <w:style w:type="paragraph" w:customStyle="1" w:styleId="94">
    <w:name w:val="新正文"/>
    <w:basedOn w:val="1"/>
    <w:link w:val="93"/>
    <w:qFormat/>
    <w:uiPriority w:val="0"/>
    <w:pPr>
      <w:spacing w:line="500" w:lineRule="exact"/>
      <w:ind w:firstLine="200" w:firstLineChars="200"/>
    </w:pPr>
    <w:rPr>
      <w:rFonts w:ascii="宋体" w:hAnsi="宋体"/>
      <w:kern w:val="0"/>
      <w:sz w:val="24"/>
    </w:rPr>
  </w:style>
  <w:style w:type="character" w:customStyle="1" w:styleId="95">
    <w:name w:val="正文首行缩进 字符"/>
    <w:link w:val="21"/>
    <w:qFormat/>
    <w:uiPriority w:val="0"/>
    <w:rPr>
      <w:kern w:val="2"/>
      <w:sz w:val="21"/>
      <w:szCs w:val="24"/>
    </w:rPr>
  </w:style>
  <w:style w:type="character" w:customStyle="1" w:styleId="96">
    <w:name w:val="【正文】 Char1"/>
    <w:qFormat/>
    <w:locked/>
    <w:uiPriority w:val="0"/>
    <w:rPr>
      <w:kern w:val="2"/>
      <w:sz w:val="24"/>
      <w:szCs w:val="24"/>
    </w:rPr>
  </w:style>
  <w:style w:type="table" w:customStyle="1" w:styleId="97">
    <w:name w:val="环评表格"/>
    <w:basedOn w:val="23"/>
    <w:qFormat/>
    <w:uiPriority w:val="0"/>
    <w:pPr>
      <w:snapToGrid w:val="0"/>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98">
    <w:name w:val="表中字 Char"/>
    <w:link w:val="99"/>
    <w:qFormat/>
    <w:uiPriority w:val="0"/>
    <w:rPr>
      <w:kern w:val="2"/>
      <w:sz w:val="24"/>
      <w:szCs w:val="22"/>
      <w:lang w:val="zh-CN"/>
    </w:rPr>
  </w:style>
  <w:style w:type="paragraph" w:customStyle="1" w:styleId="99">
    <w:name w:val="报告书正文"/>
    <w:basedOn w:val="1"/>
    <w:link w:val="98"/>
    <w:qFormat/>
    <w:uiPriority w:val="0"/>
    <w:pPr>
      <w:spacing w:line="360" w:lineRule="auto"/>
      <w:ind w:firstLine="420" w:firstLineChars="200"/>
    </w:pPr>
    <w:rPr>
      <w:sz w:val="24"/>
      <w:szCs w:val="22"/>
      <w:lang w:val="zh-CN"/>
    </w:rPr>
  </w:style>
  <w:style w:type="character" w:customStyle="1" w:styleId="100">
    <w:name w:val="表格标题 Char"/>
    <w:link w:val="62"/>
    <w:qFormat/>
    <w:uiPriority w:val="0"/>
    <w:rPr>
      <w:rFonts w:ascii="Arial" w:hAnsi="Arial"/>
      <w:b/>
      <w:sz w:val="24"/>
    </w:rPr>
  </w:style>
  <w:style w:type="paragraph" w:customStyle="1" w:styleId="101">
    <w:name w:val="城山正文"/>
    <w:basedOn w:val="1"/>
    <w:qFormat/>
    <w:uiPriority w:val="0"/>
    <w:pPr>
      <w:widowControl/>
      <w:snapToGrid w:val="0"/>
      <w:spacing w:line="360" w:lineRule="auto"/>
      <w:ind w:firstLine="924" w:firstLineChars="200"/>
      <w:jc w:val="left"/>
    </w:pPr>
    <w:rPr>
      <w:rFonts w:cs="宋体" w:asciiTheme="minorHAnsi" w:hAnsiTheme="minorHAnsi" w:eastAsiaTheme="minorEastAsia"/>
      <w:kern w:val="0"/>
      <w:sz w:val="24"/>
      <w:szCs w:val="22"/>
    </w:rPr>
  </w:style>
  <w:style w:type="paragraph" w:customStyle="1" w:styleId="102">
    <w:name w:val="表图号"/>
    <w:link w:val="103"/>
    <w:qFormat/>
    <w:uiPriority w:val="0"/>
    <w:pPr>
      <w:widowControl w:val="0"/>
      <w:autoSpaceDE w:val="0"/>
      <w:autoSpaceDN w:val="0"/>
      <w:adjustRightInd w:val="0"/>
      <w:snapToGrid w:val="0"/>
      <w:spacing w:line="400" w:lineRule="exact"/>
      <w:jc w:val="center"/>
    </w:pPr>
    <w:rPr>
      <w:rFonts w:ascii="Times New Roman" w:hAnsi="Times New Roman" w:eastAsia="微软雅黑" w:cs="Times New Roman"/>
      <w:color w:val="000000"/>
      <w:sz w:val="24"/>
      <w:szCs w:val="24"/>
      <w:lang w:val="en-US" w:eastAsia="zh-CN" w:bidi="ar-SA"/>
    </w:rPr>
  </w:style>
  <w:style w:type="character" w:customStyle="1" w:styleId="103">
    <w:name w:val="表图号 Char"/>
    <w:link w:val="102"/>
    <w:qFormat/>
    <w:uiPriority w:val="0"/>
    <w:rPr>
      <w:rFonts w:eastAsia="微软雅黑"/>
      <w:color w:val="000000"/>
      <w:sz w:val="24"/>
      <w:szCs w:val="24"/>
    </w:rPr>
  </w:style>
  <w:style w:type="paragraph" w:customStyle="1" w:styleId="104">
    <w:name w:val="表格CAT"/>
    <w:basedOn w:val="1"/>
    <w:link w:val="105"/>
    <w:qFormat/>
    <w:uiPriority w:val="99"/>
    <w:pPr>
      <w:widowControl/>
      <w:tabs>
        <w:tab w:val="left" w:pos="560"/>
      </w:tabs>
      <w:jc w:val="center"/>
    </w:pPr>
  </w:style>
  <w:style w:type="character" w:customStyle="1" w:styleId="105">
    <w:name w:val="表格CAT Char"/>
    <w:link w:val="104"/>
    <w:qFormat/>
    <w:uiPriority w:val="99"/>
    <w:rPr>
      <w:kern w:val="2"/>
      <w:sz w:val="21"/>
      <w:szCs w:val="24"/>
    </w:rPr>
  </w:style>
  <w:style w:type="character" w:customStyle="1" w:styleId="106">
    <w:name w:val="正文00 Char Char"/>
    <w:qFormat/>
    <w:uiPriority w:val="0"/>
    <w:rPr>
      <w:rFonts w:cs="宋体"/>
    </w:rPr>
  </w:style>
  <w:style w:type="character" w:customStyle="1" w:styleId="107">
    <w:name w:val="表格内容 Char"/>
    <w:link w:val="108"/>
    <w:qFormat/>
    <w:locked/>
    <w:uiPriority w:val="0"/>
    <w:rPr>
      <w:kern w:val="2"/>
      <w:sz w:val="21"/>
      <w:szCs w:val="28"/>
    </w:rPr>
  </w:style>
  <w:style w:type="paragraph" w:customStyle="1" w:styleId="108">
    <w:name w:val="表格内容"/>
    <w:basedOn w:val="1"/>
    <w:next w:val="1"/>
    <w:link w:val="107"/>
    <w:qFormat/>
    <w:uiPriority w:val="0"/>
    <w:pPr>
      <w:overflowPunct w:val="0"/>
      <w:adjustRightInd w:val="0"/>
      <w:jc w:val="center"/>
      <w:textAlignment w:val="baseline"/>
    </w:pPr>
    <w:rPr>
      <w:szCs w:val="28"/>
    </w:rPr>
  </w:style>
  <w:style w:type="character" w:customStyle="1" w:styleId="109">
    <w:name w:val="font21"/>
    <w:basedOn w:val="25"/>
    <w:qFormat/>
    <w:uiPriority w:val="0"/>
    <w:rPr>
      <w:rFonts w:hint="eastAsia" w:ascii="宋体" w:hAnsi="宋体" w:eastAsia="宋体" w:cs="宋体"/>
      <w:color w:val="000000"/>
      <w:sz w:val="18"/>
      <w:szCs w:val="18"/>
      <w:u w:val="none"/>
    </w:rPr>
  </w:style>
  <w:style w:type="character" w:customStyle="1" w:styleId="110">
    <w:name w:val="font11"/>
    <w:basedOn w:val="25"/>
    <w:qFormat/>
    <w:uiPriority w:val="0"/>
    <w:rPr>
      <w:rFonts w:hint="default" w:ascii="Times New Roman" w:hAnsi="Times New Roman" w:cs="Times New Roman"/>
      <w:color w:val="000000"/>
      <w:sz w:val="18"/>
      <w:szCs w:val="18"/>
      <w:u w:val="none"/>
    </w:rPr>
  </w:style>
  <w:style w:type="paragraph" w:customStyle="1" w:styleId="111">
    <w:name w:val="0表格文字"/>
    <w:basedOn w:val="1"/>
    <w:next w:val="1"/>
    <w:qFormat/>
    <w:uiPriority w:val="0"/>
    <w:pPr>
      <w:wordWrap w:val="0"/>
      <w:overflowPunct/>
      <w:topLinePunct/>
      <w:adjustRightInd/>
      <w:snapToGrid/>
      <w:spacing w:line="240" w:lineRule="auto"/>
      <w:ind w:firstLine="0" w:firstLineChars="0"/>
      <w:jc w:val="center"/>
      <w:textAlignment w:val="auto"/>
    </w:pPr>
    <w:rPr>
      <w:rFonts w:cs="宋体"/>
      <w:sz w:val="21"/>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3" Type="http://schemas.openxmlformats.org/officeDocument/2006/relationships/fontTable" Target="fontTable.xml"/><Relationship Id="rId52" Type="http://schemas.openxmlformats.org/officeDocument/2006/relationships/customXml" Target="../customXml/item1.xml"/><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png"/><Relationship Id="rId16" Type="http://schemas.openxmlformats.org/officeDocument/2006/relationships/image" Target="media/image6.wmf"/><Relationship Id="rId15" Type="http://schemas.openxmlformats.org/officeDocument/2006/relationships/oleObject" Target="embeddings/oleObject4.bin"/><Relationship Id="rId14" Type="http://schemas.openxmlformats.org/officeDocument/2006/relationships/image" Target="media/image5.wmf"/><Relationship Id="rId13" Type="http://schemas.openxmlformats.org/officeDocument/2006/relationships/oleObject" Target="embeddings/oleObject3.bin"/><Relationship Id="rId12" Type="http://schemas.openxmlformats.org/officeDocument/2006/relationships/image" Target="media/image4.wmf"/><Relationship Id="rId11" Type="http://schemas.openxmlformats.org/officeDocument/2006/relationships/oleObject" Target="embeddings/oleObject2.bin"/><Relationship Id="rId10" Type="http://schemas.openxmlformats.org/officeDocument/2006/relationships/image" Target="media/image3.w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actReview xmlns="http://schemas.wps.cn/vas-ai-hub/contract-review">
  <reviewItems>
    <reviewItem>
      <errorID>515d8f1c-9c11-4b32-a279-29ca853b96b7</errorID>
      <errorWord>，</errorWord>
      <group>L1_Punc</group>
      <groupName>标点问题</groupName>
      <ability>L2_Punc</ability>
      <abilityName>标点符号检查</abilityName>
      <candidateList>
        <item>。</item>
      </candidateList>
      <explain/>
      <paraID>72FEC554</paraID>
      <start>10</start>
      <end>11</end>
      <status>ignored</status>
      <modifiedWord/>
      <trackRevisions>false</trackRevisions>
    </reviewItem>
    <reviewItem>
      <errorID>42520341-f259-4e8f-8fde-a1dd20654b47</errorID>
      <errorWord> </errorWord>
      <group>L1_Punc</group>
      <groupName>标点问题</groupName>
      <ability>L2_Punc</ability>
      <abilityName>标点符号检查</abilityName>
      <candidateList>
        <item/>
      </candidateList>
      <explain>此处空格冗余，建议删除。</explain>
      <paraID>44340621</paraID>
      <start>1</start>
      <end>2</end>
      <status>ignored</status>
      <modifiedWord/>
      <trackRevisions>false</trackRevisions>
    </reviewItem>
    <reviewItem>
      <errorID>e0ff575b-ccc0-4a1f-8df9-511d780c5f90</errorID>
      <errorWord> 分 </errorWord>
      <group>L1_Grammar</group>
      <groupName>语法问题</groupName>
      <ability>L2_Grammar</ability>
      <abilityName>语法错误</abilityName>
      <candidateList>
        <item>′</item>
      </candidateList>
      <explain/>
      <paraID>44340621</paraID>
      <start>10</start>
      <end>13</end>
      <status>ignored</status>
      <modifiedWord/>
      <trackRevisions>false</trackRevisions>
    </reviewItem>
    <reviewItem>
      <errorID>95235261-c438-408c-879f-c5a4f1c27f56</errorID>
      <errorWord> 秒</errorWord>
      <group>L1_Word</group>
      <groupName>字词问题</groupName>
      <ability>L2_Typo</ability>
      <abilityName>字词错误</abilityName>
      <candidateList>
        <item>″</item>
      </candidateList>
      <explain/>
      <paraID>44340621</paraID>
      <start>19</start>
      <end>21</end>
      <status>ignored</status>
      <modifiedWord/>
      <trackRevisions>false</trackRevisions>
    </reviewItem>
    <reviewItem>
      <errorID>708189d4-01b9-4ae6-99cd-ca5c07afa9d8</errorID>
      <errorWord> </errorWord>
      <group>L1_Punc</group>
      <groupName>标点问题</groupName>
      <ability>L2_Punc</ability>
      <abilityName>标点符号检查</abilityName>
      <candidateList>
        <item/>
      </candidateList>
      <explain>此处空格冗余，建议删除。</explain>
      <paraID>44340621</paraID>
      <start>22</start>
      <end>23</end>
      <status>ignored</status>
      <modifiedWord/>
      <trackRevisions>false</trackRevisions>
    </reviewItem>
    <reviewItem>
      <errorID>fe706a44-d078-4832-aba2-fdbfd141ad4a</errorID>
      <errorWord> 分 </errorWord>
      <group>L1_Grammar</group>
      <groupName>语法问题</groupName>
      <ability>L2_Grammar</ability>
      <abilityName>语法错误</abilityName>
      <candidateList>
        <item>′</item>
      </candidateList>
      <explain/>
      <paraID>44340621</paraID>
      <start>30</start>
      <end>33</end>
      <status>ignored</status>
      <modifiedWord/>
      <trackRevisions>false</trackRevisions>
    </reviewItem>
    <reviewItem>
      <errorID>ecb7cfc1-02b7-446c-90ff-caf964ff265f</errorID>
      <errorWord> 秒</errorWord>
      <group>L1_Word</group>
      <groupName>字词问题</groupName>
      <ability>L2_Typo</ability>
      <abilityName>字词错误</abilityName>
      <candidateList>
        <item>″</item>
      </candidateList>
      <explain/>
      <paraID>44340621</paraID>
      <start>39</start>
      <end>41</end>
      <status>ignored</status>
      <modifiedWord/>
      <trackRevisions>false</trackRevisions>
    </reviewItem>
    <reviewItem>
      <errorID>96df2bfb-3c12-4f0a-9a72-aed029d4c5f6</errorID>
      <errorWord>上线</errorWord>
      <group>L1_Word</group>
      <groupName>字词问题</groupName>
      <ability>L2_Typo</ability>
      <abilityName>字词错误</abilityName>
      <candidateList>
        <item>上限</item>
      </candidateList>
      <explain/>
      <paraID>1EFA1F22</paraID>
      <start>54</start>
      <end>56</end>
      <status>ignored</status>
      <modifiedWord/>
      <trackRevisions>false</trackRevisions>
    </reviewItem>
    <reviewItem>
      <errorID>d30658e4-6c98-4501-be7d-20cbba728f4f</errorID>
      <errorWord>面积为</errorWord>
      <group>L1_Word</group>
      <groupName>字词问题</groupName>
      <ability>L2_Typo</ability>
      <abilityName>字词错误</abilityName>
      <candidateList>
        <item>面积</item>
      </candidateList>
      <explain/>
      <paraID>358E38B3</paraID>
      <start>74</start>
      <end>77</end>
      <status>ignored</status>
      <modifiedWord/>
      <trackRevisions>false</trackRevisions>
    </reviewItem>
    <reviewItem>
      <errorID>a257fe56-cc8b-421f-99e9-1a2ade2191df</errorID>
      <errorWord>，</errorWord>
      <group>L1_Punc</group>
      <groupName>标点问题</groupName>
      <ability>L2_Punc</ability>
      <abilityName>标点符号检查</abilityName>
      <candidateList>
        <item>。</item>
      </candidateList>
      <explain/>
      <paraID>2CFEF597</paraID>
      <start>33</start>
      <end>34</end>
      <status>ignored</status>
      <modifiedWord/>
      <trackRevisions>false</trackRevisions>
    </reviewItem>
    <reviewItem>
      <errorID>67e61389-d2f9-4d9c-ade7-78e16dca0cad</errorID>
      <errorWord>空间约束布局</errorWord>
      <group>L1_Word</group>
      <groupName>字词问题</groupName>
      <ability>L2_Typo</ability>
      <abilityName>字词错误</abilityName>
      <candidateList>
        <item>空间布局约束</item>
      </candidateList>
      <explain/>
      <paraID>2CFEF597</paraID>
      <start>75</start>
      <end>81</end>
      <status>ignored</status>
      <modifiedWord/>
      <trackRevisions>false</trackRevisions>
    </reviewItem>
    <reviewItem>
      <errorID>77585ce4-a66e-44ee-bd5c-edc16f8c9bea</errorID>
      <errorWord>城乡结合部</errorWord>
      <group>L1_Word</group>
      <groupName>字词问题</groupName>
      <ability>L2_Typo</ability>
      <abilityName>字词错误</abilityName>
      <candidateList>
        <item>城乡接合部</item>
      </candidateList>
      <explain/>
      <paraID> 63B5292</paraID>
      <start>60</start>
      <end>65</end>
      <status>ignored</status>
      <modifiedWord/>
      <trackRevisions>false</trackRevisions>
    </reviewItem>
    <reviewItem>
      <errorID>7f4091d9-f0dd-4d22-9610-a84539f7a271</errorID>
      <errorWord>。</errorWord>
      <group>L1_Grammar</group>
      <groupName>语法问题</groupName>
      <ability>L2_Grammar</ability>
      <abilityName>语法错误</abilityName>
      <candidateList>
        <item>工作。</item>
      </candidateList>
      <explain/>
      <paraID> 63B5292</paraID>
      <start>72</start>
      <end>73</end>
      <status>ignored</status>
      <modifiedWord/>
      <trackRevisions>false</trackRevisions>
    </reviewItem>
    <reviewItem>
      <errorID>c833933b-0501-455b-b57e-33504ad7742d</errorID>
      <errorWord> </errorWord>
      <group>L1_Punc</group>
      <groupName>标点问题</groupName>
      <ability>L2_Punc</ability>
      <abilityName>标点符号检查</abilityName>
      <candidateList>
        <item>：</item>
      </candidateList>
      <explain/>
      <paraID> 63B5292</paraID>
      <start>271</start>
      <end>272</end>
      <status>ignored</status>
      <modifiedWord/>
      <trackRevisions>false</trackRevisions>
    </reviewItem>
    <reviewItem>
      <errorID>3f49f754-af04-480a-a2a1-846b550407e2</errorID>
      <errorWord>煤城</errorWord>
      <group>L1_Word</group>
      <groupName>字词问题</groupName>
      <ability>L2_Typo</ability>
      <abilityName>字词错误</abilityName>
      <candidateList>
        <item>煤层</item>
      </candidateList>
      <explain/>
      <paraID>755050A4</paraID>
      <start>82</start>
      <end>84</end>
      <status>ignored</status>
      <modifiedWord/>
      <trackRevisions>false</trackRevisions>
    </reviewItem>
    <reviewItem>
      <errorID>4530705c-2c8b-4ca9-bf17-cae4735ba82d</errorID>
      <errorWord>资源勘察</errorWord>
      <group>L1_Knowledge</group>
      <groupName>知识性问题</groupName>
      <ability>L2_Term</ability>
      <abilityName>专业术语</abilityName>
      <candidateList>
        <item>资源勘查</item>
      </candidateList>
      <explain/>
      <paraID>755050A4</paraID>
      <start>94</start>
      <end>98</end>
      <status>ignored</status>
      <modifiedWord/>
      <trackRevisions>false</trackRevisions>
    </reviewItem>
    <reviewItem>
      <errorID>81e0ad90-f0ee-4789-80d4-df2011e2fe08</errorID>
      <errorWord>清洁</errorWord>
      <group>L1_Word</group>
      <groupName>字词问题</groupName>
      <ability>L2_Typo</ability>
      <abilityName>字词错误</abilityName>
      <candidateList>
        <item>中清洁</item>
      </candidateList>
      <explain/>
      <paraID> F3A9709</paraID>
      <start>96</start>
      <end>98</end>
      <status>ignored</status>
      <modifiedWord/>
      <trackRevisions>false</trackRevisions>
    </reviewItem>
    <reviewItem>
      <errorID>ba2f6c40-3b84-48c6-b87a-fac0cc40f285</errorID>
      <errorWord>，</errorWord>
      <group>L1_Grammar</group>
      <groupName>语法问题</groupName>
      <ability>L2_Grammar</ability>
      <abilityName>语法错误</abilityName>
      <candidateList>
        <item>的要求，</item>
      </candidateList>
      <explain/>
      <paraID> F3A9709</paraID>
      <start>104</start>
      <end>105</end>
      <status>ignored</status>
      <modifiedWord/>
      <trackRevisions>false</trackRevisions>
    </reviewItem>
    <reviewItem>
      <errorID>95bbbcf1-a773-4621-bd90-fac5de37c20e</errorID>
      <errorWord>国家林业局</errorWord>
      <group>L1_Knowledge</group>
      <groupName>知识性问题</groupName>
      <ability>L2_Organization</ability>
      <abilityName>机构检查</abilityName>
      <candidateList>
        <item>国家林业和草原局</item>
      </candidateList>
      <explain>2018年3月，中共中央印发了《深化党和国家机构改革方案》，将国家林业局的职责，整合到新组建的国家林业和草原局。</explain>
      <paraID>5D98339C</paraID>
      <start>34</start>
      <end>39</end>
      <status>ignored</status>
      <modifiedWord/>
      <trackRevisions>false</trackRevisions>
    </reviewItem>
    <reviewItem>
      <errorID>26a5dcc6-ea1d-4e54-962a-c86d0f57f10d</errorID>
      <errorWord>，</errorWord>
      <group>L1_Punc</group>
      <groupName>标点问题</groupName>
      <ability>L2_Punc</ability>
      <abilityName>标点符号检查</abilityName>
      <candidateList>
        <item>。</item>
      </candidateList>
      <explain/>
      <paraID>6C6B17B2</paraID>
      <start>70</start>
      <end>71</end>
      <status>ignored</status>
      <modifiedWord/>
      <trackRevisions>false</trackRevisions>
    </reviewItem>
    <reviewItem>
      <errorID>a03a2ff1-1995-4706-bb3a-8df87bd251fe</errorID>
      <errorWord>项目</errorWord>
      <group>L1_Punc</group>
      <groupName>标点问题</groupName>
      <ability>L2_Punc</ability>
      <abilityName>标点符号检查</abilityName>
      <candidateList>
        <item>，项目</item>
      </candidateList>
      <explain/>
      <paraID>6C6B17B2</paraID>
      <start>98</start>
      <end>101</end>
      <status>modified</status>
      <modifiedWord>，项目</modifiedWord>
      <trackRevisions>false</trackRevisions>
    </reviewItem>
    <reviewItem>
      <errorID>0fd6d8a2-e2aa-49ad-9e36-35fab60cfa6c</errorID>
      <errorWord>存在</errorWord>
      <group>L1_Word</group>
      <groupName>字词问题</groupName>
      <ability>L2_Typo</ability>
      <abilityName>字词错误</abilityName>
      <candidateList>
        <item>涉及</item>
      </candidateList>
      <explain/>
      <paraID>359C7CC9</paraID>
      <start>5</start>
      <end>7</end>
      <status>ignored</status>
      <modifiedWord/>
      <trackRevisions>false</trackRevisions>
    </reviewItem>
    <reviewItem>
      <errorID>25a38f33-2896-40e0-ba0d-ff9a2dd29c7b</errorID>
      <errorWord>存在</errorWord>
      <group>L1_Word</group>
      <groupName>字词问题</groupName>
      <ability>L2_Typo</ability>
      <abilityName>字词错误</abilityName>
      <candidateList>
        <item>涉及</item>
      </candidateList>
      <explain/>
      <paraID>64AF1EAC</paraID>
      <start>5</start>
      <end>7</end>
      <status>modified</status>
      <modifiedWord>涉及</modifiedWord>
      <trackRevisions>false</trackRevisions>
    </reviewItem>
    <reviewItem>
      <errorID>4d2fe1fe-2e49-4619-b53d-7bd76e86bbe2</errorID>
      <errorWord>排矸方式改变</errorWord>
      <group>L1_Word</group>
      <groupName>字词问题</groupName>
      <ability>L2_Typo</ability>
      <abilityName>字词错误</abilityName>
      <candidateList>
        <item>改变排矸方式</item>
      </candidateList>
      <explain/>
      <paraID> 9F5C49D</paraID>
      <start>4</start>
      <end>10</end>
      <status>modified</status>
      <modifiedWord>改变排矸方式</modifiedWord>
      <trackRevisions>false</trackRevisions>
    </reviewItem>
    <reviewItem>
      <errorID>1f6a0dcc-7750-4777-9fd8-9f9fa94a7dd9</errorID>
      <errorWord>4</errorWord>
      <group>L1_Word</group>
      <groupName>字词问题</groupName>
      <ability>L2_Typo</ability>
      <abilityName>字词错误</abilityName>
      <candidateList>
        <item>为4</item>
      </candidateList>
      <explain/>
      <paraID>4A900AFD</paraID>
      <start>46</start>
      <end>47</end>
      <status>ignored</status>
      <modifiedWord/>
      <trackRevisions>false</trackRevisions>
    </reviewItem>
    <reviewItem>
      <errorID>2829bd54-468e-420b-bc94-563851ad1575</errorID>
      <errorWord>2</errorWord>
      <group>L1_Word</group>
      <groupName>字词问题</groupName>
      <ability>L2_Typo</ability>
      <abilityName>字词错误</abilityName>
      <candidateList>
        <item>为2</item>
      </candidateList>
      <explain/>
      <paraID>4A900AFD</paraID>
      <start>72</start>
      <end>73</end>
      <status>ignored</status>
      <modifiedWord/>
      <trackRevisions>false</trackRevisions>
    </reviewItem>
    <reviewItem>
      <errorID>4f0a4332-0c69-455f-8d33-afb33c2bd757</errorID>
      <errorWord>，</errorWord>
      <group>L1_Punc</group>
      <groupName>标点问题</groupName>
      <ability>L2_Punc</ability>
      <abilityName>标点符号检查</abilityName>
      <candidateList>
        <item>、</item>
      </candidateList>
      <explain/>
      <paraID>4A900AFD</paraID>
      <start>84</start>
      <end>85</end>
      <status>ignored</status>
      <modifiedWord/>
      <trackRevisions>false</trackRevisions>
    </reviewItem>
    <reviewItem>
      <errorID>aabb401f-822b-4303-beaf-f3775ed5fba9</errorID>
      <errorWord>125790.00m2</errorWord>
      <group>L1_Other</group>
      <groupName>其他问题</groupName>
      <ability>L2_Consistency</ability>
      <abilityName>一致性检查</abilityName>
      <candidateList>
        <item>125790m2</item>
      </candidateList>
      <explain>数字一致性：文本中部分面积表述为整数形式，如105478m2、22985m2等，为保持数字一致性，应将125790.00m2改为125790m2</explain>
      <paraID>3E0FC0FF</paraID>
      <start>44</start>
      <end>55</end>
      <status>ignored</status>
      <modifiedWord/>
      <trackRevisions>false</trackRevisions>
    </reviewItem>
    <reviewItem>
      <errorID>b1058c0d-aa50-4b35-8cb6-fda4054ece68</errorID>
      <errorWord>道使用</errorWord>
      <group>L1_Grammar</group>
      <groupName>语法问题</groupName>
      <ability>L2_Grammar</ability>
      <abilityName>语法错误</abilityName>
      <candidateList>
        <item>道</item>
      </candidateList>
      <explain/>
      <paraID>661B4707</paraID>
      <start>33</start>
      <end>36</end>
      <status>ignored</status>
      <modifiedWord/>
      <trackRevisions>false</trackRevisions>
    </reviewItem>
    <reviewItem>
      <errorID>17fd4feb-b8bf-4f2a-8567-00aff740f3b0</errorID>
      <errorWord>纸</errorWord>
      <group>L1_Word</group>
      <groupName>字词问题</groupName>
      <ability>L2_Typo</ability>
      <abilityName>字词错误</abilityName>
      <candidateList>
        <item>纸箱</item>
      </candidateList>
      <explain/>
      <paraID>661B4707</paraID>
      <start>67</start>
      <end>68</end>
      <status>ignored</status>
      <modifiedWord/>
      <trackRevisions>false</trackRevisions>
    </reviewItem>
    <reviewItem>
      <errorID>5b7e6cd3-23fe-4a32-9d8d-9e26cea3be43</errorID>
      <errorWord>四条入</errorWord>
      <group>L1_Grammar</group>
      <groupName>语法问题</groupName>
      <ability>L2_Grammar</ability>
      <abilityName>语法错误</abilityName>
      <candidateList>
        <item>和东立风井、南立</item>
      </candidateList>
      <explain/>
      <paraID>17B891D6</paraID>
      <start>64</start>
      <end>67</end>
      <status>ignored</status>
      <modifiedWord/>
      <trackRevisions>false</trackRevisions>
    </reviewItem>
    <reviewItem>
      <errorID>b46646b9-a62e-4269-b830-338aa1253123</errorID>
      <errorWord>19800m</errorWord>
      <group>L1_Word</group>
      <groupName>字词问题</groupName>
      <ability>L2_Typo</ability>
      <abilityName>字词错误</abilityName>
      <candidateList>
        <item>为19800m</item>
      </candidateList>
      <explain/>
      <paraID>  A2E7B4</paraID>
      <start>11</start>
      <end>17</end>
      <status>ignored</status>
      <modifiedWord/>
      <trackRevisions>false</trackRevisions>
    </reviewItem>
    <reviewItem>
      <errorID>2bfe040b-f3ee-4a4b-bebb-6cdb0272237d</errorID>
      <errorWord>、等</errorWord>
      <group>L1_Punc</group>
      <groupName>标点问题</groupName>
      <ability>L2_Punc</ability>
      <abilityName>标点符号检查</abilityName>
      <candidateList>
        <item>等</item>
      </candidateList>
      <explain>“及”“和”“等”连词前不宜使用顿号，建议删除（或使用逗号）。</explain>
      <paraID>  A2E7B4</paraID>
      <start>48</start>
      <end>50</end>
      <status>ignored</status>
      <modifiedWord/>
      <trackRevisions>false</trackRevisions>
    </reviewItem>
    <reviewItem>
      <errorID>9fb7a4c3-1bee-4d67-bb9c-70df5a6754b3</errorID>
      <errorWord>、等</errorWord>
      <group>L1_Punc</group>
      <groupName>标点问题</groupName>
      <ability>L2_Punc</ability>
      <abilityName>标点符号检查</abilityName>
      <candidateList>
        <item>等</item>
      </candidateList>
      <explain>“及”“和”“等”连词前不宜使用顿号，建议删除（或使用逗号）。</explain>
      <paraID>  A2E7B4</paraID>
      <start>72</start>
      <end>74</end>
      <status>ignored</status>
      <modifiedWord/>
      <trackRevisions>false</trackRevisions>
    </reviewItem>
    <reviewItem>
      <errorID>da222a2e-aece-4193-911e-13eb3e81bd30</errorID>
      <errorWord>、等</errorWord>
      <group>L1_Punc</group>
      <groupName>标点问题</groupName>
      <ability>L2_Punc</ability>
      <abilityName>标点符号检查</abilityName>
      <candidateList>
        <item>等</item>
      </candidateList>
      <explain>“及”“和”“等”连词前不宜使用顿号，建议删除（或使用逗号）。</explain>
      <paraID>  A2E7B4</paraID>
      <start>100</start>
      <end>102</end>
      <status>ignored</status>
      <modifiedWord/>
      <trackRevisions>false</trackRevisions>
    </reviewItem>
    <reviewItem>
      <errorID>07edba22-15bb-4943-9d6f-f76f0b42b109</errorID>
      <errorWord>、等</errorWord>
      <group>L1_Punc</group>
      <groupName>标点问题</groupName>
      <ability>L2_Punc</ability>
      <abilityName>标点符号检查</abilityName>
      <candidateList>
        <item>等</item>
      </candidateList>
      <explain>“及”“和”“等”连词前不宜使用顿号，建议删除（或使用逗号）。</explain>
      <paraID>  A2E7B4</paraID>
      <start>124</start>
      <end>126</end>
      <status>ignored</status>
      <modifiedWord/>
      <trackRevisions>false</trackRevisions>
    </reviewItem>
    <reviewItem>
      <errorID>8d7d46ab-fc1e-4025-91d5-465409be5bf9</errorID>
      <errorWord>通风机2台</errorWord>
      <group>L1_Grammar</group>
      <groupName>语法问题</groupName>
      <ability>L2_Grammar</ability>
      <abilityName>语法错误</abilityName>
      <candidateList>
        <item>通风机</item>
      </candidateList>
      <explain/>
      <paraID> 49F8B82</paraID>
      <start>37</start>
      <end>40</end>
      <status>modified</status>
      <modifiedWord>通风机</modifiedWord>
      <trackRevisions>false</trackRevisions>
    </reviewItem>
    <reviewItem>
      <errorID>eaa2b5ba-262c-485a-b10f-3fa309cb5d23</errorID>
      <errorWord>FBCDZ</errorWord>
      <group>L1_Word</group>
      <groupName>字词问题</groupName>
      <ability>L2_Typo</ability>
      <abilityName>字词错误</abilityName>
      <candidateList>
        <item>为FBCDZ</item>
      </candidateList>
      <explain/>
      <paraID> 49F8B82</paraID>
      <start>63</start>
      <end>69</end>
      <status>modified</status>
      <modifiedWord>为FBCDZ</modifiedWord>
      <trackRevisions>false</trackRevisions>
    </reviewItem>
    <reviewItem>
      <errorID>83126e6c-c895-454a-9093-618a5bc2dcd6</errorID>
      <errorWord>主</errorWord>
      <group>L1_Word</group>
      <groupName>字词问题</groupName>
      <ability>L2_Typo</ability>
      <abilityName>字词错误</abilityName>
      <candidateList>
        <item>的主</item>
      </candidateList>
      <explain/>
      <paraID> 49F8B82</paraID>
      <start>82</start>
      <end>84</end>
      <status>modified</status>
      <modifiedWord>的主</modifiedWord>
      <trackRevisions>false</trackRevisions>
    </reviewItem>
    <reviewItem>
      <errorID>5706919d-a181-44d1-a3fc-bd89267df9f8</errorID>
      <errorWord>1KYN28A</errorWord>
      <group>L1_Word</group>
      <groupName>字词问题</groupName>
      <ability>L2_Typo</ability>
      <abilityName>字词错误</abilityName>
      <candidateList>
        <item>1台KYN28A</item>
      </candidateList>
      <explain/>
      <paraID>2A23CA9E</paraID>
      <start>102</start>
      <end>110</end>
      <status>modified</status>
      <modifiedWord>1台KYN28A</modifiedWord>
      <trackRevisions>false</trackRevisions>
    </reviewItem>
    <reviewItem>
      <errorID>c6268455-817d-4888-a28e-e361c743adbe</errorID>
      <errorWord>二台</errorWord>
      <group>L1_Word</group>
      <groupName>字词问题</groupName>
      <ability>L2_Typo</ability>
      <abilityName>字词错误</abilityName>
      <candidateList>
        <item>两台</item>
      </candidateList>
      <explain/>
      <paraID>2A23CA9E</paraID>
      <start>147</start>
      <end>149</end>
      <status>modified</status>
      <modifiedWord>两台</modifiedWord>
      <trackRevisions>false</trackRevisions>
    </reviewItem>
    <reviewItem>
      <errorID>c2fc8b51-1fc0-4a31-ad3b-a2eecfb071a4</errorID>
      <errorWord>水</errorWord>
      <group>L1_Word</group>
      <groupName>字词问题</groupName>
      <ability>L2_Typo</ability>
      <abilityName>字词错误</abilityName>
      <candidateList>
        <item>供水</item>
      </candidateList>
      <explain/>
      <paraID>2B848C20</paraID>
      <start>0</start>
      <end>2</end>
      <status>modified</status>
      <modifiedWord>供水</modifiedWord>
      <trackRevisions>false</trackRevisions>
    </reviewItem>
    <reviewItem>
      <errorID>7c9d977c-c91a-4aa1-80b2-0d9d128b4b13</errorID>
      <errorWord>垫道</errorWord>
      <group>L1_Word</group>
      <groupName>字词问题</groupName>
      <ability>L2_Typo</ability>
      <abilityName>字词错误</abilityName>
      <candidateList>
        <item>垫层</item>
      </candidateList>
      <explain/>
      <paraID>447B8A96</paraID>
      <start>125</start>
      <end>127</end>
      <status>ignored</status>
      <modifiedWord/>
      <trackRevisions>false</trackRevisions>
    </reviewItem>
    <reviewItem>
      <errorID>9662cb01-5890-457c-84b2-a9c3eaaf666e</errorID>
      <errorWord>混土浇筑</errorWord>
      <group>L1_Word</group>
      <groupName>字词问题</groupName>
      <ability>L2_Typo</ability>
      <abilityName>字词错误</abilityName>
      <candidateList>
        <item>混凝土浇筑</item>
      </candidateList>
      <explain/>
      <paraID>7EB90A3A</paraID>
      <start>71</start>
      <end>75</end>
      <status>ignored</status>
      <modifiedWord/>
      <trackRevisions>false</trackRevisions>
    </reviewItem>
    <reviewItem>
      <errorID>124e1dc3-87e9-4259-a537-f01f46e11c12</errorID>
      <errorWord>黑龙江全省</errorWord>
      <group>L1_Word</group>
      <groupName>字词问题</groupName>
      <ability>L2_Typo</ability>
      <abilityName>字词错误</abilityName>
      <candidateList>
        <item>黑龙江省</item>
      </candidateList>
      <explain/>
      <paraID>54898ADA</paraID>
      <start>30</start>
      <end>35</end>
      <status>ignored</status>
      <modifiedWord/>
      <trackRevisions>false</trackRevisions>
    </reviewItem>
    <reviewItem>
      <errorID>40bfff1a-9a38-4094-b8ed-5524993da648</errorID>
      <errorWord>二级三类</errorWord>
      <group>L1_Word</group>
      <groupName>字词问题</groupName>
      <ability>L2_Typo</ability>
      <abilityName>字词错误</abilityName>
      <candidateList>
        <item>三级两类</item>
      </candidateList>
      <explain/>
      <paraID>54898ADA</paraID>
      <start>71</start>
      <end>75</end>
      <status>ignored</status>
      <modifiedWord/>
      <trackRevisions>false</trackRevisions>
    </reviewItem>
    <reviewItem>
      <errorID>23708bfa-18d8-4fed-8266-5e9d1b9cdb31</errorID>
      <errorWord>开采的</errorWord>
      <group>L1_Word</group>
      <groupName>字词问题</groupName>
      <ability>L2_Typo</ability>
      <abilityName>字词错误</abilityName>
      <candidateList>
        <item>开采</item>
      </candidateList>
      <explain/>
      <paraID>49C2A95A</paraID>
      <start>120</start>
      <end>123</end>
      <status>ignored</status>
      <modifiedWord/>
      <trackRevisions>false</trackRevisions>
    </reviewItem>
    <reviewItem>
      <errorID>bfafd453-5412-4470-b8e2-1c2874432a80</errorID>
      <errorWord>以</errorWord>
      <group>L1_Word</group>
      <groupName>字词问题</groupName>
      <ability>L2_Typo</ability>
      <abilityName>字词错误</abilityName>
      <candidateList>
        <item>采用</item>
      </candidateList>
      <explain/>
      <paraID>35AF4262</paraID>
      <start>52</start>
      <end>53</end>
      <status>ignored</status>
      <modifiedWord/>
      <trackRevisions>false</trackRevisions>
    </reviewItem>
    <reviewItem>
      <errorID>d5778037-26b3-4896-a8d9-1bb5fa446566</errorID>
      <errorWord>栖</errorWord>
      <group>L1_Word</group>
      <groupName>字词问题</groupName>
      <ability>L2_Typo</ability>
      <abilityName>字词错误</abilityName>
      <candidateList>
        <item>栖息</item>
      </candidateList>
      <explain/>
      <paraID>3ED68141</paraID>
      <start>169</start>
      <end>171</end>
      <status>modified</status>
      <modifiedWord>栖息</modifiedWord>
      <trackRevisions>false</trackRevisions>
    </reviewItem>
    <reviewItem>
      <errorID>7a366fda-371f-402d-831f-d852d0829317</errorID>
      <errorWord>(</errorWord>
      <group>L1_Format</group>
      <groupName>格式问题</groupName>
      <ability>L2_HalfPunc</ability>
      <abilityName>全半角检查</abilityName>
      <candidateList>
        <item>（</item>
      </candidateList>
      <explain>文本全半角错误。</explain>
      <paraID>2323C6DF</paraID>
      <start>214</start>
      <end>215</end>
      <status>ignored</status>
      <modifiedWord/>
      <trackRevisions>false</trackRevisions>
    </reviewItem>
    <reviewItem>
      <errorID>fd889972-fd6d-43f2-b41d-05ab370dae90</errorID>
      <errorWord>)</errorWord>
      <group>L1_Format</group>
      <groupName>格式问题</groupName>
      <ability>L2_HalfPunc</ability>
      <abilityName>全半角检查</abilityName>
      <candidateList>
        <item>）</item>
      </candidateList>
      <explain>文本全半角错误。</explain>
      <paraID>2323C6DF</paraID>
      <start>226</start>
      <end>227</end>
      <status>ignored</status>
      <modifiedWord/>
      <trackRevisions>false</trackRevisions>
    </reviewItem>
    <reviewItem>
      <errorID>6c10c378-d35d-4511-8181-627fd065d9b6</errorID>
      <errorWord>（</errorWord>
      <group>L1_Format</group>
      <groupName>格式问题</groupName>
      <ability>L2_HalfPunc</ability>
      <abilityName>全半角检查</abilityName>
      <candidateList>
        <item>(</item>
      </candidateList>
      <explain>文本全半角错误。</explain>
      <paraID>45A346C7</paraID>
      <start>0</start>
      <end>1</end>
      <status>ignored</status>
      <modifiedWord/>
      <trackRevisions>false</trackRevisions>
    </reviewItem>
    <reviewItem>
      <errorID>ae06a526-aa38-420a-b779-430ef172b8b5</errorID>
      <errorWord>）</errorWord>
      <group>L1_Format</group>
      <groupName>格式问题</groupName>
      <ability>L2_HalfPunc</ability>
      <abilityName>全半角检查</abilityName>
      <candidateList>
        <item>)</item>
      </candidateList>
      <explain>文本全半角错误。</explain>
      <paraID>45A346C7</paraID>
      <start>6</start>
      <end>7</end>
      <status>ignored</status>
      <modifiedWord/>
      <trackRevisions>false</trackRevisions>
    </reviewItem>
    <reviewItem>
      <errorID>d3330da0-5b3a-4e43-a971-aa5a670f5794</errorID>
      <errorWord>（</errorWord>
      <group>L1_Format</group>
      <groupName>格式问题</groupName>
      <ability>L2_HalfPunc</ability>
      <abilityName>全半角检查</abilityName>
      <candidateList>
        <item>(</item>
      </candidateList>
      <explain>文本全半角错误。</explain>
      <paraID>126C2740</paraID>
      <start>0</start>
      <end>1</end>
      <status>ignored</status>
      <modifiedWord/>
      <trackRevisions>false</trackRevisions>
    </reviewItem>
    <reviewItem>
      <errorID>5c1ebfe3-31c0-495e-b4c8-7ebf5787ac22</errorID>
      <errorWord>）</errorWord>
      <group>L1_Format</group>
      <groupName>格式问题</groupName>
      <ability>L2_HalfPunc</ability>
      <abilityName>全半角检查</abilityName>
      <candidateList>
        <item>)</item>
      </candidateList>
      <explain>文本全半角错误。</explain>
      <paraID>126C2740</paraID>
      <start>6</start>
      <end>7</end>
      <status>ignored</status>
      <modifiedWord/>
      <trackRevisions>false</trackRevisions>
    </reviewItem>
    <reviewItem>
      <errorID>4eaf002e-8f63-46ba-900f-45589327939c</errorID>
      <errorWord>由</errorWord>
      <group>L1_Grammar</group>
      <groupName>语法问题</groupName>
      <ability>L2_Grammar</ability>
      <abilityName>语法错误</abilityName>
      <candidateList>
        <item>监测由</item>
      </candidateList>
      <explain/>
      <paraID>1B9751F9</paraID>
      <start>18</start>
      <end>19</end>
      <status>ignored</status>
      <modifiedWord/>
      <trackRevisions>false</trackRevisions>
    </reviewItem>
    <reviewItem>
      <errorID>7b020ad5-9a34-43a1-a34d-d9d3cbdb67a7</errorID>
      <errorWord>2025</errorWord>
      <group>L1_Word</group>
      <groupName>字词问题</groupName>
      <ability>L2_Typo</ability>
      <abilityName>字词错误</abilityName>
      <candidateList>
        <item>于2025</item>
      </candidateList>
      <explain/>
      <paraID>1B9751F9</paraID>
      <start>31</start>
      <end>35</end>
      <status>ignored</status>
      <modifiedWord/>
      <trackRevisions>false</trackRevisions>
    </reviewItem>
    <reviewItem>
      <errorID>3c79c2bb-1669-47b6-b93b-b2704a8f91b4</errorID>
      <errorWord>进行的现状监测</errorWord>
      <group>L1_Grammar</group>
      <groupName>语法问题</groupName>
      <ability>L2_Grammar</ability>
      <abilityName>语法错误</abilityName>
      <candidateList>
        <item>进行</item>
      </candidateList>
      <explain/>
      <paraID>1B9751F9</paraID>
      <start>43</start>
      <end>50</end>
      <status>ignored</status>
      <modifiedWord/>
      <trackRevisions>false</trackRevisions>
    </reviewItem>
    <reviewItem>
      <errorID>5c614716-60b3-454a-859e-5e67b60ea4a0</errorID>
      <errorWord>(</errorWord>
      <group>L1_Format</group>
      <groupName>格式问题</groupName>
      <ability>L2_HalfPunc</ability>
      <abilityName>全半角检查</abilityName>
      <candidateList>
        <item>（</item>
      </candidateList>
      <explain>文本全半角错误。</explain>
      <paraID>7A8B29FF</paraID>
      <start>38</start>
      <end>39</end>
      <status>ignored</status>
      <modifiedWord/>
      <trackRevisions>false</trackRevisions>
    </reviewItem>
    <reviewItem>
      <errorID>877cd77b-51c2-470c-ae5a-df1d7b62a3ea</errorID>
      <errorWord>)</errorWord>
      <group>L1_Format</group>
      <groupName>格式问题</groupName>
      <ability>L2_HalfPunc</ability>
      <abilityName>全半角检查</abilityName>
      <candidateList>
        <item>）</item>
      </candidateList>
      <explain>文本全半角错误。</explain>
      <paraID>7A8B29FF</paraID>
      <start>50</start>
      <end>51</end>
      <status>ignored</status>
      <modifiedWord/>
      <trackRevisions>false</trackRevisions>
    </reviewItem>
    <reviewItem>
      <errorID>9b2e02ec-0519-45a2-97a0-bdbce8080cc9</errorID>
      <errorWord>，</errorWord>
      <group>L1_Punc</group>
      <groupName>标点问题</groupName>
      <ability>L2_Punc</ability>
      <abilityName>标点符号检查</abilityName>
      <candidateList>
        <item>、</item>
      </candidateList>
      <explain/>
      <paraID> 3F439CB</paraID>
      <start>18</start>
      <end>19</end>
      <status>ignored</status>
      <modifiedWord/>
      <trackRevisions>false</trackRevisions>
    </reviewItem>
    <reviewItem>
      <errorID>473e3d6c-dc56-4153-bbc0-b255ffba3ae1</errorID>
      <errorWord>的地表</errorWord>
      <group>L1_Word</group>
      <groupName>字词问题</groupName>
      <ability>L2_Typo</ability>
      <abilityName>字词错误</abilityName>
      <candidateList>
        <item>地表在</item>
      </candidateList>
      <explain/>
      <paraID> 3F439CB</paraID>
      <start>21</start>
      <end>24</end>
      <status>modified</status>
      <modifiedWord>地表在</modifiedWord>
      <trackRevisions>false</trackRevisions>
    </reviewItem>
    <reviewItem>
      <errorID>387ea9eb-28ff-4267-a34f-2f62ea82089b</errorID>
      <errorWord>，</errorWord>
      <group>L1_Punc</group>
      <groupName>标点问题</groupName>
      <ability>L2_Punc</ability>
      <abilityName>标点符号检查</abilityName>
      <candidateList>
        <item>、</item>
      </candidateList>
      <explain/>
      <paraID> 3F439CB</paraID>
      <start>41</start>
      <end>42</end>
      <status>ignored</status>
      <modifiedWord/>
      <trackRevisions>false</trackRevisions>
    </reviewItem>
    <reviewItem>
      <errorID>71e3a34e-ad87-40d8-b513-bbee86224225</errorID>
      <errorWord>，</errorWord>
      <group>L1_Punc</group>
      <groupName>标点问题</groupName>
      <ability>L2_Punc</ability>
      <abilityName>标点符号检查</abilityName>
      <candidateList>
        <item>、</item>
      </candidateList>
      <explain/>
      <paraID> 3F439CB</paraID>
      <start>57</start>
      <end>58</end>
      <status>ignored</status>
      <modifiedWord/>
      <trackRevisions>false</trackRevisions>
    </reviewItem>
    <reviewItem>
      <errorID>f1182734-d24b-447d-8ae0-c290f0797d7e</errorID>
      <errorWord>，</errorWord>
      <group>L1_Punc</group>
      <groupName>标点问题</groupName>
      <ability>L2_Punc</ability>
      <abilityName>标点符号检查</abilityName>
      <candidateList>
        <item>、</item>
      </candidateList>
      <explain/>
      <paraID> 3F439CB</paraID>
      <start>69</start>
      <end>70</end>
      <status>ignored</status>
      <modifiedWord/>
      <trackRevisions>false</trackRevisions>
    </reviewItem>
    <reviewItem>
      <errorID>05202a98-c6f6-460f-a97d-c4882f5fd71e</errorID>
      <errorWord>～</errorWord>
      <group>L1_Format</group>
      <groupName>格式问题</groupName>
      <ability>L2_HalfPunc</ability>
      <abilityName>全半角检查</abilityName>
      <candidateList>
        <item>~</item>
      </candidateList>
      <explain>文本全半角错误。</explain>
      <paraID>1D388068</paraID>
      <start>2</start>
      <end>3</end>
      <status>ignored</status>
      <modifiedWord/>
      <trackRevisions>false</trackRevisions>
    </reviewItem>
    <reviewItem>
      <errorID>97ea35ae-fb6e-4e2a-9a8e-b69c6cc0a7d0</errorID>
      <errorWord>～</errorWord>
      <group>L1_Format</group>
      <groupName>格式问题</groupName>
      <ability>L2_HalfPunc</ability>
      <abilityName>全半角检查</abilityName>
      <candidateList>
        <item>~</item>
      </candidateList>
      <explain>文本全半角错误。</explain>
      <paraID>53204BD5</paraID>
      <start>2</start>
      <end>3</end>
      <status>ignored</status>
      <modifiedWord/>
      <trackRevisions>false</trackRevisions>
    </reviewItem>
    <reviewItem>
      <errorID>f7610589-ce72-46cd-8f6e-0bf8692fe2d3</errorID>
      <errorWord>～</errorWord>
      <group>L1_Format</group>
      <groupName>格式问题</groupName>
      <ability>L2_HalfPunc</ability>
      <abilityName>全半角检查</abilityName>
      <candidateList>
        <item>~</item>
      </candidateList>
      <explain>文本全半角错误。</explain>
      <paraID> 7E4B729</paraID>
      <start>2</start>
      <end>3</end>
      <status>ignored</status>
      <modifiedWord/>
      <trackRevisions>false</trackRevisions>
    </reviewItem>
    <reviewItem>
      <errorID>8ae62bda-8643-48a9-a498-89939a9ad5e3</errorID>
      <errorWord>～</errorWord>
      <group>L1_Format</group>
      <groupName>格式问题</groupName>
      <ability>L2_HalfPunc</ability>
      <abilityName>全半角检查</abilityName>
      <candidateList>
        <item>~</item>
      </candidateList>
      <explain>文本全半角错误。</explain>
      <paraID>54E0079A</paraID>
      <start>2</start>
      <end>3</end>
      <status>ignored</status>
      <modifiedWord/>
      <trackRevisions>false</trackRevisions>
    </reviewItem>
    <reviewItem>
      <errorID>db375fb6-20d1-4c44-ba29-0c0bb5cb55ff</errorID>
      <errorWord>～</errorWord>
      <group>L1_Format</group>
      <groupName>格式问题</groupName>
      <ability>L2_HalfPunc</ability>
      <abilityName>全半角检查</abilityName>
      <candidateList>
        <item>~</item>
      </candidateList>
      <explain>文本全半角错误。</explain>
      <paraID>408557E4</paraID>
      <start>2</start>
      <end>3</end>
      <status>ignored</status>
      <modifiedWord/>
      <trackRevisions>false</trackRevisions>
    </reviewItem>
    <reviewItem>
      <errorID>8bfd1ff0-1f14-44f9-a9e0-d1a8d85812df</errorID>
      <errorWord>～</errorWord>
      <group>L1_Format</group>
      <groupName>格式问题</groupName>
      <ability>L2_HalfPunc</ability>
      <abilityName>全半角检查</abilityName>
      <candidateList>
        <item>~</item>
      </candidateList>
      <explain>文本全半角错误。</explain>
      <paraID>7A32041B</paraID>
      <start>2</start>
      <end>3</end>
      <status>ignored</status>
      <modifiedWord/>
      <trackRevisions>false</trackRevisions>
    </reviewItem>
    <reviewItem>
      <errorID>df11e450-6c84-4e58-a5a8-c895b189c2d4</errorID>
      <errorWord>～</errorWord>
      <group>L1_Format</group>
      <groupName>格式问题</groupName>
      <ability>L2_HalfPunc</ability>
      <abilityName>全半角检查</abilityName>
      <candidateList>
        <item>~</item>
      </candidateList>
      <explain>文本全半角错误。</explain>
      <paraID>4FDFBCB8</paraID>
      <start>2</start>
      <end>3</end>
      <status>ignored</status>
      <modifiedWord/>
      <trackRevisions>false</trackRevisions>
    </reviewItem>
    <reviewItem>
      <errorID>e32cee24-18ba-4c2c-bfe9-829028b6f29d</errorID>
      <errorWord>～</errorWord>
      <group>L1_Format</group>
      <groupName>格式问题</groupName>
      <ability>L2_HalfPunc</ability>
      <abilityName>全半角检查</abilityName>
      <candidateList>
        <item>~</item>
      </candidateList>
      <explain>文本全半角错误。</explain>
      <paraID>23296E2B</paraID>
      <start>2</start>
      <end>3</end>
      <status>ignored</status>
      <modifiedWord/>
      <trackRevisions>false</trackRevisions>
    </reviewItem>
    <reviewItem>
      <errorID>4b66528a-ec61-41ff-8477-5e26b7b0df3d</errorID>
      <errorWord>～</errorWord>
      <group>L1_Format</group>
      <groupName>格式问题</groupName>
      <ability>L2_HalfPunc</ability>
      <abilityName>全半角检查</abilityName>
      <candidateList>
        <item>~</item>
      </candidateList>
      <explain>文本全半角错误。</explain>
      <paraID>26099FB8</paraID>
      <start>2</start>
      <end>3</end>
      <status>ignored</status>
      <modifiedWord/>
      <trackRevisions>false</trackRevisions>
    </reviewItem>
    <reviewItem>
      <errorID>9ee113b9-aff8-441d-bc37-bb2f759c4933</errorID>
      <errorWord>～</errorWord>
      <group>L1_Format</group>
      <groupName>格式问题</groupName>
      <ability>L2_HalfPunc</ability>
      <abilityName>全半角检查</abilityName>
      <candidateList>
        <item>~</item>
      </candidateList>
      <explain>文本全半角错误。</explain>
      <paraID> C939A84</paraID>
      <start>2</start>
      <end>3</end>
      <status>ignored</status>
      <modifiedWord/>
      <trackRevisions>false</trackRevisions>
    </reviewItem>
    <reviewItem>
      <errorID>b13cacb9-cf6b-4b17-a1af-3db548682b70</errorID>
      <errorWord>～</errorWord>
      <group>L1_Format</group>
      <groupName>格式问题</groupName>
      <ability>L2_HalfPunc</ability>
      <abilityName>全半角检查</abilityName>
      <candidateList>
        <item>~</item>
      </candidateList>
      <explain>文本全半角错误。</explain>
      <paraID>2E539B9E</paraID>
      <start>2</start>
      <end>3</end>
      <status>ignored</status>
      <modifiedWord/>
      <trackRevisions>false</trackRevisions>
    </reviewItem>
    <reviewItem>
      <errorID>b55b5c41-41ab-4545-85f9-b8233ef9806c</errorID>
      <errorWord>～</errorWord>
      <group>L1_Format</group>
      <groupName>格式问题</groupName>
      <ability>L2_HalfPunc</ability>
      <abilityName>全半角检查</abilityName>
      <candidateList>
        <item>~</item>
      </candidateList>
      <explain>文本全半角错误。</explain>
      <paraID>2114185C</paraID>
      <start>2</start>
      <end>3</end>
      <status>ignored</status>
      <modifiedWord/>
      <trackRevisions>false</trackRevisions>
    </reviewItem>
    <reviewItem>
      <errorID>cbd7dd76-defc-4b4a-b54f-174f5175e057</errorID>
      <errorWord>～</errorWord>
      <group>L1_Format</group>
      <groupName>格式问题</groupName>
      <ability>L2_HalfPunc</ability>
      <abilityName>全半角检查</abilityName>
      <candidateList>
        <item>~</item>
      </candidateList>
      <explain>文本全半角错误。</explain>
      <paraID>74ED4F95</paraID>
      <start>2</start>
      <end>3</end>
      <status>ignored</status>
      <modifiedWord/>
      <trackRevisions>false</trackRevisions>
    </reviewItem>
    <reviewItem>
      <errorID>7bc74ecc-61a1-4c20-82d9-4426f81ae908</errorID>
      <errorWord>～</errorWord>
      <group>L1_Format</group>
      <groupName>格式问题</groupName>
      <ability>L2_HalfPunc</ability>
      <abilityName>全半角检查</abilityName>
      <candidateList>
        <item>~</item>
      </candidateList>
      <explain>文本全半角错误。</explain>
      <paraID>24D13EE0</paraID>
      <start>2</start>
      <end>3</end>
      <status>ignored</status>
      <modifiedWord/>
      <trackRevisions>false</trackRevisions>
    </reviewItem>
    <reviewItem>
      <errorID>c6c9bb32-6a51-40b3-8ab4-08e6809c830c</errorID>
      <errorWord>～</errorWord>
      <group>L1_Format</group>
      <groupName>格式问题</groupName>
      <ability>L2_HalfPunc</ability>
      <abilityName>全半角检查</abilityName>
      <candidateList>
        <item>~</item>
      </candidateList>
      <explain>文本全半角错误。</explain>
      <paraID>724A8406</paraID>
      <start>2</start>
      <end>3</end>
      <status>ignored</status>
      <modifiedWord/>
      <trackRevisions>false</trackRevisions>
    </reviewItem>
    <reviewItem>
      <errorID>4c7ca294-f2ee-446f-926e-f293a399db87</errorID>
      <errorWord>～</errorWord>
      <group>L1_Format</group>
      <groupName>格式问题</groupName>
      <ability>L2_HalfPunc</ability>
      <abilityName>全半角检查</abilityName>
      <candidateList>
        <item>~</item>
      </candidateList>
      <explain>文本全半角错误。</explain>
      <paraID>36DAE60C</paraID>
      <start>2</start>
      <end>3</end>
      <status>ignored</status>
      <modifiedWord/>
      <trackRevisions>false</trackRevisions>
    </reviewItem>
    <reviewItem>
      <errorID>32e2fd3a-1ba7-4e07-a4c8-a757d876259e</errorID>
      <errorWord>(</errorWord>
      <group>L1_Format</group>
      <groupName>格式问题</groupName>
      <ability>L2_HalfPunc</ability>
      <abilityName>全半角检查</abilityName>
      <candidateList>
        <item>（</item>
      </candidateList>
      <explain>文本全半角错误。</explain>
      <paraID> 9977DC7</paraID>
      <start>91</start>
      <end>92</end>
      <status>ignored</status>
      <modifiedWord/>
      <trackRevisions>false</trackRevisions>
    </reviewItem>
    <reviewItem>
      <errorID>64515a4d-17fe-4b50-b105-10f698b69c9b</errorID>
      <errorWord>)</errorWord>
      <group>L1_Format</group>
      <groupName>格式问题</groupName>
      <ability>L2_HalfPunc</ability>
      <abilityName>全半角检查</abilityName>
      <candidateList>
        <item>）</item>
      </candidateList>
      <explain>文本全半角错误。</explain>
      <paraID> 9977DC7</paraID>
      <start>102</start>
      <end>103</end>
      <status>ignored</status>
      <modifiedWord/>
      <trackRevisions>false</trackRevisions>
    </reviewItem>
    <reviewItem>
      <errorID>f3662e64-3cae-452c-90f7-65781a9acd55</errorID>
      <errorWord>)</errorWord>
      <group>L1_Format</group>
      <groupName>格式问题</groupName>
      <ability>L2_HalfPunc</ability>
      <abilityName>全半角检查</abilityName>
      <candidateList>
        <item>）</item>
      </candidateList>
      <explain>文本全半角错误。</explain>
      <paraID>57CF983B</paraID>
      <start>24</start>
      <end>25</end>
      <status>ignored</status>
      <modifiedWord/>
      <trackRevisions>false</trackRevisions>
    </reviewItem>
    <reviewItem>
      <errorID>32cec58b-d1de-4d40-a01a-eed21897e2e9</errorID>
      <errorWord>)</errorWord>
      <group>L1_Format</group>
      <groupName>格式问题</groupName>
      <ability>L2_HalfPunc</ability>
      <abilityName>全半角检查</abilityName>
      <candidateList>
        <item>）</item>
      </candidateList>
      <explain>文本全半角错误。</explain>
      <paraID>520FF1F7</paraID>
      <start>39</start>
      <end>40</end>
      <status>ignored</status>
      <modifiedWord/>
      <trackRevisions>false</trackRevisions>
    </reviewItem>
    <reviewItem>
      <errorID>38ec1a70-255b-4688-8fe0-8635f4d15c03</errorID>
      <errorWord>)</errorWord>
      <group>L1_Format</group>
      <groupName>格式问题</groupName>
      <ability>L2_HalfPunc</ability>
      <abilityName>全半角检查</abilityName>
      <candidateList>
        <item>）</item>
      </candidateList>
      <explain>文本全半角错误。</explain>
      <paraID>48C26519</paraID>
      <start>36</start>
      <end>37</end>
      <status>ignored</status>
      <modifiedWord/>
      <trackRevisions>false</trackRevisions>
    </reviewItem>
    <reviewItem>
      <errorID>a98ac9c7-908e-4752-a10a-60a8eeec773b</errorID>
      <errorWord>)</errorWord>
      <group>L1_Format</group>
      <groupName>格式问题</groupName>
      <ability>L2_HalfPunc</ability>
      <abilityName>全半角检查</abilityName>
      <candidateList>
        <item>）</item>
      </candidateList>
      <explain>文本全半角错误。</explain>
      <paraID>5BAEC1FF</paraID>
      <start>20</start>
      <end>21</end>
      <status>ignored</status>
      <modifiedWord/>
      <trackRevisions>false</trackRevisions>
    </reviewItem>
    <reviewItem>
      <errorID>810c0382-ef54-4405-85d4-b57303441ed1</errorID>
      <errorWord>)</errorWord>
      <group>L1_Format</group>
      <groupName>格式问题</groupName>
      <ability>L2_HalfPunc</ability>
      <abilityName>全半角检查</abilityName>
      <candidateList>
        <item>）</item>
      </candidateList>
      <explain>文本全半角错误。</explain>
      <paraID>5A55453A</paraID>
      <start>27</start>
      <end>28</end>
      <status>ignored</status>
      <modifiedWord/>
      <trackRevisions>false</trackRevisions>
    </reviewItem>
    <reviewItem>
      <errorID>620aff4e-a76b-450c-a151-cc36f9e2baf0</errorID>
      <errorWord>)</errorWord>
      <group>L1_Format</group>
      <groupName>格式问题</groupName>
      <ability>L2_HalfPunc</ability>
      <abilityName>全半角检查</abilityName>
      <candidateList>
        <item>）</item>
      </candidateList>
      <explain>文本全半角错误。</explain>
      <paraID>144DAA00</paraID>
      <start>18</start>
      <end>19</end>
      <status>ignored</status>
      <modifiedWord/>
      <trackRevisions>false</trackRevisions>
    </reviewItem>
    <reviewItem>
      <errorID>bfe564e4-3d38-4064-ade0-925028dab916</errorID>
      <errorWord>（A）</errorWord>
      <group>L1_Punc</group>
      <groupName>标点问题</groupName>
      <ability>L2_Punc</ability>
      <abilityName>标点符号检查</abilityName>
      <candidateList>
        <item>(A)</item>
      </candidateList>
      <explain/>
      <paraID>543E5A97</paraID>
      <start>9</start>
      <end>12</end>
      <status>ignored</status>
      <modifiedWord/>
      <trackRevisions>false</trackRevisions>
    </reviewItem>
    <reviewItem>
      <errorID>f886e559-d2bf-45f2-af84-7e596e24be46</errorID>
      <errorWord>（A）</errorWord>
      <group>L1_Punc</group>
      <groupName>标点问题</groupName>
      <ability>L2_Punc</ability>
      <abilityName>标点符号检查</abilityName>
      <candidateList>
        <item>(A)</item>
      </candidateList>
      <explain/>
      <paraID>3210A868</paraID>
      <start>7</start>
      <end>10</end>
      <status>ignored</status>
      <modifiedWord/>
      <trackRevisions>false</trackRevisions>
    </reviewItem>
    <reviewItem>
      <errorID>57746967-7dc2-475d-994d-cc96d2589f3e</errorID>
      <errorWord>（</errorWord>
      <group>L1_Punc</group>
      <groupName>标点问题</groupName>
      <ability>L2_Punc</ability>
      <abilityName>标点符号检查</abilityName>
      <candidateList/>
      <explain>同一形式括号套用。</explain>
      <paraID>2DCDC1CA</paraID>
      <start>7</start>
      <end>8</end>
      <status>ignored</status>
      <modifiedWord/>
      <trackRevisions>false</trackRevisions>
    </reviewItem>
    <reviewItem>
      <errorID>09d1b091-9880-49e1-a1cd-e9144bd24922</errorID>
      <errorWord>）</errorWord>
      <group>L1_Punc</group>
      <groupName>标点问题</groupName>
      <ability>L2_Punc</ability>
      <abilityName>标点符号检查</abilityName>
      <candidateList/>
      <explain>同一形式括号套用。</explain>
      <paraID>2DCDC1CA</paraID>
      <start>9</start>
      <end>10</end>
      <status>ignored</status>
      <modifiedWord/>
      <trackRevisions>false</trackRevisions>
    </reviewItem>
    <reviewItem>
      <errorID>8767de44-bfa1-4618-bddc-eee1dd24f8cc</errorID>
      <errorWord>（</errorWord>
      <group>L1_Punc</group>
      <groupName>标点问题</groupName>
      <ability>L2_Punc</ability>
      <abilityName>标点符号检查</abilityName>
      <candidateList/>
      <explain>同一形式括号套用。</explain>
      <paraID>72BB3B28</paraID>
      <start>7</start>
      <end>8</end>
      <status>ignored</status>
      <modifiedWord/>
      <trackRevisions>false</trackRevisions>
    </reviewItem>
    <reviewItem>
      <errorID>993440a2-7678-4073-9229-e0671cf1d3f8</errorID>
      <errorWord>）</errorWord>
      <group>L1_Punc</group>
      <groupName>标点问题</groupName>
      <ability>L2_Punc</ability>
      <abilityName>标点符号检查</abilityName>
      <candidateList/>
      <explain>同一形式括号套用。</explain>
      <paraID>72BB3B28</paraID>
      <start>9</start>
      <end>10</end>
      <status>ignored</status>
      <modifiedWord/>
      <trackRevisions>false</trackRevisions>
    </reviewItem>
    <reviewItem>
      <errorID>685ffcc2-3eb2-4505-9672-4cab59c617eb</errorID>
      <errorWord>道使用</errorWord>
      <group>L1_Grammar</group>
      <groupName>语法问题</groupName>
      <ability>L2_Grammar</ability>
      <abilityName>语法错误</abilityName>
      <candidateList>
        <item>道</item>
      </candidateList>
      <explain/>
      <paraID>795767B4</paraID>
      <start>74</start>
      <end>77</end>
      <status>ignored</status>
      <modifiedWord/>
      <trackRevisions>false</trackRevisions>
    </reviewItem>
    <reviewItem>
      <errorID>7c7091c1-df88-4996-9943-7b51c49471d7</errorID>
      <errorWord>，</errorWord>
      <group>L1_Punc</group>
      <groupName>标点问题</groupName>
      <ability>L2_Punc</ability>
      <abilityName>标点符号检查</abilityName>
      <candidateList>
        <item>。</item>
      </candidateList>
      <explain/>
      <paraID>7AA3A8B9</paraID>
      <start>36</start>
      <end>37</end>
      <status>ignored</status>
      <modifiedWord/>
      <trackRevisions>false</trackRevisions>
    </reviewItem>
    <reviewItem>
      <errorID>99ff7c92-fc13-4632-a412-b37ddfbc7b7e</errorID>
      <errorWord>，</errorWord>
      <group>L1_Punc</group>
      <groupName>标点问题</groupName>
      <ability>L2_Punc</ability>
      <abilityName>标点符号检查</abilityName>
      <candidateList>
        <item>。</item>
      </candidateList>
      <explain/>
      <paraID>7AA3A8B9</paraID>
      <start>46</start>
      <end>47</end>
      <status>ignored</status>
      <modifiedWord/>
      <trackRevisions>false</trackRevisions>
    </reviewItem>
    <reviewItem>
      <errorID>6cd1d43f-abfb-4633-bf38-d157cbbaf474</errorID>
      <errorWord>，</errorWord>
      <group>L1_Punc</group>
      <groupName>标点问题</groupName>
      <ability>L2_Punc</ability>
      <abilityName>标点符号检查</abilityName>
      <candidateList>
        <item>。</item>
      </candidateList>
      <explain/>
      <paraID>7AA3A8B9</paraID>
      <start>79</start>
      <end>80</end>
      <status>ignored</status>
      <modifiedWord/>
      <trackRevisions>false</trackRevisions>
    </reviewItem>
    <reviewItem>
      <errorID>065eb8d3-b122-46eb-bf9c-d001c2bb12b9</errorID>
      <errorWord>项目</errorWord>
      <group>L1_Punc</group>
      <groupName>标点问题</groupName>
      <ability>L2_Punc</ability>
      <abilityName>标点符号检查</abilityName>
      <candidateList>
        <item>，项目</item>
      </candidateList>
      <explain/>
      <paraID>7AA3A8B9</paraID>
      <start>92</start>
      <end>95</end>
      <status>modified</status>
      <modifiedWord>，项目</modifiedWord>
      <trackRevisions>false</trackRevisions>
    </reviewItem>
    <reviewItem>
      <errorID>92fdab89-6b99-4123-8a62-361249cde33c</errorID>
      <errorWord>；</errorWord>
      <group>L1_Punc</group>
      <groupName>标点问题</groupName>
      <ability>L2_Punc</ability>
      <abilityName>标点符号检查</abilityName>
      <candidateList>
        <item>。</item>
      </candidateList>
      <explain/>
      <paraID>3980C15E</paraID>
      <start>45</start>
      <end>46</end>
      <status>ignored</status>
      <modifiedWord/>
      <trackRevisions>false</trackRevisions>
    </reviewItem>
    <reviewItem>
      <errorID>2ec00e79-4647-435b-9891-4b5fbcd97426</errorID>
      <errorWord>库存储</errorWord>
      <group>L1_Word</group>
      <groupName>字词问题</groupName>
      <ability>L2_Typo</ability>
      <abilityName>字词错误</abilityName>
      <candidateList>
        <item>库存放</item>
      </candidateList>
      <explain/>
      <paraID>3A33F4D0</paraID>
      <start>5</start>
      <end>8</end>
      <status>ignored</status>
      <modifiedWord/>
      <trackRevisions>false</trackRevisions>
    </reviewItem>
    <reviewItem>
      <errorID>f4385497-431d-4001-a00b-8f40e49a780e</errorID>
      <errorWord>存储</errorWord>
      <group>L1_Word</group>
      <groupName>字词问题</groupName>
      <ability>L2_Typo</ability>
      <abilityName>字词错误</abilityName>
      <candidateList>
        <item>储存</item>
      </candidateList>
      <explain/>
      <paraID>3A33F4D0</paraID>
      <start>24</start>
      <end>26</end>
      <status>ignored</status>
      <modifiedWord/>
      <trackRevisions>false</trackRevisions>
    </reviewItem>
    <reviewItem>
      <errorID>9715b942-802a-4146-9072-96cc2cec28f1</errorID>
      <errorWord>，</errorWord>
      <group>L1_Word</group>
      <groupName>字词问题</groupName>
      <ability>L2_Typo</ability>
      <abilityName>字词错误</abilityName>
      <candidateList>
        <item>，在</item>
      </candidateList>
      <explain/>
      <paraID>53D6C62A</paraID>
      <start>92</start>
      <end>94</end>
      <status>modified</status>
      <modifiedWord>，在</modifiedWord>
      <trackRevisions>false</trackRevisions>
    </reviewItem>
    <reviewItem>
      <errorID>a4228892-08f1-476a-a14e-b78d58e39ecf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799CA042</paraID>
      <start>99</start>
      <end>100</end>
      <status>ignored</status>
      <modifiedWord/>
      <trackRevisions>false</trackRevisions>
    </reviewItem>
    <reviewItem>
      <errorID>b163fb29-ee0c-4803-83b7-56a9f064ef0f</errorID>
      <errorWord> </errorWord>
      <group>L1_Punc</group>
      <groupName>标点问题</groupName>
      <ability>L2_Punc</ability>
      <abilityName>标点符号检查</abilityName>
      <candidateList>
        <item>  </item>
      </candidateList>
      <explain/>
      <paraID>799CA042</paraID>
      <start>120</start>
      <end>121</end>
      <status>ignored</status>
      <modifiedWord/>
      <trackRevisions>false</trackRevisions>
    </reviewItem>
    <reviewItem>
      <errorID>57af714b-46f9-4c82-b588-b5468b0ff7eb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799CA042</paraID>
      <start>176</start>
      <end>177</end>
      <status>ignored</status>
      <modifiedWord/>
      <trackRevisions>false</trackRevisions>
    </reviewItem>
    <reviewItem>
      <errorID>dacd24df-11fc-4c97-904c-343b8aed3952</errorID>
      <errorWord>施工</errorWord>
      <group>L1_Grammar</group>
      <groupName>语法问题</groupName>
      <ability>L2_Grammar</ability>
      <abilityName>语法错误</abilityName>
      <candidateList>
        <item>制定施工</item>
      </candidateList>
      <explain/>
      <paraID>6E5B2FC9</paraID>
      <start>9</start>
      <end>13</end>
      <status>modified</status>
      <modifiedWord>制定施工</modifiedWord>
      <trackRevisions>false</trackRevisions>
    </reviewItem>
    <reviewItem>
      <errorID>ab408bae-0000-48a0-8ce0-c3edaba24e99</errorID>
      <errorWord>。</errorWord>
      <group>L1_Grammar</group>
      <groupName>语法问题</groupName>
      <ability>L2_Grammar</ability>
      <abilityName>语法错误</abilityName>
      <candidateList>
        <item>进行处理。</item>
      </candidateList>
      <explain/>
      <paraID>2C985011</paraID>
      <start>33</start>
      <end>38</end>
      <status>modified</status>
      <modifiedWord>进行处理。</modifiedWord>
      <trackRevisions>false</trackRevisions>
    </reviewItem>
    <reviewItem>
      <errorID>9e5209ce-0ba5-4239-845b-ea4bc35d04f1</errorID>
      <errorWord>施工现场对</errorWord>
      <group>L1_Word</group>
      <groupName>字词问题</groupName>
      <ability>L2_Typo</ability>
      <abilityName>字词错误</abilityName>
      <candidateList>
        <item>施工现场</item>
      </candidateList>
      <explain/>
      <paraID>79D39DD8</paraID>
      <start>3</start>
      <end>7</end>
      <status>modified</status>
      <modifiedWord>施工现场</modifiedWord>
      <trackRevisions>false</trackRevisions>
    </reviewItem>
    <reviewItem>
      <errorID>bdf1e515-726d-4042-9ace-a986ad1732b0</errorID>
      <errorWord>用</errorWord>
      <group>L1_Grammar</group>
      <groupName>语法问题</groupName>
      <ability>L2_Grammar</ability>
      <abilityName>语法错误</abilityName>
      <candidateList>
        <item>应使用</item>
      </candidateList>
      <explain/>
      <paraID>79D39DD8</paraID>
      <start>44</start>
      <end>47</end>
      <status>modified</status>
      <modifiedWord>应使用</modifiedWord>
      <trackRevisions>false</trackRevisions>
    </reviewItem>
    <reviewItem>
      <errorID>f6ae9d76-8f87-42f3-ade7-edc797899054</errorID>
      <errorWord>，</errorWord>
      <group>L1_Grammar</group>
      <groupName>语法问题</groupName>
      <ability>L2_Grammar</ability>
      <abilityName>语法错误</abilityName>
      <candidateList>
        <item>运输，</item>
      </candidateList>
      <explain/>
      <paraID>79D39DD8</paraID>
      <start>58</start>
      <end>61</end>
      <status>modified</status>
      <modifiedWord>运输，</modifiedWord>
      <trackRevisions>false</trackRevisions>
    </reviewItem>
    <reviewItem>
      <errorID>7f39b527-8b6c-4a93-acf7-d24ff01546e6</errorID>
      <errorWord>抛洒</errorWord>
      <group>L1_Word</group>
      <groupName>字词问题</groupName>
      <ability>L2_Typo</ability>
      <abilityName>字词错误</abilityName>
      <candidateList>
        <item>抛撒</item>
      </candidateList>
      <explain/>
      <paraID>79D39DD8</paraID>
      <start>68</start>
      <end>70</end>
      <status>modified</status>
      <modifiedWord>抛撒</modifiedWord>
      <trackRevisions>false</trackRevisions>
    </reviewItem>
    <reviewItem>
      <errorID>d68465af-f495-4b0e-a84d-ddd94e04078d</errorID>
      <errorWord>设</errorWord>
      <group>L1_Grammar</group>
      <groupName>语法问题</groupName>
      <ability>L2_Grammar</ability>
      <abilityName>语法错误</abilityName>
      <candidateList>
        <item>应设置</item>
      </candidateList>
      <explain/>
      <paraID>713C7DA7</paraID>
      <start>7</start>
      <end>8</end>
      <status>ignored</status>
      <modifiedWord/>
      <trackRevisions>false</trackRevisions>
    </reviewItem>
    <reviewItem>
      <errorID>71fc2f77-d443-4e4e-bc70-160c50d580d3</errorID>
      <errorWord>收集</errorWord>
      <group>L1_Grammar</group>
      <groupName>语法问题</groupName>
      <ability>L2_Grammar</ability>
      <abilityName>语法错误</abilityName>
      <candidateList>
        <item>进行收集</item>
      </candidateList>
      <explain/>
      <paraID>713C7DA7</paraID>
      <start>12</start>
      <end>16</end>
      <status>modified</status>
      <modifiedWord>进行收集</modifiedWord>
      <trackRevisions>false</trackRevisions>
    </reviewItem>
    <reviewItem>
      <errorID>a3e8a277-a508-430b-b5bd-7af1cf8fd455</errorID>
      <errorWord>拟用由</errorWord>
      <group>L1_Word</group>
      <groupName>字词问题</groupName>
      <ability>L2_Typo</ability>
      <abilityName>字词错误</abilityName>
      <candidateList>
        <item>拟用</item>
      </candidateList>
      <explain/>
      <paraID>767A2668</paraID>
      <start>22</start>
      <end>24</end>
      <status>modified</status>
      <modifiedWord>拟用</modifiedWord>
      <trackRevisions>false</trackRevisions>
    </reviewItem>
    <reviewItem>
      <errorID>8e2d3d5e-f2af-4f86-9017-e88ead974945</errorID>
      <errorWord>施工时</errorWord>
      <group>L1_Word</group>
      <groupName>字词问题</groupName>
      <ability>L2_Typo</ability>
      <abilityName>字词错误</abilityName>
      <candidateList>
        <item>施工</item>
      </candidateList>
      <explain/>
      <paraID>1D6A26D7</paraID>
      <start>3</start>
      <end>5</end>
      <status>modified</status>
      <modifiedWord>施工</modifiedWord>
      <trackRevisions>false</trackRevisions>
    </reviewItem>
    <reviewItem>
      <errorID>183bf226-30c0-45dc-a4f0-51aecd411fb3</errorID>
      <errorWord>编制</errorWord>
      <group>L1_Word</group>
      <groupName>字词问题</groupName>
      <ability>L2_Typo</ability>
      <abilityName>字词错误</abilityName>
      <candidateList>
        <item>缴纳</item>
      </candidateList>
      <explain/>
      <paraID>1289EE89</paraID>
      <start>31</start>
      <end>33</end>
      <status>modified</status>
      <modifiedWord>缴纳</modifiedWord>
      <trackRevisions>false</trackRevisions>
    </reviewItem>
    <reviewItem>
      <errorID>e611927a-45f3-4ee1-862f-c92dee5d6201</errorID>
      <errorWord>剥离</errorWord>
      <group>L1_Word</group>
      <groupName>字词问题</groupName>
      <ability>L2_Typo</ability>
      <abilityName>字词错误</abilityName>
      <candidateList>
        <item>在剥离</item>
      </candidateList>
      <explain/>
      <paraID>1289EE89</paraID>
      <start>149</start>
      <end>152</end>
      <status>modified</status>
      <modifiedWord>在剥离</modifiedWord>
      <trackRevisions>false</trackRevisions>
    </reviewItem>
    <reviewItem>
      <errorID>875863a8-1c70-4d6f-b8ff-f0cd28e0b5e3</errorID>
      <errorWord>中耕</errorWord>
      <group>L1_Grammar</group>
      <groupName>语法问题</groupName>
      <ability>L2_Grammar</ability>
      <abilityName>语法错误</abilityName>
      <candidateList>
        <item>中，要保护耕</item>
      </candidateList>
      <explain/>
      <paraID>1289EE89</paraID>
      <start>161</start>
      <end>163</end>
      <status>ignored</status>
      <modifiedWord/>
      <trackRevisions>false</trackRevisions>
    </reviewItem>
    <reviewItem>
      <errorID>2afe7cec-6d2b-4b3f-b641-919d8c4592de</errorID>
      <errorWord>对于</errorWord>
      <group>L1_Word</group>
      <groupName>字词问题</groupName>
      <ability>L2_Typo</ability>
      <abilityName>字词错误</abilityName>
      <candidateList>
        <item>在利用</item>
      </candidateList>
      <explain/>
      <paraID>354A7FC9</paraID>
      <start>0</start>
      <end>2</end>
      <status>unmodified</status>
      <modifiedWord/>
      <trackRevisions>false</trackRevisions>
    </reviewItem>
    <reviewItem>
      <errorID>d0c7d278-d65f-4a8b-b285-72ae48ee1563</errorID>
      <errorWord>场地利用</errorWord>
      <group>L1_Grammar</group>
      <groupName>语法问题</groupName>
      <ability>L2_Grammar</ability>
      <abilityName>语法错误</abilityName>
      <candidateList>
        <item>场地</item>
      </candidateList>
      <explain/>
      <paraID>354A7FC9</paraID>
      <start>10</start>
      <end>14</end>
      <status>ignored</status>
      <modifiedWord/>
      <trackRevisions>false</trackRevisions>
    </reviewItem>
    <reviewItem>
      <errorID>ca181dbb-503d-44ec-9cc0-6e6493e459ce</errorID>
      <errorWord>土方</errorWord>
      <group>L1_Word</group>
      <groupName>字词问题</groupName>
      <ability>L2_Typo</ability>
      <abilityName>字词错误</abilityName>
      <candidateList>
        <item>的土方</item>
      </candidateList>
      <explain/>
      <paraID>354A7FC9</paraID>
      <start>36</start>
      <end>38</end>
      <status>ignored</status>
      <modifiedWord/>
      <trackRevisions>false</trackRevisions>
    </reviewItem>
    <reviewItem>
      <errorID>aad588d5-5fee-4cf2-a680-85cc490afa62</errorID>
      <errorWord>严格控制</errorWord>
      <group>L1_Grammar</group>
      <groupName>语法问题</groupName>
      <ability>L2_Grammar</ability>
      <abilityName>语法错误</abilityName>
      <candidateList>
        <item>中，严格控制</item>
      </candidateList>
      <explain/>
      <paraID>6A5E6C07</paraID>
      <start>49</start>
      <end>55</end>
      <status>modified</status>
      <modifiedWord>中，严格控制</modifiedWord>
      <trackRevisions>false</trackRevisions>
    </reviewItem>
    <reviewItem>
      <errorID>8737b3dc-2122-46ba-85b9-38f5f44f1296</errorID>
      <errorWord>：</errorWord>
      <group>L1_Word</group>
      <groupName>字词问题</groupName>
      <ability>L2_Typo</ability>
      <abilityName>字词错误</abilityName>
      <candidateList>
        <item>，如</item>
      </candidateList>
      <explain/>
      <paraID>60548084</paraID>
      <start>39</start>
      <end>40</end>
      <status>ignored</status>
      <modifiedWord/>
      <trackRevisions>false</trackRevisions>
    </reviewItem>
    <reviewItem>
      <errorID>aacb16f4-a334-4032-ada6-ff6a79159e02</errorID>
      <errorWord>、</errorWord>
      <group>L1_Punc</group>
      <groupName>标点问题</groupName>
      <ability>L2_Punc</ability>
      <abilityName>标点符号检查</abilityName>
      <candidateList>
        <item>，</item>
      </candidateList>
      <explain/>
      <paraID>60548084</paraID>
      <start>48</start>
      <end>49</end>
      <status>ignored</status>
      <modifiedWord/>
      <trackRevisions>false</trackRevisions>
    </reviewItem>
    <reviewItem>
      <errorID>c00ae45b-beb2-44d2-8880-b652a905fe92</errorID>
      <errorWord>其它</errorWord>
      <group>L1_Word</group>
      <groupName>字词问题</groupName>
      <ability>L2_Typo</ability>
      <abilityName>字词错误</abilityName>
      <candidateList>
        <item>其他</item>
      </candidateList>
      <explain/>
      <paraID>60548084</paraID>
      <start>62</start>
      <end>64</end>
      <status>ignored</status>
      <modifiedWord/>
      <trackRevisions>false</trackRevisions>
    </reviewItem>
    <reviewItem>
      <errorID>b37d6ac8-c579-4833-9b05-0e9c9341ad07</errorID>
      <errorWord>提高</errorWord>
      <group>L1_Grammar</group>
      <groupName>语法问题</groupName>
      <ability>L2_Grammar</ability>
      <abilityName>语法错误</abilityName>
      <candidateList>
        <item>增强</item>
      </candidateList>
      <explain>“提高～意识”搭配不当，建议修改为“增强～意识”。</explain>
      <paraID> 6870CFF</paraID>
      <start>1</start>
      <end>3</end>
      <status>ignored</status>
      <modifiedWord/>
      <trackRevisions>false</trackRevisions>
    </reviewItem>
    <reviewItem>
      <errorID>66639d16-485e-4c73-899b-02c416581fa2</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 76DE8E6</paraID>
      <start>3</start>
      <end>4</end>
      <status>modified</status>
      <modifiedWord>对</modifiedWord>
      <trackRevisions>false</trackRevisions>
    </reviewItem>
    <reviewItem>
      <errorID>7b26964b-be53-41c4-960e-2ea71a612e27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436B87C7</paraID>
      <start>96</start>
      <end>97</end>
      <status>ignored</status>
      <modifiedWord/>
      <trackRevisions>false</trackRevisions>
    </reviewItem>
    <reviewItem>
      <errorID>e2a695f0-d3b3-4772-963f-3d77fd794517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436B87C7</paraID>
      <start>173</start>
      <end>174</end>
      <status>ignored</status>
      <modifiedWord/>
      <trackRevisions>false</trackRevisions>
    </reviewItem>
    <reviewItem>
      <errorID>14d1e907-cabf-4b74-99b2-45f3745d49b4</errorID>
      <errorWord>提高</errorWord>
      <group>L1_Grammar</group>
      <groupName>语法问题</groupName>
      <ability>L2_Grammar</ability>
      <abilityName>语法错误</abilityName>
      <candidateList>
        <item>增强</item>
      </candidateList>
      <explain>“提高～意识”搭配不当，建议修改为“增强～意识”。</explain>
      <paraID>591CDC3E</paraID>
      <start>30</start>
      <end>32</end>
      <status>ignored</status>
      <modifiedWord/>
      <trackRevisions>false</trackRevisions>
    </reviewItem>
    <reviewItem>
      <errorID>25270732-1bb3-44be-b802-ee1df4343f84</errorID>
      <errorWord>（</errorWord>
      <group>L1_Format</group>
      <groupName>格式问题</groupName>
      <ability>L2_HalfPunc</ability>
      <abilityName>全半角检查</abilityName>
      <candidateList>
        <item>(</item>
      </candidateList>
      <explain>文本全半角错误。</explain>
      <paraID>4084BCB1</paraID>
      <start>0</start>
      <end>1</end>
      <status>ignored</status>
      <modifiedWord/>
      <trackRevisions>false</trackRevisions>
    </reviewItem>
    <reviewItem>
      <errorID>22beebe4-d93f-4933-91d7-d9a167d75476</errorID>
      <errorWord>）</errorWord>
      <group>L1_Format</group>
      <groupName>格式问题</groupName>
      <ability>L2_HalfPunc</ability>
      <abilityName>全半角检查</abilityName>
      <candidateList>
        <item>)</item>
      </candidateList>
      <explain>文本全半角错误。</explain>
      <paraID>4084BCB1</paraID>
      <start>13</start>
      <end>14</end>
      <status>ignored</status>
      <modifiedWord/>
      <trackRevisions>false</trackRevisions>
    </reviewItem>
    <reviewItem>
      <errorID>024a5470-d975-4d62-acd0-9264655f64e6</errorID>
      <errorWord>有效地</errorWord>
      <group>L1_Word</group>
      <groupName>字词问题</groupName>
      <ability>L2_Typo</ability>
      <abilityName>字词错误</abilityName>
      <candidateList>
        <item>有效</item>
      </candidateList>
      <explain/>
      <paraID>76AD8A0C</paraID>
      <start>60</start>
      <end>62</end>
      <status>modified</status>
      <modifiedWord>有效</modifiedWord>
      <trackRevisions>false</trackRevisions>
    </reviewItem>
  </reviewItems>
  <config/>
</contractReview>
</file>

<file path=customXml/itemProps1.xml><?xml version="1.0" encoding="utf-8"?>
<ds:datastoreItem xmlns:ds="http://schemas.openxmlformats.org/officeDocument/2006/customXml" ds:itemID="{af19f9ea-f9df-4159-a50c-b8c6a138166f}">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74</Pages>
  <Words>4284</Words>
  <Characters>4626</Characters>
  <Lines>210</Lines>
  <Paragraphs>59</Paragraphs>
  <TotalTime>16</TotalTime>
  <ScaleCrop>false</ScaleCrop>
  <LinksUpToDate>false</LinksUpToDate>
  <CharactersWithSpaces>4677</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2022-02-19T13:46:00Z</dcterms:created>
  <dc:creator>lhj</dc:creator>
  <cp:lastModifiedBy>高宇</cp:lastModifiedBy>
  <cp:lastPrinted>2021-11-09T01:24:00Z</cp:lastPrinted>
  <dcterms:modified xsi:type="dcterms:W3CDTF">2026-06-15T08:18:50Z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D5485353386146B59C5139CC32E18865_12</vt:lpwstr>
  </property>
  <property fmtid="{D5CDD505-2E9C-101B-9397-08002B2CF9AE}" pid="4" name="KSOTemplateDocerSaveRecord">
    <vt:lpwstr>eyJoZGlkIjoiMDNmNGZiNzQwYWEyZDYyMzg1NTk2NzdiMjM1MGU0NzQiLCJ1c2VySWQiOiIxNDQ2Njk4ODcwIn0=</vt:lpwstr>
  </property>
</Properties>
</file>