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B1C32D">
      <w:pPr>
        <w:rPr>
          <w:rFonts w:eastAsia="仿宋_GB2312"/>
          <w:color w:val="auto"/>
          <w:sz w:val="36"/>
          <w:szCs w:val="36"/>
          <w:highlight w:val="none"/>
        </w:rPr>
      </w:pPr>
    </w:p>
    <w:p w14:paraId="1F5496D3">
      <w:pPr>
        <w:rPr>
          <w:rFonts w:eastAsia="仿宋_GB2312"/>
          <w:color w:val="auto"/>
          <w:sz w:val="36"/>
          <w:szCs w:val="36"/>
          <w:highlight w:val="none"/>
        </w:rPr>
      </w:pPr>
    </w:p>
    <w:p w14:paraId="1D6EB548">
      <w:pPr>
        <w:rPr>
          <w:rFonts w:eastAsia="仿宋_GB2312"/>
          <w:color w:val="auto"/>
          <w:sz w:val="36"/>
          <w:szCs w:val="36"/>
          <w:highlight w:val="none"/>
        </w:rPr>
      </w:pPr>
    </w:p>
    <w:p w14:paraId="79730D4E">
      <w:pPr>
        <w:rPr>
          <w:rFonts w:eastAsia="仿宋_GB2312"/>
          <w:color w:val="auto"/>
          <w:sz w:val="36"/>
          <w:szCs w:val="36"/>
          <w:highlight w:val="none"/>
        </w:rPr>
      </w:pPr>
    </w:p>
    <w:p w14:paraId="1B3BD4C8">
      <w:pPr>
        <w:rPr>
          <w:rFonts w:eastAsia="仿宋_GB2312"/>
          <w:color w:val="auto"/>
          <w:sz w:val="36"/>
          <w:szCs w:val="36"/>
          <w:highlight w:val="none"/>
        </w:rPr>
      </w:pPr>
    </w:p>
    <w:p w14:paraId="62B97CC2">
      <w:pPr>
        <w:adjustRightInd w:val="0"/>
        <w:snapToGrid w:val="0"/>
        <w:jc w:val="center"/>
        <w:outlineLvl w:val="0"/>
        <w:rPr>
          <w:rFonts w:eastAsia="方正小标宋_GBK"/>
          <w:bCs/>
          <w:color w:val="auto"/>
          <w:sz w:val="72"/>
          <w:szCs w:val="72"/>
          <w:highlight w:val="none"/>
        </w:rPr>
      </w:pPr>
      <w:bookmarkStart w:id="0" w:name="_Toc2042"/>
      <w:bookmarkStart w:id="1" w:name="_Toc845"/>
      <w:bookmarkStart w:id="2" w:name="_Toc80034800"/>
      <w:bookmarkStart w:id="3" w:name="_Toc17705"/>
      <w:bookmarkStart w:id="4" w:name="_Toc16572"/>
      <w:bookmarkStart w:id="5" w:name="_Toc24661"/>
      <w:bookmarkStart w:id="6" w:name="_Toc15511"/>
      <w:bookmarkStart w:id="7" w:name="_Toc18176"/>
      <w:bookmarkStart w:id="8" w:name="_Toc9039"/>
      <w:bookmarkStart w:id="9" w:name="_Toc26312"/>
      <w:bookmarkStart w:id="10" w:name="_Toc8828"/>
      <w:r>
        <w:rPr>
          <w:rFonts w:eastAsia="方正小标宋_GBK"/>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p>
    <w:p w14:paraId="5F0BAA46">
      <w:pPr>
        <w:adjustRightInd w:val="0"/>
        <w:snapToGrid w:val="0"/>
        <w:spacing w:beforeLines="80"/>
        <w:jc w:val="center"/>
        <w:rPr>
          <w:rFonts w:eastAsia="楷体_GB2312"/>
          <w:bCs/>
          <w:color w:val="auto"/>
          <w:sz w:val="48"/>
          <w:szCs w:val="48"/>
          <w:highlight w:val="none"/>
        </w:rPr>
      </w:pPr>
      <w:r>
        <w:rPr>
          <w:rFonts w:eastAsia="楷体_GB2312"/>
          <w:bCs/>
          <w:color w:val="auto"/>
          <w:sz w:val="48"/>
          <w:szCs w:val="48"/>
          <w:highlight w:val="none"/>
        </w:rPr>
        <w:t>（污染影响类）</w:t>
      </w:r>
    </w:p>
    <w:p w14:paraId="22FA80F9">
      <w:pPr>
        <w:adjustRightInd w:val="0"/>
        <w:snapToGrid w:val="0"/>
        <w:spacing w:beforeLines="80"/>
        <w:jc w:val="center"/>
        <w:rPr>
          <w:rFonts w:eastAsia="楷体_GB2312"/>
          <w:bCs/>
          <w:color w:val="auto"/>
          <w:sz w:val="48"/>
          <w:szCs w:val="48"/>
          <w:highlight w:val="none"/>
        </w:rPr>
      </w:pPr>
      <w:bookmarkStart w:id="125" w:name="_GoBack"/>
      <w:bookmarkEnd w:id="125"/>
    </w:p>
    <w:p w14:paraId="5C553E47">
      <w:pPr>
        <w:rPr>
          <w:color w:val="auto"/>
          <w:highlight w:val="none"/>
        </w:rPr>
      </w:pPr>
    </w:p>
    <w:p w14:paraId="3E112BA8">
      <w:pPr>
        <w:jc w:val="center"/>
        <w:rPr>
          <w:rFonts w:eastAsia="仿宋"/>
          <w:color w:val="auto"/>
          <w:sz w:val="52"/>
          <w:szCs w:val="52"/>
          <w:highlight w:val="none"/>
        </w:rPr>
      </w:pPr>
    </w:p>
    <w:p w14:paraId="7D58E232">
      <w:pPr>
        <w:ind w:firstLine="1040"/>
        <w:rPr>
          <w:rFonts w:eastAsia="仿宋"/>
          <w:color w:val="auto"/>
          <w:sz w:val="44"/>
          <w:szCs w:val="44"/>
          <w:highlight w:val="none"/>
        </w:rPr>
      </w:pPr>
    </w:p>
    <w:p w14:paraId="4244000C">
      <w:pPr>
        <w:ind w:firstLine="1040"/>
        <w:rPr>
          <w:rFonts w:eastAsia="仿宋"/>
          <w:color w:val="auto"/>
          <w:sz w:val="44"/>
          <w:szCs w:val="44"/>
          <w:highlight w:val="none"/>
        </w:rPr>
      </w:pPr>
    </w:p>
    <w:p w14:paraId="37AF6B6E">
      <w:pPr>
        <w:ind w:firstLine="1040"/>
        <w:rPr>
          <w:rFonts w:eastAsia="仿宋"/>
          <w:color w:val="auto"/>
          <w:sz w:val="44"/>
          <w:szCs w:val="44"/>
          <w:highlight w:val="none"/>
        </w:rPr>
      </w:pPr>
    </w:p>
    <w:p w14:paraId="456B400D">
      <w:pPr>
        <w:ind w:firstLine="1040"/>
        <w:rPr>
          <w:rFonts w:eastAsia="仿宋"/>
          <w:color w:val="auto"/>
          <w:sz w:val="44"/>
          <w:szCs w:val="44"/>
          <w:highlight w:val="none"/>
        </w:rPr>
      </w:pPr>
    </w:p>
    <w:p w14:paraId="4998495D">
      <w:pPr>
        <w:adjustRightInd w:val="0"/>
        <w:snapToGrid w:val="0"/>
        <w:spacing w:line="560" w:lineRule="exact"/>
        <w:ind w:left="2230" w:leftChars="300" w:hanging="1600" w:hangingChars="500"/>
        <w:rPr>
          <w:color w:val="auto"/>
          <w:sz w:val="32"/>
          <w:szCs w:val="32"/>
          <w:highlight w:val="none"/>
          <w:u w:val="single"/>
        </w:rPr>
      </w:pPr>
      <w:r>
        <w:rPr>
          <w:color w:val="auto"/>
          <w:sz w:val="32"/>
          <w:szCs w:val="32"/>
          <w:highlight w:val="none"/>
        </w:rPr>
        <w:t>项目名称：</w:t>
      </w:r>
      <w:r>
        <w:rPr>
          <w:rFonts w:hint="eastAsia"/>
          <w:color w:val="auto"/>
          <w:sz w:val="32"/>
          <w:szCs w:val="32"/>
          <w:highlight w:val="none"/>
          <w:u w:val="single"/>
        </w:rPr>
        <w:t>鸡西市焦诚矸石加工厂固废资源利用项目</w:t>
      </w:r>
    </w:p>
    <w:p w14:paraId="59765249">
      <w:pPr>
        <w:adjustRightInd w:val="0"/>
        <w:snapToGrid w:val="0"/>
        <w:spacing w:line="560" w:lineRule="exact"/>
        <w:ind w:left="3510" w:leftChars="300" w:hanging="2880" w:hangingChars="900"/>
        <w:rPr>
          <w:color w:val="auto"/>
          <w:sz w:val="32"/>
          <w:szCs w:val="32"/>
          <w:highlight w:val="none"/>
        </w:rPr>
      </w:pPr>
      <w:r>
        <w:rPr>
          <w:color w:val="auto"/>
          <w:sz w:val="32"/>
          <w:szCs w:val="32"/>
          <w:highlight w:val="none"/>
        </w:rPr>
        <w:t>建设单位：</w:t>
      </w:r>
      <w:r>
        <w:rPr>
          <w:rFonts w:hint="eastAsia"/>
          <w:color w:val="auto"/>
          <w:sz w:val="32"/>
          <w:szCs w:val="32"/>
          <w:highlight w:val="none"/>
          <w:u w:val="single"/>
        </w:rPr>
        <w:t>鸡西市焦诚矸石加工厂</w:t>
      </w:r>
    </w:p>
    <w:p w14:paraId="3CCB15B9">
      <w:pPr>
        <w:adjustRightInd w:val="0"/>
        <w:snapToGrid w:val="0"/>
        <w:spacing w:line="560" w:lineRule="exact"/>
        <w:ind w:left="630" w:leftChars="300"/>
        <w:rPr>
          <w:color w:val="auto"/>
          <w:sz w:val="32"/>
          <w:szCs w:val="32"/>
          <w:highlight w:val="none"/>
          <w:u w:val="single"/>
        </w:rPr>
      </w:pPr>
      <w:r>
        <w:rPr>
          <w:color w:val="auto"/>
          <w:sz w:val="32"/>
          <w:szCs w:val="32"/>
          <w:highlight w:val="none"/>
        </w:rPr>
        <w:t>编制日期：</w:t>
      </w:r>
      <w:r>
        <w:rPr>
          <w:color w:val="auto"/>
          <w:sz w:val="32"/>
          <w:szCs w:val="32"/>
          <w:highlight w:val="none"/>
          <w:u w:val="single"/>
        </w:rPr>
        <w:t xml:space="preserve">        202</w:t>
      </w:r>
      <w:r>
        <w:rPr>
          <w:rFonts w:hint="eastAsia"/>
          <w:color w:val="auto"/>
          <w:sz w:val="32"/>
          <w:szCs w:val="32"/>
          <w:highlight w:val="none"/>
          <w:u w:val="single"/>
        </w:rPr>
        <w:t>6</w:t>
      </w:r>
      <w:r>
        <w:rPr>
          <w:color w:val="auto"/>
          <w:sz w:val="32"/>
          <w:szCs w:val="32"/>
          <w:highlight w:val="none"/>
          <w:u w:val="single"/>
        </w:rPr>
        <w:t>年</w:t>
      </w:r>
      <w:r>
        <w:rPr>
          <w:rFonts w:hint="eastAsia"/>
          <w:color w:val="auto"/>
          <w:sz w:val="32"/>
          <w:szCs w:val="32"/>
          <w:highlight w:val="none"/>
          <w:u w:val="single"/>
        </w:rPr>
        <w:t>3</w:t>
      </w:r>
      <w:r>
        <w:rPr>
          <w:color w:val="auto"/>
          <w:sz w:val="32"/>
          <w:szCs w:val="32"/>
          <w:highlight w:val="none"/>
          <w:u w:val="single"/>
        </w:rPr>
        <w:t xml:space="preserve">月           </w:t>
      </w:r>
    </w:p>
    <w:p w14:paraId="48AA12A9">
      <w:pPr>
        <w:adjustRightInd w:val="0"/>
        <w:snapToGrid w:val="0"/>
        <w:spacing w:line="560" w:lineRule="exact"/>
        <w:ind w:firstLine="1040"/>
        <w:rPr>
          <w:rFonts w:eastAsia="仿宋_GB2312"/>
          <w:color w:val="auto"/>
          <w:sz w:val="36"/>
          <w:szCs w:val="36"/>
          <w:highlight w:val="none"/>
          <w:u w:val="single"/>
        </w:rPr>
      </w:pPr>
      <w:bookmarkStart w:id="11" w:name="_Hlk57884087"/>
    </w:p>
    <w:p w14:paraId="49643828">
      <w:pPr>
        <w:adjustRightInd w:val="0"/>
        <w:snapToGrid w:val="0"/>
        <w:spacing w:line="288" w:lineRule="auto"/>
        <w:ind w:firstLine="1040"/>
        <w:rPr>
          <w:rFonts w:eastAsia="仿宋_GB2312"/>
          <w:color w:val="auto"/>
          <w:sz w:val="36"/>
          <w:szCs w:val="36"/>
          <w:highlight w:val="none"/>
        </w:rPr>
      </w:pPr>
    </w:p>
    <w:bookmarkEnd w:id="11"/>
    <w:p w14:paraId="4EA31BFF">
      <w:pPr>
        <w:adjustRightInd/>
        <w:snapToGrid/>
        <w:spacing w:line="240" w:lineRule="auto"/>
        <w:jc w:val="left"/>
        <w:outlineLvl w:val="9"/>
        <w:rPr>
          <w:color w:val="auto"/>
          <w:highlight w:val="none"/>
        </w:rPr>
      </w:pPr>
      <w:bookmarkStart w:id="12" w:name="_Toc26063"/>
      <w:bookmarkStart w:id="13" w:name="_Toc5055"/>
      <w:bookmarkStart w:id="14" w:name="_Toc11203"/>
      <w:bookmarkStart w:id="15" w:name="_Toc28236"/>
    </w:p>
    <w:p w14:paraId="4192CD65">
      <w:pPr>
        <w:adjustRightInd/>
        <w:snapToGrid/>
        <w:spacing w:line="240" w:lineRule="auto"/>
        <w:jc w:val="left"/>
        <w:outlineLvl w:val="9"/>
        <w:rPr>
          <w:color w:val="auto"/>
          <w:highlight w:val="none"/>
        </w:rPr>
      </w:pPr>
    </w:p>
    <w:p w14:paraId="3AF2E0FC">
      <w:pPr>
        <w:adjustRightInd/>
        <w:snapToGrid/>
        <w:spacing w:line="240" w:lineRule="auto"/>
        <w:jc w:val="left"/>
        <w:outlineLvl w:val="9"/>
        <w:rPr>
          <w:color w:val="auto"/>
          <w:highlight w:val="none"/>
        </w:rPr>
      </w:pPr>
    </w:p>
    <w:p w14:paraId="197E4AB6">
      <w:pPr>
        <w:adjustRightInd/>
        <w:snapToGrid/>
        <w:spacing w:line="240" w:lineRule="auto"/>
        <w:jc w:val="left"/>
        <w:outlineLvl w:val="9"/>
        <w:rPr>
          <w:color w:val="auto"/>
          <w:highlight w:val="none"/>
        </w:rPr>
      </w:pPr>
    </w:p>
    <w:p w14:paraId="77BFCEA8">
      <w:pPr>
        <w:adjustRightInd/>
        <w:snapToGrid/>
        <w:spacing w:line="240" w:lineRule="auto"/>
        <w:jc w:val="left"/>
        <w:outlineLvl w:val="9"/>
        <w:rPr>
          <w:color w:val="auto"/>
          <w:highlight w:val="none"/>
        </w:rPr>
      </w:pPr>
    </w:p>
    <w:p w14:paraId="6A4FE937">
      <w:pPr>
        <w:adjustRightInd w:val="0"/>
        <w:snapToGrid w:val="0"/>
        <w:spacing w:line="288" w:lineRule="auto"/>
        <w:jc w:val="center"/>
        <w:outlineLvl w:val="0"/>
        <w:rPr>
          <w:rFonts w:eastAsia="楷体_GB2312"/>
          <w:color w:val="auto"/>
          <w:sz w:val="36"/>
          <w:szCs w:val="36"/>
          <w:highlight w:val="none"/>
        </w:rPr>
      </w:pPr>
      <w:r>
        <w:rPr>
          <w:rFonts w:eastAsia="楷体_GB2312"/>
          <w:color w:val="auto"/>
          <w:sz w:val="36"/>
          <w:szCs w:val="36"/>
          <w:highlight w:val="none"/>
        </w:rPr>
        <w:t>中华人民共和国生态环境部制</w:t>
      </w:r>
      <w:bookmarkEnd w:id="12"/>
      <w:bookmarkEnd w:id="13"/>
      <w:bookmarkEnd w:id="14"/>
      <w:bookmarkEnd w:id="15"/>
    </w:p>
    <w:p w14:paraId="6BCAEC82">
      <w:pPr>
        <w:adjustRightInd w:val="0"/>
        <w:snapToGrid w:val="0"/>
        <w:spacing w:line="288" w:lineRule="auto"/>
        <w:jc w:val="center"/>
        <w:rPr>
          <w:rFonts w:eastAsia="楷体_GB2312"/>
          <w:color w:val="auto"/>
          <w:sz w:val="36"/>
          <w:szCs w:val="36"/>
          <w:highlight w:val="none"/>
        </w:rPr>
      </w:pPr>
    </w:p>
    <w:p w14:paraId="17F4AF65">
      <w:pPr>
        <w:rPr>
          <w:rFonts w:eastAsia="仿宋_GB2312"/>
          <w:color w:val="auto"/>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color w:val="auto"/>
          <w:kern w:val="0"/>
          <w:sz w:val="48"/>
          <w:szCs w:val="48"/>
          <w:highlight w:val="none"/>
        </w:rPr>
        <w:br w:type="page"/>
      </w:r>
    </w:p>
    <w:p w14:paraId="08EC727F">
      <w:pPr>
        <w:pStyle w:val="19"/>
        <w:adjustRightInd w:val="0"/>
        <w:snapToGrid w:val="0"/>
        <w:spacing w:before="0" w:beforeAutospacing="0" w:after="0" w:afterAutospacing="0" w:line="360" w:lineRule="auto"/>
        <w:jc w:val="center"/>
        <w:outlineLvl w:val="0"/>
        <w:rPr>
          <w:color w:val="auto"/>
          <w:highlight w:val="none"/>
        </w:rPr>
      </w:pPr>
      <w:bookmarkStart w:id="16" w:name="_Toc17051"/>
      <w:bookmarkStart w:id="17" w:name="_Toc26304"/>
      <w:bookmarkStart w:id="18" w:name="_Toc15634"/>
      <w:bookmarkStart w:id="19" w:name="_Toc32078"/>
      <w:bookmarkStart w:id="20" w:name="_Toc30706"/>
      <w:r>
        <w:rPr>
          <w:color w:val="auto"/>
          <w:highlight w:val="none"/>
        </w:rPr>
        <w:drawing>
          <wp:inline distT="0" distB="0" distL="114300" distR="114300">
            <wp:extent cx="5565140" cy="7179310"/>
            <wp:effectExtent l="0" t="0" r="16510" b="25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1"/>
                    <a:stretch>
                      <a:fillRect/>
                    </a:stretch>
                  </pic:blipFill>
                  <pic:spPr>
                    <a:xfrm>
                      <a:off x="0" y="0"/>
                      <a:ext cx="5565140" cy="7179310"/>
                    </a:xfrm>
                    <a:prstGeom prst="rect">
                      <a:avLst/>
                    </a:prstGeom>
                    <a:noFill/>
                    <a:ln>
                      <a:noFill/>
                    </a:ln>
                  </pic:spPr>
                </pic:pic>
              </a:graphicData>
            </a:graphic>
          </wp:inline>
        </w:drawing>
      </w:r>
    </w:p>
    <w:p w14:paraId="3BA425C9">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p>
    <w:p w14:paraId="0D47FB50">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p>
    <w:p w14:paraId="51E9FE5E">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p>
    <w:p w14:paraId="0E558CDC">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p>
    <w:p w14:paraId="23D8BAA2">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一、建设项目基本情况</w:t>
      </w:r>
      <w:bookmarkEnd w:id="16"/>
      <w:bookmarkEnd w:id="17"/>
      <w:bookmarkEnd w:id="18"/>
      <w:bookmarkEnd w:id="19"/>
      <w:bookmarkEnd w:id="20"/>
    </w:p>
    <w:tbl>
      <w:tblPr>
        <w:tblStyle w:val="22"/>
        <w:tblW w:w="94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97"/>
        <w:gridCol w:w="3097"/>
        <w:gridCol w:w="1170"/>
        <w:gridCol w:w="3673"/>
      </w:tblGrid>
      <w:tr w14:paraId="2136C9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1BB68C6C">
            <w:pPr>
              <w:adjustRightInd w:val="0"/>
              <w:snapToGrid w:val="0"/>
              <w:spacing w:line="340" w:lineRule="exact"/>
              <w:jc w:val="center"/>
              <w:rPr>
                <w:color w:val="auto"/>
                <w:szCs w:val="21"/>
                <w:highlight w:val="none"/>
              </w:rPr>
            </w:pPr>
            <w:r>
              <w:rPr>
                <w:color w:val="auto"/>
                <w:szCs w:val="21"/>
                <w:highlight w:val="none"/>
              </w:rPr>
              <w:t>建设项目名称</w:t>
            </w:r>
          </w:p>
        </w:tc>
        <w:tc>
          <w:tcPr>
            <w:tcW w:w="7940" w:type="dxa"/>
            <w:gridSpan w:val="3"/>
            <w:vAlign w:val="center"/>
          </w:tcPr>
          <w:p w14:paraId="56A5FF97">
            <w:pPr>
              <w:adjustRightInd w:val="0"/>
              <w:snapToGrid w:val="0"/>
              <w:spacing w:line="340" w:lineRule="exact"/>
              <w:jc w:val="center"/>
              <w:rPr>
                <w:color w:val="auto"/>
                <w:szCs w:val="21"/>
                <w:highlight w:val="none"/>
              </w:rPr>
            </w:pPr>
            <w:r>
              <w:rPr>
                <w:rFonts w:hint="eastAsia"/>
                <w:color w:val="auto"/>
                <w:szCs w:val="21"/>
                <w:highlight w:val="none"/>
              </w:rPr>
              <w:t>鸡西市焦诚矸石加工厂</w:t>
            </w:r>
            <w:r>
              <w:rPr>
                <w:color w:val="auto"/>
                <w:szCs w:val="21"/>
                <w:highlight w:val="none"/>
              </w:rPr>
              <w:t>固废资源利用项目</w:t>
            </w:r>
          </w:p>
        </w:tc>
      </w:tr>
      <w:tr w14:paraId="2B8142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4D22C58A">
            <w:pPr>
              <w:adjustRightInd w:val="0"/>
              <w:snapToGrid w:val="0"/>
              <w:spacing w:line="340" w:lineRule="exact"/>
              <w:jc w:val="center"/>
              <w:rPr>
                <w:color w:val="auto"/>
                <w:szCs w:val="21"/>
                <w:highlight w:val="none"/>
              </w:rPr>
            </w:pPr>
            <w:r>
              <w:rPr>
                <w:color w:val="auto"/>
                <w:szCs w:val="21"/>
                <w:highlight w:val="none"/>
              </w:rPr>
              <w:t>项目代码</w:t>
            </w:r>
          </w:p>
        </w:tc>
        <w:tc>
          <w:tcPr>
            <w:tcW w:w="7940" w:type="dxa"/>
            <w:gridSpan w:val="3"/>
            <w:vAlign w:val="center"/>
          </w:tcPr>
          <w:p w14:paraId="205CB18C">
            <w:pPr>
              <w:pStyle w:val="10"/>
              <w:jc w:val="center"/>
              <w:rPr>
                <w:color w:val="auto"/>
                <w:sz w:val="21"/>
                <w:szCs w:val="21"/>
                <w:highlight w:val="none"/>
              </w:rPr>
            </w:pPr>
            <w:r>
              <w:rPr>
                <w:rFonts w:hint="eastAsia"/>
                <w:color w:val="auto"/>
                <w:kern w:val="2"/>
                <w:sz w:val="21"/>
                <w:szCs w:val="21"/>
                <w:highlight w:val="none"/>
              </w:rPr>
              <w:t>/</w:t>
            </w:r>
          </w:p>
        </w:tc>
      </w:tr>
      <w:tr w14:paraId="3A771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08F4C387">
            <w:pPr>
              <w:adjustRightInd w:val="0"/>
              <w:snapToGrid w:val="0"/>
              <w:spacing w:line="340" w:lineRule="exact"/>
              <w:jc w:val="center"/>
              <w:rPr>
                <w:color w:val="auto"/>
                <w:szCs w:val="21"/>
                <w:highlight w:val="none"/>
              </w:rPr>
            </w:pPr>
            <w:r>
              <w:rPr>
                <w:color w:val="auto"/>
                <w:szCs w:val="21"/>
                <w:highlight w:val="none"/>
              </w:rPr>
              <w:t>建设单位联系人</w:t>
            </w:r>
          </w:p>
        </w:tc>
        <w:tc>
          <w:tcPr>
            <w:tcW w:w="3097" w:type="dxa"/>
            <w:vAlign w:val="center"/>
          </w:tcPr>
          <w:p w14:paraId="1A919BC0">
            <w:pPr>
              <w:adjustRightInd w:val="0"/>
              <w:snapToGrid w:val="0"/>
              <w:spacing w:line="340" w:lineRule="exact"/>
              <w:jc w:val="center"/>
              <w:rPr>
                <w:color w:val="auto"/>
                <w:szCs w:val="21"/>
                <w:highlight w:val="none"/>
              </w:rPr>
            </w:pPr>
            <w:r>
              <w:rPr>
                <w:rFonts w:hint="eastAsia"/>
                <w:color w:val="auto"/>
                <w:szCs w:val="21"/>
                <w:highlight w:val="none"/>
              </w:rPr>
              <w:t>徐刚</w:t>
            </w:r>
          </w:p>
        </w:tc>
        <w:tc>
          <w:tcPr>
            <w:tcW w:w="1170" w:type="dxa"/>
            <w:vAlign w:val="center"/>
          </w:tcPr>
          <w:p w14:paraId="0DC355C8">
            <w:pPr>
              <w:adjustRightInd w:val="0"/>
              <w:snapToGrid w:val="0"/>
              <w:spacing w:line="340" w:lineRule="exact"/>
              <w:jc w:val="center"/>
              <w:rPr>
                <w:color w:val="auto"/>
                <w:szCs w:val="21"/>
                <w:highlight w:val="none"/>
              </w:rPr>
            </w:pPr>
            <w:r>
              <w:rPr>
                <w:color w:val="auto"/>
                <w:szCs w:val="21"/>
                <w:highlight w:val="none"/>
              </w:rPr>
              <w:t>联系方式</w:t>
            </w:r>
          </w:p>
        </w:tc>
        <w:tc>
          <w:tcPr>
            <w:tcW w:w="3673" w:type="dxa"/>
            <w:vAlign w:val="center"/>
          </w:tcPr>
          <w:p w14:paraId="5A2D1869">
            <w:pPr>
              <w:adjustRightInd w:val="0"/>
              <w:snapToGrid w:val="0"/>
              <w:spacing w:line="340" w:lineRule="exact"/>
              <w:jc w:val="center"/>
              <w:rPr>
                <w:color w:val="auto"/>
                <w:szCs w:val="21"/>
                <w:highlight w:val="none"/>
              </w:rPr>
            </w:pPr>
            <w:r>
              <w:rPr>
                <w:rFonts w:hint="eastAsia"/>
                <w:color w:val="auto"/>
                <w:szCs w:val="21"/>
                <w:highlight w:val="none"/>
              </w:rPr>
              <w:t>15235716555</w:t>
            </w:r>
          </w:p>
        </w:tc>
      </w:tr>
      <w:tr w14:paraId="2BC10F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4FA9C70A">
            <w:pPr>
              <w:adjustRightInd w:val="0"/>
              <w:snapToGrid w:val="0"/>
              <w:spacing w:line="340" w:lineRule="exact"/>
              <w:jc w:val="center"/>
              <w:rPr>
                <w:color w:val="auto"/>
                <w:szCs w:val="21"/>
                <w:highlight w:val="none"/>
              </w:rPr>
            </w:pPr>
            <w:r>
              <w:rPr>
                <w:color w:val="auto"/>
                <w:szCs w:val="21"/>
                <w:highlight w:val="none"/>
              </w:rPr>
              <w:t>建设地点</w:t>
            </w:r>
          </w:p>
        </w:tc>
        <w:tc>
          <w:tcPr>
            <w:tcW w:w="7940" w:type="dxa"/>
            <w:gridSpan w:val="3"/>
            <w:vAlign w:val="center"/>
          </w:tcPr>
          <w:p w14:paraId="71BB9C5C">
            <w:pPr>
              <w:adjustRightInd w:val="0"/>
              <w:snapToGrid w:val="0"/>
              <w:spacing w:line="340" w:lineRule="exact"/>
              <w:jc w:val="center"/>
              <w:rPr>
                <w:color w:val="auto"/>
                <w:szCs w:val="21"/>
                <w:highlight w:val="none"/>
              </w:rPr>
            </w:pPr>
            <w:r>
              <w:rPr>
                <w:rFonts w:hint="eastAsia"/>
                <w:color w:val="auto"/>
                <w:szCs w:val="21"/>
                <w:highlight w:val="none"/>
              </w:rPr>
              <w:t>黑龙江省鸡西市恒山区红旗乡义安村</w:t>
            </w:r>
          </w:p>
        </w:tc>
      </w:tr>
      <w:tr w14:paraId="64C865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7A13D5CE">
            <w:pPr>
              <w:adjustRightInd w:val="0"/>
              <w:snapToGrid w:val="0"/>
              <w:spacing w:line="340" w:lineRule="exact"/>
              <w:jc w:val="center"/>
              <w:rPr>
                <w:color w:val="auto"/>
                <w:szCs w:val="21"/>
                <w:highlight w:val="none"/>
              </w:rPr>
            </w:pPr>
            <w:r>
              <w:rPr>
                <w:color w:val="auto"/>
                <w:szCs w:val="21"/>
                <w:highlight w:val="none"/>
              </w:rPr>
              <w:t>地理坐标</w:t>
            </w:r>
          </w:p>
        </w:tc>
        <w:tc>
          <w:tcPr>
            <w:tcW w:w="7940" w:type="dxa"/>
            <w:gridSpan w:val="3"/>
            <w:vAlign w:val="center"/>
          </w:tcPr>
          <w:p w14:paraId="2DFB5E5E">
            <w:pPr>
              <w:spacing w:line="340" w:lineRule="exact"/>
              <w:jc w:val="center"/>
              <w:rPr>
                <w:color w:val="auto"/>
                <w:szCs w:val="21"/>
                <w:highlight w:val="none"/>
              </w:rPr>
            </w:pPr>
            <w:r>
              <w:rPr>
                <w:color w:val="auto"/>
                <w:szCs w:val="21"/>
                <w:highlight w:val="none"/>
              </w:rPr>
              <w:t>（</w:t>
            </w:r>
            <w:r>
              <w:rPr>
                <w:color w:val="auto"/>
                <w:szCs w:val="21"/>
                <w:highlight w:val="none"/>
                <w:u w:val="single"/>
              </w:rPr>
              <w:t>1</w:t>
            </w:r>
            <w:r>
              <w:rPr>
                <w:rFonts w:hint="eastAsia"/>
                <w:color w:val="auto"/>
                <w:szCs w:val="21"/>
                <w:highlight w:val="none"/>
                <w:u w:val="single"/>
              </w:rPr>
              <w:t>30</w:t>
            </w:r>
            <w:r>
              <w:rPr>
                <w:color w:val="auto"/>
                <w:szCs w:val="21"/>
                <w:highlight w:val="none"/>
              </w:rPr>
              <w:t>度</w:t>
            </w:r>
            <w:r>
              <w:rPr>
                <w:rFonts w:hint="eastAsia"/>
                <w:color w:val="auto"/>
                <w:szCs w:val="21"/>
                <w:highlight w:val="none"/>
                <w:u w:val="single"/>
              </w:rPr>
              <w:t>52</w:t>
            </w:r>
            <w:r>
              <w:rPr>
                <w:color w:val="auto"/>
                <w:szCs w:val="21"/>
                <w:highlight w:val="none"/>
              </w:rPr>
              <w:t>分</w:t>
            </w:r>
            <w:r>
              <w:rPr>
                <w:rFonts w:hint="eastAsia"/>
                <w:color w:val="auto"/>
                <w:szCs w:val="21"/>
                <w:highlight w:val="none"/>
                <w:u w:val="single"/>
              </w:rPr>
              <w:t>21.010</w:t>
            </w:r>
            <w:r>
              <w:rPr>
                <w:color w:val="auto"/>
                <w:szCs w:val="21"/>
                <w:highlight w:val="none"/>
              </w:rPr>
              <w:t>秒，</w:t>
            </w:r>
            <w:r>
              <w:rPr>
                <w:color w:val="auto"/>
                <w:szCs w:val="21"/>
                <w:highlight w:val="none"/>
                <w:u w:val="single"/>
              </w:rPr>
              <w:t>45</w:t>
            </w:r>
            <w:r>
              <w:rPr>
                <w:color w:val="auto"/>
                <w:szCs w:val="21"/>
                <w:highlight w:val="none"/>
              </w:rPr>
              <w:t>度</w:t>
            </w:r>
            <w:r>
              <w:rPr>
                <w:rFonts w:hint="eastAsia"/>
                <w:color w:val="auto"/>
                <w:szCs w:val="21"/>
                <w:highlight w:val="none"/>
                <w:u w:val="single"/>
              </w:rPr>
              <w:t>10</w:t>
            </w:r>
            <w:r>
              <w:rPr>
                <w:color w:val="auto"/>
                <w:szCs w:val="21"/>
                <w:highlight w:val="none"/>
              </w:rPr>
              <w:t>分</w:t>
            </w:r>
            <w:r>
              <w:rPr>
                <w:rFonts w:hint="eastAsia"/>
                <w:color w:val="auto"/>
                <w:szCs w:val="21"/>
                <w:highlight w:val="none"/>
                <w:u w:val="single"/>
              </w:rPr>
              <w:t>1.310</w:t>
            </w:r>
            <w:r>
              <w:rPr>
                <w:color w:val="auto"/>
                <w:szCs w:val="21"/>
                <w:highlight w:val="none"/>
              </w:rPr>
              <w:t>秒）</w:t>
            </w:r>
          </w:p>
        </w:tc>
      </w:tr>
      <w:tr w14:paraId="2C812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497" w:type="dxa"/>
            <w:tcMar>
              <w:top w:w="16" w:type="dxa"/>
              <w:left w:w="16" w:type="dxa"/>
              <w:right w:w="16" w:type="dxa"/>
            </w:tcMar>
            <w:vAlign w:val="center"/>
          </w:tcPr>
          <w:p w14:paraId="23BA65F5">
            <w:pPr>
              <w:adjustRightInd w:val="0"/>
              <w:snapToGrid w:val="0"/>
              <w:spacing w:line="340" w:lineRule="exact"/>
              <w:jc w:val="center"/>
              <w:rPr>
                <w:color w:val="auto"/>
                <w:szCs w:val="21"/>
                <w:highlight w:val="none"/>
              </w:rPr>
            </w:pPr>
            <w:r>
              <w:rPr>
                <w:color w:val="auto"/>
                <w:szCs w:val="21"/>
                <w:highlight w:val="none"/>
              </w:rPr>
              <w:t>国民经济</w:t>
            </w:r>
          </w:p>
          <w:p w14:paraId="0D677C90">
            <w:pPr>
              <w:adjustRightInd w:val="0"/>
              <w:snapToGrid w:val="0"/>
              <w:spacing w:line="340" w:lineRule="exact"/>
              <w:jc w:val="center"/>
              <w:rPr>
                <w:color w:val="auto"/>
                <w:szCs w:val="21"/>
                <w:highlight w:val="none"/>
              </w:rPr>
            </w:pPr>
            <w:r>
              <w:rPr>
                <w:color w:val="auto"/>
                <w:szCs w:val="21"/>
                <w:highlight w:val="none"/>
              </w:rPr>
              <w:t>行业类别</w:t>
            </w:r>
          </w:p>
        </w:tc>
        <w:tc>
          <w:tcPr>
            <w:tcW w:w="3097" w:type="dxa"/>
            <w:vAlign w:val="center"/>
          </w:tcPr>
          <w:p w14:paraId="1EDB7133">
            <w:pPr>
              <w:pStyle w:val="64"/>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N7723固体废物治理</w:t>
            </w:r>
          </w:p>
          <w:p w14:paraId="47D64F75">
            <w:pPr>
              <w:pStyle w:val="64"/>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B0610烟煤和无烟煤开采洗选</w:t>
            </w:r>
          </w:p>
        </w:tc>
        <w:tc>
          <w:tcPr>
            <w:tcW w:w="1170" w:type="dxa"/>
            <w:vAlign w:val="center"/>
          </w:tcPr>
          <w:p w14:paraId="0A872A09">
            <w:pPr>
              <w:adjustRightInd w:val="0"/>
              <w:snapToGrid w:val="0"/>
              <w:jc w:val="center"/>
              <w:rPr>
                <w:color w:val="auto"/>
                <w:szCs w:val="21"/>
                <w:highlight w:val="none"/>
              </w:rPr>
            </w:pPr>
            <w:bookmarkStart w:id="21" w:name="_Hlk49843745"/>
            <w:r>
              <w:rPr>
                <w:color w:val="auto"/>
                <w:szCs w:val="21"/>
                <w:highlight w:val="none"/>
              </w:rPr>
              <w:t>建设项目</w:t>
            </w:r>
          </w:p>
          <w:p w14:paraId="020A0E4D">
            <w:pPr>
              <w:adjustRightInd w:val="0"/>
              <w:snapToGrid w:val="0"/>
              <w:jc w:val="center"/>
              <w:rPr>
                <w:color w:val="auto"/>
                <w:szCs w:val="21"/>
                <w:highlight w:val="none"/>
              </w:rPr>
            </w:pPr>
            <w:r>
              <w:rPr>
                <w:color w:val="auto"/>
                <w:szCs w:val="21"/>
                <w:highlight w:val="none"/>
              </w:rPr>
              <w:t>行业类别</w:t>
            </w:r>
            <w:bookmarkEnd w:id="21"/>
          </w:p>
        </w:tc>
        <w:tc>
          <w:tcPr>
            <w:tcW w:w="3673" w:type="dxa"/>
            <w:vAlign w:val="center"/>
          </w:tcPr>
          <w:p w14:paraId="28E3901F">
            <w:pPr>
              <w:pStyle w:val="64"/>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四十七、生态保护和环境治理业-103 一般工业固体废物（含污水处理污泥）、建筑施工废弃物处置及综合利用。</w:t>
            </w:r>
          </w:p>
          <w:p w14:paraId="05AB11BA">
            <w:pPr>
              <w:pStyle w:val="64"/>
              <w:rPr>
                <w:rFonts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四、煤炭开采和洗选业 6烟煤和无烟煤开采洗选；</w:t>
            </w:r>
          </w:p>
        </w:tc>
      </w:tr>
      <w:tr w14:paraId="7C9E5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97" w:type="dxa"/>
            <w:tcMar>
              <w:top w:w="16" w:type="dxa"/>
              <w:left w:w="16" w:type="dxa"/>
              <w:right w:w="16" w:type="dxa"/>
            </w:tcMar>
            <w:vAlign w:val="center"/>
          </w:tcPr>
          <w:p w14:paraId="6FCA2B67">
            <w:pPr>
              <w:adjustRightInd w:val="0"/>
              <w:snapToGrid w:val="0"/>
              <w:spacing w:line="340" w:lineRule="exact"/>
              <w:jc w:val="center"/>
              <w:rPr>
                <w:color w:val="auto"/>
                <w:szCs w:val="21"/>
                <w:highlight w:val="none"/>
              </w:rPr>
            </w:pPr>
            <w:r>
              <w:rPr>
                <w:color w:val="auto"/>
                <w:szCs w:val="21"/>
                <w:highlight w:val="none"/>
              </w:rPr>
              <w:t>建设性质</w:t>
            </w:r>
          </w:p>
        </w:tc>
        <w:tc>
          <w:tcPr>
            <w:tcW w:w="3097" w:type="dxa"/>
            <w:vAlign w:val="center"/>
          </w:tcPr>
          <w:p w14:paraId="16AED7BD">
            <w:pPr>
              <w:spacing w:line="340" w:lineRule="exact"/>
              <w:jc w:val="left"/>
              <w:rPr>
                <w:color w:val="auto"/>
                <w:szCs w:val="21"/>
                <w:highlight w:val="none"/>
              </w:rPr>
            </w:pPr>
            <w:r>
              <w:rPr>
                <w:rFonts w:hint="eastAsia"/>
                <w:color w:val="auto"/>
                <w:szCs w:val="21"/>
                <w:highlight w:val="none"/>
              </w:rPr>
              <w:t>□</w:t>
            </w:r>
            <w:r>
              <w:rPr>
                <w:color w:val="auto"/>
                <w:szCs w:val="21"/>
                <w:highlight w:val="none"/>
              </w:rPr>
              <w:t>新建（迁建）</w:t>
            </w:r>
          </w:p>
          <w:p w14:paraId="42364496">
            <w:pPr>
              <w:spacing w:line="340" w:lineRule="exact"/>
              <w:jc w:val="left"/>
              <w:rPr>
                <w:rFonts w:hint="eastAsia" w:eastAsia="宋体"/>
                <w:color w:val="auto"/>
                <w:szCs w:val="21"/>
                <w:highlight w:val="none"/>
                <w:lang w:eastAsia="zh-CN"/>
              </w:rPr>
            </w:pPr>
            <w:r>
              <w:rPr>
                <w:rFonts w:hint="eastAsia"/>
                <w:color w:val="auto"/>
                <w:szCs w:val="21"/>
                <w:highlight w:val="none"/>
              </w:rPr>
              <w:t>☑</w:t>
            </w:r>
            <w:r>
              <w:rPr>
                <w:color w:val="auto"/>
                <w:szCs w:val="21"/>
                <w:highlight w:val="none"/>
              </w:rPr>
              <w:t>改建</w:t>
            </w:r>
          </w:p>
          <w:p w14:paraId="19F40791">
            <w:pPr>
              <w:spacing w:line="340" w:lineRule="exact"/>
              <w:jc w:val="left"/>
              <w:rPr>
                <w:color w:val="auto"/>
                <w:szCs w:val="21"/>
                <w:highlight w:val="none"/>
              </w:rPr>
            </w:pPr>
            <w:r>
              <w:rPr>
                <w:rFonts w:hint="eastAsia"/>
                <w:color w:val="auto"/>
                <w:szCs w:val="21"/>
                <w:highlight w:val="none"/>
              </w:rPr>
              <w:t>☑</w:t>
            </w:r>
            <w:r>
              <w:rPr>
                <w:color w:val="auto"/>
                <w:szCs w:val="21"/>
                <w:highlight w:val="none"/>
              </w:rPr>
              <w:t>扩建</w:t>
            </w:r>
          </w:p>
          <w:p w14:paraId="63ECE6A1">
            <w:pPr>
              <w:spacing w:line="340" w:lineRule="exact"/>
              <w:jc w:val="left"/>
              <w:rPr>
                <w:color w:val="auto"/>
                <w:szCs w:val="21"/>
                <w:highlight w:val="none"/>
              </w:rPr>
            </w:pPr>
            <w:r>
              <w:rPr>
                <w:rFonts w:hint="eastAsia"/>
                <w:color w:val="auto"/>
                <w:szCs w:val="21"/>
                <w:highlight w:val="none"/>
              </w:rPr>
              <w:t>□</w:t>
            </w:r>
            <w:r>
              <w:rPr>
                <w:color w:val="auto"/>
                <w:szCs w:val="21"/>
                <w:highlight w:val="none"/>
              </w:rPr>
              <w:t>技术改造</w:t>
            </w:r>
          </w:p>
        </w:tc>
        <w:tc>
          <w:tcPr>
            <w:tcW w:w="1170" w:type="dxa"/>
            <w:vAlign w:val="center"/>
          </w:tcPr>
          <w:p w14:paraId="21564DF2">
            <w:pPr>
              <w:adjustRightInd w:val="0"/>
              <w:snapToGrid w:val="0"/>
              <w:spacing w:line="340" w:lineRule="exact"/>
              <w:jc w:val="center"/>
              <w:rPr>
                <w:color w:val="auto"/>
                <w:szCs w:val="21"/>
                <w:highlight w:val="none"/>
              </w:rPr>
            </w:pPr>
            <w:r>
              <w:rPr>
                <w:color w:val="auto"/>
                <w:szCs w:val="21"/>
                <w:highlight w:val="none"/>
              </w:rPr>
              <w:t>建设项目</w:t>
            </w:r>
          </w:p>
          <w:p w14:paraId="7F697F38">
            <w:pPr>
              <w:adjustRightInd w:val="0"/>
              <w:snapToGrid w:val="0"/>
              <w:spacing w:line="340" w:lineRule="exact"/>
              <w:jc w:val="center"/>
              <w:rPr>
                <w:color w:val="auto"/>
                <w:szCs w:val="21"/>
                <w:highlight w:val="none"/>
              </w:rPr>
            </w:pPr>
            <w:r>
              <w:rPr>
                <w:color w:val="auto"/>
                <w:szCs w:val="21"/>
                <w:highlight w:val="none"/>
              </w:rPr>
              <w:t>申报情形</w:t>
            </w:r>
          </w:p>
        </w:tc>
        <w:tc>
          <w:tcPr>
            <w:tcW w:w="3673" w:type="dxa"/>
            <w:vAlign w:val="center"/>
          </w:tcPr>
          <w:p w14:paraId="4DFBA1D3">
            <w:pPr>
              <w:spacing w:line="340" w:lineRule="exact"/>
              <w:jc w:val="left"/>
              <w:rPr>
                <w:color w:val="auto"/>
                <w:szCs w:val="21"/>
                <w:highlight w:val="none"/>
              </w:rPr>
            </w:pPr>
            <w:r>
              <w:rPr>
                <w:color w:val="auto"/>
                <w:szCs w:val="21"/>
                <w:highlight w:val="none"/>
              </w:rPr>
              <w:t xml:space="preserve">☑首次申报项目             </w:t>
            </w:r>
          </w:p>
          <w:p w14:paraId="6309B394">
            <w:pPr>
              <w:spacing w:line="340" w:lineRule="exact"/>
              <w:jc w:val="left"/>
              <w:rPr>
                <w:color w:val="auto"/>
                <w:szCs w:val="21"/>
                <w:highlight w:val="none"/>
              </w:rPr>
            </w:pPr>
            <w:r>
              <w:rPr>
                <w:rFonts w:hint="eastAsia"/>
                <w:color w:val="auto"/>
                <w:szCs w:val="21"/>
                <w:highlight w:val="none"/>
              </w:rPr>
              <w:t>□</w:t>
            </w:r>
            <w:r>
              <w:rPr>
                <w:color w:val="auto"/>
                <w:szCs w:val="21"/>
                <w:highlight w:val="none"/>
              </w:rPr>
              <w:t>不予批准后再次申报项目</w:t>
            </w:r>
          </w:p>
          <w:p w14:paraId="752BAE72">
            <w:pPr>
              <w:spacing w:line="340" w:lineRule="exact"/>
              <w:jc w:val="left"/>
              <w:rPr>
                <w:color w:val="auto"/>
                <w:szCs w:val="21"/>
                <w:highlight w:val="none"/>
              </w:rPr>
            </w:pPr>
            <w:r>
              <w:rPr>
                <w:rFonts w:hint="eastAsia"/>
                <w:color w:val="auto"/>
                <w:szCs w:val="21"/>
                <w:highlight w:val="none"/>
              </w:rPr>
              <w:t>□</w:t>
            </w:r>
            <w:r>
              <w:rPr>
                <w:color w:val="auto"/>
                <w:szCs w:val="21"/>
                <w:highlight w:val="none"/>
              </w:rPr>
              <w:t xml:space="preserve">超五年重新审核项目     </w:t>
            </w:r>
          </w:p>
          <w:p w14:paraId="36E9099E">
            <w:pPr>
              <w:spacing w:line="340" w:lineRule="exact"/>
              <w:jc w:val="left"/>
              <w:rPr>
                <w:color w:val="auto"/>
                <w:szCs w:val="21"/>
                <w:highlight w:val="none"/>
              </w:rPr>
            </w:pPr>
            <w:r>
              <w:rPr>
                <w:rFonts w:hint="eastAsia"/>
                <w:color w:val="auto"/>
                <w:szCs w:val="21"/>
                <w:highlight w:val="none"/>
              </w:rPr>
              <w:t>□</w:t>
            </w:r>
            <w:r>
              <w:rPr>
                <w:color w:val="auto"/>
                <w:szCs w:val="21"/>
                <w:highlight w:val="none"/>
              </w:rPr>
              <w:t>重大变动重新报批项目</w:t>
            </w:r>
          </w:p>
        </w:tc>
      </w:tr>
      <w:tr w14:paraId="6184A4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97" w:type="dxa"/>
            <w:tcMar>
              <w:top w:w="16" w:type="dxa"/>
              <w:left w:w="16" w:type="dxa"/>
              <w:right w:w="16" w:type="dxa"/>
            </w:tcMar>
            <w:vAlign w:val="center"/>
          </w:tcPr>
          <w:p w14:paraId="441948AF">
            <w:pPr>
              <w:adjustRightInd w:val="0"/>
              <w:snapToGrid w:val="0"/>
              <w:spacing w:line="340" w:lineRule="exact"/>
              <w:jc w:val="center"/>
              <w:rPr>
                <w:color w:val="auto"/>
                <w:szCs w:val="21"/>
                <w:highlight w:val="none"/>
              </w:rPr>
            </w:pPr>
            <w:r>
              <w:rPr>
                <w:color w:val="auto"/>
                <w:szCs w:val="21"/>
                <w:highlight w:val="none"/>
              </w:rPr>
              <w:t>项目审批（核准/</w:t>
            </w:r>
          </w:p>
          <w:p w14:paraId="0BE18079">
            <w:pPr>
              <w:adjustRightInd w:val="0"/>
              <w:snapToGrid w:val="0"/>
              <w:spacing w:line="340" w:lineRule="exact"/>
              <w:jc w:val="center"/>
              <w:rPr>
                <w:color w:val="auto"/>
                <w:szCs w:val="21"/>
                <w:highlight w:val="none"/>
              </w:rPr>
            </w:pPr>
            <w:r>
              <w:rPr>
                <w:color w:val="auto"/>
                <w:szCs w:val="21"/>
                <w:highlight w:val="none"/>
              </w:rPr>
              <w:t>备案）部门（选填）</w:t>
            </w:r>
          </w:p>
        </w:tc>
        <w:tc>
          <w:tcPr>
            <w:tcW w:w="3097" w:type="dxa"/>
            <w:vAlign w:val="center"/>
          </w:tcPr>
          <w:p w14:paraId="705988F3">
            <w:pPr>
              <w:adjustRightInd w:val="0"/>
              <w:snapToGrid w:val="0"/>
              <w:spacing w:line="340" w:lineRule="exact"/>
              <w:jc w:val="center"/>
              <w:rPr>
                <w:color w:val="auto"/>
                <w:szCs w:val="21"/>
                <w:highlight w:val="none"/>
              </w:rPr>
            </w:pPr>
            <w:r>
              <w:rPr>
                <w:color w:val="auto"/>
                <w:szCs w:val="21"/>
                <w:highlight w:val="none"/>
              </w:rPr>
              <w:t>/</w:t>
            </w:r>
          </w:p>
        </w:tc>
        <w:tc>
          <w:tcPr>
            <w:tcW w:w="1170" w:type="dxa"/>
            <w:vAlign w:val="center"/>
          </w:tcPr>
          <w:p w14:paraId="7585C958">
            <w:pPr>
              <w:adjustRightInd w:val="0"/>
              <w:snapToGrid w:val="0"/>
              <w:spacing w:line="340" w:lineRule="exact"/>
              <w:jc w:val="center"/>
              <w:rPr>
                <w:color w:val="auto"/>
                <w:szCs w:val="21"/>
                <w:highlight w:val="none"/>
              </w:rPr>
            </w:pPr>
            <w:r>
              <w:rPr>
                <w:color w:val="auto"/>
                <w:szCs w:val="21"/>
                <w:highlight w:val="none"/>
              </w:rPr>
              <w:t>项目审批（核准/</w:t>
            </w:r>
          </w:p>
          <w:p w14:paraId="59A08BD3">
            <w:pPr>
              <w:adjustRightInd w:val="0"/>
              <w:snapToGrid w:val="0"/>
              <w:spacing w:line="340" w:lineRule="exact"/>
              <w:jc w:val="center"/>
              <w:rPr>
                <w:color w:val="auto"/>
                <w:szCs w:val="21"/>
                <w:highlight w:val="none"/>
              </w:rPr>
            </w:pPr>
            <w:r>
              <w:rPr>
                <w:color w:val="auto"/>
                <w:szCs w:val="21"/>
                <w:highlight w:val="none"/>
              </w:rPr>
              <w:t>备案）文号（选填）</w:t>
            </w:r>
          </w:p>
        </w:tc>
        <w:tc>
          <w:tcPr>
            <w:tcW w:w="3673" w:type="dxa"/>
            <w:vAlign w:val="center"/>
          </w:tcPr>
          <w:p w14:paraId="1EBEA8C9">
            <w:pPr>
              <w:adjustRightInd w:val="0"/>
              <w:snapToGrid w:val="0"/>
              <w:spacing w:line="340" w:lineRule="exact"/>
              <w:jc w:val="center"/>
              <w:rPr>
                <w:color w:val="auto"/>
                <w:szCs w:val="21"/>
                <w:highlight w:val="none"/>
              </w:rPr>
            </w:pPr>
            <w:r>
              <w:rPr>
                <w:color w:val="auto"/>
                <w:szCs w:val="21"/>
                <w:highlight w:val="none"/>
              </w:rPr>
              <w:t>/</w:t>
            </w:r>
          </w:p>
        </w:tc>
      </w:tr>
      <w:tr w14:paraId="366519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96" w:hRule="atLeast"/>
          <w:jc w:val="center"/>
        </w:trPr>
        <w:tc>
          <w:tcPr>
            <w:tcW w:w="1497" w:type="dxa"/>
            <w:tcMar>
              <w:top w:w="16" w:type="dxa"/>
              <w:left w:w="16" w:type="dxa"/>
              <w:right w:w="16" w:type="dxa"/>
            </w:tcMar>
            <w:vAlign w:val="center"/>
          </w:tcPr>
          <w:p w14:paraId="1E6C403A">
            <w:pPr>
              <w:adjustRightInd w:val="0"/>
              <w:snapToGrid w:val="0"/>
              <w:spacing w:line="340" w:lineRule="exact"/>
              <w:jc w:val="center"/>
              <w:rPr>
                <w:color w:val="auto"/>
                <w:szCs w:val="21"/>
                <w:highlight w:val="none"/>
              </w:rPr>
            </w:pPr>
            <w:r>
              <w:rPr>
                <w:color w:val="auto"/>
                <w:szCs w:val="21"/>
                <w:highlight w:val="none"/>
              </w:rPr>
              <w:t>总投资（万元）</w:t>
            </w:r>
          </w:p>
        </w:tc>
        <w:tc>
          <w:tcPr>
            <w:tcW w:w="3097" w:type="dxa"/>
            <w:vAlign w:val="center"/>
          </w:tcPr>
          <w:p w14:paraId="4B13DBED">
            <w:pPr>
              <w:adjustRightInd w:val="0"/>
              <w:snapToGrid w:val="0"/>
              <w:spacing w:line="340" w:lineRule="exact"/>
              <w:jc w:val="center"/>
              <w:rPr>
                <w:rFonts w:hint="default" w:eastAsia="宋体"/>
                <w:color w:val="auto"/>
                <w:szCs w:val="21"/>
                <w:highlight w:val="none"/>
                <w:lang w:val="en-US" w:eastAsia="zh-CN"/>
              </w:rPr>
            </w:pPr>
            <w:r>
              <w:rPr>
                <w:rFonts w:hint="eastAsia"/>
                <w:color w:val="auto"/>
                <w:szCs w:val="21"/>
                <w:highlight w:val="none"/>
                <w:lang w:val="en-US" w:eastAsia="zh-CN"/>
              </w:rPr>
              <w:t>500</w:t>
            </w:r>
          </w:p>
        </w:tc>
        <w:tc>
          <w:tcPr>
            <w:tcW w:w="1170" w:type="dxa"/>
            <w:tcMar>
              <w:top w:w="16" w:type="dxa"/>
              <w:left w:w="16" w:type="dxa"/>
              <w:right w:w="16" w:type="dxa"/>
            </w:tcMar>
            <w:vAlign w:val="center"/>
          </w:tcPr>
          <w:p w14:paraId="4E6C6F2A">
            <w:pPr>
              <w:adjustRightInd w:val="0"/>
              <w:snapToGrid w:val="0"/>
              <w:spacing w:line="340" w:lineRule="exact"/>
              <w:jc w:val="center"/>
              <w:rPr>
                <w:color w:val="auto"/>
                <w:szCs w:val="21"/>
                <w:highlight w:val="none"/>
              </w:rPr>
            </w:pPr>
            <w:r>
              <w:rPr>
                <w:color w:val="auto"/>
                <w:szCs w:val="21"/>
                <w:highlight w:val="none"/>
              </w:rPr>
              <w:t>环保投资（万元）</w:t>
            </w:r>
          </w:p>
        </w:tc>
        <w:tc>
          <w:tcPr>
            <w:tcW w:w="3673" w:type="dxa"/>
            <w:vAlign w:val="center"/>
          </w:tcPr>
          <w:p w14:paraId="4004477F">
            <w:pPr>
              <w:adjustRightInd w:val="0"/>
              <w:snapToGrid w:val="0"/>
              <w:spacing w:line="340" w:lineRule="exact"/>
              <w:jc w:val="center"/>
              <w:rPr>
                <w:rFonts w:hint="default" w:eastAsia="宋体"/>
                <w:color w:val="auto"/>
                <w:szCs w:val="21"/>
                <w:highlight w:val="none"/>
                <w:lang w:val="en-US" w:eastAsia="zh-CN"/>
              </w:rPr>
            </w:pPr>
            <w:r>
              <w:rPr>
                <w:rFonts w:hint="eastAsia"/>
                <w:color w:val="auto"/>
                <w:szCs w:val="21"/>
                <w:highlight w:val="none"/>
                <w:lang w:val="en-US" w:eastAsia="zh-CN"/>
              </w:rPr>
              <w:t>91</w:t>
            </w:r>
          </w:p>
        </w:tc>
      </w:tr>
      <w:tr w14:paraId="6257B4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97" w:type="dxa"/>
            <w:tcMar>
              <w:top w:w="16" w:type="dxa"/>
              <w:left w:w="16" w:type="dxa"/>
              <w:right w:w="16" w:type="dxa"/>
            </w:tcMar>
            <w:vAlign w:val="center"/>
          </w:tcPr>
          <w:p w14:paraId="60093B11">
            <w:pPr>
              <w:adjustRightInd w:val="0"/>
              <w:snapToGrid w:val="0"/>
              <w:spacing w:line="340" w:lineRule="exact"/>
              <w:jc w:val="center"/>
              <w:rPr>
                <w:color w:val="auto"/>
                <w:szCs w:val="21"/>
                <w:highlight w:val="none"/>
              </w:rPr>
            </w:pPr>
            <w:r>
              <w:rPr>
                <w:color w:val="auto"/>
                <w:szCs w:val="21"/>
                <w:highlight w:val="none"/>
              </w:rPr>
              <w:t>环保投资占比（%）</w:t>
            </w:r>
          </w:p>
        </w:tc>
        <w:tc>
          <w:tcPr>
            <w:tcW w:w="3097" w:type="dxa"/>
            <w:vAlign w:val="center"/>
          </w:tcPr>
          <w:p w14:paraId="7A208096">
            <w:pPr>
              <w:adjustRightInd w:val="0"/>
              <w:snapToGrid w:val="0"/>
              <w:spacing w:line="340" w:lineRule="exact"/>
              <w:jc w:val="center"/>
              <w:rPr>
                <w:rFonts w:hint="default" w:eastAsia="宋体"/>
                <w:color w:val="auto"/>
                <w:szCs w:val="21"/>
                <w:highlight w:val="none"/>
                <w:lang w:val="en-US" w:eastAsia="zh-CN"/>
              </w:rPr>
            </w:pPr>
            <w:r>
              <w:rPr>
                <w:rFonts w:hint="eastAsia"/>
                <w:color w:val="auto"/>
                <w:szCs w:val="21"/>
                <w:highlight w:val="none"/>
                <w:lang w:val="en-US" w:eastAsia="zh-CN"/>
              </w:rPr>
              <w:t>18.2</w:t>
            </w:r>
          </w:p>
        </w:tc>
        <w:tc>
          <w:tcPr>
            <w:tcW w:w="1170" w:type="dxa"/>
            <w:tcMar>
              <w:top w:w="16" w:type="dxa"/>
              <w:left w:w="16" w:type="dxa"/>
              <w:right w:w="16" w:type="dxa"/>
            </w:tcMar>
            <w:vAlign w:val="center"/>
          </w:tcPr>
          <w:p w14:paraId="15D64253">
            <w:pPr>
              <w:adjustRightInd w:val="0"/>
              <w:snapToGrid w:val="0"/>
              <w:spacing w:line="340" w:lineRule="exact"/>
              <w:jc w:val="center"/>
              <w:rPr>
                <w:color w:val="auto"/>
                <w:szCs w:val="21"/>
                <w:highlight w:val="none"/>
              </w:rPr>
            </w:pPr>
            <w:r>
              <w:rPr>
                <w:color w:val="auto"/>
                <w:szCs w:val="21"/>
                <w:highlight w:val="none"/>
              </w:rPr>
              <w:t>施工工期</w:t>
            </w:r>
          </w:p>
        </w:tc>
        <w:tc>
          <w:tcPr>
            <w:tcW w:w="3673" w:type="dxa"/>
            <w:vAlign w:val="center"/>
          </w:tcPr>
          <w:p w14:paraId="6EC3480C">
            <w:pPr>
              <w:adjustRightInd w:val="0"/>
              <w:snapToGrid w:val="0"/>
              <w:spacing w:line="340" w:lineRule="exact"/>
              <w:jc w:val="center"/>
              <w:rPr>
                <w:b/>
                <w:bCs/>
                <w:color w:val="auto"/>
                <w:szCs w:val="21"/>
                <w:highlight w:val="none"/>
              </w:rPr>
            </w:pPr>
            <w:r>
              <w:rPr>
                <w:rFonts w:hint="eastAsia"/>
                <w:color w:val="auto"/>
                <w:szCs w:val="21"/>
                <w:highlight w:val="none"/>
              </w:rPr>
              <w:t>2026年</w:t>
            </w:r>
            <w:r>
              <w:rPr>
                <w:rFonts w:hint="eastAsia"/>
                <w:color w:val="auto"/>
                <w:szCs w:val="21"/>
                <w:highlight w:val="none"/>
                <w:lang w:val="en-US" w:eastAsia="zh-CN"/>
              </w:rPr>
              <w:t>8</w:t>
            </w:r>
            <w:r>
              <w:rPr>
                <w:rFonts w:hint="eastAsia"/>
                <w:color w:val="auto"/>
                <w:szCs w:val="21"/>
                <w:highlight w:val="none"/>
              </w:rPr>
              <w:t>月-2026年</w:t>
            </w:r>
            <w:r>
              <w:rPr>
                <w:rFonts w:hint="eastAsia"/>
                <w:color w:val="auto"/>
                <w:szCs w:val="21"/>
                <w:highlight w:val="none"/>
                <w:lang w:val="en-US" w:eastAsia="zh-CN"/>
              </w:rPr>
              <w:t>9</w:t>
            </w:r>
            <w:r>
              <w:rPr>
                <w:rFonts w:hint="eastAsia"/>
                <w:color w:val="auto"/>
                <w:szCs w:val="21"/>
                <w:highlight w:val="none"/>
              </w:rPr>
              <w:t>月</w:t>
            </w:r>
          </w:p>
        </w:tc>
      </w:tr>
      <w:tr w14:paraId="4C3B56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497" w:type="dxa"/>
            <w:tcMar>
              <w:top w:w="16" w:type="dxa"/>
              <w:left w:w="16" w:type="dxa"/>
              <w:right w:w="16" w:type="dxa"/>
            </w:tcMar>
            <w:vAlign w:val="center"/>
          </w:tcPr>
          <w:p w14:paraId="3F7E81EF">
            <w:pPr>
              <w:adjustRightInd w:val="0"/>
              <w:snapToGrid w:val="0"/>
              <w:spacing w:line="340" w:lineRule="exact"/>
              <w:jc w:val="center"/>
              <w:rPr>
                <w:color w:val="auto"/>
                <w:szCs w:val="21"/>
                <w:highlight w:val="none"/>
              </w:rPr>
            </w:pPr>
            <w:r>
              <w:rPr>
                <w:color w:val="auto"/>
                <w:szCs w:val="21"/>
                <w:highlight w:val="none"/>
              </w:rPr>
              <w:t>是否开工建设</w:t>
            </w:r>
          </w:p>
        </w:tc>
        <w:tc>
          <w:tcPr>
            <w:tcW w:w="3097" w:type="dxa"/>
            <w:vAlign w:val="center"/>
          </w:tcPr>
          <w:p w14:paraId="40637655">
            <w:pPr>
              <w:adjustRightInd w:val="0"/>
              <w:snapToGrid w:val="0"/>
              <w:spacing w:line="340" w:lineRule="exact"/>
              <w:rPr>
                <w:rFonts w:hint="default" w:ascii="Times New Roman" w:hAnsi="Times New Roman" w:cs="Times New Roman"/>
                <w:color w:val="auto"/>
                <w:sz w:val="21"/>
                <w:szCs w:val="21"/>
                <w:highlight w:val="none"/>
                <w:u w:val="singl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sz w:val="21"/>
                <w:szCs w:val="21"/>
                <w:highlight w:val="none"/>
              </w:rPr>
              <w:t>否：</w:t>
            </w:r>
            <w:r>
              <w:rPr>
                <w:rFonts w:hint="eastAsia"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p>
          <w:p w14:paraId="553CA863">
            <w:pPr>
              <w:adjustRightInd w:val="0"/>
              <w:snapToGrid w:val="0"/>
              <w:spacing w:line="340" w:lineRule="exact"/>
              <w:jc w:val="left"/>
              <w:rPr>
                <w:color w:val="auto"/>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sz w:val="21"/>
                <w:szCs w:val="21"/>
                <w:highlight w:val="none"/>
              </w:rPr>
              <w:t>是：</w:t>
            </w:r>
            <w:r>
              <w:rPr>
                <w:rFonts w:hint="eastAsia" w:cs="Times New Roman"/>
                <w:color w:val="auto"/>
                <w:kern w:val="21"/>
                <w:szCs w:val="21"/>
                <w:highlight w:val="none"/>
                <w:u w:val="single"/>
                <w:lang w:val="en-US" w:eastAsia="zh-CN"/>
              </w:rPr>
              <w:t>项目已开工建设，目前已完成部分设施建设，未运营，根据附件10《鸡西市生态环境局行政处罚决定书》</w:t>
            </w:r>
            <w:r>
              <w:rPr>
                <w:rFonts w:hint="eastAsia"/>
                <w:color w:val="auto"/>
                <w:sz w:val="21"/>
                <w:szCs w:val="21"/>
                <w:highlight w:val="none"/>
                <w:u w:val="single"/>
                <w:lang w:val="en-US" w:eastAsia="zh-CN"/>
              </w:rPr>
              <w:t>，本项目已处罚，现已停工</w:t>
            </w:r>
            <w:r>
              <w:rPr>
                <w:rFonts w:hint="eastAsia" w:cs="Times New Roman"/>
                <w:color w:val="auto"/>
                <w:kern w:val="21"/>
                <w:szCs w:val="21"/>
                <w:highlight w:val="none"/>
                <w:u w:val="single"/>
                <w:lang w:val="en-US" w:eastAsia="zh-CN"/>
              </w:rPr>
              <w:t>，补办环评手续。</w:t>
            </w:r>
          </w:p>
        </w:tc>
        <w:tc>
          <w:tcPr>
            <w:tcW w:w="1170" w:type="dxa"/>
            <w:tcMar>
              <w:top w:w="16" w:type="dxa"/>
              <w:left w:w="16" w:type="dxa"/>
              <w:right w:w="16" w:type="dxa"/>
            </w:tcMar>
            <w:vAlign w:val="center"/>
          </w:tcPr>
          <w:p w14:paraId="210C3A51">
            <w:pPr>
              <w:adjustRightInd w:val="0"/>
              <w:snapToGrid w:val="0"/>
              <w:spacing w:line="340" w:lineRule="exact"/>
              <w:jc w:val="center"/>
              <w:rPr>
                <w:color w:val="auto"/>
                <w:spacing w:val="-6"/>
                <w:szCs w:val="21"/>
                <w:highlight w:val="none"/>
              </w:rPr>
            </w:pPr>
            <w:r>
              <w:rPr>
                <w:color w:val="auto"/>
                <w:spacing w:val="-6"/>
                <w:szCs w:val="21"/>
                <w:highlight w:val="none"/>
              </w:rPr>
              <w:t>用地（用海）</w:t>
            </w:r>
          </w:p>
          <w:p w14:paraId="4B6012B1">
            <w:pPr>
              <w:adjustRightInd w:val="0"/>
              <w:snapToGrid w:val="0"/>
              <w:spacing w:line="340" w:lineRule="exact"/>
              <w:jc w:val="center"/>
              <w:rPr>
                <w:color w:val="auto"/>
                <w:szCs w:val="21"/>
                <w:highlight w:val="none"/>
              </w:rPr>
            </w:pPr>
            <w:r>
              <w:rPr>
                <w:color w:val="auto"/>
                <w:spacing w:val="-6"/>
                <w:szCs w:val="21"/>
                <w:highlight w:val="none"/>
              </w:rPr>
              <w:t>面积（m</w:t>
            </w:r>
            <w:r>
              <w:rPr>
                <w:color w:val="auto"/>
                <w:spacing w:val="-6"/>
                <w:szCs w:val="21"/>
                <w:highlight w:val="none"/>
                <w:vertAlign w:val="superscript"/>
              </w:rPr>
              <w:t>2</w:t>
            </w:r>
            <w:r>
              <w:rPr>
                <w:color w:val="auto"/>
                <w:spacing w:val="-6"/>
                <w:szCs w:val="21"/>
                <w:highlight w:val="none"/>
              </w:rPr>
              <w:t>）</w:t>
            </w:r>
          </w:p>
        </w:tc>
        <w:tc>
          <w:tcPr>
            <w:tcW w:w="3673" w:type="dxa"/>
            <w:vAlign w:val="center"/>
          </w:tcPr>
          <w:p w14:paraId="19FED9A7">
            <w:pPr>
              <w:adjustRightInd w:val="0"/>
              <w:snapToGrid w:val="0"/>
              <w:spacing w:line="340" w:lineRule="exact"/>
              <w:jc w:val="center"/>
              <w:rPr>
                <w:color w:val="auto"/>
                <w:szCs w:val="21"/>
                <w:highlight w:val="none"/>
              </w:rPr>
            </w:pPr>
            <w:r>
              <w:rPr>
                <w:rFonts w:hint="eastAsia"/>
                <w:color w:val="auto"/>
                <w:szCs w:val="21"/>
                <w:highlight w:val="none"/>
              </w:rPr>
              <w:t>原有1000，新增9496.95</w:t>
            </w:r>
          </w:p>
        </w:tc>
      </w:tr>
      <w:tr w14:paraId="5DC2D4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497" w:type="dxa"/>
            <w:vAlign w:val="center"/>
          </w:tcPr>
          <w:p w14:paraId="2C269D01">
            <w:pPr>
              <w:autoSpaceDE w:val="0"/>
              <w:autoSpaceDN w:val="0"/>
              <w:adjustRightInd w:val="0"/>
              <w:snapToGrid w:val="0"/>
              <w:spacing w:line="340" w:lineRule="exact"/>
              <w:jc w:val="center"/>
              <w:rPr>
                <w:color w:val="auto"/>
                <w:kern w:val="0"/>
                <w:szCs w:val="21"/>
                <w:highlight w:val="none"/>
              </w:rPr>
            </w:pPr>
            <w:r>
              <w:rPr>
                <w:color w:val="auto"/>
                <w:kern w:val="0"/>
                <w:szCs w:val="21"/>
                <w:highlight w:val="none"/>
              </w:rPr>
              <w:t>专项评价设置情况</w:t>
            </w:r>
          </w:p>
        </w:tc>
        <w:tc>
          <w:tcPr>
            <w:tcW w:w="7940" w:type="dxa"/>
            <w:gridSpan w:val="3"/>
            <w:vAlign w:val="center"/>
          </w:tcPr>
          <w:p w14:paraId="44A7536C">
            <w:pPr>
              <w:autoSpaceDE w:val="0"/>
              <w:autoSpaceDN w:val="0"/>
              <w:adjustRightInd w:val="0"/>
              <w:snapToGrid w:val="0"/>
              <w:spacing w:line="340" w:lineRule="exact"/>
              <w:ind w:firstLine="2951" w:firstLineChars="1400"/>
              <w:jc w:val="both"/>
              <w:rPr>
                <w:b/>
                <w:bCs/>
                <w:color w:val="auto"/>
                <w:kern w:val="0"/>
                <w:szCs w:val="21"/>
                <w:highlight w:val="none"/>
              </w:rPr>
            </w:pPr>
            <w:r>
              <w:rPr>
                <w:b/>
                <w:bCs/>
                <w:color w:val="auto"/>
                <w:kern w:val="0"/>
                <w:szCs w:val="21"/>
                <w:highlight w:val="none"/>
              </w:rPr>
              <w:t>表1-1</w:t>
            </w:r>
            <w:r>
              <w:rPr>
                <w:rFonts w:hint="eastAsia"/>
                <w:b/>
                <w:bCs/>
                <w:color w:val="auto"/>
                <w:kern w:val="0"/>
                <w:szCs w:val="21"/>
                <w:highlight w:val="none"/>
              </w:rPr>
              <w:t xml:space="preserve"> 专项设置情况</w:t>
            </w:r>
          </w:p>
          <w:tbl>
            <w:tblPr>
              <w:tblStyle w:val="2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82"/>
              <w:gridCol w:w="3481"/>
              <w:gridCol w:w="3156"/>
            </w:tblGrid>
            <w:tr w14:paraId="4B6557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7AAB5E33">
                  <w:pPr>
                    <w:autoSpaceDE w:val="0"/>
                    <w:autoSpaceDN w:val="0"/>
                    <w:adjustRightInd w:val="0"/>
                    <w:snapToGrid w:val="0"/>
                    <w:jc w:val="center"/>
                    <w:rPr>
                      <w:color w:val="auto"/>
                      <w:kern w:val="21"/>
                      <w:sz w:val="18"/>
                      <w:szCs w:val="18"/>
                      <w:highlight w:val="none"/>
                    </w:rPr>
                  </w:pPr>
                  <w:r>
                    <w:rPr>
                      <w:color w:val="auto"/>
                      <w:kern w:val="21"/>
                      <w:sz w:val="18"/>
                      <w:szCs w:val="18"/>
                      <w:highlight w:val="none"/>
                    </w:rPr>
                    <w:t>专项评价的类别</w:t>
                  </w:r>
                </w:p>
              </w:tc>
              <w:tc>
                <w:tcPr>
                  <w:tcW w:w="2255" w:type="pct"/>
                  <w:noWrap/>
                  <w:vAlign w:val="center"/>
                </w:tcPr>
                <w:p w14:paraId="0F2A91FF">
                  <w:pPr>
                    <w:autoSpaceDE w:val="0"/>
                    <w:autoSpaceDN w:val="0"/>
                    <w:adjustRightInd w:val="0"/>
                    <w:snapToGrid w:val="0"/>
                    <w:jc w:val="center"/>
                    <w:rPr>
                      <w:color w:val="auto"/>
                      <w:kern w:val="21"/>
                      <w:sz w:val="18"/>
                      <w:szCs w:val="18"/>
                      <w:highlight w:val="none"/>
                    </w:rPr>
                  </w:pPr>
                  <w:r>
                    <w:rPr>
                      <w:color w:val="auto"/>
                      <w:kern w:val="21"/>
                      <w:sz w:val="18"/>
                      <w:szCs w:val="18"/>
                      <w:highlight w:val="none"/>
                    </w:rPr>
                    <w:t>设置原则</w:t>
                  </w:r>
                </w:p>
              </w:tc>
              <w:tc>
                <w:tcPr>
                  <w:tcW w:w="2044" w:type="pct"/>
                  <w:noWrap/>
                  <w:vAlign w:val="center"/>
                </w:tcPr>
                <w:p w14:paraId="3565A811">
                  <w:pPr>
                    <w:autoSpaceDE w:val="0"/>
                    <w:autoSpaceDN w:val="0"/>
                    <w:adjustRightInd w:val="0"/>
                    <w:snapToGrid w:val="0"/>
                    <w:jc w:val="center"/>
                    <w:rPr>
                      <w:color w:val="auto"/>
                      <w:kern w:val="21"/>
                      <w:sz w:val="18"/>
                      <w:szCs w:val="18"/>
                      <w:highlight w:val="none"/>
                    </w:rPr>
                  </w:pPr>
                  <w:r>
                    <w:rPr>
                      <w:rFonts w:hint="eastAsia"/>
                      <w:color w:val="auto"/>
                      <w:kern w:val="21"/>
                      <w:sz w:val="18"/>
                      <w:szCs w:val="18"/>
                      <w:highlight w:val="none"/>
                    </w:rPr>
                    <w:t>是</w:t>
                  </w:r>
                  <w:r>
                    <w:rPr>
                      <w:color w:val="auto"/>
                      <w:kern w:val="21"/>
                      <w:sz w:val="18"/>
                      <w:szCs w:val="18"/>
                      <w:highlight w:val="none"/>
                    </w:rPr>
                    <w:t>否设置</w:t>
                  </w:r>
                </w:p>
              </w:tc>
            </w:tr>
            <w:tr w14:paraId="786D5B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63800191">
                  <w:pPr>
                    <w:autoSpaceDE w:val="0"/>
                    <w:autoSpaceDN w:val="0"/>
                    <w:adjustRightInd w:val="0"/>
                    <w:snapToGrid w:val="0"/>
                    <w:jc w:val="center"/>
                    <w:rPr>
                      <w:color w:val="auto"/>
                      <w:kern w:val="21"/>
                      <w:sz w:val="18"/>
                      <w:szCs w:val="18"/>
                      <w:highlight w:val="none"/>
                    </w:rPr>
                  </w:pPr>
                  <w:r>
                    <w:rPr>
                      <w:color w:val="auto"/>
                      <w:kern w:val="21"/>
                      <w:sz w:val="18"/>
                      <w:szCs w:val="18"/>
                      <w:highlight w:val="none"/>
                    </w:rPr>
                    <w:t>大气</w:t>
                  </w:r>
                </w:p>
              </w:tc>
              <w:tc>
                <w:tcPr>
                  <w:tcW w:w="2255" w:type="pct"/>
                  <w:noWrap/>
                  <w:vAlign w:val="center"/>
                </w:tcPr>
                <w:p w14:paraId="0C5BB12D">
                  <w:pPr>
                    <w:autoSpaceDE w:val="0"/>
                    <w:autoSpaceDN w:val="0"/>
                    <w:adjustRightInd w:val="0"/>
                    <w:snapToGrid w:val="0"/>
                    <w:jc w:val="left"/>
                    <w:rPr>
                      <w:color w:val="auto"/>
                      <w:kern w:val="21"/>
                      <w:sz w:val="18"/>
                      <w:szCs w:val="18"/>
                      <w:highlight w:val="none"/>
                    </w:rPr>
                  </w:pPr>
                  <w:r>
                    <w:rPr>
                      <w:color w:val="auto"/>
                      <w:kern w:val="21"/>
                      <w:sz w:val="18"/>
                      <w:szCs w:val="18"/>
                      <w:highlight w:val="none"/>
                    </w:rPr>
                    <w:t>排放废气含有毒有害污染物、二噁英、苯并[</w:t>
                  </w:r>
                  <w:r>
                    <w:rPr>
                      <w:i/>
                      <w:iCs/>
                      <w:color w:val="auto"/>
                      <w:kern w:val="21"/>
                      <w:sz w:val="18"/>
                      <w:szCs w:val="18"/>
                      <w:highlight w:val="none"/>
                    </w:rPr>
                    <w:t>a</w:t>
                  </w:r>
                  <w:r>
                    <w:rPr>
                      <w:color w:val="auto"/>
                      <w:kern w:val="21"/>
                      <w:sz w:val="18"/>
                      <w:szCs w:val="18"/>
                      <w:highlight w:val="none"/>
                    </w:rPr>
                    <w:t>]芘、氰化物、氯气且厂界外500米范围内有环境空气保护目标的建设项目</w:t>
                  </w:r>
                </w:p>
              </w:tc>
              <w:tc>
                <w:tcPr>
                  <w:tcW w:w="2044" w:type="pct"/>
                  <w:noWrap/>
                  <w:vAlign w:val="center"/>
                </w:tcPr>
                <w:p w14:paraId="56A783BF">
                  <w:pPr>
                    <w:autoSpaceDE w:val="0"/>
                    <w:autoSpaceDN w:val="0"/>
                    <w:adjustRightInd w:val="0"/>
                    <w:snapToGrid w:val="0"/>
                    <w:jc w:val="left"/>
                    <w:rPr>
                      <w:color w:val="auto"/>
                      <w:kern w:val="21"/>
                      <w:sz w:val="18"/>
                      <w:szCs w:val="18"/>
                      <w:highlight w:val="none"/>
                    </w:rPr>
                  </w:pPr>
                  <w:r>
                    <w:rPr>
                      <w:rFonts w:hint="eastAsia"/>
                      <w:color w:val="auto"/>
                      <w:kern w:val="21"/>
                      <w:sz w:val="18"/>
                      <w:szCs w:val="18"/>
                      <w:highlight w:val="none"/>
                    </w:rPr>
                    <w:t>不</w:t>
                  </w:r>
                  <w:r>
                    <w:rPr>
                      <w:color w:val="auto"/>
                      <w:kern w:val="21"/>
                      <w:sz w:val="18"/>
                      <w:szCs w:val="18"/>
                      <w:highlight w:val="none"/>
                    </w:rPr>
                    <w:t>设置</w:t>
                  </w:r>
                  <w:r>
                    <w:rPr>
                      <w:rFonts w:hint="eastAsia"/>
                      <w:color w:val="auto"/>
                      <w:kern w:val="21"/>
                      <w:sz w:val="18"/>
                      <w:szCs w:val="18"/>
                      <w:highlight w:val="none"/>
                    </w:rPr>
                    <w:t>，</w:t>
                  </w:r>
                  <w:r>
                    <w:rPr>
                      <w:color w:val="auto"/>
                      <w:kern w:val="21"/>
                      <w:sz w:val="18"/>
                      <w:szCs w:val="18"/>
                      <w:highlight w:val="none"/>
                    </w:rPr>
                    <w:t>项目排放废气</w:t>
                  </w:r>
                  <w:r>
                    <w:rPr>
                      <w:rFonts w:hint="eastAsia"/>
                      <w:color w:val="auto"/>
                      <w:kern w:val="21"/>
                      <w:sz w:val="18"/>
                      <w:szCs w:val="18"/>
                      <w:highlight w:val="none"/>
                    </w:rPr>
                    <w:t>不</w:t>
                  </w:r>
                  <w:r>
                    <w:rPr>
                      <w:color w:val="auto"/>
                      <w:kern w:val="21"/>
                      <w:sz w:val="18"/>
                      <w:szCs w:val="18"/>
                      <w:highlight w:val="none"/>
                    </w:rPr>
                    <w:t>含有毒有害污染物</w:t>
                  </w:r>
                </w:p>
              </w:tc>
            </w:tr>
            <w:tr w14:paraId="52BCB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5713A6B7">
                  <w:pPr>
                    <w:autoSpaceDE w:val="0"/>
                    <w:autoSpaceDN w:val="0"/>
                    <w:adjustRightInd w:val="0"/>
                    <w:snapToGrid w:val="0"/>
                    <w:jc w:val="center"/>
                    <w:rPr>
                      <w:color w:val="auto"/>
                      <w:kern w:val="21"/>
                      <w:sz w:val="18"/>
                      <w:szCs w:val="18"/>
                      <w:highlight w:val="none"/>
                    </w:rPr>
                  </w:pPr>
                  <w:r>
                    <w:rPr>
                      <w:color w:val="auto"/>
                      <w:kern w:val="21"/>
                      <w:sz w:val="18"/>
                      <w:szCs w:val="18"/>
                      <w:highlight w:val="none"/>
                    </w:rPr>
                    <w:t>地表水</w:t>
                  </w:r>
                </w:p>
              </w:tc>
              <w:tc>
                <w:tcPr>
                  <w:tcW w:w="2255" w:type="pct"/>
                  <w:noWrap/>
                  <w:vAlign w:val="center"/>
                </w:tcPr>
                <w:p w14:paraId="10ACE453">
                  <w:pPr>
                    <w:autoSpaceDE w:val="0"/>
                    <w:autoSpaceDN w:val="0"/>
                    <w:adjustRightInd w:val="0"/>
                    <w:snapToGrid w:val="0"/>
                    <w:jc w:val="left"/>
                    <w:rPr>
                      <w:color w:val="auto"/>
                      <w:kern w:val="21"/>
                      <w:sz w:val="18"/>
                      <w:szCs w:val="18"/>
                      <w:highlight w:val="none"/>
                    </w:rPr>
                  </w:pPr>
                  <w:r>
                    <w:rPr>
                      <w:color w:val="auto"/>
                      <w:kern w:val="21"/>
                      <w:sz w:val="18"/>
                      <w:szCs w:val="18"/>
                      <w:highlight w:val="none"/>
                    </w:rPr>
                    <w:t>新增工业废水直排建设项目（槽罐车外送污水处理厂的除外）；新增废水直排的污水集中处理厂</w:t>
                  </w:r>
                </w:p>
              </w:tc>
              <w:tc>
                <w:tcPr>
                  <w:tcW w:w="2044" w:type="pct"/>
                  <w:noWrap/>
                  <w:vAlign w:val="center"/>
                </w:tcPr>
                <w:p w14:paraId="0D9A2645">
                  <w:pPr>
                    <w:autoSpaceDE w:val="0"/>
                    <w:autoSpaceDN w:val="0"/>
                    <w:adjustRightInd w:val="0"/>
                    <w:snapToGrid w:val="0"/>
                    <w:jc w:val="left"/>
                    <w:rPr>
                      <w:color w:val="auto"/>
                      <w:kern w:val="21"/>
                      <w:sz w:val="18"/>
                      <w:szCs w:val="18"/>
                      <w:highlight w:val="none"/>
                    </w:rPr>
                  </w:pPr>
                  <w:r>
                    <w:rPr>
                      <w:rFonts w:hint="eastAsia"/>
                      <w:color w:val="auto"/>
                      <w:kern w:val="21"/>
                      <w:sz w:val="18"/>
                      <w:szCs w:val="18"/>
                      <w:highlight w:val="none"/>
                    </w:rPr>
                    <w:t>不</w:t>
                  </w:r>
                  <w:r>
                    <w:rPr>
                      <w:color w:val="auto"/>
                      <w:kern w:val="21"/>
                      <w:sz w:val="18"/>
                      <w:szCs w:val="18"/>
                      <w:highlight w:val="none"/>
                    </w:rPr>
                    <w:t>设置</w:t>
                  </w:r>
                  <w:r>
                    <w:rPr>
                      <w:rFonts w:hint="eastAsia"/>
                      <w:color w:val="auto"/>
                      <w:kern w:val="21"/>
                      <w:sz w:val="18"/>
                      <w:szCs w:val="18"/>
                      <w:highlight w:val="none"/>
                    </w:rPr>
                    <w:t>，项目不</w:t>
                  </w:r>
                  <w:r>
                    <w:rPr>
                      <w:color w:val="auto"/>
                      <w:kern w:val="21"/>
                      <w:sz w:val="18"/>
                      <w:szCs w:val="18"/>
                      <w:highlight w:val="none"/>
                    </w:rPr>
                    <w:t>新增工业废水直排</w:t>
                  </w:r>
                </w:p>
              </w:tc>
            </w:tr>
            <w:tr w14:paraId="091848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0693E137">
                  <w:pPr>
                    <w:autoSpaceDE w:val="0"/>
                    <w:autoSpaceDN w:val="0"/>
                    <w:adjustRightInd w:val="0"/>
                    <w:snapToGrid w:val="0"/>
                    <w:jc w:val="center"/>
                    <w:rPr>
                      <w:color w:val="auto"/>
                      <w:kern w:val="21"/>
                      <w:sz w:val="18"/>
                      <w:szCs w:val="18"/>
                      <w:highlight w:val="none"/>
                    </w:rPr>
                  </w:pPr>
                  <w:r>
                    <w:rPr>
                      <w:color w:val="auto"/>
                      <w:kern w:val="21"/>
                      <w:sz w:val="18"/>
                      <w:szCs w:val="18"/>
                      <w:highlight w:val="none"/>
                    </w:rPr>
                    <w:t>环境风险</w:t>
                  </w:r>
                </w:p>
              </w:tc>
              <w:tc>
                <w:tcPr>
                  <w:tcW w:w="2255" w:type="pct"/>
                  <w:noWrap/>
                  <w:vAlign w:val="center"/>
                </w:tcPr>
                <w:p w14:paraId="426FD208">
                  <w:pPr>
                    <w:autoSpaceDE w:val="0"/>
                    <w:autoSpaceDN w:val="0"/>
                    <w:adjustRightInd w:val="0"/>
                    <w:snapToGrid w:val="0"/>
                    <w:jc w:val="left"/>
                    <w:rPr>
                      <w:color w:val="auto"/>
                      <w:kern w:val="21"/>
                      <w:sz w:val="18"/>
                      <w:szCs w:val="18"/>
                      <w:highlight w:val="none"/>
                    </w:rPr>
                  </w:pPr>
                  <w:r>
                    <w:rPr>
                      <w:color w:val="auto"/>
                      <w:kern w:val="21"/>
                      <w:sz w:val="18"/>
                      <w:szCs w:val="18"/>
                      <w:highlight w:val="none"/>
                    </w:rPr>
                    <w:t>有毒有害和易燃易爆危险物质存储量超过临界量的建设项目</w:t>
                  </w:r>
                </w:p>
              </w:tc>
              <w:tc>
                <w:tcPr>
                  <w:tcW w:w="2044" w:type="pct"/>
                  <w:noWrap/>
                  <w:vAlign w:val="center"/>
                </w:tcPr>
                <w:p w14:paraId="00C9FF9D">
                  <w:pPr>
                    <w:autoSpaceDE w:val="0"/>
                    <w:autoSpaceDN w:val="0"/>
                    <w:adjustRightInd w:val="0"/>
                    <w:snapToGrid w:val="0"/>
                    <w:jc w:val="left"/>
                    <w:rPr>
                      <w:color w:val="auto"/>
                      <w:kern w:val="21"/>
                      <w:sz w:val="18"/>
                      <w:szCs w:val="18"/>
                      <w:highlight w:val="none"/>
                    </w:rPr>
                  </w:pPr>
                  <w:r>
                    <w:rPr>
                      <w:rFonts w:eastAsiaTheme="minorEastAsia"/>
                      <w:color w:val="auto"/>
                      <w:kern w:val="0"/>
                      <w:sz w:val="18"/>
                      <w:szCs w:val="18"/>
                      <w:highlight w:val="none"/>
                    </w:rPr>
                    <w:t>本项目涉及危险物质存储量未超过临界量</w:t>
                  </w:r>
                  <w:r>
                    <w:rPr>
                      <w:rFonts w:hint="eastAsia"/>
                      <w:color w:val="auto"/>
                      <w:kern w:val="21"/>
                      <w:sz w:val="18"/>
                      <w:szCs w:val="18"/>
                      <w:highlight w:val="none"/>
                    </w:rPr>
                    <w:t>，因此无需开展环境风险专项评价</w:t>
                  </w:r>
                </w:p>
              </w:tc>
            </w:tr>
            <w:tr w14:paraId="636FE6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7327F5E4">
                  <w:pPr>
                    <w:autoSpaceDE w:val="0"/>
                    <w:autoSpaceDN w:val="0"/>
                    <w:adjustRightInd w:val="0"/>
                    <w:snapToGrid w:val="0"/>
                    <w:jc w:val="center"/>
                    <w:rPr>
                      <w:color w:val="auto"/>
                      <w:kern w:val="21"/>
                      <w:sz w:val="18"/>
                      <w:szCs w:val="18"/>
                      <w:highlight w:val="none"/>
                    </w:rPr>
                  </w:pPr>
                  <w:r>
                    <w:rPr>
                      <w:color w:val="auto"/>
                      <w:kern w:val="21"/>
                      <w:sz w:val="18"/>
                      <w:szCs w:val="18"/>
                      <w:highlight w:val="none"/>
                    </w:rPr>
                    <w:t>生态</w:t>
                  </w:r>
                </w:p>
              </w:tc>
              <w:tc>
                <w:tcPr>
                  <w:tcW w:w="2255" w:type="pct"/>
                  <w:noWrap/>
                  <w:vAlign w:val="center"/>
                </w:tcPr>
                <w:p w14:paraId="3AC7ADA1">
                  <w:pPr>
                    <w:autoSpaceDE w:val="0"/>
                    <w:autoSpaceDN w:val="0"/>
                    <w:adjustRightInd w:val="0"/>
                    <w:snapToGrid w:val="0"/>
                    <w:jc w:val="left"/>
                    <w:rPr>
                      <w:color w:val="auto"/>
                      <w:kern w:val="21"/>
                      <w:sz w:val="18"/>
                      <w:szCs w:val="18"/>
                      <w:highlight w:val="none"/>
                    </w:rPr>
                  </w:pPr>
                  <w:r>
                    <w:rPr>
                      <w:color w:val="auto"/>
                      <w:kern w:val="21"/>
                      <w:sz w:val="18"/>
                      <w:szCs w:val="18"/>
                      <w:highlight w:val="none"/>
                    </w:rPr>
                    <w:t>取水口下游500米范围内有重要水生生物的自然产卵场、索饵场、越冬场和洄游通道的新增河道取水的污染类建设项目</w:t>
                  </w:r>
                </w:p>
              </w:tc>
              <w:tc>
                <w:tcPr>
                  <w:tcW w:w="2044" w:type="pct"/>
                  <w:noWrap/>
                  <w:vAlign w:val="center"/>
                </w:tcPr>
                <w:p w14:paraId="624D4A40">
                  <w:pPr>
                    <w:rPr>
                      <w:color w:val="auto"/>
                      <w:kern w:val="21"/>
                      <w:sz w:val="18"/>
                      <w:szCs w:val="18"/>
                      <w:highlight w:val="none"/>
                    </w:rPr>
                  </w:pPr>
                  <w:r>
                    <w:rPr>
                      <w:color w:val="auto"/>
                      <w:sz w:val="18"/>
                      <w:szCs w:val="18"/>
                      <w:highlight w:val="none"/>
                    </w:rPr>
                    <w:t>本项目不涉及，因此无需开展生态专项评价。</w:t>
                  </w:r>
                </w:p>
              </w:tc>
            </w:tr>
            <w:tr w14:paraId="265DA7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5C8B4B9D">
                  <w:pPr>
                    <w:autoSpaceDE w:val="0"/>
                    <w:autoSpaceDN w:val="0"/>
                    <w:adjustRightInd w:val="0"/>
                    <w:snapToGrid w:val="0"/>
                    <w:jc w:val="center"/>
                    <w:rPr>
                      <w:color w:val="auto"/>
                      <w:kern w:val="21"/>
                      <w:sz w:val="18"/>
                      <w:szCs w:val="18"/>
                      <w:highlight w:val="none"/>
                    </w:rPr>
                  </w:pPr>
                  <w:r>
                    <w:rPr>
                      <w:rFonts w:hint="eastAsia"/>
                      <w:color w:val="auto"/>
                      <w:kern w:val="21"/>
                      <w:sz w:val="18"/>
                      <w:szCs w:val="18"/>
                      <w:highlight w:val="none"/>
                    </w:rPr>
                    <w:t>辐射</w:t>
                  </w:r>
                </w:p>
              </w:tc>
              <w:tc>
                <w:tcPr>
                  <w:tcW w:w="2255" w:type="pct"/>
                  <w:noWrap/>
                  <w:vAlign w:val="center"/>
                </w:tcPr>
                <w:p w14:paraId="428E713D">
                  <w:pPr>
                    <w:autoSpaceDE w:val="0"/>
                    <w:autoSpaceDN w:val="0"/>
                    <w:adjustRightInd w:val="0"/>
                    <w:snapToGrid w:val="0"/>
                    <w:jc w:val="left"/>
                    <w:rPr>
                      <w:color w:val="auto"/>
                      <w:kern w:val="21"/>
                      <w:sz w:val="18"/>
                      <w:szCs w:val="18"/>
                      <w:highlight w:val="none"/>
                    </w:rPr>
                  </w:pPr>
                  <w:r>
                    <w:rPr>
                      <w:rFonts w:hint="eastAsia"/>
                      <w:color w:val="auto"/>
                      <w:kern w:val="21"/>
                      <w:sz w:val="18"/>
                      <w:szCs w:val="18"/>
                      <w:highlight w:val="none"/>
                    </w:rPr>
                    <w:t>涉及放射性污染影响的采选项目</w:t>
                  </w:r>
                </w:p>
              </w:tc>
              <w:tc>
                <w:tcPr>
                  <w:tcW w:w="2044" w:type="pct"/>
                  <w:noWrap/>
                  <w:vAlign w:val="center"/>
                </w:tcPr>
                <w:p w14:paraId="654919E0">
                  <w:pPr>
                    <w:autoSpaceDE w:val="0"/>
                    <w:autoSpaceDN w:val="0"/>
                    <w:adjustRightInd w:val="0"/>
                    <w:snapToGrid w:val="0"/>
                    <w:jc w:val="left"/>
                    <w:rPr>
                      <w:color w:val="auto"/>
                      <w:kern w:val="21"/>
                      <w:sz w:val="18"/>
                      <w:szCs w:val="18"/>
                      <w:highlight w:val="none"/>
                    </w:rPr>
                  </w:pPr>
                  <w:r>
                    <w:rPr>
                      <w:rFonts w:hint="eastAsia"/>
                      <w:color w:val="auto"/>
                      <w:kern w:val="21"/>
                      <w:sz w:val="18"/>
                      <w:szCs w:val="18"/>
                      <w:highlight w:val="none"/>
                    </w:rPr>
                    <w:t>根据原料煤泥中</w:t>
                  </w:r>
                  <w:r>
                    <w:rPr>
                      <w:rFonts w:hint="eastAsia"/>
                      <w:color w:val="auto"/>
                      <w:kern w:val="21"/>
                      <w:sz w:val="18"/>
                      <w:szCs w:val="18"/>
                      <w:highlight w:val="none"/>
                      <w:vertAlign w:val="superscript"/>
                    </w:rPr>
                    <w:t>226</w:t>
                  </w:r>
                  <w:r>
                    <w:rPr>
                      <w:rFonts w:hint="eastAsia"/>
                      <w:color w:val="auto"/>
                      <w:kern w:val="21"/>
                      <w:sz w:val="18"/>
                      <w:szCs w:val="18"/>
                      <w:highlight w:val="none"/>
                    </w:rPr>
                    <w:t>Ra、</w:t>
                  </w:r>
                  <w:r>
                    <w:rPr>
                      <w:rFonts w:hint="eastAsia"/>
                      <w:color w:val="auto"/>
                      <w:kern w:val="21"/>
                      <w:sz w:val="18"/>
                      <w:szCs w:val="18"/>
                      <w:highlight w:val="none"/>
                      <w:vertAlign w:val="superscript"/>
                    </w:rPr>
                    <w:t>232</w:t>
                  </w:r>
                  <w:r>
                    <w:rPr>
                      <w:rFonts w:hint="eastAsia"/>
                      <w:color w:val="auto"/>
                      <w:kern w:val="21"/>
                      <w:sz w:val="18"/>
                      <w:szCs w:val="18"/>
                      <w:highlight w:val="none"/>
                    </w:rPr>
                    <w:t>Th、</w:t>
                  </w:r>
                  <w:r>
                    <w:rPr>
                      <w:rFonts w:hint="eastAsia"/>
                      <w:color w:val="auto"/>
                      <w:kern w:val="21"/>
                      <w:sz w:val="18"/>
                      <w:szCs w:val="18"/>
                      <w:highlight w:val="none"/>
                      <w:vertAlign w:val="superscript"/>
                    </w:rPr>
                    <w:t>238</w:t>
                  </w:r>
                  <w:r>
                    <w:rPr>
                      <w:rFonts w:hint="eastAsia"/>
                      <w:color w:val="auto"/>
                      <w:kern w:val="21"/>
                      <w:sz w:val="18"/>
                      <w:szCs w:val="18"/>
                      <w:highlight w:val="none"/>
                    </w:rPr>
                    <w:t>U活度浓度检测报告，煤泥中铀(钍)系单个核素含量小于 1贝可/克，因此无需开展辐射专题评价。</w:t>
                  </w:r>
                </w:p>
              </w:tc>
            </w:tr>
            <w:tr w14:paraId="2094FA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ign w:val="center"/>
                </w:tcPr>
                <w:p w14:paraId="77C6F355">
                  <w:pPr>
                    <w:autoSpaceDE w:val="0"/>
                    <w:autoSpaceDN w:val="0"/>
                    <w:adjustRightInd w:val="0"/>
                    <w:snapToGrid w:val="0"/>
                    <w:jc w:val="center"/>
                    <w:rPr>
                      <w:color w:val="auto"/>
                      <w:kern w:val="21"/>
                      <w:sz w:val="18"/>
                      <w:szCs w:val="18"/>
                      <w:highlight w:val="none"/>
                    </w:rPr>
                  </w:pPr>
                  <w:r>
                    <w:rPr>
                      <w:color w:val="auto"/>
                      <w:kern w:val="21"/>
                      <w:sz w:val="18"/>
                      <w:szCs w:val="18"/>
                      <w:highlight w:val="none"/>
                    </w:rPr>
                    <w:t>海洋</w:t>
                  </w:r>
                </w:p>
              </w:tc>
              <w:tc>
                <w:tcPr>
                  <w:tcW w:w="2255" w:type="pct"/>
                  <w:noWrap/>
                  <w:vAlign w:val="center"/>
                </w:tcPr>
                <w:p w14:paraId="2B826CED">
                  <w:pPr>
                    <w:autoSpaceDE w:val="0"/>
                    <w:autoSpaceDN w:val="0"/>
                    <w:adjustRightInd w:val="0"/>
                    <w:snapToGrid w:val="0"/>
                    <w:jc w:val="left"/>
                    <w:rPr>
                      <w:color w:val="auto"/>
                      <w:kern w:val="21"/>
                      <w:sz w:val="18"/>
                      <w:szCs w:val="18"/>
                      <w:highlight w:val="none"/>
                    </w:rPr>
                  </w:pPr>
                  <w:r>
                    <w:rPr>
                      <w:color w:val="auto"/>
                      <w:kern w:val="21"/>
                      <w:sz w:val="18"/>
                      <w:szCs w:val="18"/>
                      <w:highlight w:val="none"/>
                    </w:rPr>
                    <w:t>直接向海排放污染物的海洋工程建设项目</w:t>
                  </w:r>
                </w:p>
              </w:tc>
              <w:tc>
                <w:tcPr>
                  <w:tcW w:w="2044" w:type="pct"/>
                  <w:noWrap/>
                  <w:vAlign w:val="center"/>
                </w:tcPr>
                <w:p w14:paraId="1987F3C1">
                  <w:pPr>
                    <w:autoSpaceDE w:val="0"/>
                    <w:autoSpaceDN w:val="0"/>
                    <w:adjustRightInd w:val="0"/>
                    <w:snapToGrid w:val="0"/>
                    <w:jc w:val="center"/>
                    <w:rPr>
                      <w:color w:val="auto"/>
                      <w:kern w:val="21"/>
                      <w:sz w:val="18"/>
                      <w:szCs w:val="18"/>
                      <w:highlight w:val="none"/>
                    </w:rPr>
                  </w:pPr>
                  <w:r>
                    <w:rPr>
                      <w:color w:val="auto"/>
                      <w:spacing w:val="-1"/>
                      <w:sz w:val="18"/>
                      <w:szCs w:val="18"/>
                      <w:highlight w:val="none"/>
                    </w:rPr>
                    <w:t>本项目不属于海洋工程建设项目。</w:t>
                  </w:r>
                </w:p>
              </w:tc>
            </w:tr>
            <w:tr w14:paraId="2CD9C0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67" w:type="dxa"/>
                  <w:noWrap/>
                  <w:vAlign w:val="center"/>
                </w:tcPr>
                <w:p w14:paraId="78F52A7C">
                  <w:pPr>
                    <w:autoSpaceDE w:val="0"/>
                    <w:autoSpaceDN w:val="0"/>
                    <w:adjustRightInd w:val="0"/>
                    <w:snapToGrid w:val="0"/>
                    <w:jc w:val="center"/>
                    <w:rPr>
                      <w:color w:val="auto"/>
                      <w:kern w:val="21"/>
                      <w:sz w:val="18"/>
                      <w:szCs w:val="18"/>
                      <w:highlight w:val="none"/>
                    </w:rPr>
                  </w:pPr>
                  <w:r>
                    <w:rPr>
                      <w:rFonts w:hint="eastAsia"/>
                      <w:color w:val="auto"/>
                      <w:kern w:val="21"/>
                      <w:sz w:val="18"/>
                      <w:szCs w:val="18"/>
                      <w:highlight w:val="none"/>
                    </w:rPr>
                    <w:t>地下水</w:t>
                  </w:r>
                </w:p>
              </w:tc>
              <w:tc>
                <w:tcPr>
                  <w:tcW w:w="3119" w:type="dxa"/>
                  <w:noWrap/>
                  <w:vAlign w:val="center"/>
                </w:tcPr>
                <w:p w14:paraId="46FA4E2C">
                  <w:pPr>
                    <w:autoSpaceDE w:val="0"/>
                    <w:autoSpaceDN w:val="0"/>
                    <w:adjustRightInd w:val="0"/>
                    <w:snapToGrid w:val="0"/>
                    <w:jc w:val="center"/>
                    <w:rPr>
                      <w:color w:val="auto"/>
                      <w:kern w:val="21"/>
                      <w:sz w:val="18"/>
                      <w:szCs w:val="18"/>
                      <w:highlight w:val="none"/>
                    </w:rPr>
                  </w:pPr>
                  <w:r>
                    <w:rPr>
                      <w:rFonts w:hint="eastAsia"/>
                      <w:color w:val="auto"/>
                      <w:kern w:val="21"/>
                      <w:sz w:val="18"/>
                      <w:szCs w:val="18"/>
                      <w:highlight w:val="none"/>
                    </w:rPr>
                    <w:t>涉及集中式饮用水水源和热水、矿泉水、温泉等特殊地下水资源保护区的开展地下水专项评价工作。</w:t>
                  </w:r>
                </w:p>
              </w:tc>
              <w:tc>
                <w:tcPr>
                  <w:tcW w:w="2827" w:type="dxa"/>
                  <w:noWrap/>
                  <w:vAlign w:val="center"/>
                </w:tcPr>
                <w:p w14:paraId="69954EFA">
                  <w:pPr>
                    <w:autoSpaceDE w:val="0"/>
                    <w:autoSpaceDN w:val="0"/>
                    <w:adjustRightInd w:val="0"/>
                    <w:snapToGrid w:val="0"/>
                    <w:jc w:val="center"/>
                    <w:rPr>
                      <w:color w:val="auto"/>
                      <w:kern w:val="21"/>
                      <w:sz w:val="18"/>
                      <w:szCs w:val="18"/>
                      <w:highlight w:val="none"/>
                    </w:rPr>
                  </w:pPr>
                  <w:r>
                    <w:rPr>
                      <w:rFonts w:hint="eastAsia"/>
                      <w:color w:val="auto"/>
                      <w:kern w:val="21"/>
                      <w:sz w:val="18"/>
                      <w:szCs w:val="18"/>
                      <w:highlight w:val="none"/>
                    </w:rPr>
                    <w:t>本项目不涉及集中式饮用水水源和热水、矿泉水、温泉等特殊地下水资源保护区</w:t>
                  </w:r>
                </w:p>
              </w:tc>
            </w:tr>
          </w:tbl>
          <w:p w14:paraId="41429169">
            <w:pPr>
              <w:autoSpaceDE w:val="0"/>
              <w:autoSpaceDN w:val="0"/>
              <w:adjustRightInd w:val="0"/>
              <w:snapToGrid w:val="0"/>
              <w:spacing w:line="340" w:lineRule="exact"/>
              <w:jc w:val="center"/>
              <w:rPr>
                <w:color w:val="auto"/>
                <w:kern w:val="0"/>
                <w:sz w:val="24"/>
                <w:highlight w:val="none"/>
              </w:rPr>
            </w:pPr>
          </w:p>
        </w:tc>
      </w:tr>
      <w:tr w14:paraId="0C2E0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497" w:type="dxa"/>
            <w:vAlign w:val="center"/>
          </w:tcPr>
          <w:p w14:paraId="1CE6B917">
            <w:pPr>
              <w:autoSpaceDE w:val="0"/>
              <w:autoSpaceDN w:val="0"/>
              <w:adjustRightInd w:val="0"/>
              <w:snapToGrid w:val="0"/>
              <w:spacing w:line="340" w:lineRule="exact"/>
              <w:jc w:val="center"/>
              <w:rPr>
                <w:color w:val="auto"/>
                <w:kern w:val="0"/>
                <w:szCs w:val="21"/>
                <w:highlight w:val="none"/>
              </w:rPr>
            </w:pPr>
            <w:r>
              <w:rPr>
                <w:color w:val="auto"/>
                <w:szCs w:val="21"/>
                <w:highlight w:val="none"/>
              </w:rPr>
              <w:t>规划情况</w:t>
            </w:r>
          </w:p>
        </w:tc>
        <w:tc>
          <w:tcPr>
            <w:tcW w:w="7940" w:type="dxa"/>
            <w:gridSpan w:val="3"/>
            <w:vAlign w:val="center"/>
          </w:tcPr>
          <w:p w14:paraId="61E3A9FA">
            <w:pPr>
              <w:adjustRightInd w:val="0"/>
              <w:snapToGrid w:val="0"/>
              <w:jc w:val="center"/>
              <w:rPr>
                <w:b/>
                <w:bCs/>
                <w:color w:val="auto"/>
                <w:szCs w:val="21"/>
                <w:highlight w:val="none"/>
              </w:rPr>
            </w:pPr>
            <w:r>
              <w:rPr>
                <w:rFonts w:hint="eastAsia"/>
                <w:b/>
                <w:bCs/>
                <w:color w:val="auto"/>
                <w:szCs w:val="21"/>
                <w:highlight w:val="none"/>
              </w:rPr>
              <w:t>表1-2相关规划信息一览表</w:t>
            </w:r>
          </w:p>
          <w:tbl>
            <w:tblPr>
              <w:tblStyle w:val="23"/>
              <w:tblW w:w="771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826"/>
              <w:gridCol w:w="1397"/>
              <w:gridCol w:w="3794"/>
            </w:tblGrid>
            <w:tr w14:paraId="4F590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699" w:type="dxa"/>
                  <w:tcBorders>
                    <w:tl2br w:val="nil"/>
                    <w:tr2bl w:val="nil"/>
                  </w:tcBorders>
                  <w:vAlign w:val="center"/>
                </w:tcPr>
                <w:p w14:paraId="6157E35B">
                  <w:pPr>
                    <w:jc w:val="center"/>
                    <w:rPr>
                      <w:color w:val="auto"/>
                      <w:sz w:val="18"/>
                      <w:szCs w:val="18"/>
                      <w:highlight w:val="none"/>
                    </w:rPr>
                  </w:pPr>
                  <w:r>
                    <w:rPr>
                      <w:color w:val="auto"/>
                      <w:sz w:val="18"/>
                      <w:szCs w:val="18"/>
                      <w:highlight w:val="none"/>
                    </w:rPr>
                    <w:t>序号</w:t>
                  </w:r>
                </w:p>
              </w:tc>
              <w:tc>
                <w:tcPr>
                  <w:tcW w:w="1826" w:type="dxa"/>
                  <w:tcBorders>
                    <w:tl2br w:val="nil"/>
                    <w:tr2bl w:val="nil"/>
                  </w:tcBorders>
                  <w:vAlign w:val="center"/>
                </w:tcPr>
                <w:p w14:paraId="3CC2C98C">
                  <w:pPr>
                    <w:jc w:val="center"/>
                    <w:rPr>
                      <w:color w:val="auto"/>
                      <w:sz w:val="18"/>
                      <w:szCs w:val="18"/>
                      <w:highlight w:val="none"/>
                    </w:rPr>
                  </w:pPr>
                  <w:r>
                    <w:rPr>
                      <w:color w:val="auto"/>
                      <w:sz w:val="18"/>
                      <w:szCs w:val="18"/>
                      <w:highlight w:val="none"/>
                    </w:rPr>
                    <w:t>名称</w:t>
                  </w:r>
                </w:p>
              </w:tc>
              <w:tc>
                <w:tcPr>
                  <w:tcW w:w="1397" w:type="dxa"/>
                  <w:tcBorders>
                    <w:tl2br w:val="nil"/>
                    <w:tr2bl w:val="nil"/>
                  </w:tcBorders>
                  <w:vAlign w:val="center"/>
                </w:tcPr>
                <w:p w14:paraId="73C5BC30">
                  <w:pPr>
                    <w:jc w:val="center"/>
                    <w:rPr>
                      <w:color w:val="auto"/>
                      <w:sz w:val="18"/>
                      <w:szCs w:val="18"/>
                      <w:highlight w:val="none"/>
                    </w:rPr>
                  </w:pPr>
                  <w:r>
                    <w:rPr>
                      <w:color w:val="auto"/>
                      <w:sz w:val="18"/>
                      <w:szCs w:val="18"/>
                      <w:highlight w:val="none"/>
                    </w:rPr>
                    <w:t>审批机关</w:t>
                  </w:r>
                </w:p>
              </w:tc>
              <w:tc>
                <w:tcPr>
                  <w:tcW w:w="3794" w:type="dxa"/>
                  <w:tcBorders>
                    <w:tl2br w:val="nil"/>
                    <w:tr2bl w:val="nil"/>
                  </w:tcBorders>
                  <w:vAlign w:val="center"/>
                </w:tcPr>
                <w:p w14:paraId="27EAEB3D">
                  <w:pPr>
                    <w:jc w:val="center"/>
                    <w:rPr>
                      <w:color w:val="auto"/>
                      <w:sz w:val="18"/>
                      <w:szCs w:val="18"/>
                      <w:highlight w:val="none"/>
                    </w:rPr>
                  </w:pPr>
                  <w:r>
                    <w:rPr>
                      <w:color w:val="auto"/>
                      <w:sz w:val="18"/>
                      <w:szCs w:val="18"/>
                      <w:highlight w:val="none"/>
                    </w:rPr>
                    <w:t>审批文件名称及文号</w:t>
                  </w:r>
                </w:p>
              </w:tc>
            </w:tr>
            <w:tr w14:paraId="66AC11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6" w:hRule="atLeast"/>
              </w:trPr>
              <w:tc>
                <w:tcPr>
                  <w:tcW w:w="699" w:type="dxa"/>
                  <w:tcBorders>
                    <w:tl2br w:val="nil"/>
                    <w:tr2bl w:val="nil"/>
                  </w:tcBorders>
                  <w:vAlign w:val="center"/>
                </w:tcPr>
                <w:p w14:paraId="702EE321">
                  <w:pPr>
                    <w:jc w:val="center"/>
                    <w:rPr>
                      <w:color w:val="auto"/>
                      <w:sz w:val="18"/>
                      <w:szCs w:val="18"/>
                      <w:highlight w:val="none"/>
                    </w:rPr>
                  </w:pPr>
                  <w:r>
                    <w:rPr>
                      <w:color w:val="auto"/>
                      <w:sz w:val="18"/>
                      <w:szCs w:val="18"/>
                      <w:highlight w:val="none"/>
                    </w:rPr>
                    <w:t>1</w:t>
                  </w:r>
                </w:p>
              </w:tc>
              <w:tc>
                <w:tcPr>
                  <w:tcW w:w="1826" w:type="dxa"/>
                  <w:tcBorders>
                    <w:tl2br w:val="nil"/>
                    <w:tr2bl w:val="nil"/>
                  </w:tcBorders>
                  <w:vAlign w:val="center"/>
                </w:tcPr>
                <w:p w14:paraId="0C7A49F4">
                  <w:pPr>
                    <w:jc w:val="center"/>
                    <w:rPr>
                      <w:color w:val="auto"/>
                      <w:sz w:val="18"/>
                      <w:szCs w:val="18"/>
                      <w:highlight w:val="none"/>
                    </w:rPr>
                  </w:pPr>
                  <w:r>
                    <w:rPr>
                      <w:color w:val="auto"/>
                      <w:sz w:val="18"/>
                      <w:szCs w:val="18"/>
                      <w:highlight w:val="none"/>
                    </w:rPr>
                    <w:t>《黑龙江省城乡固体废物分类治理布局规划（2019-2035年）（2021年修订版）》</w:t>
                  </w:r>
                </w:p>
              </w:tc>
              <w:tc>
                <w:tcPr>
                  <w:tcW w:w="1397" w:type="dxa"/>
                  <w:tcBorders>
                    <w:tl2br w:val="nil"/>
                    <w:tr2bl w:val="nil"/>
                  </w:tcBorders>
                  <w:vAlign w:val="center"/>
                </w:tcPr>
                <w:p w14:paraId="1491E00B">
                  <w:pPr>
                    <w:jc w:val="center"/>
                    <w:rPr>
                      <w:color w:val="auto"/>
                      <w:sz w:val="18"/>
                      <w:szCs w:val="18"/>
                      <w:highlight w:val="none"/>
                    </w:rPr>
                  </w:pPr>
                </w:p>
                <w:p w14:paraId="1E95ADDF">
                  <w:pPr>
                    <w:jc w:val="center"/>
                    <w:rPr>
                      <w:color w:val="auto"/>
                      <w:sz w:val="18"/>
                      <w:szCs w:val="18"/>
                      <w:highlight w:val="none"/>
                    </w:rPr>
                  </w:pPr>
                  <w:r>
                    <w:rPr>
                      <w:color w:val="auto"/>
                      <w:sz w:val="18"/>
                      <w:szCs w:val="18"/>
                      <w:highlight w:val="none"/>
                    </w:rPr>
                    <w:t>黑龙江省住</w:t>
                  </w:r>
                </w:p>
                <w:p w14:paraId="6D321A44">
                  <w:pPr>
                    <w:jc w:val="center"/>
                    <w:rPr>
                      <w:color w:val="auto"/>
                      <w:sz w:val="18"/>
                      <w:szCs w:val="18"/>
                      <w:highlight w:val="none"/>
                    </w:rPr>
                  </w:pPr>
                  <w:r>
                    <w:rPr>
                      <w:color w:val="auto"/>
                      <w:sz w:val="18"/>
                      <w:szCs w:val="18"/>
                      <w:highlight w:val="none"/>
                    </w:rPr>
                    <w:t>房和城乡建</w:t>
                  </w:r>
                </w:p>
                <w:p w14:paraId="0CCDD513">
                  <w:pPr>
                    <w:jc w:val="center"/>
                    <w:rPr>
                      <w:color w:val="auto"/>
                      <w:sz w:val="18"/>
                      <w:szCs w:val="18"/>
                      <w:highlight w:val="none"/>
                    </w:rPr>
                  </w:pPr>
                  <w:r>
                    <w:rPr>
                      <w:color w:val="auto"/>
                      <w:sz w:val="18"/>
                      <w:szCs w:val="18"/>
                      <w:highlight w:val="none"/>
                    </w:rPr>
                    <w:t>设厅</w:t>
                  </w:r>
                </w:p>
              </w:tc>
              <w:tc>
                <w:tcPr>
                  <w:tcW w:w="3794" w:type="dxa"/>
                  <w:tcBorders>
                    <w:tl2br w:val="nil"/>
                    <w:tr2bl w:val="nil"/>
                  </w:tcBorders>
                  <w:vAlign w:val="center"/>
                </w:tcPr>
                <w:p w14:paraId="7FADD1D7">
                  <w:pPr>
                    <w:jc w:val="center"/>
                    <w:rPr>
                      <w:color w:val="auto"/>
                      <w:sz w:val="18"/>
                      <w:szCs w:val="18"/>
                      <w:highlight w:val="none"/>
                    </w:rPr>
                  </w:pPr>
                  <w:r>
                    <w:rPr>
                      <w:color w:val="auto"/>
                      <w:sz w:val="18"/>
                      <w:szCs w:val="18"/>
                      <w:highlight w:val="none"/>
                    </w:rPr>
                    <w:t>关于印发《黑龙江省城乡固体废物分类治理布局规划（2019 -2035年）2021年修订版》的通知（黑建城管</w:t>
                  </w:r>
                  <w:r>
                    <w:rPr>
                      <w:rFonts w:hint="eastAsia"/>
                      <w:color w:val="auto"/>
                      <w:sz w:val="18"/>
                      <w:szCs w:val="18"/>
                      <w:highlight w:val="none"/>
                      <w:lang w:eastAsia="zh-CN"/>
                    </w:rPr>
                    <w:t>〔2021〕2号</w:t>
                  </w:r>
                  <w:r>
                    <w:rPr>
                      <w:color w:val="auto"/>
                      <w:sz w:val="18"/>
                      <w:szCs w:val="18"/>
                      <w:highlight w:val="none"/>
                    </w:rPr>
                    <w:t>）</w:t>
                  </w:r>
                </w:p>
              </w:tc>
            </w:tr>
            <w:tr w14:paraId="78398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3" w:hRule="atLeast"/>
              </w:trPr>
              <w:tc>
                <w:tcPr>
                  <w:tcW w:w="699" w:type="dxa"/>
                  <w:tcBorders>
                    <w:tl2br w:val="nil"/>
                    <w:tr2bl w:val="nil"/>
                  </w:tcBorders>
                  <w:vAlign w:val="center"/>
                </w:tcPr>
                <w:p w14:paraId="537FA20A">
                  <w:pPr>
                    <w:jc w:val="center"/>
                    <w:rPr>
                      <w:color w:val="auto"/>
                      <w:sz w:val="18"/>
                      <w:szCs w:val="18"/>
                      <w:highlight w:val="none"/>
                    </w:rPr>
                  </w:pPr>
                  <w:r>
                    <w:rPr>
                      <w:color w:val="auto"/>
                      <w:sz w:val="18"/>
                      <w:szCs w:val="18"/>
                      <w:highlight w:val="none"/>
                    </w:rPr>
                    <w:t>2</w:t>
                  </w:r>
                </w:p>
              </w:tc>
              <w:tc>
                <w:tcPr>
                  <w:tcW w:w="1826" w:type="dxa"/>
                  <w:tcBorders>
                    <w:tl2br w:val="nil"/>
                    <w:tr2bl w:val="nil"/>
                  </w:tcBorders>
                  <w:vAlign w:val="center"/>
                </w:tcPr>
                <w:p w14:paraId="2FCDCCD5">
                  <w:pPr>
                    <w:jc w:val="center"/>
                    <w:rPr>
                      <w:color w:val="auto"/>
                      <w:sz w:val="18"/>
                      <w:szCs w:val="18"/>
                      <w:highlight w:val="none"/>
                    </w:rPr>
                  </w:pPr>
                  <w:r>
                    <w:rPr>
                      <w:color w:val="auto"/>
                      <w:sz w:val="18"/>
                      <w:szCs w:val="18"/>
                      <w:highlight w:val="none"/>
                    </w:rPr>
                    <w:t>《黑龙江省鸡西市城乡固体废物分类治理布局规划</w:t>
                  </w:r>
                </w:p>
                <w:p w14:paraId="650F5A1A">
                  <w:pPr>
                    <w:jc w:val="center"/>
                    <w:rPr>
                      <w:color w:val="auto"/>
                      <w:sz w:val="18"/>
                      <w:szCs w:val="18"/>
                      <w:highlight w:val="none"/>
                    </w:rPr>
                  </w:pPr>
                  <w:r>
                    <w:rPr>
                      <w:color w:val="auto"/>
                      <w:sz w:val="18"/>
                      <w:szCs w:val="18"/>
                      <w:highlight w:val="none"/>
                    </w:rPr>
                    <w:t>（2019-2035年）》</w:t>
                  </w:r>
                </w:p>
              </w:tc>
              <w:tc>
                <w:tcPr>
                  <w:tcW w:w="1397" w:type="dxa"/>
                  <w:tcBorders>
                    <w:tl2br w:val="nil"/>
                    <w:tr2bl w:val="nil"/>
                  </w:tcBorders>
                  <w:vAlign w:val="center"/>
                </w:tcPr>
                <w:p w14:paraId="61D86DC3">
                  <w:pPr>
                    <w:jc w:val="center"/>
                    <w:rPr>
                      <w:color w:val="auto"/>
                      <w:sz w:val="18"/>
                      <w:szCs w:val="18"/>
                      <w:highlight w:val="none"/>
                    </w:rPr>
                  </w:pPr>
                  <w:r>
                    <w:rPr>
                      <w:color w:val="auto"/>
                      <w:sz w:val="18"/>
                      <w:szCs w:val="18"/>
                      <w:highlight w:val="none"/>
                    </w:rPr>
                    <w:t>/</w:t>
                  </w:r>
                </w:p>
              </w:tc>
              <w:tc>
                <w:tcPr>
                  <w:tcW w:w="3794" w:type="dxa"/>
                  <w:tcBorders>
                    <w:tl2br w:val="nil"/>
                    <w:tr2bl w:val="nil"/>
                  </w:tcBorders>
                  <w:vAlign w:val="center"/>
                </w:tcPr>
                <w:p w14:paraId="4AD7925D">
                  <w:pPr>
                    <w:jc w:val="center"/>
                    <w:rPr>
                      <w:color w:val="auto"/>
                      <w:sz w:val="18"/>
                      <w:szCs w:val="18"/>
                      <w:highlight w:val="none"/>
                    </w:rPr>
                  </w:pPr>
                  <w:r>
                    <w:rPr>
                      <w:color w:val="auto"/>
                      <w:sz w:val="18"/>
                      <w:szCs w:val="18"/>
                      <w:highlight w:val="none"/>
                    </w:rPr>
                    <w:t>/</w:t>
                  </w:r>
                </w:p>
              </w:tc>
            </w:tr>
          </w:tbl>
          <w:p w14:paraId="0205D07A">
            <w:pPr>
              <w:autoSpaceDE w:val="0"/>
              <w:autoSpaceDN w:val="0"/>
              <w:adjustRightInd w:val="0"/>
              <w:snapToGrid w:val="0"/>
              <w:spacing w:line="340" w:lineRule="exact"/>
              <w:jc w:val="center"/>
              <w:rPr>
                <w:color w:val="auto"/>
                <w:kern w:val="0"/>
                <w:sz w:val="24"/>
                <w:highlight w:val="none"/>
              </w:rPr>
            </w:pPr>
          </w:p>
        </w:tc>
      </w:tr>
      <w:tr w14:paraId="0A014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1497" w:type="dxa"/>
            <w:vAlign w:val="center"/>
          </w:tcPr>
          <w:p w14:paraId="45908D09">
            <w:pPr>
              <w:adjustRightInd w:val="0"/>
              <w:snapToGrid w:val="0"/>
              <w:spacing w:line="340" w:lineRule="exact"/>
              <w:jc w:val="center"/>
              <w:rPr>
                <w:color w:val="auto"/>
                <w:szCs w:val="21"/>
                <w:highlight w:val="none"/>
              </w:rPr>
            </w:pPr>
            <w:r>
              <w:rPr>
                <w:color w:val="auto"/>
                <w:szCs w:val="21"/>
                <w:highlight w:val="none"/>
              </w:rPr>
              <w:t>规划环境影响</w:t>
            </w:r>
          </w:p>
          <w:p w14:paraId="62D48DF7">
            <w:pPr>
              <w:adjustRightInd w:val="0"/>
              <w:snapToGrid w:val="0"/>
              <w:spacing w:line="340" w:lineRule="exact"/>
              <w:jc w:val="center"/>
              <w:rPr>
                <w:color w:val="auto"/>
                <w:kern w:val="0"/>
                <w:szCs w:val="21"/>
                <w:highlight w:val="none"/>
              </w:rPr>
            </w:pPr>
            <w:r>
              <w:rPr>
                <w:color w:val="auto"/>
                <w:szCs w:val="21"/>
                <w:highlight w:val="none"/>
              </w:rPr>
              <w:t>评价情况</w:t>
            </w:r>
          </w:p>
        </w:tc>
        <w:tc>
          <w:tcPr>
            <w:tcW w:w="7940" w:type="dxa"/>
            <w:gridSpan w:val="3"/>
            <w:vAlign w:val="center"/>
          </w:tcPr>
          <w:p w14:paraId="7F317634">
            <w:pPr>
              <w:widowControl/>
              <w:spacing w:line="360" w:lineRule="auto"/>
              <w:jc w:val="center"/>
              <w:rPr>
                <w:color w:val="auto"/>
                <w:kern w:val="0"/>
                <w:szCs w:val="21"/>
                <w:highlight w:val="none"/>
              </w:rPr>
            </w:pPr>
            <w:r>
              <w:rPr>
                <w:color w:val="auto"/>
                <w:szCs w:val="21"/>
                <w:highlight w:val="none"/>
              </w:rPr>
              <w:t>《黑龙江省城乡固体废物分类治理布局规划（2019-2035年）（2021年修订版）》与《黑龙江省鸡西市城乡固体废物分类治理布局规划（2019-2035年）》均未进行规划环评</w:t>
            </w:r>
            <w:r>
              <w:rPr>
                <w:rFonts w:hint="eastAsia"/>
                <w:color w:val="auto"/>
                <w:szCs w:val="21"/>
                <w:highlight w:val="none"/>
              </w:rPr>
              <w:t>。</w:t>
            </w:r>
          </w:p>
        </w:tc>
      </w:tr>
      <w:tr w14:paraId="46292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7" w:type="dxa"/>
            <w:vAlign w:val="center"/>
          </w:tcPr>
          <w:p w14:paraId="367B27CF">
            <w:pPr>
              <w:autoSpaceDE w:val="0"/>
              <w:autoSpaceDN w:val="0"/>
              <w:adjustRightInd w:val="0"/>
              <w:snapToGrid w:val="0"/>
              <w:spacing w:line="340" w:lineRule="exact"/>
              <w:jc w:val="center"/>
              <w:rPr>
                <w:color w:val="auto"/>
                <w:kern w:val="0"/>
                <w:szCs w:val="21"/>
                <w:highlight w:val="none"/>
              </w:rPr>
            </w:pPr>
            <w:r>
              <w:rPr>
                <w:color w:val="auto"/>
                <w:kern w:val="0"/>
                <w:szCs w:val="21"/>
                <w:highlight w:val="none"/>
              </w:rPr>
              <w:t>规划及规划环境</w:t>
            </w:r>
          </w:p>
          <w:p w14:paraId="6EDB57F0">
            <w:pPr>
              <w:autoSpaceDE w:val="0"/>
              <w:autoSpaceDN w:val="0"/>
              <w:adjustRightInd w:val="0"/>
              <w:snapToGrid w:val="0"/>
              <w:spacing w:line="340" w:lineRule="exact"/>
              <w:jc w:val="center"/>
              <w:rPr>
                <w:color w:val="auto"/>
                <w:kern w:val="0"/>
                <w:szCs w:val="21"/>
                <w:highlight w:val="none"/>
              </w:rPr>
            </w:pPr>
            <w:r>
              <w:rPr>
                <w:color w:val="auto"/>
                <w:kern w:val="0"/>
                <w:szCs w:val="21"/>
                <w:highlight w:val="none"/>
              </w:rPr>
              <w:t>影响评价符合性分析</w:t>
            </w:r>
          </w:p>
        </w:tc>
        <w:tc>
          <w:tcPr>
            <w:tcW w:w="7940" w:type="dxa"/>
            <w:gridSpan w:val="3"/>
            <w:vAlign w:val="center"/>
          </w:tcPr>
          <w:p w14:paraId="0960B000">
            <w:pPr>
              <w:widowControl/>
              <w:spacing w:line="360" w:lineRule="auto"/>
              <w:jc w:val="left"/>
              <w:rPr>
                <w:b/>
                <w:bCs/>
                <w:color w:val="auto"/>
                <w:szCs w:val="21"/>
                <w:highlight w:val="none"/>
              </w:rPr>
            </w:pPr>
            <w:r>
              <w:rPr>
                <w:b/>
                <w:bCs/>
                <w:color w:val="auto"/>
                <w:szCs w:val="21"/>
                <w:highlight w:val="none"/>
              </w:rPr>
              <w:t>1、与《黑龙江省城乡固体废物分类治理布局规划（2019-2035年）2021年修订版》符合性分析</w:t>
            </w:r>
          </w:p>
          <w:p w14:paraId="5C4BFBC9">
            <w:pPr>
              <w:widowControl/>
              <w:spacing w:line="360" w:lineRule="auto"/>
              <w:ind w:firstLine="420" w:firstLineChars="200"/>
              <w:jc w:val="left"/>
              <w:rPr>
                <w:color w:val="auto"/>
                <w:szCs w:val="21"/>
                <w:highlight w:val="none"/>
              </w:rPr>
            </w:pPr>
            <w:r>
              <w:rPr>
                <w:color w:val="auto"/>
                <w:szCs w:val="21"/>
                <w:highlight w:val="none"/>
              </w:rPr>
              <w:t>《黑龙江省城乡固体废物分类治理布局规划（2019-2035年）》于2019年4月由省住建厅以黑建函</w:t>
            </w:r>
            <w:r>
              <w:rPr>
                <w:rFonts w:hint="eastAsia"/>
                <w:color w:val="auto"/>
                <w:szCs w:val="21"/>
                <w:highlight w:val="none"/>
                <w:lang w:eastAsia="zh-CN"/>
              </w:rPr>
              <w:t>〔2019〕111号</w:t>
            </w:r>
            <w:r>
              <w:rPr>
                <w:color w:val="auto"/>
                <w:szCs w:val="21"/>
                <w:highlight w:val="none"/>
              </w:rPr>
              <w:t>文件正式印发并在 2021年进行修订。关于一般工业治理布局规划，规划提出一般工业固体废物实现源头大幅减量，充分资源化利用和安全处置。实现工业绿色生产，推动大宗工业固体废物贮存处置总量趋零增长；非法转移倾倒固体废物事件零发生；全过程规范化管理，构建全过程信息化监管体系。近期一般工业固体综合利用率近期达到73%，中期达到79%，远期达到90%。规划中提</w:t>
            </w:r>
            <w:r>
              <w:rPr>
                <w:rFonts w:hint="eastAsia" w:ascii="宋体" w:hAnsi="宋体" w:cs="宋体"/>
                <w:color w:val="auto"/>
                <w:szCs w:val="21"/>
                <w:highlight w:val="none"/>
              </w:rPr>
              <w:t>出“一般工业固体废物应优先采用资源化循环利用治理方案，进行循环回收资源再利用和综合利用处理，达到综合利用目标要求。其余进行分类处置，达到环保标准要求”，“全省建</w:t>
            </w:r>
            <w:r>
              <w:rPr>
                <w:color w:val="auto"/>
                <w:szCs w:val="21"/>
                <w:highlight w:val="none"/>
              </w:rPr>
              <w:t>立起较为完善的危险废物收集、贮存、运输、利用和处置体系，危险废物利用处置设施布局趋于合理，危险废物规范化管理水平、环境监管能力明显提升，基本实现全省危险废物的安全利用和处置</w:t>
            </w:r>
            <w:r>
              <w:rPr>
                <w:rFonts w:hint="eastAsia" w:asciiTheme="minorEastAsia" w:hAnsiTheme="minorEastAsia" w:eastAsiaTheme="minorEastAsia" w:cstheme="minorEastAsia"/>
                <w:color w:val="auto"/>
                <w:szCs w:val="21"/>
                <w:highlight w:val="none"/>
              </w:rPr>
              <w:t>”</w:t>
            </w:r>
            <w:r>
              <w:rPr>
                <w:color w:val="auto"/>
                <w:szCs w:val="21"/>
                <w:highlight w:val="none"/>
              </w:rPr>
              <w:t>。</w:t>
            </w:r>
          </w:p>
          <w:p w14:paraId="75013315">
            <w:pPr>
              <w:widowControl/>
              <w:spacing w:line="360" w:lineRule="auto"/>
              <w:ind w:firstLine="420" w:firstLineChars="200"/>
              <w:jc w:val="left"/>
              <w:rPr>
                <w:color w:val="auto"/>
                <w:szCs w:val="21"/>
                <w:highlight w:val="none"/>
              </w:rPr>
            </w:pPr>
            <w:r>
              <w:rPr>
                <w:color w:val="auto"/>
                <w:szCs w:val="21"/>
                <w:highlight w:val="none"/>
              </w:rPr>
              <w:t>本项目通过将煤炭一次洗选后的煤泥进行</w:t>
            </w:r>
            <w:r>
              <w:rPr>
                <w:rFonts w:hint="eastAsia"/>
                <w:color w:val="auto"/>
                <w:szCs w:val="21"/>
                <w:highlight w:val="none"/>
              </w:rPr>
              <w:t>浮选</w:t>
            </w:r>
            <w:r>
              <w:rPr>
                <w:color w:val="auto"/>
                <w:szCs w:val="21"/>
                <w:highlight w:val="none"/>
              </w:rPr>
              <w:t>，</w:t>
            </w:r>
            <w:r>
              <w:rPr>
                <w:rFonts w:hint="eastAsia"/>
                <w:color w:val="auto"/>
                <w:szCs w:val="21"/>
                <w:highlight w:val="none"/>
              </w:rPr>
              <w:t>产生的产品精煤、中煤外售，</w:t>
            </w:r>
            <w:r>
              <w:rPr>
                <w:color w:val="auto"/>
                <w:szCs w:val="21"/>
                <w:highlight w:val="none"/>
              </w:rPr>
              <w:t>产生的一般工业固体废物尾矿泥用于生产</w:t>
            </w:r>
            <w:r>
              <w:rPr>
                <w:rFonts w:hint="eastAsia"/>
                <w:color w:val="auto"/>
                <w:szCs w:val="21"/>
                <w:highlight w:val="none"/>
              </w:rPr>
              <w:t>人造土壤基质</w:t>
            </w:r>
            <w:r>
              <w:rPr>
                <w:color w:val="auto"/>
                <w:szCs w:val="21"/>
                <w:highlight w:val="none"/>
              </w:rPr>
              <w:t>。本项目的建设可以满足废旧资源的综合利用的要求，符合规划</w:t>
            </w:r>
            <w:r>
              <w:rPr>
                <w:rFonts w:hint="eastAsia" w:ascii="宋体" w:hAnsi="宋体" w:cs="宋体"/>
                <w:color w:val="auto"/>
                <w:szCs w:val="21"/>
                <w:highlight w:val="none"/>
              </w:rPr>
              <w:t>中提出的“一般工业固体废物应优先采用资源化循环利用治理方案，进行循环回收资源再利用和综合利用处理，达到综合利用目标要求”，</w:t>
            </w:r>
            <w:r>
              <w:rPr>
                <w:color w:val="auto"/>
                <w:szCs w:val="21"/>
                <w:highlight w:val="none"/>
              </w:rPr>
              <w:t>本项目建设符合《黑龙江省城乡固体废物分类治理布局规划（2019- 2035年）》（2021年修订）要求。</w:t>
            </w:r>
          </w:p>
          <w:p w14:paraId="3B45FFF4">
            <w:pPr>
              <w:widowControl/>
              <w:spacing w:line="360" w:lineRule="auto"/>
              <w:jc w:val="left"/>
              <w:rPr>
                <w:b/>
                <w:bCs/>
                <w:color w:val="auto"/>
                <w:szCs w:val="21"/>
                <w:highlight w:val="none"/>
              </w:rPr>
            </w:pPr>
            <w:r>
              <w:rPr>
                <w:b/>
                <w:bCs/>
                <w:color w:val="auto"/>
                <w:szCs w:val="21"/>
                <w:highlight w:val="none"/>
              </w:rPr>
              <w:t>2、与《黑龙江省鸡西市城乡固体废物分类治理专项规划（2019-2035 年）》的符合性分析</w:t>
            </w:r>
          </w:p>
          <w:p w14:paraId="477E172D">
            <w:pPr>
              <w:widowControl/>
              <w:spacing w:line="360" w:lineRule="auto"/>
              <w:ind w:firstLine="420" w:firstLineChars="200"/>
              <w:jc w:val="left"/>
              <w:rPr>
                <w:color w:val="auto"/>
                <w:szCs w:val="21"/>
                <w:highlight w:val="none"/>
              </w:rPr>
            </w:pPr>
            <w:r>
              <w:rPr>
                <w:color w:val="auto"/>
                <w:szCs w:val="21"/>
                <w:highlight w:val="none"/>
              </w:rPr>
              <w:t>黑龙江省鸡西市城乡固体废物分类治理专项规划（2019-2035年）编制工作已经全面完成。本次专项规划涉及的垃圾类别包括：生活垃圾、餐厨垃圾、建筑垃圾、危险废物、工业固体废物5类固体废物。规划内容主要是对五类固体废物的收集、贮存、运输、资源利用和无害化处理设施建设进行科学谋划，总体布局，分类实施，分期建设，确保从源头到终端的全过程实施分类处置。规划范围分为鸡西市域、城关镇（鸡东镇、密山镇和虎林镇）、建制镇。本规划提出规划中期建设1座处理规模为5万吨/年的危废处理中心，远期再扩建处理规模5万吨/年。鸡西市中期规划一般工业固体废物综合利用设施1座，处理规模为300万吨/年，远期再增加500万吨/年。一般工业固体废物规划目标：一般工业固体废物实现源头大幅减量，充分资源化利用和安全处置。实现工业绿色生产，推动大宗工业固体废物贮存处置总量趋零增长；非法转移倾倒固体废物事件零发生；全过程规范化管理，构建全过程信息化监管体系。</w:t>
            </w:r>
          </w:p>
          <w:p w14:paraId="64552E9C">
            <w:pPr>
              <w:widowControl/>
              <w:spacing w:line="360" w:lineRule="auto"/>
              <w:ind w:firstLine="420" w:firstLineChars="200"/>
              <w:jc w:val="left"/>
              <w:rPr>
                <w:color w:val="auto"/>
                <w:kern w:val="0"/>
                <w:szCs w:val="21"/>
                <w:highlight w:val="none"/>
              </w:rPr>
            </w:pPr>
            <w:r>
              <w:rPr>
                <w:color w:val="auto"/>
                <w:szCs w:val="21"/>
                <w:highlight w:val="none"/>
              </w:rPr>
              <w:t>本项目通过将煤炭一次洗选后的煤泥进行</w:t>
            </w:r>
            <w:r>
              <w:rPr>
                <w:rFonts w:hint="eastAsia"/>
                <w:color w:val="auto"/>
                <w:szCs w:val="21"/>
                <w:highlight w:val="none"/>
              </w:rPr>
              <w:t>浮选</w:t>
            </w:r>
            <w:r>
              <w:rPr>
                <w:color w:val="auto"/>
                <w:szCs w:val="21"/>
                <w:highlight w:val="none"/>
              </w:rPr>
              <w:t>，产生的精煤外售，一般工业固体废物尾矿泥</w:t>
            </w:r>
            <w:r>
              <w:rPr>
                <w:rFonts w:hint="eastAsia"/>
                <w:color w:val="auto"/>
                <w:szCs w:val="21"/>
                <w:highlight w:val="none"/>
              </w:rPr>
              <w:t>用于</w:t>
            </w:r>
            <w:r>
              <w:rPr>
                <w:color w:val="auto"/>
                <w:szCs w:val="21"/>
                <w:highlight w:val="none"/>
              </w:rPr>
              <w:t>生产</w:t>
            </w:r>
            <w:r>
              <w:rPr>
                <w:rFonts w:hint="eastAsia"/>
                <w:color w:val="auto"/>
                <w:szCs w:val="21"/>
                <w:highlight w:val="none"/>
              </w:rPr>
              <w:t>人造土壤基质</w:t>
            </w:r>
            <w:r>
              <w:rPr>
                <w:color w:val="auto"/>
                <w:szCs w:val="21"/>
                <w:highlight w:val="none"/>
              </w:rPr>
              <w:t>。整个生产过程产生的危险废物在厂内暂存，委托有资质单位处理处置。可实现一般工业固体废物的充分资源化利用、减量化处理，固体废物的安全处置。本项目建设符合《黑龙江省鸡西市城乡固体废物分类治理专项规划（2019-2035 年）》要求。</w:t>
            </w:r>
          </w:p>
        </w:tc>
      </w:tr>
      <w:tr w14:paraId="0BE77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9" w:hRule="atLeast"/>
          <w:jc w:val="center"/>
        </w:trPr>
        <w:tc>
          <w:tcPr>
            <w:tcW w:w="1497" w:type="dxa"/>
            <w:vAlign w:val="center"/>
          </w:tcPr>
          <w:p w14:paraId="3F9AD855">
            <w:pPr>
              <w:autoSpaceDE w:val="0"/>
              <w:autoSpaceDN w:val="0"/>
              <w:adjustRightInd w:val="0"/>
              <w:snapToGrid w:val="0"/>
              <w:jc w:val="center"/>
              <w:rPr>
                <w:color w:val="auto"/>
                <w:kern w:val="0"/>
                <w:szCs w:val="21"/>
                <w:highlight w:val="none"/>
              </w:rPr>
            </w:pPr>
            <w:r>
              <w:rPr>
                <w:color w:val="auto"/>
                <w:kern w:val="0"/>
                <w:szCs w:val="21"/>
                <w:highlight w:val="none"/>
              </w:rPr>
              <w:t>其他符合性分析</w:t>
            </w:r>
          </w:p>
        </w:tc>
        <w:tc>
          <w:tcPr>
            <w:tcW w:w="7940" w:type="dxa"/>
            <w:gridSpan w:val="3"/>
            <w:vAlign w:val="center"/>
          </w:tcPr>
          <w:p w14:paraId="38442CE3">
            <w:pPr>
              <w:pStyle w:val="35"/>
              <w:spacing w:line="360" w:lineRule="auto"/>
              <w:jc w:val="both"/>
              <w:rPr>
                <w:rFonts w:ascii="Times New Roman" w:cs="Times New Roman"/>
                <w:b/>
                <w:color w:val="auto"/>
                <w:sz w:val="21"/>
                <w:szCs w:val="21"/>
                <w:highlight w:val="none"/>
              </w:rPr>
            </w:pPr>
            <w:r>
              <w:rPr>
                <w:rFonts w:ascii="Times New Roman" w:cs="Times New Roman"/>
                <w:b/>
                <w:color w:val="auto"/>
                <w:sz w:val="21"/>
                <w:szCs w:val="21"/>
                <w:highlight w:val="none"/>
              </w:rPr>
              <w:t>1、产业政策符合性分析</w:t>
            </w:r>
          </w:p>
          <w:p w14:paraId="155EF1A6">
            <w:pPr>
              <w:pStyle w:val="37"/>
              <w:spacing w:line="360" w:lineRule="auto"/>
              <w:ind w:firstLine="420" w:firstLineChars="200"/>
              <w:rPr>
                <w:color w:val="auto"/>
                <w:sz w:val="21"/>
                <w:szCs w:val="21"/>
                <w:highlight w:val="none"/>
              </w:rPr>
            </w:pPr>
            <w:r>
              <w:rPr>
                <w:rFonts w:hint="eastAsia"/>
                <w:color w:val="auto"/>
                <w:sz w:val="21"/>
                <w:szCs w:val="21"/>
                <w:highlight w:val="none"/>
              </w:rPr>
              <w:t>根据《产业结构调整指导目录（2024年本）》，拟建项目采用湿法洗选，洗选废水闭路循环，不外排。不属于淘汰类中“不能实现洗煤废水闭路循环的选煤工艺、不能实现粉尘达标排放的干法选煤设备”项目。拟建项目采用浮选后的产品精煤、中煤外售，</w:t>
            </w:r>
            <w:r>
              <w:rPr>
                <w:rFonts w:hint="eastAsia" w:ascii="宋体" w:hAnsi="宋体" w:cs="宋体"/>
                <w:color w:val="auto"/>
                <w:kern w:val="0"/>
                <w:sz w:val="21"/>
                <w:szCs w:val="21"/>
                <w:highlight w:val="none"/>
              </w:rPr>
              <w:t>尾煤泥回用于生产人造土壤基质</w:t>
            </w:r>
            <w:r>
              <w:rPr>
                <w:rFonts w:hint="eastAsia"/>
                <w:color w:val="auto"/>
                <w:sz w:val="21"/>
                <w:szCs w:val="21"/>
                <w:highlight w:val="none"/>
              </w:rPr>
              <w:t>，故本项目不属于目录中“鼓励类”、“限制类”和“淘汰类”项目，为“允许类”项目。因此本项目的建设符合国家产业政策。</w:t>
            </w:r>
          </w:p>
          <w:p w14:paraId="40F936C7">
            <w:pPr>
              <w:pStyle w:val="35"/>
              <w:spacing w:line="360" w:lineRule="auto"/>
              <w:jc w:val="both"/>
              <w:rPr>
                <w:rFonts w:ascii="Times New Roman" w:cs="Times New Roman"/>
                <w:b/>
                <w:color w:val="auto"/>
                <w:sz w:val="21"/>
                <w:szCs w:val="21"/>
                <w:highlight w:val="none"/>
              </w:rPr>
            </w:pPr>
            <w:r>
              <w:rPr>
                <w:rFonts w:ascii="Times New Roman" w:cs="Times New Roman"/>
                <w:b/>
                <w:color w:val="auto"/>
                <w:sz w:val="21"/>
                <w:szCs w:val="21"/>
                <w:highlight w:val="none"/>
              </w:rPr>
              <w:t>2、与《煤炭采选建设项目环境影响评价文件审批原则》的符合性分析</w:t>
            </w:r>
          </w:p>
          <w:p w14:paraId="5C0CA57B">
            <w:pPr>
              <w:adjustRightInd w:val="0"/>
              <w:snapToGrid w:val="0"/>
              <w:jc w:val="center"/>
              <w:rPr>
                <w:b/>
                <w:bCs/>
                <w:color w:val="auto"/>
                <w:szCs w:val="21"/>
                <w:highlight w:val="none"/>
              </w:rPr>
            </w:pPr>
            <w:r>
              <w:rPr>
                <w:rFonts w:hint="eastAsia"/>
                <w:b/>
                <w:bCs/>
                <w:color w:val="auto"/>
                <w:szCs w:val="21"/>
                <w:highlight w:val="none"/>
              </w:rPr>
              <w:t>表1-3 与审批原则符合性分析</w:t>
            </w:r>
          </w:p>
          <w:tbl>
            <w:tblPr>
              <w:tblStyle w:val="23"/>
              <w:tblW w:w="776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22"/>
              <w:gridCol w:w="2760"/>
              <w:gridCol w:w="1179"/>
            </w:tblGrid>
            <w:tr w14:paraId="73CB0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822" w:type="dxa"/>
                  <w:tcBorders>
                    <w:tl2br w:val="nil"/>
                    <w:tr2bl w:val="nil"/>
                  </w:tcBorders>
                  <w:vAlign w:val="center"/>
                </w:tcPr>
                <w:p w14:paraId="41605198">
                  <w:pPr>
                    <w:jc w:val="center"/>
                    <w:rPr>
                      <w:color w:val="auto"/>
                      <w:sz w:val="18"/>
                      <w:szCs w:val="18"/>
                      <w:highlight w:val="none"/>
                    </w:rPr>
                  </w:pPr>
                  <w:r>
                    <w:rPr>
                      <w:color w:val="auto"/>
                      <w:sz w:val="18"/>
                      <w:szCs w:val="18"/>
                      <w:highlight w:val="none"/>
                    </w:rPr>
                    <w:t>文件要求</w:t>
                  </w:r>
                </w:p>
              </w:tc>
              <w:tc>
                <w:tcPr>
                  <w:tcW w:w="2760" w:type="dxa"/>
                  <w:tcBorders>
                    <w:tl2br w:val="nil"/>
                    <w:tr2bl w:val="nil"/>
                  </w:tcBorders>
                  <w:vAlign w:val="center"/>
                </w:tcPr>
                <w:p w14:paraId="61051780">
                  <w:pPr>
                    <w:jc w:val="center"/>
                    <w:rPr>
                      <w:color w:val="auto"/>
                      <w:sz w:val="18"/>
                      <w:szCs w:val="18"/>
                      <w:highlight w:val="none"/>
                    </w:rPr>
                  </w:pPr>
                  <w:r>
                    <w:rPr>
                      <w:color w:val="auto"/>
                      <w:sz w:val="18"/>
                      <w:szCs w:val="18"/>
                      <w:highlight w:val="none"/>
                    </w:rPr>
                    <w:t>本项目情况</w:t>
                  </w:r>
                </w:p>
              </w:tc>
              <w:tc>
                <w:tcPr>
                  <w:tcW w:w="1179" w:type="dxa"/>
                  <w:tcBorders>
                    <w:tl2br w:val="nil"/>
                    <w:tr2bl w:val="nil"/>
                  </w:tcBorders>
                  <w:vAlign w:val="center"/>
                </w:tcPr>
                <w:p w14:paraId="3A7FA1EC">
                  <w:pPr>
                    <w:jc w:val="center"/>
                    <w:rPr>
                      <w:color w:val="auto"/>
                      <w:sz w:val="18"/>
                      <w:szCs w:val="18"/>
                      <w:highlight w:val="none"/>
                    </w:rPr>
                  </w:pPr>
                  <w:r>
                    <w:rPr>
                      <w:color w:val="auto"/>
                      <w:sz w:val="18"/>
                      <w:szCs w:val="18"/>
                      <w:highlight w:val="none"/>
                    </w:rPr>
                    <w:t>符合性</w:t>
                  </w:r>
                </w:p>
              </w:tc>
            </w:tr>
            <w:tr w14:paraId="56175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2" w:hRule="atLeast"/>
              </w:trPr>
              <w:tc>
                <w:tcPr>
                  <w:tcW w:w="3822" w:type="dxa"/>
                  <w:tcBorders>
                    <w:tl2br w:val="nil"/>
                    <w:tr2bl w:val="nil"/>
                  </w:tcBorders>
                  <w:vAlign w:val="center"/>
                </w:tcPr>
                <w:p w14:paraId="3547EA00">
                  <w:pPr>
                    <w:jc w:val="center"/>
                    <w:rPr>
                      <w:color w:val="auto"/>
                      <w:sz w:val="18"/>
                      <w:szCs w:val="18"/>
                      <w:highlight w:val="none"/>
                    </w:rPr>
                  </w:pPr>
                  <w:r>
                    <w:rPr>
                      <w:color w:val="auto"/>
                      <w:sz w:val="18"/>
                      <w:szCs w:val="18"/>
                      <w:highlight w:val="none"/>
                    </w:rPr>
                    <w:t>项目符合环境保护相关法律法规和政策要求，符合煤炭行业化解过剩产能相关要求，新建煤矿应同步建设配套的煤炭洗选设施。特殊和稀缺煤开发利用应符合《特殊和稀缺煤类开发利用管理暂行规定》要求。</w:t>
                  </w:r>
                </w:p>
              </w:tc>
              <w:tc>
                <w:tcPr>
                  <w:tcW w:w="2760" w:type="dxa"/>
                  <w:tcBorders>
                    <w:tl2br w:val="nil"/>
                    <w:tr2bl w:val="nil"/>
                  </w:tcBorders>
                  <w:vAlign w:val="center"/>
                </w:tcPr>
                <w:p w14:paraId="74A8C24E">
                  <w:pPr>
                    <w:jc w:val="center"/>
                    <w:rPr>
                      <w:color w:val="auto"/>
                      <w:sz w:val="18"/>
                      <w:szCs w:val="18"/>
                      <w:highlight w:val="none"/>
                    </w:rPr>
                  </w:pPr>
                  <w:r>
                    <w:rPr>
                      <w:color w:val="auto"/>
                      <w:sz w:val="18"/>
                      <w:szCs w:val="18"/>
                      <w:highlight w:val="none"/>
                    </w:rPr>
                    <w:t>本项目符合环境保护相关法律法规和政策要求，符合煤炭行业化解过剩产能相关要求。</w:t>
                  </w:r>
                </w:p>
              </w:tc>
              <w:tc>
                <w:tcPr>
                  <w:tcW w:w="1179" w:type="dxa"/>
                  <w:tcBorders>
                    <w:tl2br w:val="nil"/>
                    <w:tr2bl w:val="nil"/>
                  </w:tcBorders>
                  <w:shd w:val="clear" w:color="auto" w:fill="auto"/>
                  <w:vAlign w:val="center"/>
                </w:tcPr>
                <w:p w14:paraId="270EDE20">
                  <w:pPr>
                    <w:jc w:val="center"/>
                    <w:rPr>
                      <w:color w:val="auto"/>
                      <w:sz w:val="18"/>
                      <w:szCs w:val="18"/>
                      <w:highlight w:val="none"/>
                    </w:rPr>
                  </w:pPr>
                  <w:r>
                    <w:rPr>
                      <w:color w:val="auto"/>
                      <w:sz w:val="18"/>
                      <w:szCs w:val="18"/>
                      <w:highlight w:val="none"/>
                    </w:rPr>
                    <w:t>符合</w:t>
                  </w:r>
                </w:p>
              </w:tc>
            </w:tr>
            <w:tr w14:paraId="778EE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3" w:hRule="atLeast"/>
              </w:trPr>
              <w:tc>
                <w:tcPr>
                  <w:tcW w:w="3822" w:type="dxa"/>
                  <w:tcBorders>
                    <w:tl2br w:val="nil"/>
                    <w:tr2bl w:val="nil"/>
                  </w:tcBorders>
                  <w:vAlign w:val="center"/>
                </w:tcPr>
                <w:p w14:paraId="740AA62D">
                  <w:pPr>
                    <w:jc w:val="center"/>
                    <w:rPr>
                      <w:color w:val="auto"/>
                      <w:sz w:val="18"/>
                      <w:szCs w:val="18"/>
                      <w:highlight w:val="none"/>
                    </w:rPr>
                  </w:pPr>
                  <w:r>
                    <w:rPr>
                      <w:color w:val="auto"/>
                      <w:sz w:val="18"/>
                      <w:szCs w:val="18"/>
                      <w:highlight w:val="none"/>
                    </w:rPr>
                    <w:t>项目符合所在煤炭矿区总体规划、规划环评及其审查意见的相关要求，符合项目所在区域生态保护红线要求。井（矿）田开采范围、各类占地范围不得涉及自然保护区、风景名胜区、饮用水水源保护区等法律法规明令禁止采矿和占用的区域。</w:t>
                  </w:r>
                </w:p>
              </w:tc>
              <w:tc>
                <w:tcPr>
                  <w:tcW w:w="2760" w:type="dxa"/>
                  <w:tcBorders>
                    <w:tl2br w:val="nil"/>
                    <w:tr2bl w:val="nil"/>
                  </w:tcBorders>
                  <w:vAlign w:val="center"/>
                </w:tcPr>
                <w:p w14:paraId="41A26D62">
                  <w:pPr>
                    <w:jc w:val="center"/>
                    <w:rPr>
                      <w:color w:val="auto"/>
                      <w:sz w:val="18"/>
                      <w:szCs w:val="18"/>
                      <w:highlight w:val="none"/>
                    </w:rPr>
                  </w:pPr>
                  <w:r>
                    <w:rPr>
                      <w:rFonts w:hint="eastAsia"/>
                      <w:color w:val="auto"/>
                      <w:sz w:val="18"/>
                      <w:szCs w:val="18"/>
                      <w:highlight w:val="none"/>
                      <w:lang w:val="en-US" w:eastAsia="zh-CN"/>
                    </w:rPr>
                    <w:t>《黑龙江省鸡西煤炭矿区总体规划环境影响报告书》于2023年7月14日取得了生态环境部的审查意见（环审[2023]77号），本项目为煤泥、煤矸石等固废资源利用项目，不属于煤炭开采项目，黑龙江省鸡西煤炭矿区总体规划未对鸡西市煤炭洗选相关项目进行规划，故本项目不适用黑龙江省鸡西煤炭矿区总体规划及规划环评要求。</w:t>
                  </w:r>
                  <w:r>
                    <w:rPr>
                      <w:color w:val="auto"/>
                      <w:sz w:val="18"/>
                      <w:szCs w:val="18"/>
                      <w:highlight w:val="none"/>
                    </w:rPr>
                    <w:t>依据黑龙江省生态环境分区管控平台，项目选址不在生态保护红线范围内，也不涉及自然保护区、风景名胜区、饮用水水源保护区等法律法规明令禁止采矿和占用的区域。</w:t>
                  </w:r>
                </w:p>
              </w:tc>
              <w:tc>
                <w:tcPr>
                  <w:tcW w:w="1179" w:type="dxa"/>
                  <w:tcBorders>
                    <w:tl2br w:val="nil"/>
                    <w:tr2bl w:val="nil"/>
                  </w:tcBorders>
                  <w:shd w:val="clear" w:color="auto" w:fill="auto"/>
                  <w:vAlign w:val="center"/>
                </w:tcPr>
                <w:p w14:paraId="245E908D">
                  <w:pPr>
                    <w:jc w:val="center"/>
                    <w:rPr>
                      <w:color w:val="auto"/>
                      <w:sz w:val="18"/>
                      <w:szCs w:val="18"/>
                      <w:highlight w:val="none"/>
                    </w:rPr>
                  </w:pPr>
                  <w:r>
                    <w:rPr>
                      <w:color w:val="auto"/>
                      <w:sz w:val="18"/>
                      <w:szCs w:val="18"/>
                      <w:highlight w:val="none"/>
                    </w:rPr>
                    <w:t>符合</w:t>
                  </w:r>
                </w:p>
              </w:tc>
            </w:tr>
            <w:tr w14:paraId="04A00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2" w:hRule="atLeast"/>
              </w:trPr>
              <w:tc>
                <w:tcPr>
                  <w:tcW w:w="3822" w:type="dxa"/>
                  <w:tcBorders>
                    <w:tl2br w:val="nil"/>
                    <w:tr2bl w:val="nil"/>
                  </w:tcBorders>
                  <w:vAlign w:val="center"/>
                </w:tcPr>
                <w:p w14:paraId="4A241D7A">
                  <w:pPr>
                    <w:jc w:val="center"/>
                    <w:rPr>
                      <w:color w:val="auto"/>
                      <w:sz w:val="18"/>
                      <w:szCs w:val="18"/>
                      <w:highlight w:val="none"/>
                    </w:rPr>
                  </w:pPr>
                  <w:r>
                    <w:rPr>
                      <w:color w:val="auto"/>
                      <w:sz w:val="18"/>
                      <w:szCs w:val="18"/>
                      <w:highlight w:val="none"/>
                    </w:rPr>
                    <w:t>新建、改扩建项目应满足《清洁生产标准煤炭采选业》（HJ446）要求。主要污染物排放总量满足国家和地方相关要求。</w:t>
                  </w:r>
                </w:p>
              </w:tc>
              <w:tc>
                <w:tcPr>
                  <w:tcW w:w="2760" w:type="dxa"/>
                  <w:tcBorders>
                    <w:tl2br w:val="nil"/>
                    <w:tr2bl w:val="nil"/>
                  </w:tcBorders>
                  <w:vAlign w:val="center"/>
                </w:tcPr>
                <w:p w14:paraId="4E80DC84">
                  <w:pPr>
                    <w:jc w:val="center"/>
                    <w:rPr>
                      <w:color w:val="auto"/>
                      <w:sz w:val="18"/>
                      <w:szCs w:val="18"/>
                      <w:highlight w:val="none"/>
                    </w:rPr>
                  </w:pPr>
                  <w:r>
                    <w:rPr>
                      <w:color w:val="auto"/>
                      <w:sz w:val="18"/>
                      <w:szCs w:val="18"/>
                      <w:highlight w:val="none"/>
                    </w:rPr>
                    <w:t>本项目</w:t>
                  </w:r>
                  <w:r>
                    <w:rPr>
                      <w:rFonts w:hint="eastAsia"/>
                      <w:color w:val="auto"/>
                      <w:sz w:val="18"/>
                      <w:szCs w:val="18"/>
                      <w:highlight w:val="none"/>
                    </w:rPr>
                    <w:t>洗选</w:t>
                  </w:r>
                  <w:r>
                    <w:rPr>
                      <w:color w:val="auto"/>
                      <w:sz w:val="18"/>
                      <w:szCs w:val="18"/>
                      <w:highlight w:val="none"/>
                    </w:rPr>
                    <w:t>生产线满足《清洁生产标准煤炭采选业》（HJ446）要求，主要污染物排放总量满足国家和地方相关要求。</w:t>
                  </w:r>
                </w:p>
              </w:tc>
              <w:tc>
                <w:tcPr>
                  <w:tcW w:w="1179" w:type="dxa"/>
                  <w:tcBorders>
                    <w:tl2br w:val="nil"/>
                    <w:tr2bl w:val="nil"/>
                  </w:tcBorders>
                  <w:shd w:val="clear" w:color="auto" w:fill="auto"/>
                  <w:vAlign w:val="center"/>
                </w:tcPr>
                <w:p w14:paraId="5132FC1D">
                  <w:pPr>
                    <w:jc w:val="center"/>
                    <w:rPr>
                      <w:color w:val="auto"/>
                      <w:sz w:val="18"/>
                      <w:szCs w:val="18"/>
                      <w:highlight w:val="none"/>
                    </w:rPr>
                  </w:pPr>
                  <w:r>
                    <w:rPr>
                      <w:color w:val="auto"/>
                      <w:sz w:val="18"/>
                      <w:szCs w:val="18"/>
                      <w:highlight w:val="none"/>
                    </w:rPr>
                    <w:t>符合</w:t>
                  </w:r>
                </w:p>
              </w:tc>
            </w:tr>
            <w:tr w14:paraId="530605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3" w:hRule="atLeast"/>
              </w:trPr>
              <w:tc>
                <w:tcPr>
                  <w:tcW w:w="3822" w:type="dxa"/>
                  <w:tcBorders>
                    <w:tl2br w:val="nil"/>
                    <w:tr2bl w:val="nil"/>
                  </w:tcBorders>
                  <w:vAlign w:val="center"/>
                </w:tcPr>
                <w:p w14:paraId="04126AC3">
                  <w:pPr>
                    <w:jc w:val="center"/>
                    <w:rPr>
                      <w:color w:val="auto"/>
                      <w:sz w:val="18"/>
                      <w:szCs w:val="18"/>
                      <w:highlight w:val="none"/>
                    </w:rPr>
                  </w:pPr>
                  <w:r>
                    <w:rPr>
                      <w:color w:val="auto"/>
                      <w:sz w:val="18"/>
                      <w:szCs w:val="18"/>
                      <w:highlight w:val="none"/>
                    </w:rPr>
                    <w:t>对井工开采项目的沉陷区及临时排矸场、露天开采项目的采掘场及排土场，应明确生态恢复目标，提出施工期、运行期、闭矿期合理可行的生态保护与恢复措施。对受煤炭开采影响的居民住宅、地面重要基础设施等环境保护目标，应提出相应的保护措施。</w:t>
                  </w:r>
                </w:p>
              </w:tc>
              <w:tc>
                <w:tcPr>
                  <w:tcW w:w="2760" w:type="dxa"/>
                  <w:tcBorders>
                    <w:tl2br w:val="nil"/>
                    <w:tr2bl w:val="nil"/>
                  </w:tcBorders>
                  <w:vAlign w:val="center"/>
                </w:tcPr>
                <w:p w14:paraId="44D18D31">
                  <w:pPr>
                    <w:jc w:val="center"/>
                    <w:rPr>
                      <w:color w:val="auto"/>
                      <w:sz w:val="18"/>
                      <w:szCs w:val="18"/>
                      <w:highlight w:val="none"/>
                    </w:rPr>
                  </w:pPr>
                  <w:r>
                    <w:rPr>
                      <w:color w:val="auto"/>
                      <w:sz w:val="18"/>
                      <w:szCs w:val="18"/>
                      <w:highlight w:val="none"/>
                    </w:rPr>
                    <w:t>本项目为煤炭洗选项目，不属于煤炭开采项目。</w:t>
                  </w:r>
                </w:p>
              </w:tc>
              <w:tc>
                <w:tcPr>
                  <w:tcW w:w="1179" w:type="dxa"/>
                  <w:tcBorders>
                    <w:tl2br w:val="nil"/>
                    <w:tr2bl w:val="nil"/>
                  </w:tcBorders>
                  <w:shd w:val="clear" w:color="auto" w:fill="auto"/>
                  <w:vAlign w:val="center"/>
                </w:tcPr>
                <w:p w14:paraId="246A4B21">
                  <w:pPr>
                    <w:jc w:val="center"/>
                    <w:rPr>
                      <w:color w:val="auto"/>
                      <w:sz w:val="18"/>
                      <w:szCs w:val="18"/>
                      <w:highlight w:val="none"/>
                    </w:rPr>
                  </w:pPr>
                  <w:r>
                    <w:rPr>
                      <w:color w:val="auto"/>
                      <w:sz w:val="18"/>
                      <w:szCs w:val="18"/>
                      <w:highlight w:val="none"/>
                    </w:rPr>
                    <w:t>不涉及</w:t>
                  </w:r>
                </w:p>
              </w:tc>
            </w:tr>
            <w:tr w14:paraId="74DDD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9" w:hRule="atLeast"/>
              </w:trPr>
              <w:tc>
                <w:tcPr>
                  <w:tcW w:w="3822" w:type="dxa"/>
                  <w:tcBorders>
                    <w:tl2br w:val="nil"/>
                    <w:tr2bl w:val="nil"/>
                  </w:tcBorders>
                  <w:vAlign w:val="center"/>
                </w:tcPr>
                <w:p w14:paraId="7F470F57">
                  <w:pPr>
                    <w:jc w:val="center"/>
                    <w:rPr>
                      <w:color w:val="auto"/>
                      <w:sz w:val="18"/>
                      <w:szCs w:val="18"/>
                      <w:highlight w:val="none"/>
                    </w:rPr>
                  </w:pPr>
                  <w:r>
                    <w:rPr>
                      <w:color w:val="auto"/>
                      <w:sz w:val="18"/>
                      <w:szCs w:val="18"/>
                      <w:highlight w:val="none"/>
                    </w:rPr>
                    <w:t>煤炭开采可能对自然保护区、风景名胜区、饮用水水源保护区的重要环境敏感目标造成不利影响的，应提出禁止开采、限制开采、充填开采等保护措施；涉及其他敏感区域保护目标的，应明确提出设置禁采区、限采区、限高开采、充填开采、条带开采等措施。煤炭开采对具有供水意义的含水层、集中式与分散式供水水源的地下水资源可能造成影响的，应提出保水采煤等措施并制定长期供水替代方案；对地下水水质可能造成污染影响的应提出防渗等污染防治措施。</w:t>
                  </w:r>
                </w:p>
              </w:tc>
              <w:tc>
                <w:tcPr>
                  <w:tcW w:w="2760" w:type="dxa"/>
                  <w:tcBorders>
                    <w:tl2br w:val="nil"/>
                    <w:tr2bl w:val="nil"/>
                  </w:tcBorders>
                  <w:vAlign w:val="center"/>
                </w:tcPr>
                <w:p w14:paraId="662C41D9">
                  <w:pPr>
                    <w:jc w:val="center"/>
                    <w:rPr>
                      <w:color w:val="auto"/>
                      <w:sz w:val="18"/>
                      <w:szCs w:val="18"/>
                      <w:highlight w:val="none"/>
                    </w:rPr>
                  </w:pPr>
                  <w:r>
                    <w:rPr>
                      <w:color w:val="auto"/>
                      <w:sz w:val="18"/>
                      <w:szCs w:val="18"/>
                      <w:highlight w:val="none"/>
                    </w:rPr>
                    <w:t>本项目为煤炭洗选项目，不属于煤炭开采项目。</w:t>
                  </w:r>
                </w:p>
              </w:tc>
              <w:tc>
                <w:tcPr>
                  <w:tcW w:w="1179" w:type="dxa"/>
                  <w:tcBorders>
                    <w:tl2br w:val="nil"/>
                    <w:tr2bl w:val="nil"/>
                  </w:tcBorders>
                  <w:shd w:val="clear" w:color="auto" w:fill="auto"/>
                  <w:vAlign w:val="center"/>
                </w:tcPr>
                <w:p w14:paraId="18DAF992">
                  <w:pPr>
                    <w:jc w:val="center"/>
                    <w:rPr>
                      <w:color w:val="auto"/>
                      <w:sz w:val="18"/>
                      <w:szCs w:val="18"/>
                      <w:highlight w:val="none"/>
                    </w:rPr>
                  </w:pPr>
                  <w:r>
                    <w:rPr>
                      <w:color w:val="auto"/>
                      <w:sz w:val="18"/>
                      <w:szCs w:val="18"/>
                      <w:highlight w:val="none"/>
                    </w:rPr>
                    <w:t>不涉及</w:t>
                  </w:r>
                </w:p>
              </w:tc>
            </w:tr>
            <w:tr w14:paraId="2C9FD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2" w:hRule="atLeast"/>
              </w:trPr>
              <w:tc>
                <w:tcPr>
                  <w:tcW w:w="3822" w:type="dxa"/>
                  <w:tcBorders>
                    <w:tl2br w:val="nil"/>
                    <w:tr2bl w:val="nil"/>
                  </w:tcBorders>
                  <w:vAlign w:val="center"/>
                </w:tcPr>
                <w:p w14:paraId="1B19FAA9">
                  <w:pPr>
                    <w:jc w:val="center"/>
                    <w:rPr>
                      <w:color w:val="auto"/>
                      <w:sz w:val="18"/>
                      <w:szCs w:val="18"/>
                      <w:highlight w:val="none"/>
                    </w:rPr>
                  </w:pPr>
                  <w:r>
                    <w:rPr>
                      <w:color w:val="auto"/>
                      <w:sz w:val="18"/>
                      <w:szCs w:val="18"/>
                      <w:highlight w:val="none"/>
                    </w:rPr>
                    <w:t>项目应配套建设矿井（坑）水、生活污水、生产废水处理设施，处理后的废水应立足综合利用，生活污水、生产废水等原则上不得外排。选煤厂煤泥水应实现闭路循环，工业场地初期雨水应收集处理。无法全部综合利用的废水，应满足相关排放标准要求后排放。</w:t>
                  </w:r>
                </w:p>
              </w:tc>
              <w:tc>
                <w:tcPr>
                  <w:tcW w:w="2760" w:type="dxa"/>
                  <w:tcBorders>
                    <w:tl2br w:val="nil"/>
                    <w:tr2bl w:val="nil"/>
                  </w:tcBorders>
                  <w:vAlign w:val="center"/>
                </w:tcPr>
                <w:p w14:paraId="2348D884">
                  <w:pPr>
                    <w:jc w:val="center"/>
                    <w:rPr>
                      <w:color w:val="auto"/>
                      <w:sz w:val="18"/>
                      <w:szCs w:val="18"/>
                      <w:highlight w:val="none"/>
                    </w:rPr>
                  </w:pPr>
                  <w:r>
                    <w:rPr>
                      <w:color w:val="auto"/>
                      <w:sz w:val="18"/>
                      <w:szCs w:val="18"/>
                      <w:highlight w:val="none"/>
                    </w:rPr>
                    <w:t>本项目</w:t>
                  </w:r>
                  <w:r>
                    <w:rPr>
                      <w:rFonts w:hint="eastAsia"/>
                      <w:color w:val="auto"/>
                      <w:sz w:val="18"/>
                      <w:szCs w:val="18"/>
                      <w:highlight w:val="none"/>
                    </w:rPr>
                    <w:t>洗选</w:t>
                  </w:r>
                  <w:r>
                    <w:rPr>
                      <w:color w:val="auto"/>
                      <w:sz w:val="18"/>
                      <w:szCs w:val="18"/>
                      <w:highlight w:val="none"/>
                    </w:rPr>
                    <w:t>生产线的生产废水闭路循环，其为煤炭洗选项目，不属于煤炭开采项目，无工业场地；生活污水</w:t>
                  </w:r>
                  <w:r>
                    <w:rPr>
                      <w:rFonts w:hint="eastAsia"/>
                      <w:color w:val="auto"/>
                      <w:sz w:val="18"/>
                      <w:szCs w:val="18"/>
                      <w:highlight w:val="none"/>
                    </w:rPr>
                    <w:t>排入防渗旱厕，定期清掏，外运堆肥，不外排。</w:t>
                  </w:r>
                </w:p>
              </w:tc>
              <w:tc>
                <w:tcPr>
                  <w:tcW w:w="1179" w:type="dxa"/>
                  <w:tcBorders>
                    <w:tl2br w:val="nil"/>
                    <w:tr2bl w:val="nil"/>
                  </w:tcBorders>
                  <w:shd w:val="clear" w:color="auto" w:fill="auto"/>
                  <w:vAlign w:val="center"/>
                </w:tcPr>
                <w:p w14:paraId="49A92055">
                  <w:pPr>
                    <w:jc w:val="center"/>
                    <w:rPr>
                      <w:color w:val="auto"/>
                      <w:sz w:val="18"/>
                      <w:szCs w:val="18"/>
                      <w:highlight w:val="none"/>
                    </w:rPr>
                  </w:pPr>
                  <w:r>
                    <w:rPr>
                      <w:rFonts w:hint="eastAsia"/>
                      <w:color w:val="auto"/>
                      <w:sz w:val="18"/>
                      <w:szCs w:val="18"/>
                      <w:highlight w:val="none"/>
                    </w:rPr>
                    <w:t>符</w:t>
                  </w:r>
                  <w:r>
                    <w:rPr>
                      <w:color w:val="auto"/>
                      <w:sz w:val="18"/>
                      <w:szCs w:val="18"/>
                      <w:highlight w:val="none"/>
                    </w:rPr>
                    <w:t>合</w:t>
                  </w:r>
                </w:p>
              </w:tc>
            </w:tr>
            <w:tr w14:paraId="14FA2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4" w:hRule="atLeast"/>
              </w:trPr>
              <w:tc>
                <w:tcPr>
                  <w:tcW w:w="3822" w:type="dxa"/>
                  <w:tcBorders>
                    <w:tl2br w:val="nil"/>
                    <w:tr2bl w:val="nil"/>
                  </w:tcBorders>
                  <w:vAlign w:val="center"/>
                </w:tcPr>
                <w:p w14:paraId="715F7C33">
                  <w:pPr>
                    <w:jc w:val="center"/>
                    <w:rPr>
                      <w:color w:val="auto"/>
                      <w:sz w:val="18"/>
                      <w:szCs w:val="18"/>
                      <w:highlight w:val="none"/>
                    </w:rPr>
                  </w:pPr>
                  <w:r>
                    <w:rPr>
                      <w:color w:val="auto"/>
                      <w:sz w:val="18"/>
                      <w:szCs w:val="18"/>
                      <w:highlight w:val="none"/>
                    </w:rPr>
                    <w:t>煤矸石等固体废物应优先综合利用，明确煤矸石综合利用途径和处置方式，满足《煤矸石综合利用管理办法》相关要求。暂不具备综合利用条件的，排至临时矸石堆放场（库）储存，储存规模不超过3年储矸量，且必须有后续综合利用方案。临时矸石堆放场（库）选址、建设和运行应满足《一般工业固体废物贮存、处置场污染控制标准》（GB18599）要求。</w:t>
                  </w:r>
                </w:p>
              </w:tc>
              <w:tc>
                <w:tcPr>
                  <w:tcW w:w="2760" w:type="dxa"/>
                  <w:tcBorders>
                    <w:tl2br w:val="nil"/>
                    <w:tr2bl w:val="nil"/>
                  </w:tcBorders>
                  <w:vAlign w:val="center"/>
                </w:tcPr>
                <w:p w14:paraId="56E6EE24">
                  <w:pPr>
                    <w:jc w:val="center"/>
                    <w:rPr>
                      <w:color w:val="auto"/>
                      <w:sz w:val="18"/>
                      <w:szCs w:val="18"/>
                      <w:highlight w:val="none"/>
                    </w:rPr>
                  </w:pPr>
                  <w:r>
                    <w:rPr>
                      <w:color w:val="auto"/>
                      <w:sz w:val="18"/>
                      <w:szCs w:val="18"/>
                      <w:highlight w:val="none"/>
                    </w:rPr>
                    <w:t>本项目为煤炭洗选后的煤泥</w:t>
                  </w:r>
                  <w:r>
                    <w:rPr>
                      <w:rFonts w:hint="eastAsia"/>
                      <w:color w:val="auto"/>
                      <w:sz w:val="18"/>
                      <w:szCs w:val="18"/>
                      <w:highlight w:val="none"/>
                    </w:rPr>
                    <w:t>综合利用项目，产品为中煤、精煤、人造土壤基质，满足</w:t>
                  </w:r>
                  <w:r>
                    <w:rPr>
                      <w:color w:val="auto"/>
                      <w:sz w:val="18"/>
                      <w:szCs w:val="18"/>
                      <w:highlight w:val="none"/>
                    </w:rPr>
                    <w:t>《煤矸石综合利用管理办法》相关要求</w:t>
                  </w:r>
                  <w:r>
                    <w:rPr>
                      <w:rFonts w:hint="eastAsia"/>
                      <w:color w:val="auto"/>
                      <w:sz w:val="18"/>
                      <w:szCs w:val="18"/>
                      <w:highlight w:val="none"/>
                    </w:rPr>
                    <w:t>。</w:t>
                  </w:r>
                </w:p>
              </w:tc>
              <w:tc>
                <w:tcPr>
                  <w:tcW w:w="1179" w:type="dxa"/>
                  <w:tcBorders>
                    <w:tl2br w:val="nil"/>
                    <w:tr2bl w:val="nil"/>
                  </w:tcBorders>
                  <w:shd w:val="clear" w:color="auto" w:fill="auto"/>
                  <w:vAlign w:val="center"/>
                </w:tcPr>
                <w:p w14:paraId="62E00B82">
                  <w:pPr>
                    <w:jc w:val="center"/>
                    <w:rPr>
                      <w:color w:val="auto"/>
                      <w:sz w:val="18"/>
                      <w:szCs w:val="18"/>
                      <w:highlight w:val="none"/>
                    </w:rPr>
                  </w:pPr>
                  <w:r>
                    <w:rPr>
                      <w:rFonts w:hint="eastAsia"/>
                      <w:color w:val="auto"/>
                      <w:sz w:val="18"/>
                      <w:szCs w:val="18"/>
                      <w:highlight w:val="none"/>
                    </w:rPr>
                    <w:t>符</w:t>
                  </w:r>
                  <w:r>
                    <w:rPr>
                      <w:color w:val="auto"/>
                      <w:sz w:val="18"/>
                      <w:szCs w:val="18"/>
                      <w:highlight w:val="none"/>
                    </w:rPr>
                    <w:t>合</w:t>
                  </w:r>
                </w:p>
              </w:tc>
            </w:tr>
            <w:tr w14:paraId="60669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3" w:hRule="atLeast"/>
              </w:trPr>
              <w:tc>
                <w:tcPr>
                  <w:tcW w:w="3822" w:type="dxa"/>
                  <w:tcBorders>
                    <w:tl2br w:val="nil"/>
                    <w:tr2bl w:val="nil"/>
                  </w:tcBorders>
                  <w:vAlign w:val="center"/>
                </w:tcPr>
                <w:p w14:paraId="3C928C4E">
                  <w:pPr>
                    <w:jc w:val="center"/>
                    <w:rPr>
                      <w:color w:val="auto"/>
                      <w:sz w:val="18"/>
                      <w:szCs w:val="18"/>
                      <w:highlight w:val="none"/>
                    </w:rPr>
                  </w:pPr>
                  <w:r>
                    <w:rPr>
                      <w:color w:val="auto"/>
                      <w:sz w:val="18"/>
                      <w:szCs w:val="18"/>
                      <w:highlight w:val="none"/>
                    </w:rPr>
                    <w:t>选择低噪声设备、优化场地布局并采取隔声、消声、减振等措施有效控制噪声影响，厂界噪声应满足《工业企业厂界环境噪声排放标准》（GB12348）要求。</w:t>
                  </w:r>
                </w:p>
              </w:tc>
              <w:tc>
                <w:tcPr>
                  <w:tcW w:w="2760" w:type="dxa"/>
                  <w:tcBorders>
                    <w:tl2br w:val="nil"/>
                    <w:tr2bl w:val="nil"/>
                  </w:tcBorders>
                  <w:vAlign w:val="center"/>
                </w:tcPr>
                <w:p w14:paraId="6913B33D">
                  <w:pPr>
                    <w:jc w:val="center"/>
                    <w:rPr>
                      <w:color w:val="auto"/>
                      <w:sz w:val="18"/>
                      <w:szCs w:val="18"/>
                      <w:highlight w:val="none"/>
                    </w:rPr>
                  </w:pPr>
                  <w:r>
                    <w:rPr>
                      <w:color w:val="auto"/>
                      <w:sz w:val="18"/>
                      <w:szCs w:val="18"/>
                      <w:highlight w:val="none"/>
                    </w:rPr>
                    <w:t>本项目选择低噪声设备、优化场地布局并采取隔声、消声、减振等措施有效控制噪声影响，厂界噪声满足《工</w:t>
                  </w:r>
                </w:p>
                <w:p w14:paraId="64248B28">
                  <w:pPr>
                    <w:jc w:val="center"/>
                    <w:rPr>
                      <w:color w:val="auto"/>
                      <w:sz w:val="18"/>
                      <w:szCs w:val="18"/>
                      <w:highlight w:val="none"/>
                    </w:rPr>
                  </w:pPr>
                  <w:r>
                    <w:rPr>
                      <w:color w:val="auto"/>
                      <w:sz w:val="18"/>
                      <w:szCs w:val="18"/>
                      <w:highlight w:val="none"/>
                    </w:rPr>
                    <w:t>业企业厂界环境噪声排放标准》（GB123488-2008 ）要求。</w:t>
                  </w:r>
                </w:p>
              </w:tc>
              <w:tc>
                <w:tcPr>
                  <w:tcW w:w="1179" w:type="dxa"/>
                  <w:tcBorders>
                    <w:tl2br w:val="nil"/>
                    <w:tr2bl w:val="nil"/>
                  </w:tcBorders>
                  <w:shd w:val="clear" w:color="auto" w:fill="auto"/>
                  <w:vAlign w:val="center"/>
                </w:tcPr>
                <w:p w14:paraId="0B19469E">
                  <w:pPr>
                    <w:jc w:val="center"/>
                    <w:rPr>
                      <w:color w:val="auto"/>
                      <w:sz w:val="18"/>
                      <w:szCs w:val="18"/>
                      <w:highlight w:val="none"/>
                    </w:rPr>
                  </w:pPr>
                  <w:r>
                    <w:rPr>
                      <w:color w:val="auto"/>
                      <w:sz w:val="18"/>
                      <w:szCs w:val="18"/>
                      <w:highlight w:val="none"/>
                    </w:rPr>
                    <w:t>符合</w:t>
                  </w:r>
                </w:p>
              </w:tc>
            </w:tr>
            <w:tr w14:paraId="5A10B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2" w:hRule="atLeast"/>
              </w:trPr>
              <w:tc>
                <w:tcPr>
                  <w:tcW w:w="3822" w:type="dxa"/>
                  <w:tcBorders>
                    <w:tl2br w:val="nil"/>
                    <w:tr2bl w:val="nil"/>
                  </w:tcBorders>
                  <w:vAlign w:val="center"/>
                </w:tcPr>
                <w:p w14:paraId="3F58B361">
                  <w:pPr>
                    <w:jc w:val="center"/>
                    <w:rPr>
                      <w:color w:val="auto"/>
                      <w:sz w:val="18"/>
                      <w:szCs w:val="18"/>
                      <w:highlight w:val="none"/>
                    </w:rPr>
                  </w:pPr>
                  <w:r>
                    <w:rPr>
                      <w:color w:val="auto"/>
                      <w:sz w:val="18"/>
                      <w:szCs w:val="18"/>
                      <w:highlight w:val="none"/>
                    </w:rPr>
                    <w:t>涉及放射性污染影响的煤炭采选项目，参照《矿产资源开发利用辐射环境监督管理名录》（第一批）中石煤行业相关要求，原煤、产品煤、矸石或其他残留物铀（钍）系单个核素含量超过1贝可/克（1Bq/g）的项目，应开展辐射环境污染评价。开采高砷、高铝煤矿等项目，提出了产品煤去向及环境管理要求。</w:t>
                  </w:r>
                </w:p>
              </w:tc>
              <w:tc>
                <w:tcPr>
                  <w:tcW w:w="2760" w:type="dxa"/>
                  <w:tcBorders>
                    <w:tl2br w:val="nil"/>
                    <w:tr2bl w:val="nil"/>
                  </w:tcBorders>
                  <w:vAlign w:val="center"/>
                </w:tcPr>
                <w:p w14:paraId="57800E43">
                  <w:pPr>
                    <w:jc w:val="center"/>
                    <w:rPr>
                      <w:color w:val="auto"/>
                      <w:sz w:val="18"/>
                      <w:szCs w:val="18"/>
                      <w:highlight w:val="none"/>
                    </w:rPr>
                  </w:pPr>
                  <w:r>
                    <w:rPr>
                      <w:color w:val="auto"/>
                      <w:sz w:val="18"/>
                      <w:szCs w:val="18"/>
                      <w:highlight w:val="none"/>
                    </w:rPr>
                    <w:t>根据</w:t>
                  </w:r>
                  <w:r>
                    <w:rPr>
                      <w:rFonts w:hint="eastAsia"/>
                      <w:color w:val="auto"/>
                      <w:sz w:val="18"/>
                      <w:szCs w:val="18"/>
                      <w:highlight w:val="none"/>
                    </w:rPr>
                    <w:t>检测报告本项目原料</w:t>
                  </w:r>
                  <w:r>
                    <w:rPr>
                      <w:color w:val="auto"/>
                      <w:sz w:val="18"/>
                      <w:szCs w:val="18"/>
                      <w:highlight w:val="none"/>
                    </w:rPr>
                    <w:t>中</w:t>
                  </w:r>
                  <w:r>
                    <w:rPr>
                      <w:color w:val="auto"/>
                      <w:sz w:val="18"/>
                      <w:szCs w:val="18"/>
                      <w:highlight w:val="none"/>
                      <w:vertAlign w:val="superscript"/>
                    </w:rPr>
                    <w:t>226</w:t>
                  </w:r>
                  <w:r>
                    <w:rPr>
                      <w:color w:val="auto"/>
                      <w:sz w:val="18"/>
                      <w:szCs w:val="18"/>
                      <w:highlight w:val="none"/>
                    </w:rPr>
                    <w:t>Ra、</w:t>
                  </w:r>
                  <w:r>
                    <w:rPr>
                      <w:color w:val="auto"/>
                      <w:sz w:val="18"/>
                      <w:szCs w:val="18"/>
                      <w:highlight w:val="none"/>
                      <w:vertAlign w:val="superscript"/>
                    </w:rPr>
                    <w:t>232</w:t>
                  </w:r>
                  <w:r>
                    <w:rPr>
                      <w:color w:val="auto"/>
                      <w:sz w:val="18"/>
                      <w:szCs w:val="18"/>
                      <w:highlight w:val="none"/>
                    </w:rPr>
                    <w:t>Th活度浓度检测报告，铀（钍）系单个核素含量小于1贝可/克。故本项目不涉及放射性污染。</w:t>
                  </w:r>
                </w:p>
              </w:tc>
              <w:tc>
                <w:tcPr>
                  <w:tcW w:w="1179" w:type="dxa"/>
                  <w:tcBorders>
                    <w:tl2br w:val="nil"/>
                    <w:tr2bl w:val="nil"/>
                  </w:tcBorders>
                  <w:shd w:val="clear" w:color="auto" w:fill="auto"/>
                  <w:vAlign w:val="center"/>
                </w:tcPr>
                <w:p w14:paraId="125F45C0">
                  <w:pPr>
                    <w:jc w:val="center"/>
                    <w:rPr>
                      <w:color w:val="auto"/>
                      <w:sz w:val="18"/>
                      <w:szCs w:val="18"/>
                      <w:highlight w:val="none"/>
                    </w:rPr>
                  </w:pPr>
                  <w:r>
                    <w:rPr>
                      <w:color w:val="auto"/>
                      <w:sz w:val="18"/>
                      <w:szCs w:val="18"/>
                      <w:highlight w:val="none"/>
                    </w:rPr>
                    <w:t>不涉及</w:t>
                  </w:r>
                </w:p>
              </w:tc>
            </w:tr>
          </w:tbl>
          <w:p w14:paraId="07B02703">
            <w:pPr>
              <w:autoSpaceDE w:val="0"/>
              <w:autoSpaceDN w:val="0"/>
              <w:adjustRightInd w:val="0"/>
              <w:snapToGrid w:val="0"/>
              <w:spacing w:line="360" w:lineRule="auto"/>
              <w:ind w:firstLine="420" w:firstLineChars="200"/>
              <w:rPr>
                <w:color w:val="auto"/>
                <w:kern w:val="0"/>
                <w:szCs w:val="21"/>
                <w:highlight w:val="none"/>
              </w:rPr>
            </w:pPr>
            <w:r>
              <w:rPr>
                <w:rFonts w:hint="eastAsia"/>
                <w:color w:val="auto"/>
                <w:kern w:val="0"/>
                <w:szCs w:val="21"/>
                <w:highlight w:val="none"/>
              </w:rPr>
              <w:t>综上，本项目的建设符合《煤炭采选建设项目环境影响评价文件审批原则》的相关要求。</w:t>
            </w:r>
          </w:p>
          <w:p w14:paraId="0DD8F702">
            <w:pPr>
              <w:pStyle w:val="37"/>
              <w:spacing w:line="360" w:lineRule="auto"/>
              <w:ind w:firstLine="0"/>
              <w:rPr>
                <w:b/>
                <w:color w:val="auto"/>
                <w:sz w:val="21"/>
                <w:szCs w:val="21"/>
                <w:highlight w:val="none"/>
              </w:rPr>
            </w:pPr>
            <w:r>
              <w:rPr>
                <w:b/>
                <w:color w:val="auto"/>
                <w:sz w:val="21"/>
                <w:szCs w:val="21"/>
                <w:highlight w:val="none"/>
              </w:rPr>
              <w:t>3、选址合理性分析</w:t>
            </w:r>
          </w:p>
          <w:p w14:paraId="70BBD756">
            <w:pPr>
              <w:adjustRightInd w:val="0"/>
              <w:snapToGrid w:val="0"/>
              <w:spacing w:line="360" w:lineRule="auto"/>
              <w:ind w:firstLine="420" w:firstLineChars="200"/>
              <w:rPr>
                <w:color w:val="auto"/>
                <w:highlight w:val="none"/>
              </w:rPr>
            </w:pPr>
            <w:r>
              <w:rPr>
                <w:rFonts w:hint="eastAsia"/>
                <w:color w:val="auto"/>
                <w:highlight w:val="none"/>
              </w:rPr>
              <w:t>本项目位于黑龙江省鸡西市恒山区红旗乡义安村，</w:t>
            </w:r>
            <w:r>
              <w:rPr>
                <w:rFonts w:hint="eastAsia"/>
                <w:color w:val="auto"/>
                <w:highlight w:val="none"/>
                <w:lang w:eastAsia="zh-CN"/>
              </w:rPr>
              <w:t>现有工程占地面积</w:t>
            </w:r>
            <w:r>
              <w:rPr>
                <w:rFonts w:hint="eastAsia"/>
                <w:color w:val="auto"/>
                <w:highlight w:val="none"/>
                <w:lang w:val="en-US" w:eastAsia="zh-CN"/>
              </w:rPr>
              <w:t>1000m</w:t>
            </w:r>
            <w:r>
              <w:rPr>
                <w:rFonts w:hint="eastAsia"/>
                <w:color w:val="auto"/>
                <w:highlight w:val="none"/>
                <w:vertAlign w:val="superscript"/>
                <w:lang w:val="en-US" w:eastAsia="zh-CN"/>
              </w:rPr>
              <w:t>2</w:t>
            </w:r>
            <w:r>
              <w:rPr>
                <w:rFonts w:hint="eastAsia"/>
                <w:color w:val="auto"/>
                <w:highlight w:val="none"/>
                <w:lang w:val="en-US" w:eastAsia="zh-CN"/>
              </w:rPr>
              <w:t>，本次新增9496.95m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rFonts w:hint="eastAsia"/>
                <w:color w:val="auto"/>
                <w:highlight w:val="none"/>
              </w:rPr>
              <w:t>用地性质</w:t>
            </w:r>
            <w:r>
              <w:rPr>
                <w:rFonts w:hint="eastAsia"/>
                <w:color w:val="auto"/>
                <w:highlight w:val="none"/>
                <w:lang w:eastAsia="zh-CN"/>
              </w:rPr>
              <w:t>均为采矿用地</w:t>
            </w:r>
            <w:r>
              <w:rPr>
                <w:rFonts w:hint="eastAsia"/>
                <w:color w:val="auto"/>
                <w:highlight w:val="none"/>
              </w:rPr>
              <w:t>，符合土地利用规划要求</w:t>
            </w:r>
            <w:r>
              <w:rPr>
                <w:color w:val="auto"/>
                <w:highlight w:val="none"/>
              </w:rPr>
              <w:t>。项目区及周围无自然保护区，无风景名胜区，也未发现珍稀保护动植物，属一般区域。本项目所在地地势平坦，厂区地理位置交通便利，基础设施齐全</w:t>
            </w:r>
            <w:r>
              <w:rPr>
                <w:rFonts w:hint="eastAsia"/>
                <w:color w:val="auto"/>
                <w:highlight w:val="none"/>
              </w:rPr>
              <w:t>，</w:t>
            </w:r>
            <w:r>
              <w:rPr>
                <w:color w:val="auto"/>
                <w:highlight w:val="none"/>
              </w:rPr>
              <w:t>项目不在风景名胜区、自然保护区、水源保护区及其他需要特别保护的区域内，没有明显的环境制约因素</w:t>
            </w:r>
            <w:r>
              <w:rPr>
                <w:rFonts w:hint="eastAsia"/>
                <w:color w:val="auto"/>
                <w:highlight w:val="none"/>
              </w:rPr>
              <w:t>。</w:t>
            </w:r>
          </w:p>
          <w:p w14:paraId="191ED0DD">
            <w:pPr>
              <w:adjustRightInd w:val="0"/>
              <w:snapToGrid w:val="0"/>
              <w:spacing w:line="360" w:lineRule="auto"/>
              <w:ind w:firstLine="420" w:firstLineChars="200"/>
              <w:rPr>
                <w:color w:val="auto"/>
                <w:highlight w:val="none"/>
              </w:rPr>
            </w:pPr>
            <w:r>
              <w:rPr>
                <w:color w:val="auto"/>
                <w:highlight w:val="none"/>
              </w:rPr>
              <w:t>本项目不属于高污染高耗能项目，</w:t>
            </w:r>
            <w:r>
              <w:rPr>
                <w:rFonts w:hint="eastAsia"/>
                <w:color w:val="auto"/>
                <w:highlight w:val="none"/>
              </w:rPr>
              <w:t>项目所使用的原料为周边洗煤厂洗选过程产生的副产品煤泥。物料棚以及运输过程在</w:t>
            </w:r>
            <w:r>
              <w:rPr>
                <w:color w:val="auto"/>
                <w:highlight w:val="none"/>
              </w:rPr>
              <w:t>采用防风抑尘网、洒水、苫盖等措施，</w:t>
            </w:r>
            <w:r>
              <w:rPr>
                <w:rFonts w:hint="eastAsia"/>
                <w:color w:val="auto"/>
                <w:highlight w:val="none"/>
              </w:rPr>
              <w:t>根据</w:t>
            </w:r>
            <w:r>
              <w:rPr>
                <w:color w:val="auto"/>
                <w:highlight w:val="none"/>
              </w:rPr>
              <w:t>工程分析，所产生的污染物经采取有效措施后能够达标排放，对厂区周围区域的环境影响较小。</w:t>
            </w:r>
          </w:p>
          <w:p w14:paraId="6E076123">
            <w:pPr>
              <w:adjustRightInd w:val="0"/>
              <w:snapToGrid w:val="0"/>
              <w:spacing w:line="360" w:lineRule="auto"/>
              <w:ind w:firstLine="420" w:firstLineChars="200"/>
              <w:rPr>
                <w:color w:val="auto"/>
                <w:highlight w:val="none"/>
              </w:rPr>
            </w:pPr>
            <w:bookmarkStart w:id="22" w:name="bookmark2"/>
            <w:bookmarkEnd w:id="22"/>
            <w:r>
              <w:rPr>
                <w:color w:val="auto"/>
                <w:highlight w:val="none"/>
              </w:rPr>
              <w:t>综上所述，项目选址合理。本项目</w:t>
            </w:r>
            <w:r>
              <w:rPr>
                <w:rFonts w:hint="eastAsia"/>
                <w:color w:val="auto"/>
                <w:highlight w:val="none"/>
              </w:rPr>
              <w:t>厂界外50米无声环境保护目标，厂界外500范围大气保护目标为西北侧义安四队居民，位于厂区北侧240米处。</w:t>
            </w:r>
            <w:r>
              <w:rPr>
                <w:color w:val="auto"/>
                <w:highlight w:val="none"/>
              </w:rPr>
              <w:t>本项目各项污染物经过有效的污染治理措施后对环境影响较小，从环保的角度分析本项目的选址是合理的。</w:t>
            </w:r>
          </w:p>
          <w:p w14:paraId="44661968">
            <w:pPr>
              <w:spacing w:line="360" w:lineRule="auto"/>
              <w:jc w:val="left"/>
              <w:rPr>
                <w:b/>
                <w:color w:val="auto"/>
                <w:szCs w:val="21"/>
                <w:highlight w:val="none"/>
              </w:rPr>
            </w:pPr>
            <w:r>
              <w:rPr>
                <w:rFonts w:hint="eastAsia"/>
                <w:b/>
                <w:color w:val="auto"/>
                <w:szCs w:val="21"/>
                <w:highlight w:val="none"/>
              </w:rPr>
              <w:t>4</w:t>
            </w:r>
            <w:r>
              <w:rPr>
                <w:b/>
                <w:color w:val="auto"/>
                <w:szCs w:val="21"/>
                <w:highlight w:val="none"/>
              </w:rPr>
              <w:t>、生态环境分区管控符合性</w:t>
            </w:r>
          </w:p>
          <w:p w14:paraId="50080A18">
            <w:pPr>
              <w:widowControl/>
              <w:spacing w:line="360" w:lineRule="auto"/>
              <w:ind w:firstLine="420" w:firstLineChars="200"/>
              <w:rPr>
                <w:color w:val="auto"/>
                <w:kern w:val="0"/>
                <w:szCs w:val="21"/>
                <w:highlight w:val="none"/>
              </w:rPr>
            </w:pPr>
            <w:r>
              <w:rPr>
                <w:color w:val="auto"/>
                <w:kern w:val="0"/>
                <w:szCs w:val="21"/>
                <w:highlight w:val="none"/>
              </w:rPr>
              <w:t>本项目位于</w:t>
            </w:r>
            <w:r>
              <w:rPr>
                <w:rFonts w:hint="eastAsia"/>
                <w:color w:val="auto"/>
                <w:szCs w:val="21"/>
                <w:highlight w:val="none"/>
              </w:rPr>
              <w:t>黑龙江省鸡西市恒山区红旗乡义安村</w:t>
            </w:r>
            <w:r>
              <w:rPr>
                <w:color w:val="auto"/>
                <w:szCs w:val="21"/>
                <w:highlight w:val="none"/>
              </w:rPr>
              <w:t>，根据</w:t>
            </w:r>
            <w:r>
              <w:rPr>
                <w:color w:val="auto"/>
                <w:kern w:val="0"/>
                <w:szCs w:val="21"/>
                <w:highlight w:val="none"/>
              </w:rPr>
              <w:t>《黑龙江省人民政府关于实施</w:t>
            </w:r>
            <w:r>
              <w:rPr>
                <w:rFonts w:hint="eastAsia" w:ascii="宋体" w:hAnsi="宋体" w:cs="宋体"/>
                <w:color w:val="auto"/>
                <w:kern w:val="0"/>
                <w:szCs w:val="21"/>
                <w:highlight w:val="none"/>
              </w:rPr>
              <w:t>“三线一单”生</w:t>
            </w:r>
            <w:r>
              <w:rPr>
                <w:color w:val="auto"/>
                <w:kern w:val="0"/>
                <w:szCs w:val="21"/>
                <w:highlight w:val="none"/>
              </w:rPr>
              <w:t>态环境分区管控的意见》（黑政发〔2020〕14号）、《鸡西市人民政府关于实</w:t>
            </w:r>
            <w:r>
              <w:rPr>
                <w:rFonts w:hint="eastAsia" w:ascii="宋体" w:hAnsi="宋体" w:cs="宋体"/>
                <w:color w:val="auto"/>
                <w:kern w:val="0"/>
                <w:szCs w:val="21"/>
                <w:highlight w:val="none"/>
              </w:rPr>
              <w:t>施“三线一单”生</w:t>
            </w:r>
            <w:r>
              <w:rPr>
                <w:color w:val="auto"/>
                <w:kern w:val="0"/>
                <w:szCs w:val="21"/>
                <w:highlight w:val="none"/>
              </w:rPr>
              <w:t>态环境分区管控的意见》（鸡政发〔2021〕7号）和《</w:t>
            </w:r>
            <w:r>
              <w:rPr>
                <w:rFonts w:hint="eastAsia" w:ascii="宋体" w:hAnsi="宋体" w:cs="宋体"/>
                <w:color w:val="auto"/>
                <w:szCs w:val="21"/>
                <w:highlight w:val="none"/>
              </w:rPr>
              <w:t>鸡西市焦诚矸石加工厂固废资源利用</w:t>
            </w:r>
            <w:r>
              <w:rPr>
                <w:color w:val="auto"/>
                <w:kern w:val="0"/>
                <w:szCs w:val="21"/>
                <w:highlight w:val="none"/>
              </w:rPr>
              <w:t>生态环境</w:t>
            </w:r>
            <w:r>
              <w:rPr>
                <w:rFonts w:hint="eastAsia"/>
                <w:color w:val="auto"/>
                <w:kern w:val="0"/>
                <w:szCs w:val="21"/>
                <w:highlight w:val="none"/>
              </w:rPr>
              <w:t>分区管控分析报告》</w:t>
            </w:r>
            <w:r>
              <w:rPr>
                <w:color w:val="auto"/>
                <w:kern w:val="0"/>
                <w:szCs w:val="21"/>
                <w:highlight w:val="none"/>
              </w:rPr>
              <w:t>，</w:t>
            </w:r>
            <w:r>
              <w:rPr>
                <w:rFonts w:hint="eastAsia"/>
                <w:color w:val="auto"/>
                <w:kern w:val="0"/>
                <w:szCs w:val="21"/>
                <w:highlight w:val="none"/>
              </w:rPr>
              <w:t>本项目与“生态环境分区管控”符合性如下：</w:t>
            </w:r>
          </w:p>
          <w:p w14:paraId="382036AF">
            <w:pPr>
              <w:pStyle w:val="17"/>
              <w:widowControl/>
              <w:spacing w:line="360" w:lineRule="auto"/>
              <w:ind w:left="0" w:firstLine="420" w:firstLineChars="200"/>
              <w:rPr>
                <w:color w:val="auto"/>
                <w:sz w:val="21"/>
                <w:szCs w:val="21"/>
                <w:highlight w:val="none"/>
              </w:rPr>
            </w:pPr>
            <w:r>
              <w:rPr>
                <w:rFonts w:hint="eastAsia" w:ascii="Calibri" w:hAnsi="Calibri"/>
                <w:color w:val="auto"/>
                <w:sz w:val="21"/>
                <w:szCs w:val="21"/>
                <w:highlight w:val="none"/>
              </w:rPr>
              <w:t>（</w:t>
            </w:r>
            <w:r>
              <w:rPr>
                <w:color w:val="auto"/>
                <w:sz w:val="21"/>
                <w:szCs w:val="21"/>
                <w:highlight w:val="none"/>
              </w:rPr>
              <w:t>1</w:t>
            </w:r>
            <w:r>
              <w:rPr>
                <w:rFonts w:hint="eastAsia" w:ascii="Calibri" w:hAnsi="Calibri"/>
                <w:color w:val="auto"/>
                <w:sz w:val="21"/>
                <w:szCs w:val="21"/>
                <w:highlight w:val="none"/>
              </w:rPr>
              <w:t>）</w:t>
            </w:r>
            <w:r>
              <w:rPr>
                <w:rFonts w:hint="eastAsia"/>
                <w:color w:val="auto"/>
                <w:sz w:val="21"/>
                <w:szCs w:val="21"/>
                <w:highlight w:val="none"/>
              </w:rPr>
              <w:t>“一图”</w:t>
            </w:r>
          </w:p>
          <w:p w14:paraId="0EF2EEF1">
            <w:pPr>
              <w:widowControl/>
              <w:spacing w:line="360" w:lineRule="auto"/>
              <w:ind w:firstLine="420" w:firstLineChars="200"/>
              <w:rPr>
                <w:color w:val="auto"/>
                <w:kern w:val="0"/>
                <w:szCs w:val="21"/>
                <w:highlight w:val="none"/>
              </w:rPr>
            </w:pPr>
            <w:r>
              <w:rPr>
                <w:rFonts w:hint="eastAsia"/>
                <w:color w:val="auto"/>
                <w:szCs w:val="21"/>
                <w:highlight w:val="none"/>
              </w:rPr>
              <w:t>根据</w:t>
            </w:r>
            <w:r>
              <w:rPr>
                <w:rFonts w:hint="eastAsia"/>
                <w:color w:val="auto"/>
                <w:kern w:val="0"/>
                <w:szCs w:val="21"/>
                <w:highlight w:val="none"/>
              </w:rPr>
              <w:t>《</w:t>
            </w:r>
            <w:r>
              <w:rPr>
                <w:rFonts w:hint="eastAsia" w:ascii="宋体" w:hAnsi="宋体" w:cs="宋体"/>
                <w:color w:val="auto"/>
                <w:szCs w:val="21"/>
                <w:highlight w:val="none"/>
              </w:rPr>
              <w:t>鸡西市焦诚矸石加工厂固废资源利用</w:t>
            </w:r>
            <w:r>
              <w:rPr>
                <w:rFonts w:hint="eastAsia"/>
                <w:color w:val="auto"/>
                <w:kern w:val="0"/>
                <w:szCs w:val="21"/>
                <w:highlight w:val="none"/>
              </w:rPr>
              <w:t>生态环境分区管控分析报告》，项目与环境管控单元叠加图见图1-1。</w:t>
            </w:r>
          </w:p>
          <w:p w14:paraId="1B8AC125">
            <w:pPr>
              <w:widowControl/>
              <w:spacing w:line="360" w:lineRule="auto"/>
              <w:jc w:val="center"/>
              <w:rPr>
                <w:color w:val="auto"/>
                <w:kern w:val="0"/>
                <w:szCs w:val="21"/>
                <w:highlight w:val="none"/>
              </w:rPr>
            </w:pPr>
            <w:r>
              <w:rPr>
                <w:color w:val="auto"/>
                <w:highlight w:val="none"/>
              </w:rPr>
              <w:drawing>
                <wp:inline distT="0" distB="0" distL="114300" distR="114300">
                  <wp:extent cx="4598670" cy="2331085"/>
                  <wp:effectExtent l="0" t="0" r="11430" b="12065"/>
                  <wp:docPr id="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
                          <pic:cNvPicPr>
                            <a:picLocks noChangeAspect="1"/>
                          </pic:cNvPicPr>
                        </pic:nvPicPr>
                        <pic:blipFill>
                          <a:blip r:embed="rId12"/>
                          <a:stretch>
                            <a:fillRect/>
                          </a:stretch>
                        </pic:blipFill>
                        <pic:spPr>
                          <a:xfrm>
                            <a:off x="0" y="0"/>
                            <a:ext cx="4598670" cy="2331085"/>
                          </a:xfrm>
                          <a:prstGeom prst="rect">
                            <a:avLst/>
                          </a:prstGeom>
                          <a:noFill/>
                          <a:ln>
                            <a:noFill/>
                          </a:ln>
                        </pic:spPr>
                      </pic:pic>
                    </a:graphicData>
                  </a:graphic>
                </wp:inline>
              </w:drawing>
            </w:r>
          </w:p>
          <w:p w14:paraId="063CF68A">
            <w:pPr>
              <w:widowControl/>
              <w:jc w:val="center"/>
              <w:rPr>
                <w:rFonts w:ascii="宋体" w:hAnsi="宋体" w:cs="宋体"/>
                <w:b/>
                <w:bCs/>
                <w:color w:val="auto"/>
                <w:kern w:val="0"/>
                <w:szCs w:val="21"/>
                <w:highlight w:val="none"/>
              </w:rPr>
            </w:pPr>
            <w:r>
              <w:rPr>
                <w:b/>
                <w:bCs/>
                <w:color w:val="auto"/>
                <w:kern w:val="0"/>
                <w:szCs w:val="21"/>
                <w:highlight w:val="none"/>
              </w:rPr>
              <w:t>图1-1与</w:t>
            </w:r>
            <w:r>
              <w:rPr>
                <w:rFonts w:hint="eastAsia"/>
                <w:b/>
                <w:bCs/>
                <w:color w:val="auto"/>
                <w:kern w:val="0"/>
                <w:szCs w:val="21"/>
                <w:highlight w:val="none"/>
              </w:rPr>
              <w:t>环境</w:t>
            </w:r>
            <w:r>
              <w:rPr>
                <w:b/>
                <w:bCs/>
                <w:color w:val="auto"/>
                <w:kern w:val="0"/>
                <w:szCs w:val="21"/>
                <w:highlight w:val="none"/>
              </w:rPr>
              <w:t>管控</w:t>
            </w:r>
            <w:r>
              <w:rPr>
                <w:rFonts w:hint="eastAsia"/>
                <w:b/>
                <w:bCs/>
                <w:color w:val="auto"/>
                <w:kern w:val="0"/>
                <w:szCs w:val="21"/>
                <w:highlight w:val="none"/>
              </w:rPr>
              <w:t>单元</w:t>
            </w:r>
            <w:r>
              <w:rPr>
                <w:b/>
                <w:bCs/>
                <w:color w:val="auto"/>
                <w:kern w:val="0"/>
                <w:szCs w:val="21"/>
                <w:highlight w:val="none"/>
              </w:rPr>
              <w:t>叠加图</w:t>
            </w:r>
          </w:p>
          <w:p w14:paraId="28FCB516">
            <w:pPr>
              <w:pStyle w:val="68"/>
              <w:widowControl/>
              <w:spacing w:line="360" w:lineRule="auto"/>
              <w:ind w:firstLine="420"/>
              <w:rPr>
                <w:color w:val="auto"/>
                <w:sz w:val="21"/>
                <w:highlight w:val="none"/>
              </w:rPr>
            </w:pPr>
            <w:r>
              <w:rPr>
                <w:color w:val="auto"/>
                <w:sz w:val="21"/>
                <w:highlight w:val="none"/>
              </w:rPr>
              <w:t>（</w:t>
            </w:r>
            <w:r>
              <w:rPr>
                <w:rFonts w:hint="eastAsia"/>
                <w:color w:val="auto"/>
                <w:sz w:val="21"/>
                <w:highlight w:val="none"/>
              </w:rPr>
              <w:t>2</w:t>
            </w:r>
            <w:r>
              <w:rPr>
                <w:color w:val="auto"/>
                <w:sz w:val="21"/>
                <w:highlight w:val="none"/>
              </w:rPr>
              <w:t>）</w:t>
            </w:r>
            <w:r>
              <w:rPr>
                <w:rFonts w:hint="eastAsia"/>
                <w:color w:val="auto"/>
                <w:sz w:val="21"/>
                <w:highlight w:val="none"/>
              </w:rPr>
              <w:t>“一表”</w:t>
            </w:r>
          </w:p>
          <w:p w14:paraId="6E329F78">
            <w:pPr>
              <w:pStyle w:val="68"/>
              <w:widowControl/>
              <w:spacing w:line="360" w:lineRule="auto"/>
              <w:ind w:firstLine="420"/>
              <w:rPr>
                <w:color w:val="auto"/>
                <w:sz w:val="21"/>
                <w:highlight w:val="none"/>
              </w:rPr>
            </w:pPr>
            <w:r>
              <w:rPr>
                <w:rFonts w:hint="eastAsia"/>
                <w:color w:val="auto"/>
                <w:sz w:val="21"/>
                <w:highlight w:val="none"/>
              </w:rPr>
              <w:t>本项目与生态环境准入清单符合性情况见表1-</w:t>
            </w:r>
            <w:r>
              <w:rPr>
                <w:rFonts w:hint="eastAsia"/>
                <w:color w:val="auto"/>
                <w:sz w:val="21"/>
                <w:highlight w:val="none"/>
                <w:lang w:val="en-US" w:eastAsia="zh-CN"/>
              </w:rPr>
              <w:t>4</w:t>
            </w:r>
            <w:r>
              <w:rPr>
                <w:rFonts w:hint="eastAsia"/>
                <w:color w:val="auto"/>
                <w:sz w:val="21"/>
                <w:highlight w:val="none"/>
              </w:rPr>
              <w:t>。</w:t>
            </w:r>
          </w:p>
          <w:p w14:paraId="795C11BE">
            <w:pPr>
              <w:widowControl/>
              <w:jc w:val="center"/>
              <w:rPr>
                <w:b/>
                <w:bCs/>
                <w:color w:val="auto"/>
                <w:kern w:val="0"/>
                <w:szCs w:val="21"/>
                <w:highlight w:val="none"/>
              </w:rPr>
            </w:pPr>
            <w:r>
              <w:rPr>
                <w:b/>
                <w:bCs/>
                <w:color w:val="auto"/>
                <w:kern w:val="0"/>
                <w:szCs w:val="21"/>
                <w:highlight w:val="none"/>
              </w:rPr>
              <w:t>表1-</w:t>
            </w:r>
            <w:r>
              <w:rPr>
                <w:rFonts w:hint="eastAsia"/>
                <w:b/>
                <w:bCs/>
                <w:color w:val="auto"/>
                <w:kern w:val="0"/>
                <w:szCs w:val="21"/>
                <w:highlight w:val="none"/>
                <w:lang w:val="en-US" w:eastAsia="zh-CN"/>
              </w:rPr>
              <w:t>4</w:t>
            </w:r>
            <w:r>
              <w:rPr>
                <w:b/>
                <w:bCs/>
                <w:color w:val="auto"/>
                <w:kern w:val="0"/>
                <w:szCs w:val="21"/>
                <w:highlight w:val="none"/>
              </w:rPr>
              <w:t>生态环境准入清单符合性分析</w:t>
            </w:r>
          </w:p>
          <w:tbl>
            <w:tblPr>
              <w:tblStyle w:val="22"/>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4831"/>
              <w:gridCol w:w="1605"/>
            </w:tblGrid>
            <w:tr w14:paraId="711BA21E">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ign w:val="center"/>
                </w:tcPr>
                <w:p w14:paraId="0DD75340">
                  <w:pPr>
                    <w:adjustRightInd w:val="0"/>
                    <w:jc w:val="center"/>
                    <w:textAlignment w:val="baseline"/>
                    <w:rPr>
                      <w:b/>
                      <w:bCs/>
                      <w:color w:val="auto"/>
                      <w:szCs w:val="21"/>
                      <w:highlight w:val="none"/>
                    </w:rPr>
                  </w:pPr>
                  <w:r>
                    <w:rPr>
                      <w:b/>
                      <w:bCs/>
                      <w:color w:val="auto"/>
                      <w:szCs w:val="21"/>
                      <w:highlight w:val="none"/>
                    </w:rPr>
                    <w:t>一、生态保护红线</w:t>
                  </w:r>
                </w:p>
              </w:tc>
            </w:tr>
            <w:tr w14:paraId="6DDE50F2">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523257B8">
                  <w:pPr>
                    <w:pStyle w:val="76"/>
                    <w:widowControl/>
                    <w:spacing w:line="360" w:lineRule="auto"/>
                    <w:ind w:firstLine="420"/>
                    <w:rPr>
                      <w:color w:val="auto"/>
                      <w:sz w:val="21"/>
                      <w:szCs w:val="21"/>
                      <w:highlight w:val="none"/>
                    </w:rPr>
                  </w:pPr>
                  <w:r>
                    <w:rPr>
                      <w:rFonts w:hint="eastAsia"/>
                      <w:color w:val="auto"/>
                      <w:sz w:val="21"/>
                      <w:szCs w:val="21"/>
                      <w:highlight w:val="none"/>
                    </w:rPr>
                    <w:t>根据《</w:t>
                  </w:r>
                  <w:r>
                    <w:rPr>
                      <w:rFonts w:hint="eastAsia" w:ascii="宋体" w:hAnsi="宋体" w:cs="宋体"/>
                      <w:color w:val="auto"/>
                      <w:sz w:val="21"/>
                      <w:szCs w:val="21"/>
                      <w:highlight w:val="none"/>
                    </w:rPr>
                    <w:t>鸡西市焦诚矸石加工厂固废资源利用</w:t>
                  </w:r>
                  <w:r>
                    <w:rPr>
                      <w:rFonts w:hint="eastAsia"/>
                      <w:color w:val="auto"/>
                      <w:sz w:val="21"/>
                      <w:szCs w:val="21"/>
                      <w:highlight w:val="none"/>
                    </w:rPr>
                    <w:t>生态环境分区管控分析报告》，本项目不涉及生态保护红线。</w:t>
                  </w:r>
                </w:p>
              </w:tc>
            </w:tr>
            <w:tr w14:paraId="48FC100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79CC0C78">
                  <w:pPr>
                    <w:adjustRightInd w:val="0"/>
                    <w:jc w:val="center"/>
                    <w:textAlignment w:val="baseline"/>
                    <w:rPr>
                      <w:color w:val="auto"/>
                      <w:szCs w:val="21"/>
                      <w:highlight w:val="none"/>
                    </w:rPr>
                  </w:pPr>
                  <w:r>
                    <w:rPr>
                      <w:b/>
                      <w:bCs/>
                      <w:color w:val="auto"/>
                      <w:szCs w:val="21"/>
                      <w:highlight w:val="none"/>
                    </w:rPr>
                    <w:t>二、环境质量底线</w:t>
                  </w:r>
                </w:p>
              </w:tc>
            </w:tr>
            <w:tr w14:paraId="0E1182B6">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2F788669">
                  <w:pPr>
                    <w:pStyle w:val="77"/>
                    <w:widowControl/>
                    <w:ind w:firstLine="420"/>
                    <w:rPr>
                      <w:color w:val="auto"/>
                      <w:kern w:val="0"/>
                      <w:sz w:val="21"/>
                      <w:szCs w:val="21"/>
                      <w:highlight w:val="none"/>
                    </w:rPr>
                  </w:pPr>
                  <w:r>
                    <w:rPr>
                      <w:color w:val="auto"/>
                      <w:kern w:val="0"/>
                      <w:sz w:val="21"/>
                      <w:szCs w:val="21"/>
                      <w:highlight w:val="none"/>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2E17E37D">
                  <w:pPr>
                    <w:pStyle w:val="77"/>
                    <w:widowControl/>
                    <w:ind w:firstLine="420"/>
                    <w:rPr>
                      <w:color w:val="auto"/>
                      <w:kern w:val="0"/>
                      <w:sz w:val="21"/>
                      <w:szCs w:val="21"/>
                      <w:highlight w:val="none"/>
                    </w:rPr>
                  </w:pPr>
                  <w:r>
                    <w:rPr>
                      <w:color w:val="auto"/>
                      <w:kern w:val="0"/>
                      <w:sz w:val="21"/>
                      <w:szCs w:val="21"/>
                      <w:highlight w:val="none"/>
                    </w:rPr>
                    <w:t>1、大气环境</w:t>
                  </w:r>
                </w:p>
                <w:p w14:paraId="6FF90D4D">
                  <w:pPr>
                    <w:spacing w:line="360" w:lineRule="auto"/>
                    <w:ind w:firstLine="420" w:firstLineChars="200"/>
                    <w:rPr>
                      <w:color w:val="auto"/>
                      <w:kern w:val="0"/>
                      <w:szCs w:val="21"/>
                      <w:highlight w:val="none"/>
                    </w:rPr>
                  </w:pPr>
                  <w:r>
                    <w:rPr>
                      <w:color w:val="auto"/>
                      <w:szCs w:val="21"/>
                      <w:highlight w:val="none"/>
                    </w:rPr>
                    <w:t>根据</w:t>
                  </w:r>
                  <w:r>
                    <w:rPr>
                      <w:rFonts w:hint="eastAsia"/>
                      <w:color w:val="auto"/>
                      <w:szCs w:val="21"/>
                      <w:highlight w:val="none"/>
                    </w:rPr>
                    <w:t>《2025年黑龙江省生态环境质量状况》（2026年1月）</w:t>
                  </w:r>
                  <w:r>
                    <w:rPr>
                      <w:color w:val="auto"/>
                      <w:szCs w:val="21"/>
                      <w:highlight w:val="none"/>
                    </w:rPr>
                    <w:t>，鸡西市空气质量级别达二级标准，</w:t>
                  </w:r>
                  <w:r>
                    <w:rPr>
                      <w:rFonts w:hint="eastAsia"/>
                      <w:color w:val="auto"/>
                      <w:szCs w:val="21"/>
                      <w:highlight w:val="none"/>
                    </w:rPr>
                    <w:t>达标天数为350天</w:t>
                  </w:r>
                  <w:r>
                    <w:rPr>
                      <w:color w:val="auto"/>
                      <w:szCs w:val="21"/>
                      <w:highlight w:val="none"/>
                    </w:rPr>
                    <w:t>（95.9%）</w:t>
                  </w:r>
                  <w:r>
                    <w:rPr>
                      <w:rFonts w:hint="eastAsia"/>
                      <w:color w:val="auto"/>
                      <w:szCs w:val="21"/>
                      <w:highlight w:val="none"/>
                    </w:rPr>
                    <w:t>。</w:t>
                  </w:r>
                  <w:r>
                    <w:rPr>
                      <w:color w:val="auto"/>
                      <w:szCs w:val="21"/>
                      <w:highlight w:val="none"/>
                    </w:rPr>
                    <w:t>PM</w:t>
                  </w:r>
                  <w:r>
                    <w:rPr>
                      <w:color w:val="auto"/>
                      <w:szCs w:val="21"/>
                      <w:highlight w:val="none"/>
                      <w:vertAlign w:val="subscript"/>
                    </w:rPr>
                    <w:t>2.5</w:t>
                  </w:r>
                  <w:r>
                    <w:rPr>
                      <w:color w:val="auto"/>
                      <w:szCs w:val="21"/>
                      <w:highlight w:val="none"/>
                    </w:rPr>
                    <w:t>、PM</w:t>
                  </w:r>
                  <w:r>
                    <w:rPr>
                      <w:color w:val="auto"/>
                      <w:szCs w:val="21"/>
                      <w:highlight w:val="none"/>
                      <w:vertAlign w:val="subscript"/>
                    </w:rPr>
                    <w:t>10</w:t>
                  </w:r>
                  <w:r>
                    <w:rPr>
                      <w:color w:val="auto"/>
                      <w:szCs w:val="21"/>
                      <w:highlight w:val="none"/>
                    </w:rPr>
                    <w:t>、SO</w:t>
                  </w:r>
                  <w:r>
                    <w:rPr>
                      <w:color w:val="auto"/>
                      <w:szCs w:val="21"/>
                      <w:highlight w:val="none"/>
                      <w:vertAlign w:val="subscript"/>
                    </w:rPr>
                    <w:t>2</w:t>
                  </w:r>
                  <w:r>
                    <w:rPr>
                      <w:color w:val="auto"/>
                      <w:szCs w:val="21"/>
                      <w:highlight w:val="none"/>
                    </w:rPr>
                    <w:t>、NO</w:t>
                  </w:r>
                  <w:r>
                    <w:rPr>
                      <w:color w:val="auto"/>
                      <w:szCs w:val="21"/>
                      <w:highlight w:val="none"/>
                      <w:vertAlign w:val="subscript"/>
                    </w:rPr>
                    <w:t>2</w:t>
                  </w:r>
                  <w:r>
                    <w:rPr>
                      <w:color w:val="auto"/>
                      <w:szCs w:val="21"/>
                      <w:highlight w:val="none"/>
                    </w:rPr>
                    <w:t>、CO-95per、O</w:t>
                  </w:r>
                  <w:r>
                    <w:rPr>
                      <w:color w:val="auto"/>
                      <w:szCs w:val="21"/>
                      <w:highlight w:val="none"/>
                      <w:vertAlign w:val="subscript"/>
                    </w:rPr>
                    <w:t>3</w:t>
                  </w:r>
                  <w:r>
                    <w:rPr>
                      <w:color w:val="auto"/>
                      <w:szCs w:val="21"/>
                      <w:highlight w:val="none"/>
                    </w:rPr>
                    <w:t>-8h-90per年均浓度分别为2</w:t>
                  </w:r>
                  <w:r>
                    <w:rPr>
                      <w:rFonts w:hint="eastAsia"/>
                      <w:color w:val="auto"/>
                      <w:szCs w:val="21"/>
                      <w:highlight w:val="none"/>
                    </w:rPr>
                    <w:t>6</w:t>
                  </w:r>
                  <w:r>
                    <w:rPr>
                      <w:color w:val="auto"/>
                      <w:szCs w:val="21"/>
                      <w:highlight w:val="none"/>
                    </w:rPr>
                    <w:t>μg/m</w:t>
                  </w:r>
                  <w:r>
                    <w:rPr>
                      <w:color w:val="auto"/>
                      <w:szCs w:val="21"/>
                      <w:highlight w:val="none"/>
                      <w:vertAlign w:val="superscript"/>
                    </w:rPr>
                    <w:t>3</w:t>
                  </w:r>
                  <w:r>
                    <w:rPr>
                      <w:color w:val="auto"/>
                      <w:szCs w:val="21"/>
                      <w:highlight w:val="none"/>
                    </w:rPr>
                    <w:t>、4</w:t>
                  </w:r>
                  <w:r>
                    <w:rPr>
                      <w:rFonts w:hint="eastAsia"/>
                      <w:color w:val="auto"/>
                      <w:szCs w:val="21"/>
                      <w:highlight w:val="none"/>
                    </w:rPr>
                    <w:t>3</w:t>
                  </w:r>
                  <w:r>
                    <w:rPr>
                      <w:color w:val="auto"/>
                      <w:szCs w:val="21"/>
                      <w:highlight w:val="none"/>
                    </w:rPr>
                    <w:t>μg/m</w:t>
                  </w:r>
                  <w:r>
                    <w:rPr>
                      <w:color w:val="auto"/>
                      <w:szCs w:val="21"/>
                      <w:highlight w:val="none"/>
                      <w:vertAlign w:val="superscript"/>
                    </w:rPr>
                    <w:t>3</w:t>
                  </w:r>
                  <w:r>
                    <w:rPr>
                      <w:color w:val="auto"/>
                      <w:szCs w:val="21"/>
                      <w:highlight w:val="none"/>
                    </w:rPr>
                    <w:t>、8μg/m</w:t>
                  </w:r>
                  <w:r>
                    <w:rPr>
                      <w:color w:val="auto"/>
                      <w:szCs w:val="21"/>
                      <w:highlight w:val="none"/>
                      <w:vertAlign w:val="superscript"/>
                    </w:rPr>
                    <w:t>3</w:t>
                  </w:r>
                  <w:r>
                    <w:rPr>
                      <w:color w:val="auto"/>
                      <w:szCs w:val="21"/>
                      <w:highlight w:val="none"/>
                    </w:rPr>
                    <w:t>、17μg/m</w:t>
                  </w:r>
                  <w:r>
                    <w:rPr>
                      <w:color w:val="auto"/>
                      <w:szCs w:val="21"/>
                      <w:highlight w:val="none"/>
                      <w:vertAlign w:val="superscript"/>
                    </w:rPr>
                    <w:t>3</w:t>
                  </w:r>
                  <w:r>
                    <w:rPr>
                      <w:color w:val="auto"/>
                      <w:szCs w:val="21"/>
                      <w:highlight w:val="none"/>
                    </w:rPr>
                    <w:t>、</w:t>
                  </w:r>
                  <w:r>
                    <w:rPr>
                      <w:rFonts w:hint="eastAsia"/>
                      <w:color w:val="auto"/>
                      <w:szCs w:val="21"/>
                      <w:highlight w:val="none"/>
                    </w:rPr>
                    <w:t>0.9</w:t>
                  </w:r>
                  <w:r>
                    <w:rPr>
                      <w:color w:val="auto"/>
                      <w:szCs w:val="21"/>
                      <w:highlight w:val="none"/>
                    </w:rPr>
                    <w:t>μg/m</w:t>
                  </w:r>
                  <w:r>
                    <w:rPr>
                      <w:color w:val="auto"/>
                      <w:szCs w:val="21"/>
                      <w:highlight w:val="none"/>
                      <w:vertAlign w:val="superscript"/>
                    </w:rPr>
                    <w:t>3</w:t>
                  </w:r>
                  <w:r>
                    <w:rPr>
                      <w:color w:val="auto"/>
                      <w:szCs w:val="21"/>
                      <w:highlight w:val="none"/>
                    </w:rPr>
                    <w:t>和</w:t>
                  </w:r>
                  <w:r>
                    <w:rPr>
                      <w:rFonts w:hint="eastAsia"/>
                      <w:color w:val="auto"/>
                      <w:szCs w:val="21"/>
                      <w:highlight w:val="none"/>
                    </w:rPr>
                    <w:t>115</w:t>
                  </w:r>
                  <w:r>
                    <w:rPr>
                      <w:color w:val="auto"/>
                      <w:szCs w:val="21"/>
                      <w:highlight w:val="none"/>
                    </w:rPr>
                    <w:t>μg/m</w:t>
                  </w:r>
                  <w:r>
                    <w:rPr>
                      <w:color w:val="auto"/>
                      <w:szCs w:val="21"/>
                      <w:highlight w:val="none"/>
                      <w:vertAlign w:val="superscript"/>
                    </w:rPr>
                    <w:t>3</w:t>
                  </w:r>
                  <w:r>
                    <w:rPr>
                      <w:color w:val="auto"/>
                      <w:szCs w:val="21"/>
                      <w:highlight w:val="none"/>
                    </w:rPr>
                    <w:t>，</w:t>
                  </w:r>
                  <w:r>
                    <w:rPr>
                      <w:color w:val="auto"/>
                      <w:kern w:val="21"/>
                      <w:szCs w:val="21"/>
                      <w:highlight w:val="none"/>
                    </w:rPr>
                    <w:t>均满足《环境空气质量标准》（GB3095-20</w:t>
                  </w:r>
                  <w:r>
                    <w:rPr>
                      <w:rFonts w:hint="eastAsia"/>
                      <w:color w:val="auto"/>
                      <w:kern w:val="21"/>
                      <w:szCs w:val="21"/>
                      <w:highlight w:val="none"/>
                    </w:rPr>
                    <w:t>26</w:t>
                  </w:r>
                  <w:r>
                    <w:rPr>
                      <w:color w:val="auto"/>
                      <w:kern w:val="21"/>
                      <w:szCs w:val="21"/>
                      <w:highlight w:val="none"/>
                    </w:rPr>
                    <w:t>）中的二级标准，项目所在区域为达标区。</w:t>
                  </w:r>
                </w:p>
                <w:p w14:paraId="774301AD">
                  <w:pPr>
                    <w:pStyle w:val="77"/>
                    <w:widowControl/>
                    <w:ind w:firstLine="420"/>
                    <w:rPr>
                      <w:color w:val="auto"/>
                      <w:kern w:val="0"/>
                      <w:sz w:val="21"/>
                      <w:szCs w:val="21"/>
                      <w:highlight w:val="none"/>
                    </w:rPr>
                  </w:pPr>
                  <w:r>
                    <w:rPr>
                      <w:color w:val="auto"/>
                      <w:sz w:val="21"/>
                      <w:szCs w:val="21"/>
                      <w:highlight w:val="none"/>
                    </w:rPr>
                    <w:t>本项目</w:t>
                  </w:r>
                  <w:r>
                    <w:rPr>
                      <w:color w:val="auto"/>
                      <w:spacing w:val="-1"/>
                      <w:sz w:val="21"/>
                      <w:szCs w:val="21"/>
                      <w:highlight w:val="none"/>
                    </w:rPr>
                    <w:t>物料采用汽车运输，并用苫布遮盖，</w:t>
                  </w:r>
                  <w:r>
                    <w:rPr>
                      <w:rFonts w:hint="eastAsia"/>
                      <w:color w:val="auto"/>
                      <w:spacing w:val="-1"/>
                      <w:sz w:val="21"/>
                      <w:szCs w:val="21"/>
                      <w:highlight w:val="none"/>
                    </w:rPr>
                    <w:t>物料棚</w:t>
                  </w:r>
                  <w:r>
                    <w:rPr>
                      <w:color w:val="auto"/>
                      <w:spacing w:val="-1"/>
                      <w:sz w:val="21"/>
                      <w:szCs w:val="21"/>
                      <w:highlight w:val="none"/>
                    </w:rPr>
                    <w:t>四周设置防尘网，定期洒水降尘，道路定</w:t>
                  </w:r>
                  <w:r>
                    <w:rPr>
                      <w:color w:val="auto"/>
                      <w:spacing w:val="-3"/>
                      <w:sz w:val="21"/>
                      <w:szCs w:val="21"/>
                      <w:highlight w:val="none"/>
                    </w:rPr>
                    <w:t>期洒水降尘，减少厂内扬尘。</w:t>
                  </w:r>
                  <w:r>
                    <w:rPr>
                      <w:color w:val="auto"/>
                      <w:kern w:val="0"/>
                      <w:sz w:val="21"/>
                      <w:szCs w:val="21"/>
                      <w:highlight w:val="none"/>
                    </w:rPr>
                    <w:t>对周围环境影响较小，</w:t>
                  </w:r>
                  <w:r>
                    <w:rPr>
                      <w:color w:val="auto"/>
                      <w:sz w:val="21"/>
                      <w:szCs w:val="21"/>
                      <w:highlight w:val="none"/>
                    </w:rPr>
                    <w:t>不会改变区域大气环境质量现状，因此，符合大气环境质量底线要求。</w:t>
                  </w:r>
                </w:p>
                <w:p w14:paraId="739B7162">
                  <w:pPr>
                    <w:pStyle w:val="77"/>
                    <w:widowControl/>
                    <w:ind w:firstLine="420"/>
                    <w:rPr>
                      <w:color w:val="auto"/>
                      <w:kern w:val="0"/>
                      <w:sz w:val="21"/>
                      <w:szCs w:val="21"/>
                      <w:highlight w:val="none"/>
                    </w:rPr>
                  </w:pPr>
                  <w:r>
                    <w:rPr>
                      <w:color w:val="auto"/>
                      <w:kern w:val="0"/>
                      <w:sz w:val="21"/>
                      <w:szCs w:val="21"/>
                      <w:highlight w:val="none"/>
                    </w:rPr>
                    <w:t>2、水环境</w:t>
                  </w:r>
                </w:p>
                <w:p w14:paraId="55BDE72E">
                  <w:pPr>
                    <w:pStyle w:val="8"/>
                    <w:widowControl/>
                    <w:spacing w:line="360" w:lineRule="auto"/>
                    <w:ind w:firstLineChars="200"/>
                    <w:rPr>
                      <w:rFonts w:hint="eastAsia"/>
                      <w:color w:val="auto"/>
                      <w:kern w:val="0"/>
                      <w:sz w:val="21"/>
                      <w:szCs w:val="21"/>
                      <w:highlight w:val="none"/>
                    </w:rPr>
                  </w:pPr>
                  <w:r>
                    <w:rPr>
                      <w:rFonts w:hint="eastAsia"/>
                      <w:color w:val="auto"/>
                      <w:kern w:val="0"/>
                      <w:sz w:val="21"/>
                      <w:szCs w:val="21"/>
                      <w:highlight w:val="none"/>
                    </w:rPr>
                    <w:t>本项目附近地表水体为小黄泥河，最终汇入穆棱河。根据鸡西市人民政府发布的《2025年1-</w:t>
                  </w:r>
                  <w:r>
                    <w:rPr>
                      <w:rFonts w:hint="eastAsia"/>
                      <w:color w:val="auto"/>
                      <w:kern w:val="0"/>
                      <w:sz w:val="21"/>
                      <w:szCs w:val="21"/>
                      <w:highlight w:val="none"/>
                      <w:lang w:val="en-US" w:eastAsia="zh-CN"/>
                    </w:rPr>
                    <w:t>12</w:t>
                  </w:r>
                  <w:r>
                    <w:rPr>
                      <w:rFonts w:hint="eastAsia"/>
                      <w:color w:val="auto"/>
                      <w:kern w:val="0"/>
                      <w:sz w:val="21"/>
                      <w:szCs w:val="21"/>
                      <w:highlight w:val="none"/>
                    </w:rPr>
                    <w:t>月地表水国控考核断面水质信息公开》穆棱河水质类别达到Ⅲ类标准</w:t>
                  </w:r>
                </w:p>
                <w:p w14:paraId="0BBCD3A2">
                  <w:pPr>
                    <w:pStyle w:val="77"/>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rPr>
                    <w:t>本项目</w:t>
                  </w:r>
                  <w:r>
                    <w:rPr>
                      <w:rFonts w:hint="default" w:ascii="Times New Roman" w:hAnsi="Times New Roman" w:eastAsia="宋体" w:cs="Times New Roman"/>
                      <w:color w:val="auto"/>
                      <w:sz w:val="21"/>
                      <w:szCs w:val="21"/>
                      <w:highlight w:val="none"/>
                    </w:rPr>
                    <w:t>生产废水循环利用，不外排</w:t>
                  </w:r>
                  <w:r>
                    <w:rPr>
                      <w:rFonts w:ascii="Times New Roman" w:hAnsi="Times New Roman" w:eastAsia="宋体" w:cs="Times New Roman"/>
                      <w:color w:val="auto"/>
                      <w:sz w:val="21"/>
                      <w:szCs w:val="21"/>
                      <w:highlight w:val="none"/>
                    </w:rPr>
                    <w:t>，生活废水排入</w:t>
                  </w:r>
                  <w:r>
                    <w:rPr>
                      <w:rFonts w:hint="default" w:ascii="Times New Roman" w:hAnsi="Times New Roman" w:eastAsia="宋体" w:cs="Times New Roman"/>
                      <w:color w:val="auto"/>
                      <w:sz w:val="21"/>
                      <w:szCs w:val="21"/>
                      <w:highlight w:val="none"/>
                    </w:rPr>
                    <w:t>防渗旱厕，定期清掏，外运堆肥，不外排。</w:t>
                  </w:r>
                  <w:r>
                    <w:rPr>
                      <w:rFonts w:ascii="Times New Roman" w:hAnsi="Times New Roman" w:eastAsia="宋体" w:cs="Times New Roman"/>
                      <w:color w:val="auto"/>
                      <w:sz w:val="21"/>
                      <w:szCs w:val="21"/>
                      <w:highlight w:val="none"/>
                    </w:rPr>
                    <w:t>不会对地表水和地下水环境造成影响，符合水环境质量底线要求。</w:t>
                  </w:r>
                </w:p>
                <w:p w14:paraId="2AC069C7">
                  <w:pPr>
                    <w:widowControl/>
                    <w:spacing w:line="360" w:lineRule="auto"/>
                    <w:ind w:firstLine="420" w:firstLineChars="200"/>
                    <w:rPr>
                      <w:color w:val="auto"/>
                      <w:kern w:val="0"/>
                      <w:szCs w:val="21"/>
                      <w:highlight w:val="none"/>
                    </w:rPr>
                  </w:pPr>
                  <w:r>
                    <w:rPr>
                      <w:color w:val="auto"/>
                      <w:kern w:val="0"/>
                      <w:szCs w:val="21"/>
                      <w:highlight w:val="none"/>
                    </w:rPr>
                    <w:t>3、声环境</w:t>
                  </w:r>
                </w:p>
                <w:p w14:paraId="180D5C5E">
                  <w:pPr>
                    <w:widowControl/>
                    <w:spacing w:line="360" w:lineRule="auto"/>
                    <w:ind w:firstLine="420" w:firstLineChars="200"/>
                    <w:rPr>
                      <w:color w:val="auto"/>
                      <w:kern w:val="0"/>
                      <w:szCs w:val="21"/>
                      <w:highlight w:val="none"/>
                    </w:rPr>
                  </w:pPr>
                  <w:r>
                    <w:rPr>
                      <w:rFonts w:hint="eastAsia"/>
                      <w:color w:val="auto"/>
                      <w:szCs w:val="21"/>
                      <w:highlight w:val="none"/>
                    </w:rPr>
                    <w:t>根据《2025年黑龙江省生态环境质量状况》（2026年1月），鸡西市区域昼间声环境质量为二级，等效声级为53.2dB（A），道路交通昼间声环境质量为一级，等效声级为64.7dB（A），功能区昼间达标率87.7%，功能区夜间达标率97.6%。</w:t>
                  </w:r>
                  <w:r>
                    <w:rPr>
                      <w:color w:val="auto"/>
                      <w:kern w:val="0"/>
                      <w:szCs w:val="21"/>
                      <w:highlight w:val="none"/>
                    </w:rPr>
                    <w:t>本项目厂界外50米范围内无声环境保护目标。</w:t>
                  </w:r>
                  <w:r>
                    <w:rPr>
                      <w:color w:val="auto"/>
                      <w:szCs w:val="21"/>
                      <w:highlight w:val="none"/>
                    </w:rPr>
                    <w:t>本项目采用低噪声设备、基础减振</w:t>
                  </w:r>
                  <w:r>
                    <w:rPr>
                      <w:rFonts w:hint="eastAsia"/>
                      <w:color w:val="auto"/>
                      <w:szCs w:val="21"/>
                      <w:highlight w:val="none"/>
                      <w:lang w:eastAsia="zh-CN"/>
                    </w:rPr>
                    <w:t>、厂房隔声、</w:t>
                  </w:r>
                  <w:r>
                    <w:rPr>
                      <w:rFonts w:hint="eastAsia"/>
                      <w:color w:val="auto"/>
                      <w:kern w:val="0"/>
                      <w:szCs w:val="21"/>
                      <w:highlight w:val="none"/>
                      <w:lang w:eastAsia="zh-CN"/>
                    </w:rPr>
                    <w:t>风机安装</w:t>
                  </w:r>
                  <w:r>
                    <w:rPr>
                      <w:rFonts w:hint="eastAsia"/>
                      <w:color w:val="auto"/>
                      <w:sz w:val="21"/>
                      <w:szCs w:val="21"/>
                      <w:highlight w:val="none"/>
                      <w:lang w:eastAsia="zh-CN"/>
                    </w:rPr>
                    <w:t>消声器、水泵设置隔声罩</w:t>
                  </w:r>
                  <w:r>
                    <w:rPr>
                      <w:color w:val="auto"/>
                      <w:szCs w:val="21"/>
                      <w:highlight w:val="none"/>
                    </w:rPr>
                    <w:t>等措施</w:t>
                  </w:r>
                  <w:r>
                    <w:rPr>
                      <w:rFonts w:hint="eastAsia"/>
                      <w:color w:val="auto"/>
                      <w:szCs w:val="21"/>
                      <w:highlight w:val="none"/>
                    </w:rPr>
                    <w:t>，</w:t>
                  </w:r>
                  <w:r>
                    <w:rPr>
                      <w:color w:val="auto"/>
                      <w:szCs w:val="21"/>
                      <w:highlight w:val="none"/>
                    </w:rPr>
                    <w:t>不会对周边声环境造成影响，因此符合声环境质量底线要求。</w:t>
                  </w:r>
                </w:p>
                <w:p w14:paraId="5795FCA5">
                  <w:pPr>
                    <w:widowControl/>
                    <w:spacing w:line="360" w:lineRule="auto"/>
                    <w:ind w:firstLine="420" w:firstLineChars="200"/>
                    <w:rPr>
                      <w:color w:val="auto"/>
                      <w:szCs w:val="21"/>
                      <w:highlight w:val="none"/>
                    </w:rPr>
                  </w:pPr>
                  <w:r>
                    <w:rPr>
                      <w:color w:val="auto"/>
                      <w:kern w:val="0"/>
                      <w:szCs w:val="21"/>
                      <w:highlight w:val="none"/>
                    </w:rPr>
                    <w:t>本项目运营期各类污染物经环境保护措施治理后均可达标排放，对区域环境造成的不利影响较小，不会改变区域环境质量现状，因此，本项目符合环境质量底线要求。</w:t>
                  </w:r>
                </w:p>
              </w:tc>
            </w:tr>
            <w:tr w14:paraId="33DA804F">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0E879EFB">
                  <w:pPr>
                    <w:adjustRightInd w:val="0"/>
                    <w:jc w:val="center"/>
                    <w:textAlignment w:val="baseline"/>
                    <w:rPr>
                      <w:color w:val="auto"/>
                      <w:szCs w:val="21"/>
                      <w:highlight w:val="none"/>
                    </w:rPr>
                  </w:pPr>
                  <w:r>
                    <w:rPr>
                      <w:b/>
                      <w:bCs/>
                      <w:color w:val="auto"/>
                      <w:szCs w:val="21"/>
                      <w:highlight w:val="none"/>
                    </w:rPr>
                    <w:t>三、资源利用</w:t>
                  </w:r>
                  <w:r>
                    <w:rPr>
                      <w:rFonts w:hint="eastAsia"/>
                      <w:b/>
                      <w:bCs/>
                      <w:color w:val="auto"/>
                      <w:szCs w:val="21"/>
                      <w:highlight w:val="none"/>
                    </w:rPr>
                    <w:t>上线</w:t>
                  </w:r>
                </w:p>
              </w:tc>
            </w:tr>
            <w:tr w14:paraId="2DD9292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09B512CB">
                  <w:pPr>
                    <w:widowControl/>
                    <w:spacing w:line="360" w:lineRule="auto"/>
                    <w:ind w:firstLine="420" w:firstLineChars="200"/>
                    <w:rPr>
                      <w:color w:val="auto"/>
                      <w:szCs w:val="21"/>
                      <w:highlight w:val="none"/>
                    </w:rPr>
                  </w:pPr>
                  <w:r>
                    <w:rPr>
                      <w:rFonts w:hint="eastAsia"/>
                      <w:color w:val="auto"/>
                      <w:kern w:val="0"/>
                      <w:szCs w:val="21"/>
                      <w:highlight w:val="none"/>
                    </w:rPr>
                    <w:t>本项目</w:t>
                  </w:r>
                  <w:r>
                    <w:rPr>
                      <w:color w:val="auto"/>
                      <w:kern w:val="0"/>
                      <w:szCs w:val="21"/>
                      <w:highlight w:val="none"/>
                    </w:rPr>
                    <w:t>供水水源</w:t>
                  </w:r>
                  <w:r>
                    <w:rPr>
                      <w:rFonts w:hint="eastAsia"/>
                      <w:color w:val="auto"/>
                      <w:kern w:val="0"/>
                      <w:szCs w:val="21"/>
                      <w:highlight w:val="none"/>
                    </w:rPr>
                    <w:t>为罐车拉运及外购水源</w:t>
                  </w:r>
                  <w:r>
                    <w:rPr>
                      <w:rFonts w:hint="eastAsia"/>
                      <w:color w:val="auto"/>
                      <w:szCs w:val="21"/>
                      <w:highlight w:val="none"/>
                    </w:rPr>
                    <w:t>，</w:t>
                  </w:r>
                  <w:r>
                    <w:rPr>
                      <w:color w:val="auto"/>
                      <w:kern w:val="0"/>
                      <w:szCs w:val="21"/>
                      <w:highlight w:val="none"/>
                    </w:rPr>
                    <w:t>供电</w:t>
                  </w:r>
                  <w:r>
                    <w:rPr>
                      <w:color w:val="auto"/>
                      <w:szCs w:val="21"/>
                      <w:highlight w:val="none"/>
                    </w:rPr>
                    <w:t>由当地电网供给</w:t>
                  </w:r>
                  <w:r>
                    <w:rPr>
                      <w:color w:val="auto"/>
                      <w:kern w:val="0"/>
                      <w:szCs w:val="21"/>
                      <w:highlight w:val="none"/>
                    </w:rPr>
                    <w:t>，用水水源及供电电源可靠，资源消耗量相对于区域资源利用总量较小</w:t>
                  </w:r>
                  <w:r>
                    <w:rPr>
                      <w:rFonts w:hint="eastAsia"/>
                      <w:color w:val="auto"/>
                      <w:kern w:val="0"/>
                      <w:szCs w:val="21"/>
                      <w:highlight w:val="none"/>
                    </w:rPr>
                    <w:t>，</w:t>
                  </w:r>
                  <w:r>
                    <w:rPr>
                      <w:color w:val="auto"/>
                      <w:kern w:val="0"/>
                      <w:szCs w:val="21"/>
                      <w:highlight w:val="none"/>
                    </w:rPr>
                    <w:t>不会突破区域的资源利用</w:t>
                  </w:r>
                  <w:r>
                    <w:rPr>
                      <w:rFonts w:hint="eastAsia"/>
                      <w:color w:val="auto"/>
                      <w:kern w:val="0"/>
                      <w:szCs w:val="21"/>
                      <w:highlight w:val="none"/>
                    </w:rPr>
                    <w:t>上线，本项目符合资源利用上线</w:t>
                  </w:r>
                  <w:r>
                    <w:rPr>
                      <w:color w:val="auto"/>
                      <w:kern w:val="0"/>
                      <w:szCs w:val="21"/>
                      <w:highlight w:val="none"/>
                    </w:rPr>
                    <w:t>要求。</w:t>
                  </w:r>
                </w:p>
              </w:tc>
            </w:tr>
            <w:tr w14:paraId="0481519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ign w:val="center"/>
                </w:tcPr>
                <w:p w14:paraId="78BFA4CB">
                  <w:pPr>
                    <w:adjustRightInd w:val="0"/>
                    <w:jc w:val="center"/>
                    <w:textAlignment w:val="baseline"/>
                    <w:rPr>
                      <w:color w:val="auto"/>
                      <w:szCs w:val="21"/>
                      <w:highlight w:val="none"/>
                    </w:rPr>
                  </w:pPr>
                  <w:r>
                    <w:rPr>
                      <w:b/>
                      <w:bCs/>
                      <w:color w:val="auto"/>
                      <w:szCs w:val="21"/>
                      <w:highlight w:val="none"/>
                    </w:rPr>
                    <w:t>四、环境准入清单</w:t>
                  </w:r>
                </w:p>
              </w:tc>
            </w:tr>
            <w:tr w14:paraId="14C07A2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7681149C">
                  <w:pPr>
                    <w:widowControl/>
                    <w:jc w:val="center"/>
                    <w:rPr>
                      <w:color w:val="auto"/>
                      <w:kern w:val="0"/>
                      <w:sz w:val="18"/>
                      <w:szCs w:val="18"/>
                      <w:highlight w:val="none"/>
                    </w:rPr>
                  </w:pPr>
                  <w:r>
                    <w:rPr>
                      <w:color w:val="auto"/>
                      <w:kern w:val="0"/>
                      <w:sz w:val="18"/>
                      <w:szCs w:val="18"/>
                      <w:highlight w:val="none"/>
                    </w:rPr>
                    <w:t>环境管控单元名称</w:t>
                  </w:r>
                </w:p>
              </w:tc>
              <w:tc>
                <w:tcPr>
                  <w:tcW w:w="4165" w:type="pct"/>
                  <w:gridSpan w:val="2"/>
                  <w:tcBorders>
                    <w:top w:val="single" w:color="auto" w:sz="4" w:space="0"/>
                    <w:left w:val="single" w:color="auto" w:sz="4" w:space="0"/>
                    <w:bottom w:val="single" w:color="auto" w:sz="4" w:space="0"/>
                  </w:tcBorders>
                  <w:noWrap/>
                  <w:vAlign w:val="center"/>
                </w:tcPr>
                <w:p w14:paraId="25CA2F09">
                  <w:pPr>
                    <w:widowControl/>
                    <w:jc w:val="center"/>
                    <w:rPr>
                      <w:color w:val="auto"/>
                      <w:kern w:val="0"/>
                      <w:sz w:val="18"/>
                      <w:szCs w:val="18"/>
                      <w:highlight w:val="none"/>
                    </w:rPr>
                  </w:pPr>
                  <w:r>
                    <w:rPr>
                      <w:rFonts w:hint="eastAsia" w:ascii="宋体" w:hAnsi="宋体" w:cs="宋体"/>
                      <w:color w:val="auto"/>
                      <w:kern w:val="0"/>
                      <w:sz w:val="18"/>
                      <w:szCs w:val="18"/>
                      <w:highlight w:val="none"/>
                    </w:rPr>
                    <w:t>恒山区大气环境布局敏感重点管控区</w:t>
                  </w:r>
                </w:p>
              </w:tc>
            </w:tr>
            <w:tr w14:paraId="7D0E73A6">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20F78C81">
                  <w:pPr>
                    <w:widowControl/>
                    <w:jc w:val="center"/>
                    <w:rPr>
                      <w:color w:val="auto"/>
                      <w:kern w:val="0"/>
                      <w:sz w:val="18"/>
                      <w:szCs w:val="18"/>
                      <w:highlight w:val="none"/>
                    </w:rPr>
                  </w:pPr>
                  <w:r>
                    <w:rPr>
                      <w:color w:val="auto"/>
                      <w:kern w:val="0"/>
                      <w:sz w:val="18"/>
                      <w:szCs w:val="18"/>
                      <w:highlight w:val="none"/>
                    </w:rPr>
                    <w:t>环境管控单元编码</w:t>
                  </w:r>
                </w:p>
              </w:tc>
              <w:tc>
                <w:tcPr>
                  <w:tcW w:w="4165" w:type="pct"/>
                  <w:gridSpan w:val="2"/>
                  <w:tcBorders>
                    <w:top w:val="single" w:color="auto" w:sz="4" w:space="0"/>
                    <w:left w:val="single" w:color="auto" w:sz="4" w:space="0"/>
                    <w:bottom w:val="single" w:color="auto" w:sz="4" w:space="0"/>
                  </w:tcBorders>
                  <w:noWrap/>
                  <w:vAlign w:val="center"/>
                </w:tcPr>
                <w:p w14:paraId="67906082">
                  <w:pPr>
                    <w:widowControl/>
                    <w:jc w:val="center"/>
                    <w:rPr>
                      <w:color w:val="auto"/>
                      <w:kern w:val="0"/>
                      <w:sz w:val="18"/>
                      <w:szCs w:val="18"/>
                      <w:highlight w:val="none"/>
                    </w:rPr>
                  </w:pPr>
                  <w:r>
                    <w:rPr>
                      <w:color w:val="auto"/>
                      <w:kern w:val="0"/>
                      <w:sz w:val="18"/>
                      <w:szCs w:val="18"/>
                      <w:highlight w:val="none"/>
                    </w:rPr>
                    <w:t>ZH23030320004</w:t>
                  </w:r>
                </w:p>
              </w:tc>
            </w:tr>
            <w:tr w14:paraId="0E66BCDE">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67BE69C1">
                  <w:pPr>
                    <w:widowControl/>
                    <w:jc w:val="center"/>
                    <w:rPr>
                      <w:color w:val="auto"/>
                      <w:kern w:val="0"/>
                      <w:sz w:val="18"/>
                      <w:szCs w:val="18"/>
                      <w:highlight w:val="none"/>
                    </w:rPr>
                  </w:pPr>
                  <w:r>
                    <w:rPr>
                      <w:color w:val="auto"/>
                      <w:kern w:val="0"/>
                      <w:sz w:val="18"/>
                      <w:szCs w:val="18"/>
                      <w:highlight w:val="none"/>
                    </w:rPr>
                    <w:t>管控单元类别</w:t>
                  </w:r>
                </w:p>
              </w:tc>
              <w:tc>
                <w:tcPr>
                  <w:tcW w:w="4165" w:type="pct"/>
                  <w:gridSpan w:val="2"/>
                  <w:tcBorders>
                    <w:top w:val="single" w:color="auto" w:sz="4" w:space="0"/>
                    <w:left w:val="single" w:color="auto" w:sz="4" w:space="0"/>
                    <w:bottom w:val="single" w:color="auto" w:sz="4" w:space="0"/>
                  </w:tcBorders>
                  <w:noWrap/>
                  <w:vAlign w:val="center"/>
                </w:tcPr>
                <w:p w14:paraId="32D377BB">
                  <w:pPr>
                    <w:widowControl/>
                    <w:jc w:val="center"/>
                    <w:rPr>
                      <w:color w:val="auto"/>
                      <w:kern w:val="0"/>
                      <w:sz w:val="18"/>
                      <w:szCs w:val="18"/>
                      <w:highlight w:val="none"/>
                    </w:rPr>
                  </w:pPr>
                  <w:r>
                    <w:rPr>
                      <w:color w:val="auto"/>
                      <w:kern w:val="0"/>
                      <w:sz w:val="18"/>
                      <w:szCs w:val="18"/>
                      <w:highlight w:val="none"/>
                    </w:rPr>
                    <w:t>重点管控单元</w:t>
                  </w:r>
                </w:p>
              </w:tc>
            </w:tr>
            <w:tr w14:paraId="75F46856">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61" w:type="pct"/>
                  <w:gridSpan w:val="2"/>
                  <w:tcBorders>
                    <w:top w:val="single" w:color="auto" w:sz="4" w:space="0"/>
                    <w:bottom w:val="single" w:color="auto" w:sz="4" w:space="0"/>
                    <w:right w:val="single" w:color="auto" w:sz="4" w:space="0"/>
                  </w:tcBorders>
                  <w:noWrap/>
                  <w:vAlign w:val="center"/>
                </w:tcPr>
                <w:p w14:paraId="60BC867B">
                  <w:pPr>
                    <w:adjustRightInd w:val="0"/>
                    <w:jc w:val="center"/>
                    <w:textAlignment w:val="baseline"/>
                    <w:rPr>
                      <w:color w:val="auto"/>
                      <w:sz w:val="18"/>
                      <w:szCs w:val="18"/>
                      <w:highlight w:val="none"/>
                    </w:rPr>
                  </w:pPr>
                  <w:r>
                    <w:rPr>
                      <w:color w:val="auto"/>
                      <w:sz w:val="18"/>
                      <w:szCs w:val="18"/>
                      <w:highlight w:val="none"/>
                    </w:rPr>
                    <w:t>管控要求</w:t>
                  </w:r>
                </w:p>
              </w:tc>
              <w:tc>
                <w:tcPr>
                  <w:tcW w:w="1038" w:type="pct"/>
                  <w:tcBorders>
                    <w:top w:val="single" w:color="auto" w:sz="4" w:space="0"/>
                    <w:left w:val="single" w:color="auto" w:sz="4" w:space="0"/>
                    <w:bottom w:val="single" w:color="auto" w:sz="4" w:space="0"/>
                  </w:tcBorders>
                  <w:noWrap/>
                  <w:vAlign w:val="center"/>
                </w:tcPr>
                <w:p w14:paraId="4DA5AF83">
                  <w:pPr>
                    <w:adjustRightInd w:val="0"/>
                    <w:jc w:val="center"/>
                    <w:textAlignment w:val="baseline"/>
                    <w:rPr>
                      <w:color w:val="auto"/>
                      <w:sz w:val="18"/>
                      <w:szCs w:val="18"/>
                      <w:highlight w:val="none"/>
                    </w:rPr>
                  </w:pPr>
                  <w:r>
                    <w:rPr>
                      <w:color w:val="auto"/>
                      <w:sz w:val="18"/>
                      <w:szCs w:val="18"/>
                      <w:highlight w:val="none"/>
                    </w:rPr>
                    <w:t>项目符合性分析</w:t>
                  </w:r>
                </w:p>
              </w:tc>
            </w:tr>
            <w:tr w14:paraId="72060237">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54E16B2A">
                  <w:pPr>
                    <w:jc w:val="center"/>
                    <w:rPr>
                      <w:color w:val="auto"/>
                      <w:sz w:val="18"/>
                      <w:szCs w:val="18"/>
                      <w:highlight w:val="none"/>
                    </w:rPr>
                  </w:pPr>
                  <w:r>
                    <w:rPr>
                      <w:color w:val="auto"/>
                      <w:sz w:val="18"/>
                      <w:szCs w:val="18"/>
                      <w:highlight w:val="none"/>
                    </w:rPr>
                    <w:t>空间布局约束</w:t>
                  </w:r>
                </w:p>
              </w:tc>
              <w:tc>
                <w:tcPr>
                  <w:tcW w:w="31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C542F32">
                  <w:pPr>
                    <w:widowControl/>
                    <w:jc w:val="left"/>
                    <w:rPr>
                      <w:color w:val="auto"/>
                      <w:kern w:val="0"/>
                      <w:sz w:val="18"/>
                      <w:szCs w:val="18"/>
                      <w:highlight w:val="none"/>
                    </w:rPr>
                  </w:pPr>
                  <w:r>
                    <w:rPr>
                      <w:color w:val="auto"/>
                      <w:kern w:val="0"/>
                      <w:sz w:val="18"/>
                      <w:szCs w:val="18"/>
                      <w:highlight w:val="none"/>
                    </w:rPr>
                    <w:t>1.严</w:t>
                  </w:r>
                  <w:r>
                    <w:rPr>
                      <w:rFonts w:hint="eastAsia" w:ascii="宋体" w:hAnsi="宋体" w:eastAsia="宋体" w:cs="宋体"/>
                      <w:color w:val="auto"/>
                      <w:kern w:val="0"/>
                      <w:sz w:val="18"/>
                      <w:szCs w:val="18"/>
                      <w:highlight w:val="none"/>
                    </w:rPr>
                    <w:t>控“两高”行业产</w:t>
                  </w:r>
                  <w:r>
                    <w:rPr>
                      <w:color w:val="auto"/>
                      <w:kern w:val="0"/>
                      <w:sz w:val="18"/>
                      <w:szCs w:val="18"/>
                      <w:highlight w:val="none"/>
                    </w:rPr>
                    <w:t>能。严格执行钢铁、水泥、平板玻璃等行业产能置换实施办法。 2.利用水泥窑协同处置城市生活垃圾、危险废弃物、电石渣等固废伴生水泥项目，必须依托现有新型干法水泥熟料生产线进行不扩产能改造。</w:t>
                  </w:r>
                </w:p>
              </w:tc>
              <w:tc>
                <w:tcPr>
                  <w:tcW w:w="1038" w:type="pct"/>
                  <w:tcBorders>
                    <w:top w:val="single" w:color="auto" w:sz="4" w:space="0"/>
                    <w:left w:val="single" w:color="auto" w:sz="4" w:space="0"/>
                    <w:bottom w:val="single" w:color="auto" w:sz="4" w:space="0"/>
                  </w:tcBorders>
                  <w:noWrap/>
                  <w:vAlign w:val="center"/>
                </w:tcPr>
                <w:p w14:paraId="0C1CEE53">
                  <w:pPr>
                    <w:widowControl/>
                    <w:jc w:val="center"/>
                    <w:rPr>
                      <w:color w:val="auto"/>
                      <w:sz w:val="18"/>
                      <w:szCs w:val="18"/>
                      <w:highlight w:val="none"/>
                    </w:rPr>
                  </w:pPr>
                  <w:r>
                    <w:rPr>
                      <w:rFonts w:hint="eastAsia"/>
                      <w:color w:val="auto"/>
                      <w:sz w:val="18"/>
                      <w:szCs w:val="18"/>
                      <w:highlight w:val="none"/>
                    </w:rPr>
                    <w:t>本项目不涉及“两高”行业，不涉及水泥窑。</w:t>
                  </w:r>
                </w:p>
              </w:tc>
            </w:tr>
            <w:tr w14:paraId="18ED6937">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46A0B803">
                  <w:pPr>
                    <w:jc w:val="center"/>
                    <w:rPr>
                      <w:color w:val="auto"/>
                      <w:sz w:val="18"/>
                      <w:szCs w:val="18"/>
                      <w:highlight w:val="none"/>
                    </w:rPr>
                  </w:pPr>
                  <w:r>
                    <w:rPr>
                      <w:color w:val="auto"/>
                      <w:sz w:val="18"/>
                      <w:szCs w:val="18"/>
                      <w:highlight w:val="none"/>
                    </w:rPr>
                    <w:t>污染物排放管控</w:t>
                  </w:r>
                </w:p>
              </w:tc>
              <w:tc>
                <w:tcPr>
                  <w:tcW w:w="3126" w:type="pct"/>
                  <w:tcBorders>
                    <w:top w:val="single" w:color="auto" w:sz="4" w:space="0"/>
                    <w:left w:val="single" w:color="auto" w:sz="4" w:space="0"/>
                    <w:bottom w:val="single" w:color="auto" w:sz="4" w:space="0"/>
                    <w:right w:val="single" w:color="auto" w:sz="4" w:space="0"/>
                  </w:tcBorders>
                  <w:noWrap/>
                  <w:vAlign w:val="center"/>
                </w:tcPr>
                <w:p w14:paraId="15C97189">
                  <w:pPr>
                    <w:widowControl/>
                    <w:jc w:val="left"/>
                    <w:rPr>
                      <w:color w:val="auto"/>
                      <w:kern w:val="0"/>
                      <w:sz w:val="18"/>
                      <w:szCs w:val="18"/>
                      <w:highlight w:val="none"/>
                    </w:rPr>
                  </w:pPr>
                  <w:r>
                    <w:rPr>
                      <w:color w:val="auto"/>
                      <w:kern w:val="0"/>
                      <w:sz w:val="18"/>
                      <w:szCs w:val="18"/>
                      <w:highlight w:val="none"/>
                    </w:rPr>
                    <w:t>1.对以煤、石焦油、渣油、重油等为燃料的锅炉和工业炉窑，加快使用清洁低碳能源以及余热、电力热力等进行替代。 2.到2025年，在用65蒸吨/小时以上的燃煤锅炉(含电力)实现超低排放，钢铁企业基本实现超低排放。</w:t>
                  </w:r>
                </w:p>
              </w:tc>
              <w:tc>
                <w:tcPr>
                  <w:tcW w:w="1038" w:type="pct"/>
                  <w:tcBorders>
                    <w:top w:val="single" w:color="auto" w:sz="4" w:space="0"/>
                    <w:left w:val="single" w:color="auto" w:sz="4" w:space="0"/>
                    <w:bottom w:val="single" w:color="auto" w:sz="4" w:space="0"/>
                  </w:tcBorders>
                  <w:noWrap/>
                  <w:vAlign w:val="center"/>
                </w:tcPr>
                <w:p w14:paraId="604451D7">
                  <w:pPr>
                    <w:widowControl/>
                    <w:jc w:val="center"/>
                    <w:rPr>
                      <w:color w:val="auto"/>
                      <w:sz w:val="18"/>
                      <w:szCs w:val="18"/>
                      <w:highlight w:val="none"/>
                    </w:rPr>
                  </w:pPr>
                  <w:r>
                    <w:rPr>
                      <w:rFonts w:hint="eastAsia"/>
                      <w:color w:val="auto"/>
                      <w:sz w:val="18"/>
                      <w:szCs w:val="18"/>
                      <w:highlight w:val="none"/>
                    </w:rPr>
                    <w:t>本项目不涉及锅炉及工业炉窑。</w:t>
                  </w:r>
                </w:p>
              </w:tc>
            </w:tr>
            <w:tr w14:paraId="7B75335E">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277B9569">
                  <w:pPr>
                    <w:jc w:val="center"/>
                    <w:rPr>
                      <w:color w:val="auto"/>
                      <w:sz w:val="18"/>
                      <w:szCs w:val="18"/>
                      <w:highlight w:val="none"/>
                    </w:rPr>
                  </w:pPr>
                  <w:r>
                    <w:rPr>
                      <w:rFonts w:hint="eastAsia"/>
                      <w:color w:val="auto"/>
                      <w:sz w:val="18"/>
                      <w:szCs w:val="18"/>
                      <w:highlight w:val="none"/>
                    </w:rPr>
                    <w:t>环境风险防控</w:t>
                  </w:r>
                </w:p>
              </w:tc>
              <w:tc>
                <w:tcPr>
                  <w:tcW w:w="3126" w:type="pct"/>
                  <w:tcBorders>
                    <w:top w:val="single" w:color="auto" w:sz="4" w:space="0"/>
                    <w:left w:val="single" w:color="auto" w:sz="4" w:space="0"/>
                    <w:bottom w:val="single" w:color="auto" w:sz="4" w:space="0"/>
                    <w:right w:val="single" w:color="auto" w:sz="4" w:space="0"/>
                  </w:tcBorders>
                  <w:noWrap/>
                  <w:vAlign w:val="center"/>
                </w:tcPr>
                <w:p w14:paraId="5AD0CBAC">
                  <w:pPr>
                    <w:widowControl/>
                    <w:jc w:val="left"/>
                    <w:rPr>
                      <w:color w:val="auto"/>
                      <w:kern w:val="0"/>
                      <w:sz w:val="18"/>
                      <w:szCs w:val="18"/>
                      <w:highlight w:val="none"/>
                    </w:rPr>
                  </w:pPr>
                  <w:r>
                    <w:rPr>
                      <w:color w:val="auto"/>
                      <w:kern w:val="0"/>
                      <w:sz w:val="18"/>
                      <w:szCs w:val="18"/>
                      <w:highlight w:val="none"/>
                    </w:rPr>
                    <w:t>禁止在居民区、学校、医疗和养老机构等周边新建有色金属冶炼、焦化等行业企业。</w:t>
                  </w:r>
                </w:p>
              </w:tc>
              <w:tc>
                <w:tcPr>
                  <w:tcW w:w="1038" w:type="pct"/>
                  <w:tcBorders>
                    <w:top w:val="single" w:color="auto" w:sz="4" w:space="0"/>
                    <w:left w:val="single" w:color="auto" w:sz="4" w:space="0"/>
                    <w:bottom w:val="single" w:color="auto" w:sz="4" w:space="0"/>
                  </w:tcBorders>
                  <w:noWrap/>
                  <w:vAlign w:val="center"/>
                </w:tcPr>
                <w:p w14:paraId="7F7D4EA9">
                  <w:pPr>
                    <w:widowControl/>
                    <w:jc w:val="center"/>
                    <w:rPr>
                      <w:color w:val="auto"/>
                      <w:sz w:val="18"/>
                      <w:szCs w:val="18"/>
                      <w:highlight w:val="none"/>
                    </w:rPr>
                  </w:pPr>
                  <w:r>
                    <w:rPr>
                      <w:rFonts w:hint="eastAsia"/>
                      <w:color w:val="auto"/>
                      <w:sz w:val="18"/>
                      <w:szCs w:val="18"/>
                      <w:highlight w:val="none"/>
                    </w:rPr>
                    <w:t>本项目不涉及</w:t>
                  </w:r>
                  <w:r>
                    <w:rPr>
                      <w:color w:val="auto"/>
                      <w:kern w:val="0"/>
                      <w:sz w:val="18"/>
                      <w:szCs w:val="18"/>
                      <w:highlight w:val="none"/>
                    </w:rPr>
                    <w:t>有色金属冶炼、焦化</w:t>
                  </w:r>
                  <w:r>
                    <w:rPr>
                      <w:rFonts w:hint="eastAsia"/>
                      <w:color w:val="auto"/>
                      <w:kern w:val="0"/>
                      <w:sz w:val="18"/>
                      <w:szCs w:val="18"/>
                      <w:highlight w:val="none"/>
                    </w:rPr>
                    <w:t>等。</w:t>
                  </w:r>
                </w:p>
              </w:tc>
            </w:tr>
            <w:tr w14:paraId="69037EBE">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681D35B6">
                  <w:pPr>
                    <w:widowControl/>
                    <w:jc w:val="center"/>
                    <w:rPr>
                      <w:color w:val="auto"/>
                      <w:sz w:val="18"/>
                      <w:szCs w:val="18"/>
                      <w:highlight w:val="none"/>
                    </w:rPr>
                  </w:pPr>
                  <w:r>
                    <w:rPr>
                      <w:rFonts w:hint="eastAsia"/>
                      <w:color w:val="auto"/>
                      <w:kern w:val="0"/>
                      <w:sz w:val="18"/>
                      <w:szCs w:val="18"/>
                      <w:highlight w:val="none"/>
                    </w:rPr>
                    <w:t>管控维度</w:t>
                  </w:r>
                </w:p>
              </w:tc>
              <w:tc>
                <w:tcPr>
                  <w:tcW w:w="4165" w:type="pct"/>
                  <w:gridSpan w:val="2"/>
                  <w:tcBorders>
                    <w:top w:val="single" w:color="auto" w:sz="4" w:space="0"/>
                    <w:left w:val="single" w:color="auto" w:sz="4" w:space="0"/>
                    <w:bottom w:val="single" w:color="auto" w:sz="4" w:space="0"/>
                  </w:tcBorders>
                  <w:noWrap/>
                  <w:vAlign w:val="center"/>
                </w:tcPr>
                <w:p w14:paraId="39D5C78B">
                  <w:pPr>
                    <w:widowControl/>
                    <w:jc w:val="center"/>
                    <w:rPr>
                      <w:color w:val="auto"/>
                      <w:sz w:val="18"/>
                      <w:szCs w:val="18"/>
                      <w:highlight w:val="none"/>
                    </w:rPr>
                  </w:pPr>
                  <w:r>
                    <w:rPr>
                      <w:rFonts w:hint="eastAsia" w:ascii="宋体" w:hAnsi="宋体" w:cs="宋体"/>
                      <w:color w:val="auto"/>
                      <w:kern w:val="0"/>
                      <w:sz w:val="18"/>
                      <w:szCs w:val="18"/>
                      <w:highlight w:val="none"/>
                    </w:rPr>
                    <w:t>地下水环境一般管控区</w:t>
                  </w:r>
                </w:p>
              </w:tc>
            </w:tr>
            <w:tr w14:paraId="36A7982A">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61" w:type="pct"/>
                  <w:gridSpan w:val="2"/>
                  <w:tcBorders>
                    <w:top w:val="single" w:color="auto" w:sz="4" w:space="0"/>
                    <w:bottom w:val="single" w:color="auto" w:sz="4" w:space="0"/>
                    <w:right w:val="single" w:color="auto" w:sz="4" w:space="0"/>
                  </w:tcBorders>
                  <w:noWrap/>
                  <w:vAlign w:val="center"/>
                </w:tcPr>
                <w:p w14:paraId="366361AB">
                  <w:pPr>
                    <w:jc w:val="center"/>
                    <w:rPr>
                      <w:color w:val="auto"/>
                      <w:kern w:val="0"/>
                      <w:sz w:val="18"/>
                      <w:szCs w:val="18"/>
                      <w:highlight w:val="none"/>
                    </w:rPr>
                  </w:pPr>
                  <w:r>
                    <w:rPr>
                      <w:rFonts w:hint="eastAsia"/>
                      <w:color w:val="auto"/>
                      <w:spacing w:val="-3"/>
                      <w:kern w:val="0"/>
                      <w:sz w:val="18"/>
                      <w:szCs w:val="18"/>
                      <w:highlight w:val="none"/>
                    </w:rPr>
                    <w:t>管控要求</w:t>
                  </w:r>
                </w:p>
              </w:tc>
              <w:tc>
                <w:tcPr>
                  <w:tcW w:w="1038" w:type="pct"/>
                  <w:tcBorders>
                    <w:top w:val="single" w:color="auto" w:sz="4" w:space="0"/>
                    <w:left w:val="single" w:color="auto" w:sz="4" w:space="0"/>
                    <w:bottom w:val="single" w:color="auto" w:sz="4" w:space="0"/>
                  </w:tcBorders>
                  <w:noWrap/>
                  <w:vAlign w:val="center"/>
                </w:tcPr>
                <w:p w14:paraId="04F664E2">
                  <w:pPr>
                    <w:pStyle w:val="48"/>
                    <w:rPr>
                      <w:color w:val="auto"/>
                      <w:sz w:val="18"/>
                      <w:szCs w:val="18"/>
                      <w:highlight w:val="none"/>
                    </w:rPr>
                  </w:pPr>
                  <w:r>
                    <w:rPr>
                      <w:rFonts w:hint="eastAsia"/>
                      <w:color w:val="auto"/>
                      <w:sz w:val="18"/>
                      <w:szCs w:val="18"/>
                      <w:highlight w:val="none"/>
                    </w:rPr>
                    <w:t>项目符合性分析</w:t>
                  </w:r>
                </w:p>
              </w:tc>
            </w:tr>
            <w:tr w14:paraId="1D6500A4">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ign w:val="center"/>
                </w:tcPr>
                <w:p w14:paraId="00A587B4">
                  <w:pPr>
                    <w:pStyle w:val="78"/>
                    <w:widowControl/>
                    <w:spacing w:line="240" w:lineRule="auto"/>
                    <w:rPr>
                      <w:bCs w:val="0"/>
                      <w:color w:val="auto"/>
                      <w:sz w:val="18"/>
                      <w:szCs w:val="18"/>
                      <w:highlight w:val="none"/>
                    </w:rPr>
                  </w:pPr>
                  <w:r>
                    <w:rPr>
                      <w:color w:val="auto"/>
                      <w:sz w:val="18"/>
                      <w:szCs w:val="18"/>
                      <w:highlight w:val="none"/>
                      <w:lang w:val="zh-CN"/>
                    </w:rPr>
                    <w:t>环境风险防控</w:t>
                  </w:r>
                </w:p>
              </w:tc>
              <w:tc>
                <w:tcPr>
                  <w:tcW w:w="3126" w:type="pct"/>
                  <w:tcBorders>
                    <w:top w:val="single" w:color="auto" w:sz="4" w:space="0"/>
                    <w:left w:val="single" w:color="auto" w:sz="4" w:space="0"/>
                    <w:bottom w:val="single" w:color="auto" w:sz="4" w:space="0"/>
                    <w:right w:val="single" w:color="auto" w:sz="4" w:space="0"/>
                  </w:tcBorders>
                  <w:noWrap/>
                  <w:vAlign w:val="center"/>
                </w:tcPr>
                <w:p w14:paraId="73F502F1">
                  <w:pPr>
                    <w:pStyle w:val="78"/>
                    <w:widowControl/>
                    <w:spacing w:line="240" w:lineRule="auto"/>
                    <w:jc w:val="both"/>
                    <w:rPr>
                      <w:color w:val="auto"/>
                      <w:sz w:val="18"/>
                      <w:szCs w:val="18"/>
                      <w:highlight w:val="none"/>
                      <w:lang w:val="zh-CN"/>
                    </w:rPr>
                  </w:pPr>
                  <w:r>
                    <w:rPr>
                      <w:rFonts w:hint="eastAsia"/>
                      <w:color w:val="auto"/>
                      <w:sz w:val="18"/>
                      <w:szCs w:val="18"/>
                      <w:highlight w:val="none"/>
                    </w:rPr>
                    <w:t>1.</w:t>
                  </w:r>
                  <w:r>
                    <w:rPr>
                      <w:color w:val="auto"/>
                      <w:sz w:val="18"/>
                      <w:szCs w:val="18"/>
                      <w:highlight w:val="none"/>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471EF763">
                  <w:pPr>
                    <w:pStyle w:val="78"/>
                    <w:widowControl/>
                    <w:spacing w:line="240" w:lineRule="auto"/>
                    <w:jc w:val="both"/>
                    <w:rPr>
                      <w:color w:val="auto"/>
                      <w:sz w:val="18"/>
                      <w:szCs w:val="18"/>
                      <w:highlight w:val="none"/>
                    </w:rPr>
                  </w:pPr>
                  <w:r>
                    <w:rPr>
                      <w:rFonts w:hint="eastAsia"/>
                      <w:color w:val="auto"/>
                      <w:sz w:val="18"/>
                      <w:szCs w:val="18"/>
                      <w:highlight w:val="none"/>
                    </w:rPr>
                    <w:t>2.</w:t>
                  </w:r>
                  <w:r>
                    <w:rPr>
                      <w:color w:val="auto"/>
                      <w:sz w:val="18"/>
                      <w:szCs w:val="18"/>
                      <w:highlight w:val="none"/>
                    </w:rPr>
                    <w:t>重点单位新、改、扩建项目地下储罐储存有毒有害物质的，应当在项目投入生产或者使用之前，将地下储罐的信息报所在地设区的市级生态环境主管部门备案。</w:t>
                  </w:r>
                </w:p>
                <w:p w14:paraId="5F4480B4">
                  <w:pPr>
                    <w:pStyle w:val="78"/>
                    <w:widowControl/>
                    <w:spacing w:line="240" w:lineRule="auto"/>
                    <w:jc w:val="both"/>
                    <w:rPr>
                      <w:color w:val="auto"/>
                      <w:sz w:val="18"/>
                      <w:szCs w:val="18"/>
                      <w:highlight w:val="none"/>
                    </w:rPr>
                  </w:pPr>
                  <w:r>
                    <w:rPr>
                      <w:rFonts w:hint="eastAsia"/>
                      <w:color w:val="auto"/>
                      <w:sz w:val="18"/>
                      <w:szCs w:val="18"/>
                      <w:highlight w:val="none"/>
                    </w:rPr>
                    <w:t>3.</w:t>
                  </w:r>
                  <w:r>
                    <w:rPr>
                      <w:color w:val="auto"/>
                      <w:sz w:val="18"/>
                      <w:szCs w:val="18"/>
                      <w:highlight w:val="none"/>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14:paraId="033FABEC">
                  <w:pPr>
                    <w:pStyle w:val="78"/>
                    <w:widowControl/>
                    <w:spacing w:line="240" w:lineRule="auto"/>
                    <w:jc w:val="both"/>
                    <w:rPr>
                      <w:color w:val="auto"/>
                      <w:sz w:val="18"/>
                      <w:szCs w:val="18"/>
                      <w:highlight w:val="none"/>
                    </w:rPr>
                  </w:pPr>
                  <w:r>
                    <w:rPr>
                      <w:rFonts w:hint="eastAsia"/>
                      <w:color w:val="auto"/>
                      <w:sz w:val="18"/>
                      <w:szCs w:val="18"/>
                      <w:highlight w:val="none"/>
                    </w:rPr>
                    <w:t>4.</w:t>
                  </w:r>
                  <w:r>
                    <w:rPr>
                      <w:color w:val="auto"/>
                      <w:sz w:val="18"/>
                      <w:szCs w:val="18"/>
                      <w:highlight w:val="none"/>
                    </w:rPr>
                    <w:t>化学品生产企业以及工业集聚区、矿山开采区、尾矿库、危险废物处置场、垃圾填埋场等的运营、管理单位，应当采取防渗漏等措施，并建设地下水水质监测井进行监测，防止地下水污染。</w:t>
                  </w:r>
                </w:p>
                <w:p w14:paraId="1B886DC9">
                  <w:pPr>
                    <w:pStyle w:val="78"/>
                    <w:widowControl/>
                    <w:spacing w:line="240" w:lineRule="auto"/>
                    <w:jc w:val="both"/>
                    <w:rPr>
                      <w:color w:val="auto"/>
                      <w:kern w:val="0"/>
                      <w:sz w:val="18"/>
                      <w:szCs w:val="18"/>
                      <w:highlight w:val="none"/>
                    </w:rPr>
                  </w:pPr>
                  <w:r>
                    <w:rPr>
                      <w:color w:val="auto"/>
                      <w:sz w:val="18"/>
                      <w:szCs w:val="18"/>
                      <w:highlight w:val="none"/>
                    </w:rPr>
                    <w:t>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38" w:type="pct"/>
                  <w:tcBorders>
                    <w:top w:val="single" w:color="auto" w:sz="4" w:space="0"/>
                    <w:left w:val="single" w:color="auto" w:sz="4" w:space="0"/>
                    <w:bottom w:val="single" w:color="auto" w:sz="4" w:space="0"/>
                  </w:tcBorders>
                  <w:noWrap/>
                  <w:vAlign w:val="center"/>
                </w:tcPr>
                <w:p w14:paraId="3CFCDB68">
                  <w:pPr>
                    <w:pStyle w:val="48"/>
                    <w:rPr>
                      <w:color w:val="auto"/>
                      <w:sz w:val="18"/>
                      <w:szCs w:val="18"/>
                      <w:highlight w:val="none"/>
                    </w:rPr>
                  </w:pPr>
                  <w:r>
                    <w:rPr>
                      <w:rFonts w:ascii="Times New Roman" w:hAnsi="Times New Roman"/>
                      <w:color w:val="auto"/>
                      <w:sz w:val="18"/>
                      <w:szCs w:val="18"/>
                      <w:highlight w:val="none"/>
                    </w:rPr>
                    <w:t>本项目不属于土壤污染重点监管单位。</w:t>
                  </w:r>
                </w:p>
              </w:tc>
            </w:tr>
          </w:tbl>
          <w:p w14:paraId="03F65FEF">
            <w:pPr>
              <w:pStyle w:val="68"/>
              <w:widowControl/>
              <w:spacing w:line="360" w:lineRule="auto"/>
              <w:ind w:firstLine="420"/>
              <w:rPr>
                <w:color w:val="auto"/>
                <w:sz w:val="21"/>
                <w:highlight w:val="none"/>
              </w:rPr>
            </w:pPr>
            <w:r>
              <w:rPr>
                <w:color w:val="auto"/>
                <w:sz w:val="21"/>
                <w:highlight w:val="none"/>
              </w:rPr>
              <w:t>3）</w:t>
            </w:r>
            <w:r>
              <w:rPr>
                <w:rFonts w:hint="eastAsia" w:ascii="宋体" w:hAnsi="宋体" w:cs="宋体"/>
                <w:color w:val="auto"/>
                <w:sz w:val="21"/>
                <w:highlight w:val="none"/>
              </w:rPr>
              <w:t>“一说明”</w:t>
            </w:r>
          </w:p>
          <w:p w14:paraId="34C3F62A">
            <w:pPr>
              <w:pStyle w:val="76"/>
              <w:widowControl/>
              <w:spacing w:line="360" w:lineRule="auto"/>
              <w:ind w:firstLine="420"/>
              <w:rPr>
                <w:rFonts w:ascii="宋体" w:hAnsi="宋体" w:cs="宋体"/>
                <w:color w:val="auto"/>
                <w:sz w:val="21"/>
                <w:szCs w:val="21"/>
                <w:highlight w:val="none"/>
              </w:rPr>
            </w:pPr>
            <w:r>
              <w:rPr>
                <w:rFonts w:hint="eastAsia" w:ascii="宋体" w:hAnsi="宋体" w:cs="宋体"/>
                <w:color w:val="auto"/>
                <w:sz w:val="21"/>
                <w:szCs w:val="21"/>
                <w:highlight w:val="none"/>
              </w:rPr>
              <w:t>由上述分析可知，本项目的建设符合《鸡西市焦诚矸石加工厂固废资源利用</w:t>
            </w:r>
            <w:r>
              <w:rPr>
                <w:rFonts w:hint="eastAsia"/>
                <w:color w:val="auto"/>
                <w:sz w:val="21"/>
                <w:szCs w:val="21"/>
                <w:highlight w:val="none"/>
              </w:rPr>
              <w:t>生态环境分区管控分析报告</w:t>
            </w:r>
            <w:r>
              <w:rPr>
                <w:rFonts w:hint="eastAsia" w:ascii="宋体" w:hAnsi="宋体" w:cs="宋体"/>
                <w:color w:val="auto"/>
                <w:sz w:val="21"/>
                <w:szCs w:val="21"/>
                <w:highlight w:val="none"/>
              </w:rPr>
              <w:t>》中的要求。</w:t>
            </w:r>
          </w:p>
          <w:p w14:paraId="7308A437">
            <w:pPr>
              <w:pStyle w:val="76"/>
              <w:widowControl/>
              <w:spacing w:line="360" w:lineRule="auto"/>
              <w:ind w:firstLine="420"/>
              <w:rPr>
                <w:rFonts w:ascii="宋体" w:hAnsi="宋体" w:cs="宋体"/>
                <w:color w:val="auto"/>
                <w:sz w:val="21"/>
                <w:szCs w:val="21"/>
                <w:highlight w:val="none"/>
              </w:rPr>
            </w:pPr>
            <w:r>
              <w:rPr>
                <w:rFonts w:hint="eastAsia" w:ascii="宋体" w:hAnsi="宋体" w:cs="宋体"/>
                <w:color w:val="auto"/>
                <w:sz w:val="21"/>
                <w:szCs w:val="21"/>
                <w:highlight w:val="none"/>
              </w:rPr>
              <w:t>根据黑龙江省生态环境分区管控数据应用平台查询的《生态环境分区管控分析报告》：</w:t>
            </w:r>
          </w:p>
          <w:p w14:paraId="72D4CB7B">
            <w:pPr>
              <w:widowControl/>
              <w:spacing w:line="360" w:lineRule="auto"/>
              <w:ind w:firstLine="420" w:firstLineChars="200"/>
              <w:jc w:val="left"/>
              <w:rPr>
                <w:color w:val="auto"/>
                <w:szCs w:val="21"/>
                <w:highlight w:val="none"/>
              </w:rPr>
            </w:pPr>
            <w:r>
              <w:rPr>
                <w:color w:val="auto"/>
                <w:kern w:val="0"/>
                <w:szCs w:val="21"/>
                <w:highlight w:val="none"/>
              </w:rPr>
              <w:t>本项目</w:t>
            </w:r>
            <w:r>
              <w:rPr>
                <w:rFonts w:hint="eastAsia" w:ascii="宋体" w:hAnsi="宋体" w:cs="宋体"/>
                <w:color w:val="auto"/>
                <w:kern w:val="0"/>
                <w:szCs w:val="21"/>
                <w:highlight w:val="none"/>
              </w:rPr>
              <w:t>与生态保护红线交集面积为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 xml:space="preserve">。 </w:t>
            </w:r>
          </w:p>
          <w:p w14:paraId="60D250FF">
            <w:pPr>
              <w:widowControl/>
              <w:spacing w:line="360" w:lineRule="auto"/>
              <w:ind w:firstLine="420" w:firstLineChars="200"/>
              <w:jc w:val="left"/>
              <w:rPr>
                <w:color w:val="auto"/>
                <w:szCs w:val="21"/>
                <w:highlight w:val="none"/>
              </w:rPr>
            </w:pPr>
            <w:r>
              <w:rPr>
                <w:rFonts w:hint="eastAsia" w:ascii="宋体" w:hAnsi="宋体" w:cs="宋体"/>
                <w:color w:val="auto"/>
                <w:kern w:val="0"/>
                <w:szCs w:val="21"/>
                <w:highlight w:val="none"/>
              </w:rPr>
              <w:t>与自然保护地整合优化方案数据交集面积为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。保护地涉及等类型。与自然保护地（现状管理数据）交集面积为</w:t>
            </w:r>
            <w:r>
              <w:rPr>
                <w:color w:val="auto"/>
                <w:kern w:val="0"/>
                <w:szCs w:val="21"/>
                <w:highlight w:val="none"/>
              </w:rPr>
              <w:t>0.00</w:t>
            </w:r>
            <w:r>
              <w:rPr>
                <w:rFonts w:hint="eastAsia" w:ascii="宋体" w:hAnsi="宋体" w:cs="宋体"/>
                <w:color w:val="auto"/>
                <w:kern w:val="0"/>
                <w:szCs w:val="21"/>
                <w:highlight w:val="none"/>
              </w:rPr>
              <w:t xml:space="preserve">平方公里，占项目占地面积的 </w:t>
            </w:r>
            <w:r>
              <w:rPr>
                <w:color w:val="auto"/>
                <w:kern w:val="0"/>
                <w:szCs w:val="21"/>
                <w:highlight w:val="none"/>
              </w:rPr>
              <w:t>0.00%</w:t>
            </w:r>
            <w:r>
              <w:rPr>
                <w:rFonts w:hint="eastAsia" w:ascii="宋体" w:hAnsi="宋体" w:cs="宋体"/>
                <w:color w:val="auto"/>
                <w:kern w:val="0"/>
                <w:szCs w:val="21"/>
                <w:highlight w:val="none"/>
              </w:rPr>
              <w:t xml:space="preserve">。保护地涉及等类型。 </w:t>
            </w:r>
          </w:p>
          <w:p w14:paraId="302C69E9">
            <w:pPr>
              <w:widowControl/>
              <w:spacing w:line="360" w:lineRule="auto"/>
              <w:ind w:firstLine="420" w:firstLineChars="200"/>
              <w:jc w:val="left"/>
              <w:rPr>
                <w:color w:val="auto"/>
                <w:szCs w:val="21"/>
                <w:highlight w:val="none"/>
              </w:rPr>
            </w:pPr>
            <w:r>
              <w:rPr>
                <w:rFonts w:hint="eastAsia" w:ascii="宋体" w:hAnsi="宋体" w:cs="宋体"/>
                <w:color w:val="auto"/>
                <w:kern w:val="0"/>
                <w:szCs w:val="21"/>
                <w:highlight w:val="none"/>
              </w:rPr>
              <w:t>与饮用水水源保护区交集面积为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。与国家级水产种质资源保护区交集面积为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 xml:space="preserve">。 </w:t>
            </w:r>
          </w:p>
          <w:p w14:paraId="3A65B7E6">
            <w:pPr>
              <w:widowControl/>
              <w:spacing w:line="360" w:lineRule="auto"/>
              <w:ind w:firstLine="420" w:firstLineChars="200"/>
              <w:jc w:val="left"/>
              <w:rPr>
                <w:color w:val="auto"/>
                <w:szCs w:val="21"/>
                <w:highlight w:val="none"/>
              </w:rPr>
            </w:pPr>
            <w:r>
              <w:rPr>
                <w:rFonts w:hint="eastAsia" w:ascii="宋体" w:hAnsi="宋体" w:cs="宋体"/>
                <w:color w:val="auto"/>
                <w:kern w:val="0"/>
                <w:szCs w:val="21"/>
                <w:highlight w:val="none"/>
              </w:rPr>
              <w:t>与环境管控单元优先保护单元交集面积为</w:t>
            </w:r>
            <w:r>
              <w:rPr>
                <w:color w:val="auto"/>
                <w:kern w:val="0"/>
                <w:szCs w:val="21"/>
                <w:highlight w:val="none"/>
              </w:rPr>
              <w:t>0.00</w:t>
            </w:r>
            <w:r>
              <w:rPr>
                <w:rFonts w:hint="eastAsia" w:ascii="宋体" w:hAnsi="宋体" w:cs="宋体"/>
                <w:color w:val="auto"/>
                <w:kern w:val="0"/>
                <w:szCs w:val="21"/>
                <w:highlight w:val="none"/>
              </w:rPr>
              <w:t xml:space="preserve">平方公里，占项目占地面积的 </w:t>
            </w:r>
            <w:r>
              <w:rPr>
                <w:color w:val="auto"/>
                <w:kern w:val="0"/>
                <w:szCs w:val="21"/>
                <w:highlight w:val="none"/>
              </w:rPr>
              <w:t>0.00%</w:t>
            </w:r>
            <w:r>
              <w:rPr>
                <w:rFonts w:hint="eastAsia" w:ascii="宋体" w:hAnsi="宋体" w:cs="宋体"/>
                <w:color w:val="auto"/>
                <w:kern w:val="0"/>
                <w:szCs w:val="21"/>
                <w:highlight w:val="none"/>
              </w:rPr>
              <w:t>；与重点管控单元交集面积为小于</w:t>
            </w:r>
            <w:r>
              <w:rPr>
                <w:color w:val="auto"/>
                <w:kern w:val="0"/>
                <w:szCs w:val="21"/>
                <w:highlight w:val="none"/>
              </w:rPr>
              <w:t>0.0</w:t>
            </w:r>
            <w:r>
              <w:rPr>
                <w:rFonts w:hint="eastAsia"/>
                <w:color w:val="auto"/>
                <w:kern w:val="0"/>
                <w:szCs w:val="21"/>
                <w:highlight w:val="none"/>
              </w:rPr>
              <w:t>1</w:t>
            </w:r>
            <w:r>
              <w:rPr>
                <w:rFonts w:hint="eastAsia" w:ascii="宋体" w:hAnsi="宋体" w:cs="宋体"/>
                <w:color w:val="auto"/>
                <w:kern w:val="0"/>
                <w:szCs w:val="21"/>
                <w:highlight w:val="none"/>
              </w:rPr>
              <w:t>平方公里，占项目占地面积的</w:t>
            </w:r>
            <w:r>
              <w:rPr>
                <w:color w:val="auto"/>
                <w:kern w:val="0"/>
                <w:szCs w:val="21"/>
                <w:highlight w:val="none"/>
              </w:rPr>
              <w:t>100.00%</w:t>
            </w:r>
            <w:r>
              <w:rPr>
                <w:rFonts w:hint="eastAsia" w:ascii="宋体" w:hAnsi="宋体" w:cs="宋体"/>
                <w:color w:val="auto"/>
                <w:kern w:val="0"/>
                <w:szCs w:val="21"/>
                <w:highlight w:val="none"/>
              </w:rPr>
              <w:t>；一般管控单元交集面积为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 xml:space="preserve">。 </w:t>
            </w:r>
          </w:p>
          <w:p w14:paraId="3F770937">
            <w:pPr>
              <w:widowControl/>
              <w:spacing w:line="360" w:lineRule="auto"/>
              <w:ind w:firstLine="420" w:firstLineChars="200"/>
              <w:jc w:val="left"/>
              <w:rPr>
                <w:color w:val="auto"/>
                <w:kern w:val="0"/>
                <w:szCs w:val="21"/>
                <w:highlight w:val="none"/>
              </w:rPr>
            </w:pPr>
            <w:r>
              <w:rPr>
                <w:rFonts w:hint="eastAsia" w:ascii="宋体" w:hAnsi="宋体" w:cs="宋体"/>
                <w:color w:val="auto"/>
                <w:kern w:val="0"/>
                <w:szCs w:val="21"/>
                <w:highlight w:val="none"/>
              </w:rPr>
              <w:t>与地下水环境优先保护区交集面积为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；与地下水环境重点管控区交集面积为</w:t>
            </w:r>
            <w:r>
              <w:rPr>
                <w:color w:val="auto"/>
                <w:kern w:val="0"/>
                <w:szCs w:val="21"/>
                <w:highlight w:val="none"/>
              </w:rPr>
              <w:t>0.00</w:t>
            </w:r>
            <w:r>
              <w:rPr>
                <w:rFonts w:hint="eastAsia" w:ascii="宋体" w:hAnsi="宋体" w:cs="宋体"/>
                <w:color w:val="auto"/>
                <w:kern w:val="0"/>
                <w:szCs w:val="21"/>
                <w:highlight w:val="none"/>
              </w:rPr>
              <w:t>平方公里，占项目占地面积的</w:t>
            </w:r>
            <w:r>
              <w:rPr>
                <w:color w:val="auto"/>
                <w:kern w:val="0"/>
                <w:szCs w:val="21"/>
                <w:highlight w:val="none"/>
              </w:rPr>
              <w:t>0.00%</w:t>
            </w:r>
            <w:r>
              <w:rPr>
                <w:rFonts w:hint="eastAsia" w:ascii="宋体" w:hAnsi="宋体" w:cs="宋体"/>
                <w:color w:val="auto"/>
                <w:kern w:val="0"/>
                <w:szCs w:val="21"/>
                <w:highlight w:val="none"/>
              </w:rPr>
              <w:t>，与地下水环境一般管控区交集面积为小于</w:t>
            </w:r>
            <w:r>
              <w:rPr>
                <w:color w:val="auto"/>
                <w:kern w:val="0"/>
                <w:szCs w:val="21"/>
                <w:highlight w:val="none"/>
              </w:rPr>
              <w:t>0.0</w:t>
            </w:r>
            <w:r>
              <w:rPr>
                <w:rFonts w:hint="eastAsia"/>
                <w:color w:val="auto"/>
                <w:kern w:val="0"/>
                <w:szCs w:val="21"/>
                <w:highlight w:val="none"/>
              </w:rPr>
              <w:t>1</w:t>
            </w:r>
            <w:r>
              <w:rPr>
                <w:rFonts w:hint="eastAsia" w:ascii="宋体" w:hAnsi="宋体" w:cs="宋体"/>
                <w:color w:val="auto"/>
                <w:kern w:val="0"/>
                <w:szCs w:val="21"/>
                <w:highlight w:val="none"/>
              </w:rPr>
              <w:t>平方公里，占项目占地面积的</w:t>
            </w:r>
            <w:r>
              <w:rPr>
                <w:color w:val="auto"/>
                <w:kern w:val="0"/>
                <w:szCs w:val="21"/>
                <w:highlight w:val="none"/>
              </w:rPr>
              <w:t>100.00%</w:t>
            </w:r>
            <w:r>
              <w:rPr>
                <w:rFonts w:hint="eastAsia" w:ascii="宋体" w:hAnsi="宋体" w:cs="宋体"/>
                <w:color w:val="auto"/>
                <w:kern w:val="0"/>
                <w:szCs w:val="21"/>
                <w:highlight w:val="none"/>
              </w:rPr>
              <w:t>。</w:t>
            </w:r>
          </w:p>
          <w:p w14:paraId="77B8664A">
            <w:pPr>
              <w:widowControl/>
              <w:spacing w:line="360" w:lineRule="auto"/>
              <w:ind w:firstLine="420" w:firstLineChars="200"/>
              <w:rPr>
                <w:color w:val="auto"/>
                <w:kern w:val="0"/>
                <w:szCs w:val="21"/>
                <w:highlight w:val="none"/>
              </w:rPr>
            </w:pPr>
            <w:r>
              <w:rPr>
                <w:color w:val="auto"/>
                <w:highlight w:val="none"/>
              </w:rPr>
              <w:t>本项目采取了有效、可行的污染治理措施，各项污染物均可达标排放，本项目建设对周围环境影响较小，因此本项目符合</w:t>
            </w:r>
            <w:r>
              <w:rPr>
                <w:color w:val="auto"/>
                <w:kern w:val="0"/>
                <w:szCs w:val="21"/>
                <w:highlight w:val="none"/>
              </w:rPr>
              <w:t>《鸡西市人民政府关于实施</w:t>
            </w:r>
            <w:r>
              <w:rPr>
                <w:rFonts w:hint="eastAsia" w:ascii="宋体" w:hAnsi="宋体" w:cs="宋体"/>
                <w:color w:val="auto"/>
                <w:kern w:val="0"/>
                <w:szCs w:val="21"/>
                <w:highlight w:val="none"/>
              </w:rPr>
              <w:t>“三线一单”</w:t>
            </w:r>
            <w:r>
              <w:rPr>
                <w:color w:val="auto"/>
                <w:kern w:val="0"/>
                <w:szCs w:val="21"/>
                <w:highlight w:val="none"/>
              </w:rPr>
              <w:t>生态环境分区管控的意见》（鸡政发〔2021〕7号文件）</w:t>
            </w:r>
            <w:r>
              <w:rPr>
                <w:color w:val="auto"/>
                <w:highlight w:val="none"/>
              </w:rPr>
              <w:t>中要求。</w:t>
            </w:r>
          </w:p>
          <w:p w14:paraId="41FFF393">
            <w:pPr>
              <w:adjustRightInd w:val="0"/>
              <w:snapToGrid w:val="0"/>
              <w:spacing w:line="360" w:lineRule="auto"/>
              <w:jc w:val="left"/>
              <w:rPr>
                <w:b/>
                <w:color w:val="auto"/>
                <w:szCs w:val="21"/>
                <w:highlight w:val="none"/>
              </w:rPr>
            </w:pPr>
            <w:r>
              <w:rPr>
                <w:rFonts w:hint="eastAsia"/>
                <w:b/>
                <w:color w:val="auto"/>
                <w:szCs w:val="21"/>
                <w:highlight w:val="none"/>
              </w:rPr>
              <w:t>5、与《固体废物再生利用污染防治技术导则》（HJ1091-2020）的符合性分析</w:t>
            </w:r>
          </w:p>
          <w:p w14:paraId="4356C54C">
            <w:pPr>
              <w:adjustRightInd w:val="0"/>
              <w:snapToGrid w:val="0"/>
              <w:jc w:val="center"/>
              <w:rPr>
                <w:b/>
                <w:bCs/>
                <w:color w:val="auto"/>
                <w:szCs w:val="21"/>
                <w:highlight w:val="none"/>
              </w:rPr>
            </w:pPr>
            <w:r>
              <w:rPr>
                <w:rFonts w:hint="eastAsia"/>
                <w:b/>
                <w:bCs/>
                <w:color w:val="auto"/>
                <w:szCs w:val="21"/>
                <w:highlight w:val="none"/>
              </w:rPr>
              <w:t>表</w:t>
            </w:r>
            <w:r>
              <w:rPr>
                <w:rFonts w:hint="eastAsia"/>
                <w:b/>
                <w:color w:val="auto"/>
                <w:szCs w:val="21"/>
                <w:highlight w:val="none"/>
              </w:rPr>
              <w:t>1-5与污染防治技术导则符合性分析</w:t>
            </w:r>
          </w:p>
          <w:tbl>
            <w:tblPr>
              <w:tblStyle w:val="23"/>
              <w:tblW w:w="776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0"/>
              <w:gridCol w:w="3732"/>
              <w:gridCol w:w="1709"/>
            </w:tblGrid>
            <w:tr w14:paraId="4106D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2" w:hRule="atLeast"/>
              </w:trPr>
              <w:tc>
                <w:tcPr>
                  <w:tcW w:w="2320" w:type="dxa"/>
                  <w:tcBorders>
                    <w:tl2br w:val="nil"/>
                    <w:tr2bl w:val="nil"/>
                  </w:tcBorders>
                  <w:vAlign w:val="center"/>
                </w:tcPr>
                <w:p w14:paraId="3808BDDE">
                  <w:pPr>
                    <w:adjustRightInd w:val="0"/>
                    <w:snapToGrid w:val="0"/>
                    <w:jc w:val="center"/>
                    <w:rPr>
                      <w:color w:val="auto"/>
                      <w:sz w:val="18"/>
                      <w:szCs w:val="18"/>
                      <w:highlight w:val="none"/>
                    </w:rPr>
                  </w:pPr>
                  <w:r>
                    <w:rPr>
                      <w:color w:val="auto"/>
                      <w:sz w:val="18"/>
                      <w:szCs w:val="18"/>
                      <w:highlight w:val="none"/>
                    </w:rPr>
                    <w:t>文件要求</w:t>
                  </w:r>
                </w:p>
              </w:tc>
              <w:tc>
                <w:tcPr>
                  <w:tcW w:w="3732" w:type="dxa"/>
                  <w:tcBorders>
                    <w:tl2br w:val="nil"/>
                    <w:tr2bl w:val="nil"/>
                  </w:tcBorders>
                  <w:vAlign w:val="center"/>
                </w:tcPr>
                <w:p w14:paraId="5C7E9134">
                  <w:pPr>
                    <w:adjustRightInd w:val="0"/>
                    <w:snapToGrid w:val="0"/>
                    <w:jc w:val="center"/>
                    <w:rPr>
                      <w:color w:val="auto"/>
                      <w:sz w:val="18"/>
                      <w:szCs w:val="18"/>
                      <w:highlight w:val="none"/>
                    </w:rPr>
                  </w:pPr>
                  <w:r>
                    <w:rPr>
                      <w:color w:val="auto"/>
                      <w:sz w:val="18"/>
                      <w:szCs w:val="18"/>
                      <w:highlight w:val="none"/>
                    </w:rPr>
                    <w:t>本项目情况</w:t>
                  </w:r>
                </w:p>
              </w:tc>
              <w:tc>
                <w:tcPr>
                  <w:tcW w:w="1709" w:type="dxa"/>
                  <w:tcBorders>
                    <w:tl2br w:val="nil"/>
                    <w:tr2bl w:val="nil"/>
                  </w:tcBorders>
                  <w:vAlign w:val="center"/>
                </w:tcPr>
                <w:p w14:paraId="7349F38C">
                  <w:pPr>
                    <w:adjustRightInd w:val="0"/>
                    <w:snapToGrid w:val="0"/>
                    <w:jc w:val="center"/>
                    <w:rPr>
                      <w:color w:val="auto"/>
                      <w:sz w:val="18"/>
                      <w:szCs w:val="18"/>
                      <w:highlight w:val="none"/>
                    </w:rPr>
                  </w:pPr>
                  <w:r>
                    <w:rPr>
                      <w:color w:val="auto"/>
                      <w:sz w:val="18"/>
                      <w:szCs w:val="18"/>
                      <w:highlight w:val="none"/>
                    </w:rPr>
                    <w:t>符合性</w:t>
                  </w:r>
                </w:p>
              </w:tc>
            </w:tr>
            <w:tr w14:paraId="43797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761" w:type="dxa"/>
                  <w:gridSpan w:val="3"/>
                  <w:tcBorders>
                    <w:tl2br w:val="nil"/>
                    <w:tr2bl w:val="nil"/>
                  </w:tcBorders>
                  <w:vAlign w:val="center"/>
                </w:tcPr>
                <w:p w14:paraId="7F24616C">
                  <w:pPr>
                    <w:adjustRightInd w:val="0"/>
                    <w:snapToGrid w:val="0"/>
                    <w:jc w:val="center"/>
                    <w:rPr>
                      <w:color w:val="auto"/>
                      <w:sz w:val="18"/>
                      <w:szCs w:val="18"/>
                      <w:highlight w:val="none"/>
                    </w:rPr>
                  </w:pPr>
                  <w:r>
                    <w:rPr>
                      <w:color w:val="auto"/>
                      <w:sz w:val="18"/>
                      <w:szCs w:val="18"/>
                      <w:highlight w:val="none"/>
                    </w:rPr>
                    <w:t>总体要求</w:t>
                  </w:r>
                </w:p>
              </w:tc>
            </w:tr>
            <w:tr w14:paraId="0C317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2" w:hRule="atLeast"/>
              </w:trPr>
              <w:tc>
                <w:tcPr>
                  <w:tcW w:w="2320" w:type="dxa"/>
                  <w:tcBorders>
                    <w:tl2br w:val="nil"/>
                    <w:tr2bl w:val="nil"/>
                  </w:tcBorders>
                  <w:vAlign w:val="center"/>
                </w:tcPr>
                <w:p w14:paraId="5BF2B879">
                  <w:pPr>
                    <w:adjustRightInd w:val="0"/>
                    <w:snapToGrid w:val="0"/>
                    <w:jc w:val="center"/>
                    <w:rPr>
                      <w:color w:val="auto"/>
                      <w:sz w:val="18"/>
                      <w:szCs w:val="18"/>
                      <w:highlight w:val="none"/>
                    </w:rPr>
                  </w:pPr>
                  <w:r>
                    <w:rPr>
                      <w:color w:val="auto"/>
                      <w:sz w:val="18"/>
                      <w:szCs w:val="18"/>
                      <w:highlight w:val="none"/>
                    </w:rPr>
                    <w:t>扬尘点应设置吸尘罩和收尘设备，有毒有害气体逸散区应设置吸附（吸收）转化装置，保证作业区粉尘、有害气体浓度满足GBZ2.1的要求。</w:t>
                  </w:r>
                </w:p>
              </w:tc>
              <w:tc>
                <w:tcPr>
                  <w:tcW w:w="3732" w:type="dxa"/>
                  <w:tcBorders>
                    <w:tl2br w:val="nil"/>
                    <w:tr2bl w:val="nil"/>
                  </w:tcBorders>
                  <w:vAlign w:val="center"/>
                </w:tcPr>
                <w:p w14:paraId="50F24DFF">
                  <w:pPr>
                    <w:adjustRightInd w:val="0"/>
                    <w:snapToGrid w:val="0"/>
                    <w:jc w:val="center"/>
                    <w:rPr>
                      <w:color w:val="auto"/>
                      <w:sz w:val="18"/>
                      <w:szCs w:val="18"/>
                      <w:highlight w:val="none"/>
                    </w:rPr>
                  </w:pPr>
                  <w:r>
                    <w:rPr>
                      <w:color w:val="auto"/>
                      <w:sz w:val="18"/>
                      <w:szCs w:val="18"/>
                      <w:highlight w:val="none"/>
                    </w:rPr>
                    <w:t>本项目主要污染物为颗粒物，本项目不产生有毒有害气体。</w:t>
                  </w:r>
                </w:p>
              </w:tc>
              <w:tc>
                <w:tcPr>
                  <w:tcW w:w="1709" w:type="dxa"/>
                  <w:tcBorders>
                    <w:tl2br w:val="nil"/>
                    <w:tr2bl w:val="nil"/>
                  </w:tcBorders>
                  <w:vAlign w:val="center"/>
                </w:tcPr>
                <w:p w14:paraId="0ADDD777">
                  <w:pPr>
                    <w:adjustRightInd w:val="0"/>
                    <w:snapToGrid w:val="0"/>
                    <w:jc w:val="center"/>
                    <w:rPr>
                      <w:color w:val="auto"/>
                      <w:sz w:val="18"/>
                      <w:szCs w:val="18"/>
                      <w:highlight w:val="none"/>
                    </w:rPr>
                  </w:pPr>
                  <w:r>
                    <w:rPr>
                      <w:color w:val="auto"/>
                      <w:sz w:val="18"/>
                      <w:szCs w:val="18"/>
                      <w:highlight w:val="none"/>
                    </w:rPr>
                    <w:t>符合</w:t>
                  </w:r>
                </w:p>
              </w:tc>
            </w:tr>
            <w:tr w14:paraId="404C3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20" w:type="dxa"/>
                  <w:tcBorders>
                    <w:tl2br w:val="nil"/>
                    <w:tr2bl w:val="nil"/>
                  </w:tcBorders>
                  <w:vAlign w:val="center"/>
                </w:tcPr>
                <w:p w14:paraId="542E9A92">
                  <w:pPr>
                    <w:adjustRightInd w:val="0"/>
                    <w:snapToGrid w:val="0"/>
                    <w:jc w:val="center"/>
                    <w:rPr>
                      <w:color w:val="auto"/>
                      <w:sz w:val="18"/>
                      <w:szCs w:val="18"/>
                      <w:highlight w:val="none"/>
                    </w:rPr>
                  </w:pPr>
                  <w:r>
                    <w:rPr>
                      <w:color w:val="auto"/>
                      <w:sz w:val="18"/>
                      <w:szCs w:val="18"/>
                      <w:highlight w:val="none"/>
                    </w:rPr>
                    <w:t>产生的冷凝液、浓缩液、渗滤液等废液应进行有效收集后集中处理。处理后产生的废水应优先考虑循环利用。</w:t>
                  </w:r>
                </w:p>
              </w:tc>
              <w:tc>
                <w:tcPr>
                  <w:tcW w:w="3732" w:type="dxa"/>
                  <w:tcBorders>
                    <w:tl2br w:val="nil"/>
                    <w:tr2bl w:val="nil"/>
                  </w:tcBorders>
                  <w:vAlign w:val="center"/>
                </w:tcPr>
                <w:p w14:paraId="11A5066E">
                  <w:pPr>
                    <w:adjustRightInd w:val="0"/>
                    <w:snapToGrid w:val="0"/>
                    <w:jc w:val="center"/>
                    <w:rPr>
                      <w:color w:val="auto"/>
                      <w:sz w:val="18"/>
                      <w:szCs w:val="18"/>
                      <w:highlight w:val="none"/>
                    </w:rPr>
                  </w:pPr>
                  <w:r>
                    <w:rPr>
                      <w:color w:val="auto"/>
                      <w:sz w:val="18"/>
                      <w:szCs w:val="18"/>
                      <w:highlight w:val="none"/>
                    </w:rPr>
                    <w:t>本项目煤泥浮选废水经浓缩、压滤后进入循环水池沉淀后循环利用；生活污水经</w:t>
                  </w:r>
                  <w:r>
                    <w:rPr>
                      <w:rFonts w:hint="eastAsia"/>
                      <w:color w:val="auto"/>
                      <w:sz w:val="18"/>
                      <w:szCs w:val="18"/>
                      <w:highlight w:val="none"/>
                    </w:rPr>
                    <w:t>排入防渗旱厕，定期清掏，外运堆肥，不外排</w:t>
                  </w:r>
                  <w:r>
                    <w:rPr>
                      <w:color w:val="auto"/>
                      <w:sz w:val="18"/>
                      <w:szCs w:val="18"/>
                      <w:highlight w:val="none"/>
                    </w:rPr>
                    <w:t>。</w:t>
                  </w:r>
                </w:p>
              </w:tc>
              <w:tc>
                <w:tcPr>
                  <w:tcW w:w="1709" w:type="dxa"/>
                  <w:tcBorders>
                    <w:tl2br w:val="nil"/>
                    <w:tr2bl w:val="nil"/>
                  </w:tcBorders>
                  <w:vAlign w:val="center"/>
                </w:tcPr>
                <w:p w14:paraId="260FE54A">
                  <w:pPr>
                    <w:adjustRightInd w:val="0"/>
                    <w:snapToGrid w:val="0"/>
                    <w:jc w:val="center"/>
                    <w:rPr>
                      <w:color w:val="auto"/>
                      <w:sz w:val="18"/>
                      <w:szCs w:val="18"/>
                      <w:highlight w:val="none"/>
                    </w:rPr>
                  </w:pPr>
                  <w:r>
                    <w:rPr>
                      <w:color w:val="auto"/>
                      <w:sz w:val="18"/>
                      <w:szCs w:val="18"/>
                      <w:highlight w:val="none"/>
                    </w:rPr>
                    <w:t>符合</w:t>
                  </w:r>
                </w:p>
              </w:tc>
            </w:tr>
            <w:tr w14:paraId="5723B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2320" w:type="dxa"/>
                  <w:tcBorders>
                    <w:tl2br w:val="nil"/>
                    <w:tr2bl w:val="nil"/>
                  </w:tcBorders>
                  <w:vAlign w:val="center"/>
                </w:tcPr>
                <w:p w14:paraId="3A16BABD">
                  <w:pPr>
                    <w:adjustRightInd w:val="0"/>
                    <w:snapToGrid w:val="0"/>
                    <w:jc w:val="center"/>
                    <w:rPr>
                      <w:color w:val="auto"/>
                      <w:sz w:val="18"/>
                      <w:szCs w:val="18"/>
                      <w:highlight w:val="none"/>
                    </w:rPr>
                  </w:pPr>
                  <w:r>
                    <w:rPr>
                      <w:color w:val="auto"/>
                      <w:sz w:val="18"/>
                      <w:szCs w:val="18"/>
                      <w:highlight w:val="none"/>
                    </w:rPr>
                    <w:t>应防止噪声污染。设备运转时厂界噪声应符合GB12348的要求。</w:t>
                  </w:r>
                </w:p>
              </w:tc>
              <w:tc>
                <w:tcPr>
                  <w:tcW w:w="3732" w:type="dxa"/>
                  <w:tcBorders>
                    <w:tl2br w:val="nil"/>
                    <w:tr2bl w:val="nil"/>
                  </w:tcBorders>
                  <w:vAlign w:val="center"/>
                </w:tcPr>
                <w:p w14:paraId="708A78BD">
                  <w:pPr>
                    <w:adjustRightInd w:val="0"/>
                    <w:snapToGrid w:val="0"/>
                    <w:jc w:val="center"/>
                    <w:rPr>
                      <w:color w:val="auto"/>
                      <w:sz w:val="18"/>
                      <w:szCs w:val="18"/>
                      <w:highlight w:val="none"/>
                    </w:rPr>
                  </w:pPr>
                  <w:r>
                    <w:rPr>
                      <w:color w:val="auto"/>
                      <w:sz w:val="18"/>
                      <w:szCs w:val="18"/>
                      <w:highlight w:val="none"/>
                    </w:rPr>
                    <w:t>本项目采取了减振、隔声等噪声污染防治措施，厂界噪声可满足《工业企业厂界环境噪声排放标准》（GB 12348-2008）</w:t>
                  </w:r>
                  <w:r>
                    <w:rPr>
                      <w:rFonts w:hint="eastAsia"/>
                      <w:color w:val="auto"/>
                      <w:sz w:val="18"/>
                      <w:szCs w:val="18"/>
                      <w:highlight w:val="none"/>
                    </w:rPr>
                    <w:t>3类标准。</w:t>
                  </w:r>
                </w:p>
              </w:tc>
              <w:tc>
                <w:tcPr>
                  <w:tcW w:w="1709" w:type="dxa"/>
                  <w:tcBorders>
                    <w:tl2br w:val="nil"/>
                    <w:tr2bl w:val="nil"/>
                  </w:tcBorders>
                  <w:vAlign w:val="center"/>
                </w:tcPr>
                <w:p w14:paraId="498F562E">
                  <w:pPr>
                    <w:adjustRightInd w:val="0"/>
                    <w:snapToGrid w:val="0"/>
                    <w:jc w:val="center"/>
                    <w:rPr>
                      <w:color w:val="auto"/>
                      <w:sz w:val="18"/>
                      <w:szCs w:val="18"/>
                      <w:highlight w:val="none"/>
                    </w:rPr>
                  </w:pPr>
                  <w:r>
                    <w:rPr>
                      <w:color w:val="auto"/>
                      <w:sz w:val="18"/>
                      <w:szCs w:val="18"/>
                      <w:highlight w:val="none"/>
                    </w:rPr>
                    <w:t>符合</w:t>
                  </w:r>
                </w:p>
              </w:tc>
            </w:tr>
            <w:tr w14:paraId="43AA6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4" w:hRule="atLeast"/>
              </w:trPr>
              <w:tc>
                <w:tcPr>
                  <w:tcW w:w="2320" w:type="dxa"/>
                  <w:tcBorders>
                    <w:tl2br w:val="nil"/>
                    <w:tr2bl w:val="nil"/>
                  </w:tcBorders>
                  <w:vAlign w:val="center"/>
                </w:tcPr>
                <w:p w14:paraId="1F93C599">
                  <w:pPr>
                    <w:adjustRightInd w:val="0"/>
                    <w:snapToGrid w:val="0"/>
                    <w:jc w:val="center"/>
                    <w:rPr>
                      <w:color w:val="auto"/>
                      <w:sz w:val="18"/>
                      <w:szCs w:val="18"/>
                      <w:highlight w:val="none"/>
                    </w:rPr>
                  </w:pPr>
                  <w:r>
                    <w:rPr>
                      <w:color w:val="auto"/>
                      <w:sz w:val="18"/>
                      <w:szCs w:val="18"/>
                      <w:highlight w:val="none"/>
                    </w:rPr>
                    <w:t>产生的污泥、底渣、废油类等固体废物应按照其管理属性分别处置。不能自行综合利用或处置的，应交给有相应资质和处理能力的企业进行综合利用或处置。</w:t>
                  </w:r>
                </w:p>
              </w:tc>
              <w:tc>
                <w:tcPr>
                  <w:tcW w:w="3732" w:type="dxa"/>
                  <w:tcBorders>
                    <w:tl2br w:val="nil"/>
                    <w:tr2bl w:val="nil"/>
                  </w:tcBorders>
                  <w:vAlign w:val="center"/>
                </w:tcPr>
                <w:p w14:paraId="397E88CA">
                  <w:pPr>
                    <w:adjustRightInd w:val="0"/>
                    <w:snapToGrid w:val="0"/>
                    <w:jc w:val="center"/>
                    <w:rPr>
                      <w:color w:val="auto"/>
                      <w:sz w:val="18"/>
                      <w:szCs w:val="18"/>
                      <w:highlight w:val="none"/>
                    </w:rPr>
                  </w:pPr>
                  <w:r>
                    <w:rPr>
                      <w:color w:val="auto"/>
                      <w:sz w:val="18"/>
                      <w:szCs w:val="18"/>
                      <w:highlight w:val="none"/>
                    </w:rPr>
                    <w:t>本项目产生的尾矿泥</w:t>
                  </w:r>
                  <w:r>
                    <w:rPr>
                      <w:rFonts w:hint="eastAsia"/>
                      <w:color w:val="auto"/>
                      <w:sz w:val="18"/>
                      <w:szCs w:val="18"/>
                      <w:highlight w:val="none"/>
                    </w:rPr>
                    <w:t>用于生产人造土壤基质；</w:t>
                  </w:r>
                  <w:r>
                    <w:rPr>
                      <w:color w:val="auto"/>
                      <w:sz w:val="18"/>
                      <w:szCs w:val="18"/>
                      <w:highlight w:val="none"/>
                    </w:rPr>
                    <w:t>废布袋由厂家回收处理</w:t>
                  </w:r>
                  <w:r>
                    <w:rPr>
                      <w:rFonts w:hint="eastAsia"/>
                      <w:color w:val="auto"/>
                      <w:sz w:val="18"/>
                      <w:szCs w:val="18"/>
                      <w:highlight w:val="none"/>
                    </w:rPr>
                    <w:t>；生</w:t>
                  </w:r>
                  <w:r>
                    <w:rPr>
                      <w:color w:val="auto"/>
                      <w:sz w:val="18"/>
                      <w:szCs w:val="18"/>
                      <w:highlight w:val="none"/>
                    </w:rPr>
                    <w:t>活垃圾集中收集后定期委托环卫部门外运处置；废机油</w:t>
                  </w:r>
                  <w:r>
                    <w:rPr>
                      <w:rFonts w:hint="eastAsia"/>
                      <w:color w:val="auto"/>
                      <w:sz w:val="18"/>
                      <w:szCs w:val="18"/>
                      <w:highlight w:val="none"/>
                    </w:rPr>
                    <w:t>、废弃含油抹布手套、废机油桶</w:t>
                  </w:r>
                  <w:r>
                    <w:rPr>
                      <w:color w:val="auto"/>
                      <w:sz w:val="18"/>
                      <w:szCs w:val="18"/>
                      <w:highlight w:val="none"/>
                    </w:rPr>
                    <w:t>暂存</w:t>
                  </w:r>
                  <w:r>
                    <w:rPr>
                      <w:rFonts w:hint="eastAsia"/>
                      <w:color w:val="auto"/>
                      <w:sz w:val="18"/>
                      <w:szCs w:val="18"/>
                      <w:highlight w:val="none"/>
                    </w:rPr>
                    <w:t>厂区内危险废物贮存点</w:t>
                  </w:r>
                  <w:r>
                    <w:rPr>
                      <w:color w:val="auto"/>
                      <w:sz w:val="18"/>
                      <w:szCs w:val="18"/>
                      <w:highlight w:val="none"/>
                    </w:rPr>
                    <w:t>，</w:t>
                  </w:r>
                  <w:r>
                    <w:rPr>
                      <w:rFonts w:hint="eastAsia"/>
                      <w:color w:val="auto"/>
                      <w:sz w:val="18"/>
                      <w:szCs w:val="18"/>
                      <w:highlight w:val="none"/>
                    </w:rPr>
                    <w:t>定期</w:t>
                  </w:r>
                  <w:r>
                    <w:rPr>
                      <w:color w:val="auto"/>
                      <w:sz w:val="18"/>
                      <w:szCs w:val="18"/>
                      <w:highlight w:val="none"/>
                    </w:rPr>
                    <w:t>委托有资质单位处理处置。</w:t>
                  </w:r>
                </w:p>
              </w:tc>
              <w:tc>
                <w:tcPr>
                  <w:tcW w:w="1709" w:type="dxa"/>
                  <w:tcBorders>
                    <w:tl2br w:val="nil"/>
                    <w:tr2bl w:val="nil"/>
                  </w:tcBorders>
                  <w:vAlign w:val="center"/>
                </w:tcPr>
                <w:p w14:paraId="61CBF105">
                  <w:pPr>
                    <w:adjustRightInd w:val="0"/>
                    <w:snapToGrid w:val="0"/>
                    <w:jc w:val="center"/>
                    <w:rPr>
                      <w:color w:val="auto"/>
                      <w:sz w:val="18"/>
                      <w:szCs w:val="18"/>
                      <w:highlight w:val="none"/>
                    </w:rPr>
                  </w:pPr>
                  <w:r>
                    <w:rPr>
                      <w:color w:val="auto"/>
                      <w:sz w:val="18"/>
                      <w:szCs w:val="18"/>
                      <w:highlight w:val="none"/>
                    </w:rPr>
                    <w:t>符合</w:t>
                  </w:r>
                </w:p>
              </w:tc>
            </w:tr>
            <w:tr w14:paraId="46516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2320" w:type="dxa"/>
                  <w:tcBorders>
                    <w:tl2br w:val="nil"/>
                    <w:tr2bl w:val="nil"/>
                  </w:tcBorders>
                  <w:shd w:val="clear" w:color="auto" w:fill="auto"/>
                  <w:vAlign w:val="center"/>
                </w:tcPr>
                <w:p w14:paraId="65F076FF">
                  <w:pPr>
                    <w:adjustRightInd w:val="0"/>
                    <w:snapToGrid w:val="0"/>
                    <w:jc w:val="center"/>
                    <w:rPr>
                      <w:color w:val="auto"/>
                      <w:sz w:val="18"/>
                      <w:szCs w:val="18"/>
                      <w:highlight w:val="none"/>
                    </w:rPr>
                  </w:pPr>
                  <w:r>
                    <w:rPr>
                      <w:color w:val="auto"/>
                      <w:sz w:val="18"/>
                      <w:szCs w:val="18"/>
                      <w:highlight w:val="none"/>
                    </w:rPr>
                    <w:t>危险废物的贮存、包装、处置等应符合GB18597、HJ2042等危险废物专用标准的要求。</w:t>
                  </w:r>
                </w:p>
              </w:tc>
              <w:tc>
                <w:tcPr>
                  <w:tcW w:w="3732" w:type="dxa"/>
                  <w:tcBorders>
                    <w:tl2br w:val="nil"/>
                    <w:tr2bl w:val="nil"/>
                  </w:tcBorders>
                  <w:shd w:val="clear" w:color="auto" w:fill="auto"/>
                  <w:vAlign w:val="center"/>
                </w:tcPr>
                <w:p w14:paraId="0D3FE19E">
                  <w:pPr>
                    <w:adjustRightInd w:val="0"/>
                    <w:snapToGrid w:val="0"/>
                    <w:jc w:val="center"/>
                    <w:rPr>
                      <w:color w:val="auto"/>
                      <w:sz w:val="18"/>
                      <w:szCs w:val="18"/>
                      <w:highlight w:val="none"/>
                    </w:rPr>
                  </w:pPr>
                  <w:r>
                    <w:rPr>
                      <w:color w:val="auto"/>
                      <w:sz w:val="18"/>
                      <w:szCs w:val="18"/>
                      <w:highlight w:val="none"/>
                    </w:rPr>
                    <w:t>本项目废机油</w:t>
                  </w:r>
                  <w:r>
                    <w:rPr>
                      <w:rFonts w:hint="eastAsia"/>
                      <w:color w:val="auto"/>
                      <w:sz w:val="18"/>
                      <w:szCs w:val="18"/>
                      <w:highlight w:val="none"/>
                    </w:rPr>
                    <w:t>、废弃含油抹布手套、废机油桶</w:t>
                  </w:r>
                  <w:r>
                    <w:rPr>
                      <w:color w:val="auto"/>
                      <w:sz w:val="18"/>
                      <w:szCs w:val="18"/>
                      <w:highlight w:val="none"/>
                    </w:rPr>
                    <w:t>的贮存、包装、处置等均符合GB18597、HJ2042等危险废物专用标准的要求。</w:t>
                  </w:r>
                </w:p>
              </w:tc>
              <w:tc>
                <w:tcPr>
                  <w:tcW w:w="1709" w:type="dxa"/>
                  <w:tcBorders>
                    <w:tl2br w:val="nil"/>
                    <w:tr2bl w:val="nil"/>
                  </w:tcBorders>
                  <w:shd w:val="clear" w:color="auto" w:fill="auto"/>
                  <w:vAlign w:val="center"/>
                </w:tcPr>
                <w:p w14:paraId="17804151">
                  <w:pPr>
                    <w:adjustRightInd w:val="0"/>
                    <w:snapToGrid w:val="0"/>
                    <w:jc w:val="center"/>
                    <w:rPr>
                      <w:color w:val="auto"/>
                      <w:sz w:val="18"/>
                      <w:szCs w:val="18"/>
                      <w:highlight w:val="none"/>
                    </w:rPr>
                  </w:pPr>
                  <w:r>
                    <w:rPr>
                      <w:color w:val="auto"/>
                      <w:sz w:val="18"/>
                      <w:szCs w:val="18"/>
                      <w:highlight w:val="none"/>
                    </w:rPr>
                    <w:t>符合</w:t>
                  </w:r>
                </w:p>
              </w:tc>
            </w:tr>
            <w:tr w14:paraId="12D62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7761" w:type="dxa"/>
                  <w:gridSpan w:val="3"/>
                  <w:tcBorders>
                    <w:tl2br w:val="nil"/>
                    <w:tr2bl w:val="nil"/>
                  </w:tcBorders>
                  <w:vAlign w:val="center"/>
                </w:tcPr>
                <w:p w14:paraId="360C593E">
                  <w:pPr>
                    <w:adjustRightInd w:val="0"/>
                    <w:snapToGrid w:val="0"/>
                    <w:jc w:val="center"/>
                    <w:rPr>
                      <w:color w:val="auto"/>
                      <w:sz w:val="18"/>
                      <w:szCs w:val="18"/>
                      <w:highlight w:val="none"/>
                    </w:rPr>
                  </w:pPr>
                  <w:r>
                    <w:rPr>
                      <w:color w:val="auto"/>
                      <w:sz w:val="18"/>
                      <w:szCs w:val="18"/>
                      <w:highlight w:val="none"/>
                    </w:rPr>
                    <w:t>固体废物建材利用污染防治技术要求</w:t>
                  </w:r>
                </w:p>
              </w:tc>
            </w:tr>
            <w:tr w14:paraId="64315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2320" w:type="dxa"/>
                  <w:tcBorders>
                    <w:tl2br w:val="nil"/>
                    <w:tr2bl w:val="nil"/>
                  </w:tcBorders>
                  <w:shd w:val="clear" w:color="auto" w:fill="auto"/>
                  <w:vAlign w:val="center"/>
                </w:tcPr>
                <w:p w14:paraId="6769C7F0">
                  <w:pPr>
                    <w:adjustRightInd w:val="0"/>
                    <w:snapToGrid w:val="0"/>
                    <w:jc w:val="center"/>
                    <w:rPr>
                      <w:color w:val="auto"/>
                      <w:sz w:val="18"/>
                      <w:szCs w:val="18"/>
                      <w:highlight w:val="none"/>
                    </w:rPr>
                  </w:pPr>
                  <w:r>
                    <w:rPr>
                      <w:color w:val="auto"/>
                      <w:sz w:val="18"/>
                      <w:szCs w:val="18"/>
                      <w:highlight w:val="none"/>
                    </w:rPr>
                    <w:t>固体废物建材利用设施应配备必要的废气处理、防止或降低噪声与粉尘处理等污染防治装置。</w:t>
                  </w:r>
                </w:p>
              </w:tc>
              <w:tc>
                <w:tcPr>
                  <w:tcW w:w="3732" w:type="dxa"/>
                  <w:tcBorders>
                    <w:tl2br w:val="nil"/>
                    <w:tr2bl w:val="nil"/>
                  </w:tcBorders>
                  <w:shd w:val="clear" w:color="auto" w:fill="auto"/>
                  <w:vAlign w:val="center"/>
                </w:tcPr>
                <w:p w14:paraId="45F47250">
                  <w:pPr>
                    <w:adjustRightInd w:val="0"/>
                    <w:snapToGrid w:val="0"/>
                    <w:jc w:val="center"/>
                    <w:rPr>
                      <w:color w:val="auto"/>
                      <w:sz w:val="18"/>
                      <w:szCs w:val="18"/>
                      <w:highlight w:val="none"/>
                    </w:rPr>
                  </w:pPr>
                  <w:r>
                    <w:rPr>
                      <w:color w:val="auto"/>
                      <w:sz w:val="18"/>
                      <w:szCs w:val="18"/>
                      <w:highlight w:val="none"/>
                    </w:rPr>
                    <w:t>本项目</w:t>
                  </w:r>
                  <w:r>
                    <w:rPr>
                      <w:rFonts w:hint="eastAsia"/>
                      <w:color w:val="auto"/>
                      <w:sz w:val="18"/>
                      <w:szCs w:val="18"/>
                      <w:highlight w:val="none"/>
                    </w:rPr>
                    <w:t>物料棚</w:t>
                  </w:r>
                  <w:r>
                    <w:rPr>
                      <w:color w:val="auto"/>
                      <w:sz w:val="18"/>
                      <w:szCs w:val="18"/>
                      <w:highlight w:val="none"/>
                    </w:rPr>
                    <w:t>均为钢制框架外覆盖防风抑尘网，并定期洒水降尘。</w:t>
                  </w:r>
                </w:p>
              </w:tc>
              <w:tc>
                <w:tcPr>
                  <w:tcW w:w="1709" w:type="dxa"/>
                  <w:tcBorders>
                    <w:tl2br w:val="nil"/>
                    <w:tr2bl w:val="nil"/>
                  </w:tcBorders>
                  <w:shd w:val="clear" w:color="auto" w:fill="auto"/>
                  <w:vAlign w:val="center"/>
                </w:tcPr>
                <w:p w14:paraId="0BAC9E98">
                  <w:pPr>
                    <w:adjustRightInd w:val="0"/>
                    <w:snapToGrid w:val="0"/>
                    <w:jc w:val="center"/>
                    <w:rPr>
                      <w:color w:val="auto"/>
                      <w:sz w:val="18"/>
                      <w:szCs w:val="18"/>
                      <w:highlight w:val="none"/>
                    </w:rPr>
                  </w:pPr>
                  <w:r>
                    <w:rPr>
                      <w:color w:val="auto"/>
                      <w:sz w:val="18"/>
                      <w:szCs w:val="18"/>
                      <w:highlight w:val="none"/>
                    </w:rPr>
                    <w:t>符合</w:t>
                  </w:r>
                </w:p>
              </w:tc>
            </w:tr>
            <w:tr w14:paraId="070B9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2320" w:type="dxa"/>
                  <w:tcBorders>
                    <w:tl2br w:val="nil"/>
                    <w:tr2bl w:val="nil"/>
                  </w:tcBorders>
                  <w:shd w:val="clear" w:color="auto" w:fill="auto"/>
                  <w:vAlign w:val="center"/>
                </w:tcPr>
                <w:p w14:paraId="3B48802F">
                  <w:pPr>
                    <w:adjustRightInd w:val="0"/>
                    <w:snapToGrid w:val="0"/>
                    <w:jc w:val="center"/>
                    <w:rPr>
                      <w:color w:val="auto"/>
                      <w:sz w:val="18"/>
                      <w:szCs w:val="18"/>
                      <w:highlight w:val="none"/>
                    </w:rPr>
                  </w:pPr>
                  <w:r>
                    <w:rPr>
                      <w:color w:val="auto"/>
                      <w:sz w:val="18"/>
                      <w:szCs w:val="18"/>
                      <w:highlight w:val="none"/>
                    </w:rPr>
                    <w:t>利用固体废物生产砖瓦、轻骨料、集料、玻璃、陶瓷、陶粒、路基材料等建材过程的污染控制执行相关行业污染物排放标准。</w:t>
                  </w:r>
                </w:p>
              </w:tc>
              <w:tc>
                <w:tcPr>
                  <w:tcW w:w="3732" w:type="dxa"/>
                  <w:tcBorders>
                    <w:tl2br w:val="nil"/>
                    <w:tr2bl w:val="nil"/>
                  </w:tcBorders>
                  <w:shd w:val="clear" w:color="auto" w:fill="auto"/>
                  <w:vAlign w:val="center"/>
                </w:tcPr>
                <w:p w14:paraId="33D88DA2">
                  <w:pPr>
                    <w:adjustRightInd w:val="0"/>
                    <w:snapToGrid w:val="0"/>
                    <w:jc w:val="center"/>
                    <w:rPr>
                      <w:color w:val="auto"/>
                      <w:sz w:val="18"/>
                      <w:szCs w:val="18"/>
                      <w:highlight w:val="none"/>
                    </w:rPr>
                  </w:pPr>
                  <w:r>
                    <w:rPr>
                      <w:color w:val="auto"/>
                      <w:sz w:val="18"/>
                      <w:szCs w:val="18"/>
                      <w:highlight w:val="none"/>
                    </w:rPr>
                    <w:t>厂界无组织扬尘</w:t>
                  </w:r>
                  <w:r>
                    <w:rPr>
                      <w:rFonts w:hint="eastAsia"/>
                      <w:color w:val="auto"/>
                      <w:sz w:val="18"/>
                      <w:szCs w:val="18"/>
                      <w:highlight w:val="none"/>
                    </w:rPr>
                    <w:t>执行</w:t>
                  </w:r>
                  <w:r>
                    <w:rPr>
                      <w:color w:val="auto"/>
                      <w:sz w:val="18"/>
                      <w:szCs w:val="18"/>
                      <w:highlight w:val="none"/>
                    </w:rPr>
                    <w:t>《煤炭工业污染物排放标准》（GB20426-2006）表5，车间无组织挥发性有机物执行</w:t>
                  </w:r>
                  <w:r>
                    <w:rPr>
                      <w:rFonts w:hint="eastAsia"/>
                      <w:color w:val="auto"/>
                      <w:sz w:val="18"/>
                      <w:szCs w:val="18"/>
                      <w:highlight w:val="none"/>
                    </w:rPr>
                    <w:t>《</w:t>
                  </w:r>
                  <w:r>
                    <w:rPr>
                      <w:color w:val="auto"/>
                      <w:sz w:val="18"/>
                      <w:szCs w:val="18"/>
                      <w:highlight w:val="none"/>
                    </w:rPr>
                    <w:t>挥发性有机物无组织排放控制标准》（GB37822-2019）附录A厂区内VOCs无组织排放限值；厂界噪声执行《工业企业厂界环境噪声排放标准》（GB2348-2008）</w:t>
                  </w:r>
                  <w:r>
                    <w:rPr>
                      <w:rFonts w:hint="eastAsia"/>
                      <w:color w:val="auto"/>
                      <w:sz w:val="18"/>
                      <w:szCs w:val="18"/>
                      <w:highlight w:val="none"/>
                    </w:rPr>
                    <w:t>3类标准。</w:t>
                  </w:r>
                </w:p>
              </w:tc>
              <w:tc>
                <w:tcPr>
                  <w:tcW w:w="1709" w:type="dxa"/>
                  <w:tcBorders>
                    <w:tl2br w:val="nil"/>
                    <w:tr2bl w:val="nil"/>
                  </w:tcBorders>
                  <w:shd w:val="clear" w:color="auto" w:fill="auto"/>
                  <w:vAlign w:val="center"/>
                </w:tcPr>
                <w:p w14:paraId="2ED0CD5D">
                  <w:pPr>
                    <w:adjustRightInd w:val="0"/>
                    <w:snapToGrid w:val="0"/>
                    <w:jc w:val="center"/>
                    <w:rPr>
                      <w:color w:val="auto"/>
                      <w:sz w:val="18"/>
                      <w:szCs w:val="18"/>
                      <w:highlight w:val="none"/>
                    </w:rPr>
                  </w:pPr>
                  <w:r>
                    <w:rPr>
                      <w:color w:val="auto"/>
                      <w:sz w:val="18"/>
                      <w:szCs w:val="18"/>
                      <w:highlight w:val="none"/>
                    </w:rPr>
                    <w:t>符合</w:t>
                  </w:r>
                </w:p>
              </w:tc>
            </w:tr>
            <w:tr w14:paraId="66DE0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7761" w:type="dxa"/>
                  <w:gridSpan w:val="3"/>
                  <w:tcBorders>
                    <w:tl2br w:val="nil"/>
                    <w:tr2bl w:val="nil"/>
                  </w:tcBorders>
                  <w:vAlign w:val="center"/>
                </w:tcPr>
                <w:p w14:paraId="2817957F">
                  <w:pPr>
                    <w:adjustRightInd w:val="0"/>
                    <w:snapToGrid w:val="0"/>
                    <w:jc w:val="center"/>
                    <w:rPr>
                      <w:color w:val="auto"/>
                      <w:sz w:val="18"/>
                      <w:szCs w:val="18"/>
                      <w:highlight w:val="none"/>
                    </w:rPr>
                  </w:pPr>
                  <w:r>
                    <w:rPr>
                      <w:color w:val="auto"/>
                      <w:sz w:val="18"/>
                      <w:szCs w:val="18"/>
                      <w:highlight w:val="none"/>
                    </w:rPr>
                    <w:t>监测</w:t>
                  </w:r>
                </w:p>
              </w:tc>
            </w:tr>
            <w:tr w14:paraId="78ED9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7" w:hRule="atLeast"/>
              </w:trPr>
              <w:tc>
                <w:tcPr>
                  <w:tcW w:w="2320" w:type="dxa"/>
                  <w:tcBorders>
                    <w:tl2br w:val="nil"/>
                    <w:tr2bl w:val="nil"/>
                  </w:tcBorders>
                  <w:shd w:val="clear" w:color="auto" w:fill="auto"/>
                  <w:vAlign w:val="center"/>
                </w:tcPr>
                <w:p w14:paraId="05AB09EE">
                  <w:pPr>
                    <w:adjustRightInd w:val="0"/>
                    <w:snapToGrid w:val="0"/>
                    <w:jc w:val="center"/>
                    <w:rPr>
                      <w:color w:val="auto"/>
                      <w:sz w:val="18"/>
                      <w:szCs w:val="18"/>
                      <w:highlight w:val="none"/>
                    </w:rPr>
                  </w:pPr>
                  <w:r>
                    <w:rPr>
                      <w:color w:val="auto"/>
                      <w:sz w:val="18"/>
                      <w:szCs w:val="18"/>
                      <w:highlight w:val="none"/>
                    </w:rPr>
                    <w:t>固体废物再生利用企业应在固体废物再生利用过程中，按照相关要求，定期对场所和设施周边的大气、土壤、地表水和地下水等进行采样监测，以判断固体废物再生利用过程是否对大气、土壤、地表水和地下水造成二次污染。</w:t>
                  </w:r>
                </w:p>
              </w:tc>
              <w:tc>
                <w:tcPr>
                  <w:tcW w:w="3732" w:type="dxa"/>
                  <w:tcBorders>
                    <w:tl2br w:val="nil"/>
                    <w:tr2bl w:val="nil"/>
                  </w:tcBorders>
                  <w:shd w:val="clear" w:color="auto" w:fill="auto"/>
                  <w:vAlign w:val="center"/>
                </w:tcPr>
                <w:p w14:paraId="54CC5048">
                  <w:pPr>
                    <w:adjustRightInd w:val="0"/>
                    <w:snapToGrid w:val="0"/>
                    <w:jc w:val="center"/>
                    <w:rPr>
                      <w:color w:val="auto"/>
                      <w:sz w:val="18"/>
                      <w:szCs w:val="18"/>
                      <w:highlight w:val="none"/>
                    </w:rPr>
                  </w:pPr>
                  <w:r>
                    <w:rPr>
                      <w:color w:val="auto"/>
                      <w:sz w:val="18"/>
                      <w:szCs w:val="18"/>
                      <w:highlight w:val="none"/>
                    </w:rPr>
                    <w:t>此次环评要求企业按照《排污单位自行监测技术指南总则》（HJ819-2017）制定环境监测计划。</w:t>
                  </w:r>
                </w:p>
              </w:tc>
              <w:tc>
                <w:tcPr>
                  <w:tcW w:w="1709" w:type="dxa"/>
                  <w:tcBorders>
                    <w:tl2br w:val="nil"/>
                    <w:tr2bl w:val="nil"/>
                  </w:tcBorders>
                  <w:shd w:val="clear" w:color="auto" w:fill="auto"/>
                  <w:vAlign w:val="center"/>
                </w:tcPr>
                <w:p w14:paraId="42C10DF7">
                  <w:pPr>
                    <w:adjustRightInd w:val="0"/>
                    <w:snapToGrid w:val="0"/>
                    <w:jc w:val="center"/>
                    <w:rPr>
                      <w:color w:val="auto"/>
                      <w:sz w:val="18"/>
                      <w:szCs w:val="18"/>
                      <w:highlight w:val="none"/>
                    </w:rPr>
                  </w:pPr>
                  <w:r>
                    <w:rPr>
                      <w:color w:val="auto"/>
                      <w:sz w:val="18"/>
                      <w:szCs w:val="18"/>
                      <w:highlight w:val="none"/>
                    </w:rPr>
                    <w:t>符合</w:t>
                  </w:r>
                </w:p>
              </w:tc>
            </w:tr>
          </w:tbl>
          <w:p w14:paraId="71C104CC">
            <w:pPr>
              <w:spacing w:line="360" w:lineRule="auto"/>
              <w:jc w:val="left"/>
              <w:rPr>
                <w:b/>
                <w:color w:val="auto"/>
                <w:szCs w:val="21"/>
                <w:highlight w:val="none"/>
              </w:rPr>
            </w:pPr>
            <w:r>
              <w:rPr>
                <w:rFonts w:hint="eastAsia"/>
                <w:b/>
                <w:color w:val="auto"/>
                <w:szCs w:val="21"/>
                <w:highlight w:val="none"/>
              </w:rPr>
              <w:t>6 、与《大气污染防治行动计划》（国发〔2013〕37号）的符合性分析</w:t>
            </w:r>
          </w:p>
          <w:p w14:paraId="2BBF4FA4">
            <w:pPr>
              <w:adjustRightInd w:val="0"/>
              <w:snapToGrid w:val="0"/>
              <w:jc w:val="center"/>
              <w:rPr>
                <w:b/>
                <w:bCs/>
                <w:color w:val="auto"/>
                <w:szCs w:val="21"/>
                <w:highlight w:val="none"/>
              </w:rPr>
            </w:pPr>
            <w:r>
              <w:rPr>
                <w:rFonts w:hint="eastAsia"/>
                <w:b/>
                <w:bCs/>
                <w:color w:val="auto"/>
                <w:szCs w:val="21"/>
                <w:highlight w:val="none"/>
              </w:rPr>
              <w:t>表1-6本项目与《大气污染防治行动计划》符合性分析</w:t>
            </w:r>
          </w:p>
          <w:tbl>
            <w:tblPr>
              <w:tblStyle w:val="23"/>
              <w:tblW w:w="77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51"/>
              <w:gridCol w:w="2235"/>
              <w:gridCol w:w="1660"/>
            </w:tblGrid>
            <w:tr w14:paraId="5BDAD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851" w:type="dxa"/>
                  <w:tcBorders>
                    <w:tl2br w:val="nil"/>
                    <w:tr2bl w:val="nil"/>
                  </w:tcBorders>
                  <w:shd w:val="clear" w:color="auto" w:fill="auto"/>
                  <w:vAlign w:val="center"/>
                </w:tcPr>
                <w:p w14:paraId="1CB32B59">
                  <w:pPr>
                    <w:jc w:val="center"/>
                    <w:rPr>
                      <w:color w:val="auto"/>
                      <w:sz w:val="18"/>
                      <w:szCs w:val="18"/>
                      <w:highlight w:val="none"/>
                    </w:rPr>
                  </w:pPr>
                  <w:r>
                    <w:rPr>
                      <w:color w:val="auto"/>
                      <w:sz w:val="18"/>
                      <w:szCs w:val="18"/>
                      <w:highlight w:val="none"/>
                    </w:rPr>
                    <w:t>文件要求</w:t>
                  </w:r>
                </w:p>
              </w:tc>
              <w:tc>
                <w:tcPr>
                  <w:tcW w:w="2235" w:type="dxa"/>
                  <w:tcBorders>
                    <w:tl2br w:val="nil"/>
                    <w:tr2bl w:val="nil"/>
                  </w:tcBorders>
                  <w:shd w:val="clear" w:color="auto" w:fill="auto"/>
                  <w:vAlign w:val="center"/>
                </w:tcPr>
                <w:p w14:paraId="2DC95AC1">
                  <w:pPr>
                    <w:jc w:val="center"/>
                    <w:rPr>
                      <w:color w:val="auto"/>
                      <w:sz w:val="18"/>
                      <w:szCs w:val="18"/>
                      <w:highlight w:val="none"/>
                    </w:rPr>
                  </w:pPr>
                  <w:r>
                    <w:rPr>
                      <w:color w:val="auto"/>
                      <w:sz w:val="18"/>
                      <w:szCs w:val="18"/>
                      <w:highlight w:val="none"/>
                    </w:rPr>
                    <w:t>本项目情况</w:t>
                  </w:r>
                </w:p>
              </w:tc>
              <w:tc>
                <w:tcPr>
                  <w:tcW w:w="1660" w:type="dxa"/>
                  <w:tcBorders>
                    <w:tl2br w:val="nil"/>
                    <w:tr2bl w:val="nil"/>
                  </w:tcBorders>
                  <w:shd w:val="clear" w:color="auto" w:fill="auto"/>
                  <w:vAlign w:val="center"/>
                </w:tcPr>
                <w:p w14:paraId="60CEA6CD">
                  <w:pPr>
                    <w:jc w:val="center"/>
                    <w:rPr>
                      <w:color w:val="auto"/>
                      <w:sz w:val="18"/>
                      <w:szCs w:val="18"/>
                      <w:highlight w:val="none"/>
                    </w:rPr>
                  </w:pPr>
                  <w:r>
                    <w:rPr>
                      <w:color w:val="auto"/>
                      <w:sz w:val="18"/>
                      <w:szCs w:val="18"/>
                      <w:highlight w:val="none"/>
                    </w:rPr>
                    <w:t>符合性</w:t>
                  </w:r>
                </w:p>
              </w:tc>
            </w:tr>
            <w:tr w14:paraId="10421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51" w:type="dxa"/>
                  <w:tcBorders>
                    <w:tl2br w:val="nil"/>
                    <w:tr2bl w:val="nil"/>
                  </w:tcBorders>
                  <w:shd w:val="clear" w:color="auto" w:fill="auto"/>
                  <w:vAlign w:val="center"/>
                </w:tcPr>
                <w:p w14:paraId="5A5A885A">
                  <w:pPr>
                    <w:jc w:val="center"/>
                    <w:rPr>
                      <w:color w:val="auto"/>
                      <w:sz w:val="18"/>
                      <w:szCs w:val="18"/>
                      <w:highlight w:val="none"/>
                    </w:rPr>
                  </w:pPr>
                  <w:r>
                    <w:rPr>
                      <w:color w:val="auto"/>
                      <w:sz w:val="18"/>
                      <w:szCs w:val="18"/>
                      <w:highlight w:val="none"/>
                    </w:rPr>
                    <w:t>一、加大综合治理力度，减少污染物排放（二）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w:t>
                  </w:r>
                </w:p>
              </w:tc>
              <w:tc>
                <w:tcPr>
                  <w:tcW w:w="2235" w:type="dxa"/>
                  <w:tcBorders>
                    <w:tl2br w:val="nil"/>
                    <w:tr2bl w:val="nil"/>
                  </w:tcBorders>
                  <w:vAlign w:val="center"/>
                </w:tcPr>
                <w:p w14:paraId="10E99FB1">
                  <w:pPr>
                    <w:jc w:val="center"/>
                    <w:rPr>
                      <w:color w:val="auto"/>
                      <w:sz w:val="18"/>
                      <w:szCs w:val="18"/>
                      <w:highlight w:val="none"/>
                    </w:rPr>
                  </w:pPr>
                  <w:r>
                    <w:rPr>
                      <w:color w:val="auto"/>
                      <w:sz w:val="18"/>
                      <w:szCs w:val="18"/>
                      <w:highlight w:val="none"/>
                    </w:rPr>
                    <w:t>本项目施工现场设置全封闭围挡墙，严禁敞开式作业，施工现场道路进行地面硬化。渣土运输车辆采取密闭措施。采用道路机械化清扫的低尘作业方式。</w:t>
                  </w:r>
                  <w:r>
                    <w:rPr>
                      <w:rFonts w:hint="eastAsia"/>
                      <w:color w:val="auto"/>
                      <w:sz w:val="18"/>
                      <w:szCs w:val="18"/>
                      <w:highlight w:val="none"/>
                    </w:rPr>
                    <w:t>物料棚</w:t>
                  </w:r>
                  <w:r>
                    <w:rPr>
                      <w:color w:val="auto"/>
                      <w:sz w:val="18"/>
                      <w:szCs w:val="18"/>
                      <w:highlight w:val="none"/>
                    </w:rPr>
                    <w:t>采用防风网遮盖抑尘。</w:t>
                  </w:r>
                </w:p>
              </w:tc>
              <w:tc>
                <w:tcPr>
                  <w:tcW w:w="1660" w:type="dxa"/>
                  <w:tcBorders>
                    <w:tl2br w:val="nil"/>
                    <w:tr2bl w:val="nil"/>
                  </w:tcBorders>
                  <w:vAlign w:val="center"/>
                </w:tcPr>
                <w:p w14:paraId="12AE0056">
                  <w:pPr>
                    <w:jc w:val="center"/>
                    <w:rPr>
                      <w:color w:val="auto"/>
                      <w:sz w:val="18"/>
                      <w:szCs w:val="18"/>
                      <w:highlight w:val="none"/>
                    </w:rPr>
                  </w:pPr>
                  <w:r>
                    <w:rPr>
                      <w:color w:val="auto"/>
                      <w:sz w:val="18"/>
                      <w:szCs w:val="18"/>
                      <w:highlight w:val="none"/>
                    </w:rPr>
                    <w:t>符合</w:t>
                  </w:r>
                </w:p>
              </w:tc>
            </w:tr>
            <w:tr w14:paraId="5BDF4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851" w:type="dxa"/>
                  <w:tcBorders>
                    <w:tl2br w:val="nil"/>
                    <w:tr2bl w:val="nil"/>
                  </w:tcBorders>
                  <w:vAlign w:val="center"/>
                </w:tcPr>
                <w:p w14:paraId="2C001C8E">
                  <w:pPr>
                    <w:jc w:val="center"/>
                    <w:rPr>
                      <w:color w:val="auto"/>
                      <w:sz w:val="18"/>
                      <w:szCs w:val="18"/>
                      <w:highlight w:val="none"/>
                    </w:rPr>
                  </w:pPr>
                  <w:r>
                    <w:rPr>
                      <w:color w:val="auto"/>
                      <w:sz w:val="18"/>
                      <w:szCs w:val="18"/>
                      <w:highlight w:val="none"/>
                    </w:rPr>
                    <w:t>五、严格节能环保准入，优化产业空间布局（十六）调整产业布局。按照主体功能区规划要求，合理确定重点产业发展布局、结构和规模，重大项目原则上布局在优化开发区和重点开发区。所有新、改、扩建项目，必须全部进行环境影响评价；未通过环境影响评价审批的，一律不准开工建设；违规建设的，要依法进行处罚。加强产业政策在产业转移过程中的引导与约束作用，严格限制在生态脆弱或环境敏感地区建设“两高”行业项目。加强对各类产业发展规划的环境影响评价。</w:t>
                  </w:r>
                </w:p>
              </w:tc>
              <w:tc>
                <w:tcPr>
                  <w:tcW w:w="2235" w:type="dxa"/>
                  <w:tcBorders>
                    <w:tl2br w:val="nil"/>
                    <w:tr2bl w:val="nil"/>
                  </w:tcBorders>
                  <w:vAlign w:val="center"/>
                </w:tcPr>
                <w:p w14:paraId="1F468DC9">
                  <w:pPr>
                    <w:jc w:val="center"/>
                    <w:rPr>
                      <w:color w:val="auto"/>
                      <w:sz w:val="18"/>
                      <w:szCs w:val="18"/>
                      <w:highlight w:val="none"/>
                    </w:rPr>
                  </w:pPr>
                  <w:r>
                    <w:rPr>
                      <w:color w:val="auto"/>
                      <w:sz w:val="18"/>
                      <w:szCs w:val="18"/>
                      <w:highlight w:val="none"/>
                    </w:rPr>
                    <w:t>本项目正在进行环境影响评价，获批后，项目进行开工建设。本项目不属于</w:t>
                  </w:r>
                  <w:r>
                    <w:rPr>
                      <w:rFonts w:hint="eastAsia" w:ascii="宋体" w:hAnsi="宋体" w:cs="宋体"/>
                      <w:color w:val="auto"/>
                      <w:sz w:val="18"/>
                      <w:szCs w:val="18"/>
                      <w:highlight w:val="none"/>
                    </w:rPr>
                    <w:t>“两高”行</w:t>
                  </w:r>
                  <w:r>
                    <w:rPr>
                      <w:color w:val="auto"/>
                      <w:sz w:val="18"/>
                      <w:szCs w:val="18"/>
                      <w:highlight w:val="none"/>
                    </w:rPr>
                    <w:t>业，厂址所在地不属于生态脆弱或环境敏感地区。</w:t>
                  </w:r>
                </w:p>
              </w:tc>
              <w:tc>
                <w:tcPr>
                  <w:tcW w:w="1660" w:type="dxa"/>
                  <w:tcBorders>
                    <w:tl2br w:val="nil"/>
                    <w:tr2bl w:val="nil"/>
                  </w:tcBorders>
                  <w:vAlign w:val="center"/>
                </w:tcPr>
                <w:p w14:paraId="64CB2109">
                  <w:pPr>
                    <w:jc w:val="center"/>
                    <w:rPr>
                      <w:color w:val="auto"/>
                      <w:sz w:val="18"/>
                      <w:szCs w:val="18"/>
                      <w:highlight w:val="none"/>
                    </w:rPr>
                  </w:pPr>
                  <w:r>
                    <w:rPr>
                      <w:color w:val="auto"/>
                      <w:sz w:val="18"/>
                      <w:szCs w:val="18"/>
                      <w:highlight w:val="none"/>
                    </w:rPr>
                    <w:t>符合</w:t>
                  </w:r>
                </w:p>
              </w:tc>
            </w:tr>
          </w:tbl>
          <w:p w14:paraId="05C38D0A">
            <w:pPr>
              <w:pStyle w:val="38"/>
              <w:spacing w:beforeLines="0" w:afterLines="0" w:line="360" w:lineRule="auto"/>
              <w:ind w:firstLine="420"/>
              <w:textAlignment w:val="baseline"/>
              <w:rPr>
                <w:color w:val="auto"/>
                <w:sz w:val="21"/>
                <w:szCs w:val="21"/>
                <w:highlight w:val="none"/>
              </w:rPr>
            </w:pPr>
            <w:r>
              <w:rPr>
                <w:rFonts w:hint="eastAsia"/>
                <w:color w:val="auto"/>
                <w:sz w:val="21"/>
                <w:szCs w:val="21"/>
                <w:highlight w:val="none"/>
              </w:rPr>
              <w:t>综上所述，本项目建设符合《大气污染防治行动计划》（国发〔2013〕37 号）中的相关要求。</w:t>
            </w:r>
          </w:p>
          <w:p w14:paraId="4BF0979D">
            <w:pPr>
              <w:pStyle w:val="38"/>
              <w:spacing w:beforeLines="0" w:afterLines="0" w:line="360" w:lineRule="auto"/>
              <w:ind w:firstLine="0" w:firstLineChars="0"/>
              <w:textAlignment w:val="baseline"/>
              <w:rPr>
                <w:b/>
                <w:bCs/>
                <w:color w:val="auto"/>
                <w:sz w:val="21"/>
                <w:szCs w:val="21"/>
                <w:highlight w:val="none"/>
              </w:rPr>
            </w:pPr>
            <w:r>
              <w:rPr>
                <w:rFonts w:hint="eastAsia"/>
                <w:b/>
                <w:bCs/>
                <w:color w:val="auto"/>
                <w:sz w:val="21"/>
                <w:szCs w:val="21"/>
                <w:highlight w:val="none"/>
              </w:rPr>
              <w:t>7 、与《环境空气细颗粒物污染综合防治技术政策》的符合性分析</w:t>
            </w:r>
          </w:p>
          <w:p w14:paraId="0FF474A5">
            <w:pPr>
              <w:pStyle w:val="38"/>
              <w:spacing w:beforeLines="0" w:afterLines="0" w:line="360" w:lineRule="auto"/>
              <w:ind w:firstLine="420"/>
              <w:textAlignment w:val="baseline"/>
              <w:rPr>
                <w:color w:val="auto"/>
                <w:sz w:val="21"/>
                <w:szCs w:val="21"/>
                <w:highlight w:val="none"/>
              </w:rPr>
            </w:pPr>
            <w:r>
              <w:rPr>
                <w:rFonts w:hint="eastAsia"/>
                <w:color w:val="auto"/>
                <w:sz w:val="21"/>
                <w:szCs w:val="21"/>
                <w:highlight w:val="none"/>
              </w:rPr>
              <w:t>文件提出：“五、防治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w:t>
            </w:r>
          </w:p>
          <w:p w14:paraId="1D1A35CD">
            <w:pPr>
              <w:pStyle w:val="38"/>
              <w:spacing w:beforeLines="0" w:afterLines="0" w:line="360" w:lineRule="auto"/>
              <w:ind w:firstLine="420"/>
              <w:textAlignment w:val="baseline"/>
              <w:rPr>
                <w:color w:val="auto"/>
                <w:sz w:val="21"/>
                <w:szCs w:val="21"/>
                <w:highlight w:val="none"/>
              </w:rPr>
            </w:pPr>
            <w:r>
              <w:rPr>
                <w:rFonts w:hint="eastAsia"/>
                <w:color w:val="auto"/>
                <w:sz w:val="21"/>
                <w:szCs w:val="21"/>
                <w:highlight w:val="none"/>
              </w:rPr>
              <w:t>本项目施工现场设置全封闭围挡墙，严禁敞开式作业，施工现场道路进行地面硬化。渣土运输车辆采取密闭措施。采用道路机械化清扫的低尘作业方式。运输车辆采用苫布遮盖，减速慢行，夜间禁止施工。物料棚采用防风网遮盖抑尘。因此，本项目符合《环境空气细颗粒物污染综合防治技术政策》要求。</w:t>
            </w:r>
          </w:p>
          <w:p w14:paraId="588F240D">
            <w:pPr>
              <w:adjustRightInd w:val="0"/>
              <w:snapToGrid w:val="0"/>
              <w:spacing w:line="360" w:lineRule="auto"/>
              <w:jc w:val="left"/>
              <w:rPr>
                <w:b/>
                <w:color w:val="auto"/>
                <w:szCs w:val="21"/>
                <w:highlight w:val="none"/>
              </w:rPr>
            </w:pPr>
            <w:r>
              <w:rPr>
                <w:rFonts w:hint="eastAsia"/>
                <w:b/>
                <w:color w:val="auto"/>
                <w:szCs w:val="21"/>
                <w:highlight w:val="none"/>
                <w:lang w:val="en-US" w:eastAsia="zh-CN"/>
              </w:rPr>
              <w:t>8</w:t>
            </w:r>
            <w:r>
              <w:rPr>
                <w:b/>
                <w:color w:val="auto"/>
                <w:szCs w:val="21"/>
                <w:highlight w:val="none"/>
              </w:rPr>
              <w:t xml:space="preserve"> 、与《黑龙江省大气污染防治条例》（2019年）的符合性分析</w:t>
            </w:r>
          </w:p>
          <w:p w14:paraId="4CA11DE0">
            <w:pPr>
              <w:adjustRightInd w:val="0"/>
              <w:snapToGrid w:val="0"/>
              <w:jc w:val="center"/>
              <w:rPr>
                <w:b/>
                <w:bCs/>
                <w:color w:val="auto"/>
                <w:sz w:val="24"/>
                <w:highlight w:val="none"/>
              </w:rPr>
            </w:pPr>
            <w:r>
              <w:rPr>
                <w:rFonts w:hint="eastAsia"/>
                <w:b/>
                <w:bCs/>
                <w:color w:val="auto"/>
                <w:szCs w:val="21"/>
                <w:highlight w:val="none"/>
              </w:rPr>
              <w:t>表1-7</w:t>
            </w:r>
            <w:r>
              <w:rPr>
                <w:b/>
                <w:bCs/>
                <w:color w:val="auto"/>
                <w:szCs w:val="21"/>
                <w:highlight w:val="none"/>
              </w:rPr>
              <w:t>本项目与《黑龙江省大气污染防治条例》符合性分析</w:t>
            </w:r>
          </w:p>
          <w:tbl>
            <w:tblPr>
              <w:tblStyle w:val="23"/>
              <w:tblW w:w="77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80"/>
              <w:gridCol w:w="3045"/>
              <w:gridCol w:w="1529"/>
            </w:tblGrid>
            <w:tr w14:paraId="5C58A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180" w:type="dxa"/>
                  <w:tcBorders>
                    <w:tl2br w:val="nil"/>
                    <w:tr2bl w:val="nil"/>
                  </w:tcBorders>
                  <w:vAlign w:val="center"/>
                </w:tcPr>
                <w:p w14:paraId="28506EEE">
                  <w:pPr>
                    <w:adjustRightInd w:val="0"/>
                    <w:snapToGrid w:val="0"/>
                    <w:jc w:val="center"/>
                    <w:rPr>
                      <w:color w:val="auto"/>
                      <w:sz w:val="18"/>
                      <w:szCs w:val="18"/>
                      <w:highlight w:val="none"/>
                    </w:rPr>
                  </w:pPr>
                  <w:r>
                    <w:rPr>
                      <w:color w:val="auto"/>
                      <w:sz w:val="18"/>
                      <w:szCs w:val="18"/>
                      <w:highlight w:val="none"/>
                    </w:rPr>
                    <w:t>文件要求</w:t>
                  </w:r>
                </w:p>
              </w:tc>
              <w:tc>
                <w:tcPr>
                  <w:tcW w:w="3045" w:type="dxa"/>
                  <w:tcBorders>
                    <w:tl2br w:val="nil"/>
                    <w:tr2bl w:val="nil"/>
                  </w:tcBorders>
                  <w:vAlign w:val="center"/>
                </w:tcPr>
                <w:p w14:paraId="5B1AB6F6">
                  <w:pPr>
                    <w:adjustRightInd w:val="0"/>
                    <w:snapToGrid w:val="0"/>
                    <w:jc w:val="center"/>
                    <w:rPr>
                      <w:color w:val="auto"/>
                      <w:sz w:val="18"/>
                      <w:szCs w:val="18"/>
                      <w:highlight w:val="none"/>
                    </w:rPr>
                  </w:pPr>
                  <w:r>
                    <w:rPr>
                      <w:color w:val="auto"/>
                      <w:sz w:val="18"/>
                      <w:szCs w:val="18"/>
                      <w:highlight w:val="none"/>
                    </w:rPr>
                    <w:t>本项目情况</w:t>
                  </w:r>
                </w:p>
              </w:tc>
              <w:tc>
                <w:tcPr>
                  <w:tcW w:w="1529" w:type="dxa"/>
                  <w:tcBorders>
                    <w:tl2br w:val="nil"/>
                    <w:tr2bl w:val="nil"/>
                  </w:tcBorders>
                  <w:vAlign w:val="center"/>
                </w:tcPr>
                <w:p w14:paraId="5A259FB9">
                  <w:pPr>
                    <w:adjustRightInd w:val="0"/>
                    <w:snapToGrid w:val="0"/>
                    <w:jc w:val="center"/>
                    <w:rPr>
                      <w:color w:val="auto"/>
                      <w:sz w:val="18"/>
                      <w:szCs w:val="18"/>
                      <w:highlight w:val="none"/>
                    </w:rPr>
                  </w:pPr>
                  <w:r>
                    <w:rPr>
                      <w:color w:val="auto"/>
                      <w:sz w:val="18"/>
                      <w:szCs w:val="18"/>
                      <w:highlight w:val="none"/>
                    </w:rPr>
                    <w:t>符合性</w:t>
                  </w:r>
                </w:p>
              </w:tc>
            </w:tr>
            <w:tr w14:paraId="105E5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jc w:val="center"/>
              </w:trPr>
              <w:tc>
                <w:tcPr>
                  <w:tcW w:w="3180" w:type="dxa"/>
                  <w:tcBorders>
                    <w:tl2br w:val="nil"/>
                    <w:tr2bl w:val="nil"/>
                  </w:tcBorders>
                  <w:vAlign w:val="center"/>
                </w:tcPr>
                <w:p w14:paraId="26C492EF">
                  <w:pPr>
                    <w:adjustRightInd w:val="0"/>
                    <w:snapToGrid w:val="0"/>
                    <w:jc w:val="center"/>
                    <w:rPr>
                      <w:color w:val="auto"/>
                      <w:sz w:val="18"/>
                      <w:szCs w:val="18"/>
                      <w:highlight w:val="none"/>
                    </w:rPr>
                  </w:pPr>
                  <w:r>
                    <w:rPr>
                      <w:color w:val="auto"/>
                      <w:sz w:val="18"/>
                      <w:szCs w:val="18"/>
                      <w:highlight w:val="none"/>
                    </w:rPr>
                    <w:t>第十条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3045" w:type="dxa"/>
                  <w:tcBorders>
                    <w:tl2br w:val="nil"/>
                    <w:tr2bl w:val="nil"/>
                  </w:tcBorders>
                  <w:vAlign w:val="center"/>
                </w:tcPr>
                <w:p w14:paraId="5CC9E8E6">
                  <w:pPr>
                    <w:adjustRightInd w:val="0"/>
                    <w:snapToGrid w:val="0"/>
                    <w:jc w:val="center"/>
                    <w:rPr>
                      <w:color w:val="auto"/>
                      <w:sz w:val="18"/>
                      <w:szCs w:val="18"/>
                      <w:highlight w:val="none"/>
                    </w:rPr>
                  </w:pPr>
                  <w:r>
                    <w:rPr>
                      <w:color w:val="auto"/>
                      <w:sz w:val="18"/>
                      <w:szCs w:val="18"/>
                      <w:highlight w:val="none"/>
                    </w:rPr>
                    <w:t>本项目依法进行环境影响评价、公开环境影响评价文件，项目产生的颗粒物经处理后排放，能够满足大气污染物排放标准。</w:t>
                  </w:r>
                </w:p>
              </w:tc>
              <w:tc>
                <w:tcPr>
                  <w:tcW w:w="1529" w:type="dxa"/>
                  <w:tcBorders>
                    <w:tl2br w:val="nil"/>
                    <w:tr2bl w:val="nil"/>
                  </w:tcBorders>
                  <w:vAlign w:val="center"/>
                </w:tcPr>
                <w:p w14:paraId="3D287B69">
                  <w:pPr>
                    <w:adjustRightInd w:val="0"/>
                    <w:snapToGrid w:val="0"/>
                    <w:jc w:val="center"/>
                    <w:rPr>
                      <w:color w:val="auto"/>
                      <w:sz w:val="18"/>
                      <w:szCs w:val="18"/>
                      <w:highlight w:val="none"/>
                    </w:rPr>
                  </w:pPr>
                  <w:r>
                    <w:rPr>
                      <w:color w:val="auto"/>
                      <w:sz w:val="18"/>
                      <w:szCs w:val="18"/>
                      <w:highlight w:val="none"/>
                    </w:rPr>
                    <w:t>符合</w:t>
                  </w:r>
                </w:p>
              </w:tc>
            </w:tr>
            <w:tr w14:paraId="0EB81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3180" w:type="dxa"/>
                  <w:tcBorders>
                    <w:tl2br w:val="nil"/>
                    <w:tr2bl w:val="nil"/>
                  </w:tcBorders>
                  <w:vAlign w:val="center"/>
                </w:tcPr>
                <w:p w14:paraId="2ADB94D1">
                  <w:pPr>
                    <w:adjustRightInd w:val="0"/>
                    <w:snapToGrid w:val="0"/>
                    <w:jc w:val="center"/>
                    <w:rPr>
                      <w:color w:val="auto"/>
                      <w:sz w:val="18"/>
                      <w:szCs w:val="18"/>
                      <w:highlight w:val="none"/>
                    </w:rPr>
                  </w:pPr>
                  <w:r>
                    <w:rPr>
                      <w:color w:val="auto"/>
                      <w:sz w:val="18"/>
                      <w:szCs w:val="18"/>
                      <w:highlight w:val="none"/>
                    </w:rPr>
                    <w:t>第十一条向大气排放污染物的企业事业单位和其他生产经营者，应当配套建设大气污染防治设施。配套建设的大气污染防治设施，应当与主体工程同时设计、同时施工、同时投产使用，不得擅自拆除或者闲置。</w:t>
                  </w:r>
                </w:p>
              </w:tc>
              <w:tc>
                <w:tcPr>
                  <w:tcW w:w="3045" w:type="dxa"/>
                  <w:tcBorders>
                    <w:tl2br w:val="nil"/>
                    <w:tr2bl w:val="nil"/>
                  </w:tcBorders>
                  <w:vAlign w:val="center"/>
                </w:tcPr>
                <w:p w14:paraId="4AB8845A">
                  <w:pPr>
                    <w:adjustRightInd w:val="0"/>
                    <w:snapToGrid w:val="0"/>
                    <w:jc w:val="center"/>
                    <w:rPr>
                      <w:color w:val="auto"/>
                      <w:sz w:val="18"/>
                      <w:szCs w:val="18"/>
                      <w:highlight w:val="none"/>
                    </w:rPr>
                  </w:pPr>
                  <w:r>
                    <w:rPr>
                      <w:color w:val="auto"/>
                      <w:sz w:val="18"/>
                      <w:szCs w:val="18"/>
                      <w:highlight w:val="none"/>
                    </w:rPr>
                    <w:t>本项目物料采用汽车运输，并用苫布遮盖；定期对厂内运输道路进行洒水降尘；堆场四周设置防风抑尘网，并定期洒水降尘，以减少扬尘产生。</w:t>
                  </w:r>
                </w:p>
              </w:tc>
              <w:tc>
                <w:tcPr>
                  <w:tcW w:w="1529" w:type="dxa"/>
                  <w:tcBorders>
                    <w:tl2br w:val="nil"/>
                    <w:tr2bl w:val="nil"/>
                  </w:tcBorders>
                  <w:vAlign w:val="center"/>
                </w:tcPr>
                <w:p w14:paraId="3446CA2F">
                  <w:pPr>
                    <w:adjustRightInd w:val="0"/>
                    <w:snapToGrid w:val="0"/>
                    <w:jc w:val="center"/>
                    <w:rPr>
                      <w:color w:val="auto"/>
                      <w:sz w:val="18"/>
                      <w:szCs w:val="18"/>
                      <w:highlight w:val="none"/>
                    </w:rPr>
                  </w:pPr>
                  <w:r>
                    <w:rPr>
                      <w:color w:val="auto"/>
                      <w:sz w:val="18"/>
                      <w:szCs w:val="18"/>
                      <w:highlight w:val="none"/>
                    </w:rPr>
                    <w:t>符合</w:t>
                  </w:r>
                </w:p>
              </w:tc>
            </w:tr>
          </w:tbl>
          <w:p w14:paraId="5B832AC4">
            <w:pPr>
              <w:spacing w:line="360" w:lineRule="auto"/>
              <w:ind w:firstLine="420" w:firstLineChars="200"/>
              <w:rPr>
                <w:color w:val="auto"/>
                <w:szCs w:val="21"/>
                <w:highlight w:val="none"/>
              </w:rPr>
            </w:pPr>
            <w:r>
              <w:rPr>
                <w:rFonts w:hint="eastAsia"/>
                <w:color w:val="auto"/>
                <w:szCs w:val="21"/>
                <w:highlight w:val="none"/>
              </w:rPr>
              <w:t>综上，本项目的建设符合《黑龙江省大气污染防治条例》中的相关政策要求。</w:t>
            </w:r>
          </w:p>
          <w:p w14:paraId="6148227A">
            <w:pPr>
              <w:adjustRightInd w:val="0"/>
              <w:snapToGrid w:val="0"/>
              <w:spacing w:line="360" w:lineRule="auto"/>
              <w:jc w:val="left"/>
              <w:rPr>
                <w:b/>
                <w:bCs/>
                <w:color w:val="auto"/>
                <w:szCs w:val="21"/>
                <w:highlight w:val="none"/>
              </w:rPr>
            </w:pPr>
            <w:r>
              <w:rPr>
                <w:rFonts w:hint="eastAsia"/>
                <w:b/>
                <w:bCs/>
                <w:color w:val="auto"/>
                <w:szCs w:val="21"/>
                <w:highlight w:val="none"/>
                <w:lang w:val="en-US" w:eastAsia="zh-CN"/>
              </w:rPr>
              <w:t>9</w:t>
            </w:r>
            <w:r>
              <w:rPr>
                <w:b/>
                <w:bCs/>
                <w:color w:val="auto"/>
                <w:szCs w:val="21"/>
                <w:highlight w:val="none"/>
              </w:rPr>
              <w:t>、与《水污染防治行动计划》（国发〔2015〕17号）符合性分析</w:t>
            </w:r>
          </w:p>
          <w:p w14:paraId="3565E921">
            <w:pPr>
              <w:adjustRightInd w:val="0"/>
              <w:snapToGrid w:val="0"/>
              <w:spacing w:line="360" w:lineRule="auto"/>
              <w:ind w:firstLine="420" w:firstLineChars="200"/>
              <w:jc w:val="left"/>
              <w:rPr>
                <w:color w:val="auto"/>
                <w:szCs w:val="21"/>
                <w:highlight w:val="none"/>
              </w:rPr>
            </w:pPr>
            <w:r>
              <w:rPr>
                <w:color w:val="auto"/>
                <w:szCs w:val="21"/>
                <w:highlight w:val="none"/>
              </w:rPr>
              <w:t>《水污染防治行动计划》（国发〔2015〕17号）提出：推进循环发展。加强工业水循环利用。推进矿井水综合利用，煤炭矿区的补充用水、周边地区生产和生态用水应优先使用矿井水，加强洗煤废水循环利用。</w:t>
            </w:r>
          </w:p>
          <w:p w14:paraId="0579BF84">
            <w:pPr>
              <w:adjustRightInd w:val="0"/>
              <w:snapToGrid w:val="0"/>
              <w:spacing w:line="360" w:lineRule="auto"/>
              <w:ind w:firstLine="420" w:firstLineChars="200"/>
              <w:jc w:val="left"/>
              <w:rPr>
                <w:color w:val="auto"/>
                <w:szCs w:val="21"/>
                <w:highlight w:val="none"/>
              </w:rPr>
            </w:pPr>
            <w:r>
              <w:rPr>
                <w:color w:val="auto"/>
                <w:szCs w:val="21"/>
                <w:highlight w:val="none"/>
              </w:rPr>
              <w:t>本项目生产用水来源于</w:t>
            </w:r>
            <w:r>
              <w:rPr>
                <w:rFonts w:hint="eastAsia"/>
                <w:color w:val="auto"/>
                <w:szCs w:val="21"/>
                <w:highlight w:val="none"/>
              </w:rPr>
              <w:t>罐车拉运</w:t>
            </w:r>
            <w:r>
              <w:rPr>
                <w:color w:val="auto"/>
                <w:szCs w:val="21"/>
                <w:highlight w:val="none"/>
              </w:rPr>
              <w:t>，浮选生产线产生的废水循环利用，不外排；</w:t>
            </w:r>
            <w:r>
              <w:rPr>
                <w:rFonts w:hint="eastAsia"/>
                <w:color w:val="auto"/>
                <w:szCs w:val="21"/>
                <w:highlight w:val="none"/>
              </w:rPr>
              <w:t>人造土壤基质</w:t>
            </w:r>
            <w:r>
              <w:rPr>
                <w:color w:val="auto"/>
                <w:szCs w:val="21"/>
                <w:highlight w:val="none"/>
              </w:rPr>
              <w:t>生产无生产废水产生</w:t>
            </w:r>
            <w:r>
              <w:rPr>
                <w:rFonts w:hint="eastAsia"/>
                <w:color w:val="auto"/>
                <w:szCs w:val="21"/>
                <w:highlight w:val="none"/>
              </w:rPr>
              <w:t>；</w:t>
            </w:r>
            <w:r>
              <w:rPr>
                <w:color w:val="auto"/>
                <w:szCs w:val="21"/>
                <w:highlight w:val="none"/>
              </w:rPr>
              <w:t>因此本项目符合文件要求。</w:t>
            </w:r>
          </w:p>
          <w:p w14:paraId="765508C5">
            <w:pPr>
              <w:adjustRightInd w:val="0"/>
              <w:snapToGrid w:val="0"/>
              <w:spacing w:line="360" w:lineRule="auto"/>
              <w:jc w:val="left"/>
              <w:rPr>
                <w:b/>
                <w:bCs/>
                <w:color w:val="auto"/>
                <w:szCs w:val="21"/>
                <w:highlight w:val="none"/>
              </w:rPr>
            </w:pPr>
            <w:r>
              <w:rPr>
                <w:b/>
                <w:bCs/>
                <w:color w:val="auto"/>
                <w:szCs w:val="21"/>
                <w:highlight w:val="none"/>
              </w:rPr>
              <w:t>11、与《黑龙江省水污染防治工作方案》（黑政发〔2016〕3号）符合性分析</w:t>
            </w:r>
          </w:p>
          <w:p w14:paraId="47EEF9D2">
            <w:pPr>
              <w:adjustRightInd w:val="0"/>
              <w:snapToGrid w:val="0"/>
              <w:spacing w:line="360" w:lineRule="auto"/>
              <w:ind w:firstLine="420" w:firstLineChars="200"/>
              <w:jc w:val="left"/>
              <w:rPr>
                <w:color w:val="auto"/>
                <w:szCs w:val="21"/>
                <w:highlight w:val="none"/>
              </w:rPr>
            </w:pPr>
            <w:r>
              <w:rPr>
                <w:color w:val="auto"/>
                <w:szCs w:val="21"/>
                <w:highlight w:val="none"/>
              </w:rPr>
              <w:t>《黑龙江省水污染防治工作方案》（黑政发〔2016〕3号）提出：加强工业水循环利用。以龙煤集团为重点，大力推进矿井水综合利用，满足周边农业、高耗水工业和缺水地区居民生活用水需求。加强洗煤废水循环利用。到2020年，国有重点煤矿矿井水综合利用率达到75%。鼓励高耗水企业废水深度处理回用，到2020年，全省工业用水重复利用率不低于95%。</w:t>
            </w:r>
          </w:p>
          <w:p w14:paraId="24523045">
            <w:pPr>
              <w:adjustRightInd w:val="0"/>
              <w:snapToGrid w:val="0"/>
              <w:spacing w:line="360" w:lineRule="auto"/>
              <w:ind w:firstLine="420" w:firstLineChars="200"/>
              <w:jc w:val="left"/>
              <w:rPr>
                <w:color w:val="auto"/>
                <w:szCs w:val="21"/>
                <w:highlight w:val="none"/>
              </w:rPr>
            </w:pPr>
            <w:r>
              <w:rPr>
                <w:color w:val="auto"/>
                <w:szCs w:val="21"/>
                <w:highlight w:val="none"/>
              </w:rPr>
              <w:t>本项目生产用水来源于</w:t>
            </w:r>
            <w:r>
              <w:rPr>
                <w:rFonts w:hint="eastAsia"/>
                <w:color w:val="auto"/>
                <w:szCs w:val="21"/>
                <w:highlight w:val="none"/>
              </w:rPr>
              <w:t>罐车拉运</w:t>
            </w:r>
            <w:r>
              <w:rPr>
                <w:color w:val="auto"/>
                <w:szCs w:val="21"/>
                <w:highlight w:val="none"/>
              </w:rPr>
              <w:t>，浮选生产线产生的废水循环利用，不外排；</w:t>
            </w:r>
            <w:r>
              <w:rPr>
                <w:rFonts w:hint="eastAsia"/>
                <w:color w:val="auto"/>
                <w:szCs w:val="21"/>
                <w:highlight w:val="none"/>
              </w:rPr>
              <w:t>人造土壤基质</w:t>
            </w:r>
            <w:r>
              <w:rPr>
                <w:color w:val="auto"/>
                <w:szCs w:val="21"/>
                <w:highlight w:val="none"/>
              </w:rPr>
              <w:t>生产无生产废水产生</w:t>
            </w:r>
            <w:r>
              <w:rPr>
                <w:rFonts w:hint="eastAsia"/>
                <w:color w:val="auto"/>
                <w:szCs w:val="21"/>
                <w:highlight w:val="none"/>
              </w:rPr>
              <w:t>；</w:t>
            </w:r>
            <w:r>
              <w:rPr>
                <w:color w:val="auto"/>
                <w:szCs w:val="21"/>
                <w:highlight w:val="none"/>
              </w:rPr>
              <w:t>因此本项目符合文件要求。</w:t>
            </w:r>
          </w:p>
          <w:p w14:paraId="3A4D07FB">
            <w:pPr>
              <w:spacing w:line="360" w:lineRule="auto"/>
              <w:jc w:val="left"/>
              <w:rPr>
                <w:rFonts w:hint="eastAsia" w:ascii="Times New Roman" w:hAnsi="Times New Roman" w:eastAsia="宋体" w:cs="Times New Roman"/>
                <w:b/>
                <w:bCs w:val="0"/>
                <w:color w:val="auto"/>
                <w:sz w:val="21"/>
                <w:szCs w:val="21"/>
                <w:highlight w:val="none"/>
                <w:lang w:val="en-US" w:eastAsia="zh-CN"/>
              </w:rPr>
            </w:pPr>
            <w:r>
              <w:rPr>
                <w:rFonts w:hint="eastAsia" w:cs="Times New Roman"/>
                <w:b/>
                <w:bCs w:val="0"/>
                <w:color w:val="auto"/>
                <w:sz w:val="21"/>
                <w:szCs w:val="21"/>
                <w:highlight w:val="none"/>
                <w:lang w:val="en-US" w:eastAsia="zh-CN"/>
              </w:rPr>
              <w:t>10、与</w:t>
            </w:r>
            <w:r>
              <w:rPr>
                <w:rFonts w:hint="default" w:ascii="Times New Roman" w:hAnsi="Times New Roman" w:eastAsia="宋体" w:cs="Times New Roman"/>
                <w:b/>
                <w:bCs w:val="0"/>
                <w:color w:val="auto"/>
                <w:sz w:val="21"/>
                <w:szCs w:val="21"/>
                <w:highlight w:val="none"/>
                <w:lang w:val="en-US" w:eastAsia="zh-CN"/>
              </w:rPr>
              <w:t>《国务院办公厅关于加快构建废弃物循环利用体系的意见》</w:t>
            </w:r>
            <w:r>
              <w:rPr>
                <w:rFonts w:hint="eastAsia" w:ascii="Times New Roman" w:hAnsi="Times New Roman" w:eastAsia="宋体" w:cs="Times New Roman"/>
                <w:b/>
                <w:bCs w:val="0"/>
                <w:color w:val="auto"/>
                <w:sz w:val="21"/>
                <w:szCs w:val="21"/>
                <w:highlight w:val="none"/>
                <w:lang w:val="en-US" w:eastAsia="zh-CN"/>
              </w:rPr>
              <w:t>符合性分析</w:t>
            </w:r>
          </w:p>
          <w:p w14:paraId="76B6AF07">
            <w:pPr>
              <w:widowControl w:val="0"/>
              <w:spacing w:line="360" w:lineRule="auto"/>
              <w:ind w:firstLine="420" w:firstLineChars="200"/>
              <w:rPr>
                <w:rFonts w:hint="eastAsia"/>
                <w:color w:val="auto"/>
                <w:highlight w:val="none"/>
              </w:rPr>
            </w:pPr>
            <w:r>
              <w:rPr>
                <w:rFonts w:hint="eastAsia"/>
                <w:color w:val="auto"/>
                <w:highlight w:val="none"/>
              </w:rPr>
              <w:t>一、总体要求</w:t>
            </w:r>
            <w:r>
              <w:rPr>
                <w:rFonts w:hint="eastAsia"/>
                <w:color w:val="auto"/>
                <w:highlight w:val="none"/>
                <w:lang w:eastAsia="zh-CN"/>
              </w:rPr>
              <w:t>、</w:t>
            </w:r>
            <w:r>
              <w:rPr>
                <w:rFonts w:hint="eastAsia"/>
                <w:color w:val="auto"/>
                <w:highlight w:val="none"/>
              </w:rPr>
              <w:t>加快构建废弃物循环利用体系，要以习近平新时代中国特色社会主义思想为指导，深入贯彻党的二十大精神，全面贯彻习近平生态文明思想，完整、准确、全面贯彻新发展理念，加快构建新发展格局，着力推动高质量发展，遵循减量化、再利用、资源化的循环经济理念，以提高资源利用效率为目标，以废弃物精细管理、有效回收、高效利用为路径，覆盖生产生活各领域，发展资源循环利用产业，健全激励约束机制，加快构建覆盖全面、运转高效、规范有序的废弃物循环利用体系，为高质量发展厚植绿色低碳根基，助力全面建设美丽中国。</w:t>
            </w:r>
          </w:p>
          <w:p w14:paraId="2E846574">
            <w:pPr>
              <w:widowControl w:val="0"/>
              <w:spacing w:line="360" w:lineRule="auto"/>
              <w:ind w:firstLine="420" w:firstLineChars="200"/>
              <w:rPr>
                <w:rFonts w:hint="eastAsia"/>
                <w:color w:val="auto"/>
                <w:highlight w:val="none"/>
              </w:rPr>
            </w:pPr>
            <w:r>
              <w:rPr>
                <w:rFonts w:hint="eastAsia"/>
                <w:color w:val="auto"/>
                <w:highlight w:val="none"/>
              </w:rPr>
              <w:t>到2025年，初步建成覆盖各领域、各环节的废弃物循环利用体系，主要废弃物循环利用取得积极进展。尾矿、粉煤灰、煤矸石、冶炼渣、工业副产石膏、建筑垃圾、秸秆等大宗固体废弃物年利用量达到40亿吨，新增大宗固体废弃物综合利用率达到60%。废钢铁、废铜、废铝、废铅、废锌、废纸、废塑料、废橡胶、废玻璃等主要再生资源年利用量达到4.5亿吨。资源循环利用产业年产值达到5万亿元。</w:t>
            </w:r>
          </w:p>
          <w:p w14:paraId="7196EAF8">
            <w:pPr>
              <w:widowControl w:val="0"/>
              <w:spacing w:line="360" w:lineRule="auto"/>
              <w:ind w:firstLine="420" w:firstLineChars="200"/>
              <w:rPr>
                <w:rFonts w:hint="eastAsia"/>
                <w:color w:val="auto"/>
                <w:highlight w:val="none"/>
              </w:rPr>
            </w:pPr>
            <w:r>
              <w:rPr>
                <w:rFonts w:hint="eastAsia"/>
                <w:color w:val="auto"/>
                <w:highlight w:val="none"/>
              </w:rPr>
              <w:t>二、推进废弃物精细管理和有效回收</w:t>
            </w:r>
          </w:p>
          <w:p w14:paraId="343D31CE">
            <w:pPr>
              <w:widowControl w:val="0"/>
              <w:spacing w:line="360" w:lineRule="auto"/>
              <w:ind w:firstLine="420" w:firstLineChars="200"/>
              <w:rPr>
                <w:rFonts w:hint="eastAsia"/>
                <w:color w:val="auto"/>
                <w:highlight w:val="none"/>
              </w:rPr>
            </w:pPr>
            <w:r>
              <w:rPr>
                <w:color w:val="auto"/>
                <w:highlight w:val="none"/>
              </w:rPr>
              <w:t>（一）加强工业废弃物精细管理。</w:t>
            </w:r>
            <w:r>
              <w:rPr>
                <w:rFonts w:hint="eastAsia"/>
                <w:color w:val="auto"/>
                <w:highlight w:val="none"/>
              </w:rPr>
              <w:t>压实废弃物产生单位主体责任，完善一般工业固体废弃物管理台账制度。推进工业固体废弃物分类收集、分类贮存，防范混堆混排，为资源循环利用预留条件。全面摸底排查历史遗留固体废弃物堆存场，实施分级分类整改，督促贮存量大的企业加强资源循环利用。完善工业废水收集处理设施。鼓励废弃物产生单位与利用单位开展点对点定向合作。</w:t>
            </w:r>
          </w:p>
          <w:p w14:paraId="42F73080">
            <w:pPr>
              <w:widowControl w:val="0"/>
              <w:spacing w:line="360" w:lineRule="auto"/>
              <w:ind w:firstLine="420" w:firstLineChars="200"/>
              <w:rPr>
                <w:rFonts w:hint="eastAsia"/>
                <w:color w:val="auto"/>
                <w:highlight w:val="none"/>
              </w:rPr>
            </w:pPr>
            <w:r>
              <w:rPr>
                <w:rFonts w:hint="eastAsia"/>
                <w:color w:val="auto"/>
                <w:highlight w:val="none"/>
              </w:rPr>
              <w:t>三、提高废弃物资源化和再利用水平</w:t>
            </w:r>
          </w:p>
          <w:p w14:paraId="7BB01561">
            <w:pPr>
              <w:widowControl w:val="0"/>
              <w:spacing w:line="360" w:lineRule="auto"/>
              <w:ind w:firstLine="420" w:firstLineChars="200"/>
              <w:rPr>
                <w:rFonts w:hint="eastAsia"/>
                <w:color w:val="auto"/>
                <w:highlight w:val="none"/>
              </w:rPr>
            </w:pPr>
            <w:r>
              <w:rPr>
                <w:color w:val="auto"/>
                <w:highlight w:val="none"/>
              </w:rPr>
              <w:t>（四）强化大宗固体废弃物综合利用。</w:t>
            </w:r>
            <w:r>
              <w:rPr>
                <w:rFonts w:hint="eastAsia"/>
                <w:color w:val="auto"/>
                <w:highlight w:val="none"/>
              </w:rPr>
              <w:t>进一步拓宽大宗固体废弃物综合利用渠道，在符合环境质量标准和要求前提下，加强综合利用产品在建筑领域推广应用，畅通井下充填、生态修复、路基材料等利用消纳渠道，促进尾矿、冶炼渣中有价组分高效提取和清洁利用。加大复杂难用工业固体废弃物规模化利用技术装备研发力度。持续推进秸秆综合利用工作。</w:t>
            </w:r>
          </w:p>
          <w:p w14:paraId="776C242F">
            <w:pPr>
              <w:widowControl w:val="0"/>
              <w:spacing w:line="360" w:lineRule="auto"/>
              <w:ind w:firstLine="420" w:firstLineChars="200"/>
              <w:rPr>
                <w:rFonts w:hint="eastAsia"/>
                <w:color w:val="auto"/>
                <w:highlight w:val="none"/>
                <w:lang w:val="en-US" w:eastAsia="zh-CN"/>
              </w:rPr>
            </w:pPr>
            <w:r>
              <w:rPr>
                <w:color w:val="auto"/>
                <w:szCs w:val="21"/>
                <w:highlight w:val="none"/>
              </w:rPr>
              <w:t>本项目通过将煤炭一次洗选后的煤泥进行</w:t>
            </w:r>
            <w:r>
              <w:rPr>
                <w:rFonts w:hint="eastAsia"/>
                <w:color w:val="auto"/>
                <w:szCs w:val="21"/>
                <w:highlight w:val="none"/>
              </w:rPr>
              <w:t>浮选</w:t>
            </w:r>
            <w:r>
              <w:rPr>
                <w:color w:val="auto"/>
                <w:szCs w:val="21"/>
                <w:highlight w:val="none"/>
              </w:rPr>
              <w:t>，</w:t>
            </w:r>
            <w:r>
              <w:rPr>
                <w:rFonts w:hint="eastAsia"/>
                <w:color w:val="auto"/>
                <w:szCs w:val="21"/>
                <w:highlight w:val="none"/>
              </w:rPr>
              <w:t>产生的产品精煤、中煤外售，</w:t>
            </w:r>
            <w:r>
              <w:rPr>
                <w:color w:val="auto"/>
                <w:szCs w:val="21"/>
                <w:highlight w:val="none"/>
              </w:rPr>
              <w:t>产生的一般工业固体废物尾矿泥用于生产</w:t>
            </w:r>
            <w:r>
              <w:rPr>
                <w:rFonts w:hint="eastAsia"/>
                <w:color w:val="auto"/>
                <w:szCs w:val="21"/>
                <w:highlight w:val="none"/>
              </w:rPr>
              <w:t>人造土壤基质</w:t>
            </w:r>
            <w:r>
              <w:rPr>
                <w:rFonts w:hint="eastAsia"/>
                <w:color w:val="auto"/>
                <w:szCs w:val="21"/>
                <w:highlight w:val="none"/>
                <w:lang w:val="en-US" w:eastAsia="zh-CN"/>
              </w:rPr>
              <w:t>用于生态修复</w:t>
            </w:r>
            <w:r>
              <w:rPr>
                <w:rFonts w:hint="eastAsia"/>
                <w:color w:val="auto"/>
                <w:szCs w:val="21"/>
                <w:highlight w:val="none"/>
                <w:lang w:eastAsia="zh-CN"/>
              </w:rPr>
              <w:t>，</w:t>
            </w:r>
            <w:r>
              <w:rPr>
                <w:rFonts w:hint="eastAsia"/>
                <w:color w:val="auto"/>
                <w:szCs w:val="21"/>
                <w:highlight w:val="none"/>
                <w:lang w:val="en-US" w:eastAsia="zh-CN"/>
              </w:rPr>
              <w:t>并且可以同步利用工业副产石膏、炉渣、粉煤灰、秸秆水处理污泥等固体废物</w:t>
            </w:r>
            <w:r>
              <w:rPr>
                <w:color w:val="auto"/>
                <w:szCs w:val="21"/>
                <w:highlight w:val="none"/>
              </w:rPr>
              <w:t>。本项目的建设</w:t>
            </w:r>
            <w:r>
              <w:rPr>
                <w:rFonts w:hint="eastAsia"/>
                <w:color w:val="auto"/>
                <w:szCs w:val="21"/>
                <w:highlight w:val="none"/>
                <w:lang w:val="en-US" w:eastAsia="zh-CN"/>
              </w:rPr>
              <w:t>符合意见中</w:t>
            </w:r>
            <w:r>
              <w:rPr>
                <w:rFonts w:hint="eastAsia"/>
                <w:color w:val="auto"/>
                <w:highlight w:val="none"/>
              </w:rPr>
              <w:t>提高废弃物资源化和再利用水平</w:t>
            </w:r>
            <w:r>
              <w:rPr>
                <w:rFonts w:hint="eastAsia"/>
                <w:color w:val="auto"/>
                <w:highlight w:val="none"/>
                <w:lang w:val="en-US" w:eastAsia="zh-CN"/>
              </w:rPr>
              <w:t>的</w:t>
            </w:r>
            <w:r>
              <w:rPr>
                <w:color w:val="auto"/>
                <w:szCs w:val="21"/>
                <w:highlight w:val="none"/>
              </w:rPr>
              <w:t>要求，</w:t>
            </w:r>
            <w:r>
              <w:rPr>
                <w:rFonts w:hint="eastAsia"/>
                <w:color w:val="auto"/>
                <w:szCs w:val="21"/>
                <w:highlight w:val="none"/>
                <w:lang w:val="en-US" w:eastAsia="zh-CN"/>
              </w:rPr>
              <w:t>项目运营后严格执行</w:t>
            </w:r>
            <w:r>
              <w:rPr>
                <w:rFonts w:hint="eastAsia"/>
                <w:color w:val="auto"/>
                <w:highlight w:val="none"/>
              </w:rPr>
              <w:t>一般工业固体废弃物管理台账制度</w:t>
            </w:r>
            <w:r>
              <w:rPr>
                <w:rFonts w:hint="eastAsia"/>
                <w:color w:val="auto"/>
                <w:highlight w:val="none"/>
                <w:lang w:eastAsia="zh-CN"/>
              </w:rPr>
              <w:t>，</w:t>
            </w:r>
            <w:r>
              <w:rPr>
                <w:rFonts w:hint="eastAsia"/>
                <w:color w:val="auto"/>
                <w:highlight w:val="none"/>
                <w:lang w:val="en-US" w:eastAsia="zh-CN"/>
              </w:rPr>
              <w:t>设置物料棚分区贮存工业固体废物，符合意见中</w:t>
            </w:r>
            <w:r>
              <w:rPr>
                <w:rFonts w:hint="eastAsia"/>
                <w:color w:val="auto"/>
                <w:highlight w:val="none"/>
              </w:rPr>
              <w:t>推进废弃物精细管理</w:t>
            </w:r>
            <w:r>
              <w:rPr>
                <w:rFonts w:hint="eastAsia"/>
                <w:color w:val="auto"/>
                <w:highlight w:val="none"/>
                <w:lang w:val="en-US" w:eastAsia="zh-CN"/>
              </w:rPr>
              <w:t>的要求。</w:t>
            </w:r>
          </w:p>
          <w:p w14:paraId="5CA61D56">
            <w:pPr>
              <w:widowControl w:val="0"/>
              <w:spacing w:line="360" w:lineRule="auto"/>
              <w:ind w:firstLine="420" w:firstLineChars="200"/>
              <w:rPr>
                <w:rFonts w:hint="eastAsia" w:ascii="Times New Roman" w:hAnsi="Times New Roman" w:eastAsia="宋体" w:cs="Times New Roman"/>
                <w:b w:val="0"/>
                <w:bCs w:val="0"/>
                <w:color w:val="auto"/>
                <w:sz w:val="21"/>
                <w:szCs w:val="21"/>
                <w:highlight w:val="none"/>
                <w:lang w:val="en-US" w:eastAsia="zh-CN"/>
              </w:rPr>
            </w:pPr>
            <w:r>
              <w:rPr>
                <w:rFonts w:hint="eastAsia"/>
                <w:b w:val="0"/>
                <w:bCs w:val="0"/>
                <w:color w:val="auto"/>
                <w:highlight w:val="none"/>
                <w:lang w:val="en-US" w:eastAsia="zh-CN"/>
              </w:rPr>
              <w:t>综上所述，本项目的建设符合</w:t>
            </w:r>
            <w:r>
              <w:rPr>
                <w:rFonts w:hint="default" w:ascii="Times New Roman" w:hAnsi="Times New Roman" w:eastAsia="宋体" w:cs="Times New Roman"/>
                <w:b w:val="0"/>
                <w:bCs w:val="0"/>
                <w:color w:val="auto"/>
                <w:sz w:val="21"/>
                <w:szCs w:val="21"/>
                <w:highlight w:val="none"/>
                <w:lang w:val="en-US" w:eastAsia="zh-CN"/>
              </w:rPr>
              <w:t>《国务院办公厅关于加快构建废弃物循环利用体系的意见》</w:t>
            </w:r>
            <w:r>
              <w:rPr>
                <w:rFonts w:hint="eastAsia" w:ascii="Times New Roman" w:hAnsi="Times New Roman" w:eastAsia="宋体" w:cs="Times New Roman"/>
                <w:b w:val="0"/>
                <w:bCs w:val="0"/>
                <w:color w:val="auto"/>
                <w:sz w:val="21"/>
                <w:szCs w:val="21"/>
                <w:highlight w:val="none"/>
                <w:lang w:val="en-US" w:eastAsia="zh-CN"/>
              </w:rPr>
              <w:t>。</w:t>
            </w:r>
          </w:p>
          <w:p w14:paraId="7D339C2F">
            <w:pPr>
              <w:spacing w:line="360" w:lineRule="auto"/>
              <w:rPr>
                <w:rFonts w:hint="default" w:ascii="Times New Roman" w:hAnsi="Times New Roman" w:cs="Times New Roman"/>
                <w:i w:val="0"/>
                <w:iCs w:val="0"/>
                <w:color w:val="auto"/>
                <w:szCs w:val="21"/>
                <w:highlight w:val="none"/>
                <w:lang w:val="en-US"/>
              </w:rPr>
            </w:pPr>
            <w:r>
              <w:rPr>
                <w:rFonts w:hint="eastAsia" w:cs="Times New Roman"/>
                <w:b/>
                <w:bCs/>
                <w:color w:val="auto"/>
                <w:sz w:val="21"/>
                <w:szCs w:val="21"/>
                <w:highlight w:val="none"/>
                <w:lang w:val="en-US" w:eastAsia="zh-CN"/>
              </w:rPr>
              <w:t>11、</w:t>
            </w:r>
            <w:r>
              <w:rPr>
                <w:rFonts w:hint="default" w:ascii="Times New Roman" w:hAnsi="Times New Roman" w:cs="Times New Roman"/>
                <w:b/>
                <w:bCs/>
                <w:color w:val="auto"/>
                <w:sz w:val="21"/>
                <w:szCs w:val="21"/>
                <w:highlight w:val="none"/>
                <w:lang w:val="en-US" w:eastAsia="zh-CN"/>
              </w:rPr>
              <w:t>与《黑龙江省固体废物污染环境防治条例》的符合性分析</w:t>
            </w:r>
          </w:p>
          <w:p w14:paraId="1DC0A1DC">
            <w:pPr>
              <w:pStyle w:val="35"/>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left"/>
              <w:textAlignment w:val="baseline"/>
              <w:rPr>
                <w:rFonts w:hint="default" w:ascii="Times New Roman" w:hAnsi="Times New Roman" w:cs="Times New Roman"/>
                <w:i w:val="0"/>
                <w:iCs w:val="0"/>
                <w:color w:val="auto"/>
                <w:sz w:val="21"/>
                <w:szCs w:val="21"/>
                <w:highlight w:val="none"/>
              </w:rPr>
            </w:pPr>
            <w:r>
              <w:rPr>
                <w:rFonts w:hint="default" w:ascii="Times New Roman" w:hAnsi="Times New Roman" w:eastAsia="宋体" w:cs="Times New Roman"/>
                <w:i w:val="0"/>
                <w:iCs w:val="0"/>
                <w:caps w:val="0"/>
                <w:color w:val="auto"/>
                <w:spacing w:val="0"/>
                <w:sz w:val="21"/>
                <w:szCs w:val="21"/>
                <w:highlight w:val="none"/>
                <w:shd w:val="clear"/>
              </w:rPr>
              <w:t>第四条 任何单位和个人都应当履行生态环境保护义务，减少固体废物的产生量，促进固体废物的综合利用，降低固体废物的危害性。产生、收集、贮存、运输、利用、处置固体废物的单位和个人，应当采取措施，防止或者减少固体废物对环境的污染，对所造成的环境污染依法承担责任。</w:t>
            </w:r>
          </w:p>
          <w:p w14:paraId="2E49019F">
            <w:pPr>
              <w:pStyle w:val="35"/>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left"/>
              <w:textAlignment w:val="baseline"/>
              <w:rPr>
                <w:rFonts w:hint="default" w:ascii="Times New Roman" w:hAnsi="Times New Roman" w:cs="Times New Roman"/>
                <w:i w:val="0"/>
                <w:iCs w:val="0"/>
                <w:color w:val="auto"/>
                <w:sz w:val="21"/>
                <w:szCs w:val="21"/>
                <w:highlight w:val="none"/>
              </w:rPr>
            </w:pPr>
            <w:r>
              <w:rPr>
                <w:rFonts w:hint="default" w:ascii="Times New Roman" w:hAnsi="Times New Roman" w:cs="Times New Roman"/>
                <w:i w:val="0"/>
                <w:iCs w:val="0"/>
                <w:color w:val="auto"/>
                <w:sz w:val="21"/>
                <w:szCs w:val="21"/>
                <w:highlight w:val="none"/>
              </w:rPr>
              <w:t>第十条建设产生、贮存、利用、处置固体废物的项目，应当符合生态环境分区管控要求，依法进行环境影响评价，并遵守国家有关建设项目环境保护管理的规定。</w:t>
            </w:r>
          </w:p>
          <w:p w14:paraId="5EC5EDD7">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第十八条产生工业固体废物的单位应当依法实施清洁生产审核，通过采取工艺设备改造、清洁能源使用、原料替代等措施，从源头减少工业固体废物产生；加强原材料深度加工以及循环使用、伴生产品加工利用、副产物综合利用。</w:t>
            </w:r>
          </w:p>
          <w:p w14:paraId="11D5F836">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工业固体废物的单位应当取得排污许可证；向所在地生态环境主管部门提供工业固体废物的种类、数量、流向、贮存、利用、处置等有关资料，以及减少工业固体废物产生、促进综合利用的具体措施，并执行排污许可管理制度的相关规定。</w:t>
            </w:r>
          </w:p>
          <w:p w14:paraId="7DF77045">
            <w:pPr>
              <w:spacing w:line="360" w:lineRule="auto"/>
              <w:ind w:firstLine="420" w:firstLineChars="200"/>
              <w:rPr>
                <w:rFonts w:ascii="Times New Roman" w:hAnsi="Times New Roman" w:eastAsia="宋体" w:cs="Times New Roman"/>
                <w:i w:val="0"/>
                <w:iCs w:val="0"/>
                <w:caps w:val="0"/>
                <w:color w:val="auto"/>
                <w:spacing w:val="0"/>
                <w:sz w:val="21"/>
                <w:szCs w:val="21"/>
                <w:highlight w:val="none"/>
                <w:shd w:val="clear"/>
              </w:rPr>
            </w:pPr>
            <w:r>
              <w:rPr>
                <w:rFonts w:ascii="Times New Roman" w:hAnsi="Times New Roman" w:eastAsia="宋体" w:cs="Times New Roman"/>
                <w:i w:val="0"/>
                <w:iCs w:val="0"/>
                <w:caps w:val="0"/>
                <w:color w:val="auto"/>
                <w:spacing w:val="0"/>
                <w:sz w:val="21"/>
                <w:szCs w:val="21"/>
                <w:highlight w:val="none"/>
                <w:shd w:val="clear"/>
              </w:rPr>
              <w:t>有尾矿、粉煤灰、煤矸石等工业固体废物存量的单位，应当依法采取污染防治措施，制定计划，并采取综合利用等减量措施。</w:t>
            </w:r>
          </w:p>
          <w:p w14:paraId="14175A81">
            <w:pPr>
              <w:spacing w:line="360" w:lineRule="auto"/>
              <w:ind w:firstLine="420" w:firstLineChars="200"/>
              <w:rPr>
                <w:rFonts w:hint="default" w:ascii="Times New Roman" w:hAnsi="Times New Roman" w:eastAsia="宋体" w:cs="Times New Roman"/>
                <w:i w:val="0"/>
                <w:iCs w:val="0"/>
                <w:caps w:val="0"/>
                <w:color w:val="auto"/>
                <w:spacing w:val="0"/>
                <w:sz w:val="21"/>
                <w:szCs w:val="21"/>
                <w:highlight w:val="none"/>
                <w:shd w:val="clear"/>
                <w:lang w:eastAsia="zh-CN"/>
              </w:rPr>
            </w:pPr>
            <w:r>
              <w:rPr>
                <w:rFonts w:ascii="Times New Roman" w:hAnsi="Times New Roman" w:eastAsia="宋体" w:cs="Times New Roman"/>
                <w:i w:val="0"/>
                <w:iCs w:val="0"/>
                <w:caps w:val="0"/>
                <w:color w:val="auto"/>
                <w:spacing w:val="0"/>
                <w:sz w:val="21"/>
                <w:szCs w:val="21"/>
                <w:highlight w:val="none"/>
                <w:shd w:val="clear"/>
              </w:rPr>
              <w:t>第二十条 工业废水处理产生的污泥不得随意堆放，对其资源化利用和无害化处置应当符合有关规定。禁止重金属或者其他有毒有害物质含量超标的污泥进入农用地。</w:t>
            </w:r>
          </w:p>
          <w:p w14:paraId="022750C3">
            <w:pPr>
              <w:widowControl w:val="0"/>
              <w:spacing w:line="360" w:lineRule="auto"/>
              <w:ind w:firstLine="420" w:firstLineChars="200"/>
              <w:rPr>
                <w:rFonts w:hint="default" w:ascii="Times New Roman" w:hAnsi="Times New Roman" w:cs="Times New Roman"/>
                <w:i w:val="0"/>
                <w:iCs w:val="0"/>
                <w:color w:val="auto"/>
                <w:szCs w:val="21"/>
                <w:highlight w:val="none"/>
              </w:rPr>
            </w:pPr>
            <w:r>
              <w:rPr>
                <w:rFonts w:hint="default" w:ascii="Times New Roman" w:hAnsi="Times New Roman" w:cs="Times New Roman"/>
                <w:i w:val="0"/>
                <w:iCs w:val="0"/>
                <w:color w:val="auto"/>
                <w:szCs w:val="21"/>
                <w:highlight w:val="none"/>
              </w:rPr>
              <w:t>第二十六条 产生危险废物的单位，应当按照国家有关规定制定危险废物管理计划，通过国家固体废物管理信息系统向所在地生态环境主管部门备案。危险废物管理计划调整的，产生危险废物的单位应当及时备案。</w:t>
            </w:r>
          </w:p>
          <w:p w14:paraId="1CA3550C">
            <w:pPr>
              <w:widowControl/>
              <w:spacing w:line="360" w:lineRule="auto"/>
              <w:ind w:firstLine="420" w:firstLineChars="200"/>
              <w:rPr>
                <w:rFonts w:hint="default" w:ascii="Times New Roman" w:hAnsi="Times New Roman" w:eastAsia="宋体" w:cs="Times New Roman"/>
                <w:i w:val="0"/>
                <w:iCs w:val="0"/>
                <w:color w:val="auto"/>
                <w:szCs w:val="21"/>
                <w:highlight w:val="none"/>
                <w:lang w:val="en-US" w:eastAsia="zh-CN"/>
              </w:rPr>
            </w:pPr>
            <w:r>
              <w:rPr>
                <w:rFonts w:hint="default" w:ascii="Times New Roman" w:hAnsi="Times New Roman" w:eastAsia="宋体" w:cs="Times New Roman"/>
                <w:i w:val="0"/>
                <w:iCs w:val="0"/>
                <w:color w:val="auto"/>
                <w:szCs w:val="21"/>
                <w:highlight w:val="none"/>
                <w:lang w:val="en-US" w:eastAsia="zh-CN"/>
              </w:rPr>
              <w:t>本项目为固体废物综合利用项目，</w:t>
            </w:r>
            <w:r>
              <w:rPr>
                <w:rFonts w:ascii="Times New Roman" w:hAnsi="Times New Roman" w:eastAsia="宋体" w:cs="Times New Roman"/>
                <w:color w:val="auto"/>
                <w:szCs w:val="21"/>
                <w:highlight w:val="none"/>
              </w:rPr>
              <w:t>通过将煤炭一次洗选后的煤泥进行</w:t>
            </w:r>
            <w:r>
              <w:rPr>
                <w:rFonts w:hint="default" w:ascii="Times New Roman" w:hAnsi="Times New Roman" w:eastAsia="宋体" w:cs="Times New Roman"/>
                <w:color w:val="auto"/>
                <w:szCs w:val="21"/>
                <w:highlight w:val="none"/>
              </w:rPr>
              <w:t>浮选</w:t>
            </w:r>
            <w:r>
              <w:rPr>
                <w:rFonts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产生的产品精煤、中煤外售，</w:t>
            </w:r>
            <w:r>
              <w:rPr>
                <w:rFonts w:ascii="Times New Roman" w:hAnsi="Times New Roman" w:eastAsia="宋体" w:cs="Times New Roman"/>
                <w:color w:val="auto"/>
                <w:szCs w:val="21"/>
                <w:highlight w:val="none"/>
              </w:rPr>
              <w:t>产生的一般工业固体废物尾矿泥用于生产</w:t>
            </w:r>
            <w:r>
              <w:rPr>
                <w:rFonts w:hint="default" w:ascii="Times New Roman" w:hAnsi="Times New Roman" w:eastAsia="宋体" w:cs="Times New Roman"/>
                <w:color w:val="auto"/>
                <w:szCs w:val="21"/>
                <w:highlight w:val="none"/>
              </w:rPr>
              <w:t>人造土壤基质</w:t>
            </w:r>
            <w:r>
              <w:rPr>
                <w:rFonts w:hint="default" w:ascii="Times New Roman" w:hAnsi="Times New Roman" w:eastAsia="宋体" w:cs="Times New Roman"/>
                <w:color w:val="auto"/>
                <w:szCs w:val="21"/>
                <w:highlight w:val="none"/>
                <w:lang w:val="en-US" w:eastAsia="zh-CN"/>
              </w:rPr>
              <w:t>用于生态修复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并且可以同步利用工业副产石膏、炉渣、粉煤灰、秸秆水处理污泥等固体废物</w:t>
            </w:r>
            <w:r>
              <w:rPr>
                <w:rFonts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项目选址符合</w:t>
            </w:r>
            <w:r>
              <w:rPr>
                <w:rFonts w:hint="default" w:ascii="Times New Roman" w:hAnsi="Times New Roman" w:eastAsia="宋体" w:cs="Times New Roman"/>
                <w:i w:val="0"/>
                <w:iCs w:val="0"/>
                <w:color w:val="auto"/>
                <w:sz w:val="21"/>
                <w:szCs w:val="21"/>
                <w:highlight w:val="none"/>
              </w:rPr>
              <w:t>生态环境分区管控要求</w:t>
            </w:r>
            <w:r>
              <w:rPr>
                <w:rFonts w:hint="default" w:ascii="Times New Roman" w:hAnsi="Times New Roman" w:eastAsia="宋体" w:cs="Times New Roman"/>
                <w:i w:val="0"/>
                <w:iCs w:val="0"/>
                <w:color w:val="auto"/>
                <w:sz w:val="21"/>
                <w:szCs w:val="21"/>
                <w:highlight w:val="none"/>
                <w:lang w:eastAsia="zh-CN"/>
              </w:rPr>
              <w:t>，</w:t>
            </w:r>
            <w:r>
              <w:rPr>
                <w:rFonts w:hint="default" w:ascii="Times New Roman" w:hAnsi="Times New Roman" w:eastAsia="宋体" w:cs="Times New Roman"/>
                <w:color w:val="auto"/>
                <w:szCs w:val="21"/>
                <w:highlight w:val="none"/>
                <w:lang w:val="en-US" w:eastAsia="zh-CN"/>
              </w:rPr>
              <w:t>运营期</w:t>
            </w:r>
            <w:r>
              <w:rPr>
                <w:rFonts w:hint="default" w:ascii="Times New Roman" w:hAnsi="Times New Roman" w:eastAsia="宋体" w:cs="Times New Roman"/>
                <w:b w:val="0"/>
                <w:bCs w:val="0"/>
                <w:color w:val="auto"/>
                <w:szCs w:val="21"/>
                <w:highlight w:val="none"/>
                <w:lang w:val="en-US" w:eastAsia="zh-CN"/>
              </w:rPr>
              <w:t>将严格执行</w:t>
            </w:r>
            <w:r>
              <w:rPr>
                <w:rFonts w:hint="default" w:ascii="Times New Roman" w:hAnsi="Times New Roman" w:eastAsia="宋体" w:cs="Times New Roman"/>
                <w:b w:val="0"/>
                <w:bCs w:val="0"/>
                <w:color w:val="auto"/>
                <w:sz w:val="21"/>
                <w:szCs w:val="21"/>
                <w:highlight w:val="none"/>
                <w:lang w:val="en-US" w:eastAsia="zh-CN"/>
              </w:rPr>
              <w:t>《黑龙江省固体废物污染环境防治条例》中固体废物</w:t>
            </w:r>
            <w:r>
              <w:rPr>
                <w:rFonts w:hint="default" w:ascii="Times New Roman" w:hAnsi="Times New Roman" w:eastAsia="宋体" w:cs="Times New Roman"/>
                <w:b w:val="0"/>
                <w:bCs w:val="0"/>
                <w:i w:val="0"/>
                <w:iCs w:val="0"/>
                <w:caps w:val="0"/>
                <w:color w:val="auto"/>
                <w:spacing w:val="0"/>
                <w:sz w:val="21"/>
                <w:szCs w:val="21"/>
                <w:highlight w:val="none"/>
                <w:shd w:val="clear"/>
              </w:rPr>
              <w:t>收集、贮存、运输、利用</w:t>
            </w:r>
            <w:r>
              <w:rPr>
                <w:rFonts w:hint="default" w:ascii="Times New Roman" w:hAnsi="Times New Roman" w:eastAsia="宋体" w:cs="Times New Roman"/>
                <w:b w:val="0"/>
                <w:bCs w:val="0"/>
                <w:i w:val="0"/>
                <w:iCs w:val="0"/>
                <w:caps w:val="0"/>
                <w:color w:val="auto"/>
                <w:spacing w:val="0"/>
                <w:sz w:val="21"/>
                <w:szCs w:val="21"/>
                <w:highlight w:val="none"/>
                <w:shd w:val="clear"/>
                <w:lang w:val="en-US" w:eastAsia="zh-CN"/>
              </w:rPr>
              <w:t>的相</w:t>
            </w:r>
            <w:r>
              <w:rPr>
                <w:rFonts w:hint="default" w:ascii="Times New Roman" w:hAnsi="Times New Roman" w:eastAsia="宋体" w:cs="Times New Roman"/>
                <w:i w:val="0"/>
                <w:iCs w:val="0"/>
                <w:caps w:val="0"/>
                <w:color w:val="auto"/>
                <w:spacing w:val="0"/>
                <w:sz w:val="21"/>
                <w:szCs w:val="21"/>
                <w:highlight w:val="none"/>
                <w:shd w:val="clear"/>
                <w:lang w:val="en-US" w:eastAsia="zh-CN"/>
              </w:rPr>
              <w:t>关要求，</w:t>
            </w:r>
            <w:r>
              <w:rPr>
                <w:rFonts w:hint="default" w:ascii="Times New Roman" w:hAnsi="Times New Roman" w:eastAsia="宋体" w:cs="Times New Roman"/>
                <w:i w:val="0"/>
                <w:iCs w:val="0"/>
                <w:color w:val="auto"/>
                <w:szCs w:val="21"/>
                <w:highlight w:val="none"/>
                <w:lang w:val="en-US" w:eastAsia="zh-CN"/>
              </w:rPr>
              <w:t>本项目的建设产生的主要固体废物为生活垃圾、</w:t>
            </w:r>
            <w:r>
              <w:rPr>
                <w:rFonts w:hint="default" w:ascii="Times New Roman" w:hAnsi="Times New Roman" w:eastAsia="宋体" w:cs="Times New Roman"/>
                <w:color w:val="auto"/>
                <w:spacing w:val="0"/>
                <w:sz w:val="21"/>
                <w:szCs w:val="21"/>
                <w:highlight w:val="none"/>
                <w:lang w:val="en-US" w:eastAsia="zh-CN"/>
              </w:rPr>
              <w:t>除尘器收尘、废布袋，生活垃圾交由环卫部门处理，除尘器收尘回用于生产，废布袋由厂家更换后回收，不在厂内贮存。危险废物为废机油、废机油桶、废弃含油抹布、手套，暂存厂区危废贮存点内，定期交有资质单位处置。本项目运营后进行排污许可填报，制定危险废物管理计划，向生态环境主管部门备案。因此本项目建设符合《黑龙江省固体废物污染环境防治条例》要求。</w:t>
            </w:r>
          </w:p>
          <w:p w14:paraId="5C155522">
            <w:pPr>
              <w:spacing w:line="360" w:lineRule="auto"/>
              <w:jc w:val="left"/>
              <w:rPr>
                <w:rFonts w:hint="default" w:ascii="Times New Roman" w:hAnsi="Times New Roman" w:cs="Times New Roman"/>
                <w:b/>
                <w:color w:val="auto"/>
                <w:sz w:val="21"/>
                <w:szCs w:val="21"/>
                <w:highlight w:val="none"/>
                <w:lang w:val="en-US"/>
              </w:rPr>
            </w:pPr>
            <w:r>
              <w:rPr>
                <w:rFonts w:hint="eastAsia" w:cs="Times New Roman"/>
                <w:b/>
                <w:color w:val="auto"/>
                <w:sz w:val="21"/>
                <w:szCs w:val="21"/>
                <w:highlight w:val="none"/>
                <w:lang w:val="en-US" w:eastAsia="zh-CN"/>
              </w:rPr>
              <w:t>12</w:t>
            </w:r>
            <w:r>
              <w:rPr>
                <w:rFonts w:hint="default" w:ascii="Times New Roman" w:hAnsi="Times New Roman" w:cs="Times New Roman"/>
                <w:b/>
                <w:color w:val="auto"/>
                <w:sz w:val="21"/>
                <w:szCs w:val="21"/>
                <w:highlight w:val="none"/>
              </w:rPr>
              <w:t>、</w:t>
            </w:r>
            <w:r>
              <w:rPr>
                <w:rFonts w:hint="default" w:ascii="Times New Roman" w:hAnsi="Times New Roman" w:cs="Times New Roman"/>
                <w:b/>
                <w:color w:val="auto"/>
                <w:sz w:val="21"/>
                <w:szCs w:val="21"/>
                <w:highlight w:val="none"/>
                <w:lang w:val="en-US" w:eastAsia="zh-CN"/>
              </w:rPr>
              <w:t>与</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鸡西市洗煤厂、储煤厂排查整治工作方案</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鸡西市洗煤厂、储煤场环境综合整治验收标准</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的符合性分析</w:t>
            </w:r>
          </w:p>
          <w:p w14:paraId="3DDB03D1">
            <w:pPr>
              <w:pStyle w:val="38"/>
              <w:spacing w:before="0" w:beforeLines="0" w:after="0" w:afterLines="0" w:line="360" w:lineRule="auto"/>
              <w:ind w:firstLine="480"/>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2023年6月，鸡西市生态环境保护综合执法局发布了《鸡西市洗煤厂、储煤厂排查整治工作方案》及鸡西市生态环境保护委员会办公室发布了《鸡西市洗煤厂、储煤场环境综合整治验收标准》，本项目与《鸡西市洗煤厂、储煤厂排查整治工作方案》及《鸡西市洗煤厂、储煤场环境综合整治验收标准》符合性分析详见下表。</w:t>
            </w:r>
          </w:p>
          <w:p w14:paraId="0DBE3B09">
            <w:pPr>
              <w:pStyle w:val="38"/>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表1-</w:t>
            </w:r>
            <w:r>
              <w:rPr>
                <w:rFonts w:hint="eastAsia" w:cs="Times New Roman"/>
                <w:b/>
                <w:bCs/>
                <w:color w:val="auto"/>
                <w:kern w:val="2"/>
                <w:sz w:val="21"/>
                <w:szCs w:val="21"/>
                <w:highlight w:val="none"/>
                <w:lang w:val="en-US" w:eastAsia="zh-CN" w:bidi="ar-SA"/>
              </w:rPr>
              <w:t>8</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鸡西市洗煤厂、储煤厂排查整治工作方案</w:t>
            </w:r>
            <w:r>
              <w:rPr>
                <w:rFonts w:hint="default" w:ascii="Times New Roman" w:hAnsi="Times New Roman" w:cs="Times New Roman"/>
                <w:b/>
                <w:color w:val="auto"/>
                <w:sz w:val="21"/>
                <w:szCs w:val="21"/>
                <w:highlight w:val="none"/>
                <w:lang w:eastAsia="zh-CN"/>
              </w:rPr>
              <w:t>》《</w:t>
            </w:r>
            <w:r>
              <w:rPr>
                <w:rFonts w:hint="default" w:ascii="Times New Roman" w:hAnsi="Times New Roman" w:eastAsia="宋体" w:cs="Times New Roman"/>
                <w:b/>
                <w:bCs/>
                <w:color w:val="auto"/>
                <w:kern w:val="2"/>
                <w:sz w:val="21"/>
                <w:szCs w:val="21"/>
                <w:highlight w:val="none"/>
                <w:lang w:val="en-US" w:eastAsia="zh-CN" w:bidi="ar-SA"/>
              </w:rPr>
              <w:t>鸡西市洗煤厂、储煤场环境综合整治</w:t>
            </w:r>
            <w:r>
              <w:rPr>
                <w:rFonts w:hint="default" w:ascii="Times New Roman" w:hAnsi="Times New Roman" w:cs="Times New Roman"/>
                <w:b/>
                <w:bCs/>
                <w:color w:val="auto"/>
                <w:kern w:val="2"/>
                <w:sz w:val="21"/>
                <w:szCs w:val="21"/>
                <w:highlight w:val="none"/>
                <w:lang w:val="en-US" w:eastAsia="zh-CN" w:bidi="ar-SA"/>
              </w:rPr>
              <w:t>验收</w:t>
            </w:r>
            <w:r>
              <w:rPr>
                <w:rFonts w:hint="default" w:ascii="Times New Roman" w:hAnsi="Times New Roman" w:eastAsia="宋体" w:cs="Times New Roman"/>
                <w:b/>
                <w:bCs/>
                <w:color w:val="auto"/>
                <w:kern w:val="2"/>
                <w:sz w:val="21"/>
                <w:szCs w:val="21"/>
                <w:highlight w:val="none"/>
                <w:lang w:val="en-US" w:eastAsia="zh-CN" w:bidi="ar-SA"/>
              </w:rPr>
              <w:t>标准</w:t>
            </w:r>
            <w:r>
              <w:rPr>
                <w:rFonts w:hint="default" w:ascii="Times New Roman" w:hAnsi="Times New Roman"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符合性分析</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939"/>
              <w:gridCol w:w="3218"/>
              <w:gridCol w:w="1928"/>
              <w:gridCol w:w="470"/>
            </w:tblGrid>
            <w:tr w14:paraId="042A8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noWrap w:val="0"/>
                  <w:vAlign w:val="center"/>
                </w:tcPr>
                <w:p w14:paraId="28D1E8B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文号</w:t>
                  </w:r>
                </w:p>
              </w:tc>
              <w:tc>
                <w:tcPr>
                  <w:tcW w:w="2693" w:type="pct"/>
                  <w:gridSpan w:val="2"/>
                  <w:noWrap w:val="0"/>
                  <w:vAlign w:val="center"/>
                </w:tcPr>
                <w:p w14:paraId="7A50B8B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文件要求</w:t>
                  </w:r>
                </w:p>
              </w:tc>
              <w:tc>
                <w:tcPr>
                  <w:tcW w:w="1248" w:type="pct"/>
                  <w:noWrap w:val="0"/>
                  <w:vAlign w:val="center"/>
                </w:tcPr>
                <w:p w14:paraId="4804D42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本项目情况</w:t>
                  </w:r>
                </w:p>
              </w:tc>
              <w:tc>
                <w:tcPr>
                  <w:tcW w:w="305" w:type="pct"/>
                  <w:noWrap w:val="0"/>
                  <w:vAlign w:val="center"/>
                </w:tcPr>
                <w:p w14:paraId="3CF0CEE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符合性</w:t>
                  </w:r>
                </w:p>
              </w:tc>
            </w:tr>
            <w:tr w14:paraId="6AD27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restart"/>
                  <w:noWrap w:val="0"/>
                  <w:vAlign w:val="center"/>
                </w:tcPr>
                <w:p w14:paraId="2122DB5E">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鸡西市洗煤厂、储煤厂排查整治工作方案（</w:t>
                  </w:r>
                  <w:r>
                    <w:rPr>
                      <w:rFonts w:hint="default" w:ascii="Times New Roman" w:hAnsi="Times New Roman" w:cs="Times New Roman"/>
                      <w:color w:val="auto"/>
                      <w:sz w:val="18"/>
                      <w:szCs w:val="18"/>
                      <w:highlight w:val="none"/>
                      <w:lang w:val="en-US" w:eastAsia="zh-CN"/>
                    </w:rPr>
                    <w:t>鸡环执法</w:t>
                  </w:r>
                  <w:r>
                    <w:rPr>
                      <w:rFonts w:hint="default" w:ascii="Times New Roman" w:hAnsi="Times New Roman" w:cs="Times New Roman"/>
                      <w:color w:val="auto"/>
                      <w:sz w:val="18"/>
                      <w:szCs w:val="18"/>
                      <w:highlight w:val="none"/>
                    </w:rPr>
                    <w:t>〔20</w:t>
                  </w:r>
                  <w:r>
                    <w:rPr>
                      <w:rFonts w:hint="default" w:ascii="Times New Roman" w:hAnsi="Times New Roman" w:cs="Times New Roman"/>
                      <w:color w:val="auto"/>
                      <w:sz w:val="18"/>
                      <w:szCs w:val="18"/>
                      <w:highlight w:val="none"/>
                      <w:lang w:val="en-US" w:eastAsia="zh-CN"/>
                    </w:rPr>
                    <w:t>23</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7</w:t>
                  </w:r>
                  <w:r>
                    <w:rPr>
                      <w:rFonts w:hint="default" w:ascii="Times New Roman" w:hAnsi="Times New Roman" w:cs="Times New Roman"/>
                      <w:color w:val="auto"/>
                      <w:sz w:val="18"/>
                      <w:szCs w:val="18"/>
                      <w:highlight w:val="none"/>
                    </w:rPr>
                    <w:t>号）</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鸡西市洗煤厂、储煤场环境综合整治</w:t>
                  </w:r>
                  <w:r>
                    <w:rPr>
                      <w:rFonts w:hint="default" w:ascii="Times New Roman" w:hAnsi="Times New Roman" w:cs="Times New Roman"/>
                      <w:color w:val="auto"/>
                      <w:sz w:val="18"/>
                      <w:szCs w:val="18"/>
                      <w:highlight w:val="none"/>
                      <w:lang w:val="en-US" w:eastAsia="zh-CN"/>
                    </w:rPr>
                    <w:t>验收</w:t>
                  </w:r>
                  <w:r>
                    <w:rPr>
                      <w:rFonts w:hint="default" w:ascii="Times New Roman" w:hAnsi="Times New Roman" w:cs="Times New Roman"/>
                      <w:color w:val="auto"/>
                      <w:sz w:val="18"/>
                      <w:szCs w:val="18"/>
                      <w:highlight w:val="none"/>
                    </w:rPr>
                    <w:t>标准（</w:t>
                  </w:r>
                  <w:r>
                    <w:rPr>
                      <w:rFonts w:hint="default" w:ascii="Times New Roman" w:hAnsi="Times New Roman" w:cs="Times New Roman"/>
                      <w:color w:val="auto"/>
                      <w:sz w:val="18"/>
                      <w:szCs w:val="18"/>
                      <w:highlight w:val="none"/>
                      <w:lang w:val="en-US" w:eastAsia="zh-CN"/>
                    </w:rPr>
                    <w:t>鸡环保委办发</w:t>
                  </w:r>
                  <w:r>
                    <w:rPr>
                      <w:rFonts w:hint="default" w:ascii="Times New Roman" w:hAnsi="Times New Roman" w:cs="Times New Roman"/>
                      <w:color w:val="auto"/>
                      <w:sz w:val="18"/>
                      <w:szCs w:val="18"/>
                      <w:highlight w:val="none"/>
                    </w:rPr>
                    <w:t>〔20</w:t>
                  </w:r>
                  <w:r>
                    <w:rPr>
                      <w:rFonts w:hint="default" w:ascii="Times New Roman" w:hAnsi="Times New Roman" w:cs="Times New Roman"/>
                      <w:color w:val="auto"/>
                      <w:sz w:val="18"/>
                      <w:szCs w:val="18"/>
                      <w:highlight w:val="none"/>
                      <w:lang w:val="en-US" w:eastAsia="zh-CN"/>
                    </w:rPr>
                    <w:t>23</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rPr>
                    <w:t>号）</w:t>
                  </w:r>
                </w:p>
              </w:tc>
              <w:tc>
                <w:tcPr>
                  <w:tcW w:w="607" w:type="pct"/>
                  <w:vMerge w:val="restart"/>
                  <w:noWrap w:val="0"/>
                  <w:vAlign w:val="center"/>
                </w:tcPr>
                <w:p w14:paraId="185D91DC">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大气污染防治措施</w:t>
                  </w:r>
                </w:p>
              </w:tc>
              <w:tc>
                <w:tcPr>
                  <w:tcW w:w="2085" w:type="pct"/>
                  <w:noWrap w:val="0"/>
                  <w:vAlign w:val="center"/>
                </w:tcPr>
                <w:p w14:paraId="2BB6BF9B">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四周应当建设闭合的防风抑尘网。防风抑尘网高度不得低于物料堆高度，遇到高压线等高空障碍物可适当调整高度。</w:t>
                  </w: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堆存物应当使用</w:t>
                  </w:r>
                  <w:r>
                    <w:rPr>
                      <w:rFonts w:hint="eastAsia" w:cs="Times New Roman"/>
                      <w:color w:val="auto"/>
                      <w:sz w:val="18"/>
                      <w:szCs w:val="18"/>
                      <w:highlight w:val="none"/>
                      <w:lang w:eastAsia="zh-CN"/>
                    </w:rPr>
                    <w:t>苫布</w:t>
                  </w:r>
                  <w:r>
                    <w:rPr>
                      <w:rFonts w:hint="default" w:ascii="Times New Roman" w:hAnsi="Times New Roman" w:cs="Times New Roman"/>
                      <w:color w:val="auto"/>
                      <w:sz w:val="18"/>
                      <w:szCs w:val="18"/>
                      <w:highlight w:val="none"/>
                    </w:rPr>
                    <w:t>进行苫盖。</w:t>
                  </w:r>
                </w:p>
              </w:tc>
              <w:tc>
                <w:tcPr>
                  <w:tcW w:w="1248" w:type="pct"/>
                  <w:noWrap w:val="0"/>
                  <w:vAlign w:val="center"/>
                </w:tcPr>
                <w:p w14:paraId="4D31A033">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本项目物料棚</w:t>
                  </w:r>
                  <w:r>
                    <w:rPr>
                      <w:rFonts w:hint="default" w:ascii="Times New Roman" w:hAnsi="Times New Roman" w:cs="Times New Roman"/>
                      <w:color w:val="auto"/>
                      <w:sz w:val="18"/>
                      <w:szCs w:val="18"/>
                      <w:highlight w:val="none"/>
                      <w:lang w:val="en-US" w:eastAsia="zh-CN"/>
                    </w:rPr>
                    <w:t>四周建设闭环防风抑尘网，</w:t>
                  </w:r>
                  <w:r>
                    <w:rPr>
                      <w:rFonts w:hint="eastAsia" w:ascii="Times New Roman" w:hAnsi="Times New Roman" w:cs="Times New Roman"/>
                      <w:color w:val="auto"/>
                      <w:sz w:val="18"/>
                      <w:szCs w:val="18"/>
                      <w:highlight w:val="none"/>
                      <w:lang w:val="en-US" w:eastAsia="zh-CN"/>
                    </w:rPr>
                    <w:t>物料</w:t>
                  </w:r>
                  <w:r>
                    <w:rPr>
                      <w:rFonts w:hint="default" w:ascii="Times New Roman" w:hAnsi="Times New Roman" w:cs="Times New Roman"/>
                      <w:color w:val="auto"/>
                      <w:sz w:val="18"/>
                      <w:szCs w:val="18"/>
                      <w:highlight w:val="none"/>
                      <w:lang w:val="en-US" w:eastAsia="zh-CN"/>
                    </w:rPr>
                    <w:t>使用</w:t>
                  </w:r>
                  <w:r>
                    <w:rPr>
                      <w:rFonts w:hint="eastAsia" w:cs="Times New Roman"/>
                      <w:color w:val="auto"/>
                      <w:sz w:val="18"/>
                      <w:szCs w:val="18"/>
                      <w:highlight w:val="none"/>
                      <w:lang w:val="en-US" w:eastAsia="zh-CN"/>
                    </w:rPr>
                    <w:t>苫布</w:t>
                  </w:r>
                  <w:r>
                    <w:rPr>
                      <w:rFonts w:hint="default" w:ascii="Times New Roman" w:hAnsi="Times New Roman" w:cs="Times New Roman"/>
                      <w:color w:val="auto"/>
                      <w:sz w:val="18"/>
                      <w:szCs w:val="18"/>
                      <w:highlight w:val="none"/>
                      <w:lang w:val="en-US" w:eastAsia="zh-CN"/>
                    </w:rPr>
                    <w:t>苫盖</w:t>
                  </w:r>
                </w:p>
              </w:tc>
              <w:tc>
                <w:tcPr>
                  <w:tcW w:w="305" w:type="pct"/>
                  <w:noWrap w:val="0"/>
                  <w:vAlign w:val="center"/>
                </w:tcPr>
                <w:p w14:paraId="3D758AD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36BC7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0323FDFE">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143066B1">
                  <w:pPr>
                    <w:rPr>
                      <w:rFonts w:hint="default" w:ascii="Times New Roman" w:hAnsi="Times New Roman" w:cs="Times New Roman"/>
                      <w:color w:val="auto"/>
                      <w:sz w:val="18"/>
                      <w:szCs w:val="18"/>
                      <w:highlight w:val="none"/>
                    </w:rPr>
                  </w:pPr>
                </w:p>
              </w:tc>
              <w:tc>
                <w:tcPr>
                  <w:tcW w:w="2085" w:type="pct"/>
                  <w:noWrap w:val="0"/>
                  <w:vAlign w:val="center"/>
                </w:tcPr>
                <w:p w14:paraId="495C8606">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在日常作业中应当采取喷淋、洒水等方式进行降尘，并且严禁在重污染天气期间、大风天气时生产作业，以避免造成扬尘污染</w:t>
                  </w:r>
                </w:p>
              </w:tc>
              <w:tc>
                <w:tcPr>
                  <w:tcW w:w="1248" w:type="pct"/>
                  <w:noWrap w:val="0"/>
                  <w:vAlign w:val="center"/>
                </w:tcPr>
                <w:p w14:paraId="2DD9B043">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车辆装卸期间对装卸区域采用洒水装置降尘，日常对道路及物料棚定期洒水降尘</w:t>
                  </w:r>
                  <w:r>
                    <w:rPr>
                      <w:rFonts w:hint="default" w:ascii="Times New Roman" w:hAnsi="Times New Roman" w:cs="Times New Roman"/>
                      <w:color w:val="auto"/>
                      <w:sz w:val="18"/>
                      <w:szCs w:val="18"/>
                      <w:highlight w:val="none"/>
                      <w:lang w:val="en-US" w:eastAsia="zh-CN"/>
                    </w:rPr>
                    <w:t>，禁止在</w:t>
                  </w:r>
                  <w:r>
                    <w:rPr>
                      <w:rFonts w:hint="default" w:ascii="Times New Roman" w:hAnsi="Times New Roman" w:cs="Times New Roman"/>
                      <w:color w:val="auto"/>
                      <w:sz w:val="18"/>
                      <w:szCs w:val="18"/>
                      <w:highlight w:val="none"/>
                    </w:rPr>
                    <w:t>重污染天气期间、大风天气</w:t>
                  </w:r>
                  <w:r>
                    <w:rPr>
                      <w:rFonts w:hint="default" w:ascii="Times New Roman" w:hAnsi="Times New Roman" w:cs="Times New Roman"/>
                      <w:color w:val="auto"/>
                      <w:sz w:val="18"/>
                      <w:szCs w:val="18"/>
                      <w:highlight w:val="none"/>
                      <w:lang w:eastAsia="zh-CN"/>
                    </w:rPr>
                    <w:t>时</w:t>
                  </w:r>
                  <w:r>
                    <w:rPr>
                      <w:rFonts w:hint="default" w:ascii="Times New Roman" w:hAnsi="Times New Roman" w:cs="Times New Roman"/>
                      <w:color w:val="auto"/>
                      <w:sz w:val="18"/>
                      <w:szCs w:val="18"/>
                      <w:highlight w:val="none"/>
                      <w:lang w:val="en-US" w:eastAsia="zh-CN"/>
                    </w:rPr>
                    <w:t>生产</w:t>
                  </w:r>
                </w:p>
              </w:tc>
              <w:tc>
                <w:tcPr>
                  <w:tcW w:w="305" w:type="pct"/>
                  <w:noWrap w:val="0"/>
                  <w:vAlign w:val="center"/>
                </w:tcPr>
                <w:p w14:paraId="21E1591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4A3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5361A21A">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589392B3">
                  <w:pPr>
                    <w:rPr>
                      <w:rFonts w:hint="default" w:ascii="Times New Roman" w:hAnsi="Times New Roman" w:cs="Times New Roman"/>
                      <w:color w:val="auto"/>
                      <w:sz w:val="18"/>
                      <w:szCs w:val="18"/>
                      <w:highlight w:val="none"/>
                    </w:rPr>
                  </w:pPr>
                </w:p>
              </w:tc>
              <w:tc>
                <w:tcPr>
                  <w:tcW w:w="2085" w:type="pct"/>
                  <w:noWrap w:val="0"/>
                  <w:vAlign w:val="center"/>
                </w:tcPr>
                <w:p w14:paraId="4D3C257C">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使用的运输车辆应当按照当地城市执法部门的要求进行全面苫盖，并确保车辆清洁</w:t>
                  </w:r>
                </w:p>
              </w:tc>
              <w:tc>
                <w:tcPr>
                  <w:tcW w:w="1248" w:type="pct"/>
                  <w:noWrap w:val="0"/>
                  <w:vAlign w:val="center"/>
                </w:tcPr>
                <w:p w14:paraId="10ED2836">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运输车辆</w:t>
                  </w:r>
                  <w:r>
                    <w:rPr>
                      <w:rFonts w:hint="eastAsia" w:cs="Times New Roman"/>
                      <w:color w:val="auto"/>
                      <w:sz w:val="18"/>
                      <w:szCs w:val="18"/>
                      <w:highlight w:val="none"/>
                      <w:lang w:val="en-US" w:eastAsia="zh-CN"/>
                    </w:rPr>
                    <w:t>全面</w:t>
                  </w:r>
                  <w:r>
                    <w:rPr>
                      <w:rFonts w:hint="default" w:ascii="Times New Roman" w:hAnsi="Times New Roman" w:cs="Times New Roman"/>
                      <w:color w:val="auto"/>
                      <w:sz w:val="18"/>
                      <w:szCs w:val="18"/>
                      <w:highlight w:val="none"/>
                      <w:lang w:val="en-US" w:eastAsia="zh-CN"/>
                    </w:rPr>
                    <w:t>苫盖，定期去外部指定洗车点清洗车辆</w:t>
                  </w:r>
                </w:p>
              </w:tc>
              <w:tc>
                <w:tcPr>
                  <w:tcW w:w="305" w:type="pct"/>
                  <w:noWrap w:val="0"/>
                  <w:vAlign w:val="center"/>
                </w:tcPr>
                <w:p w14:paraId="28E778B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7C51A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059D1A25">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7F2D5C1C">
                  <w:pPr>
                    <w:rPr>
                      <w:rFonts w:hint="default" w:ascii="Times New Roman" w:hAnsi="Times New Roman" w:cs="Times New Roman"/>
                      <w:color w:val="auto"/>
                      <w:sz w:val="18"/>
                      <w:szCs w:val="18"/>
                      <w:highlight w:val="none"/>
                    </w:rPr>
                  </w:pPr>
                </w:p>
              </w:tc>
              <w:tc>
                <w:tcPr>
                  <w:tcW w:w="2085" w:type="pct"/>
                  <w:noWrap w:val="0"/>
                  <w:vAlign w:val="center"/>
                </w:tcPr>
                <w:p w14:paraId="0D649F96">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原则上不得使用燃煤锅炉，应当使用电、天然气等清洁能源取暖。若因条件限制使用燃煤、生物质锅炉的应当配套建设高效除尘设施，并定期检测</w:t>
                  </w:r>
                </w:p>
              </w:tc>
              <w:tc>
                <w:tcPr>
                  <w:tcW w:w="1248" w:type="pct"/>
                  <w:noWrap w:val="0"/>
                  <w:vAlign w:val="center"/>
                </w:tcPr>
                <w:p w14:paraId="4B22BA1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冬季取暖采用电采暖</w:t>
                  </w:r>
                </w:p>
              </w:tc>
              <w:tc>
                <w:tcPr>
                  <w:tcW w:w="305" w:type="pct"/>
                  <w:noWrap w:val="0"/>
                  <w:vAlign w:val="center"/>
                </w:tcPr>
                <w:p w14:paraId="76F3A57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35F4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3E50715A">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5F5F15C4">
                  <w:pPr>
                    <w:rPr>
                      <w:rFonts w:hint="default" w:ascii="Times New Roman" w:hAnsi="Times New Roman" w:cs="Times New Roman"/>
                      <w:color w:val="auto"/>
                      <w:sz w:val="18"/>
                      <w:szCs w:val="18"/>
                      <w:highlight w:val="none"/>
                    </w:rPr>
                  </w:pPr>
                </w:p>
              </w:tc>
              <w:tc>
                <w:tcPr>
                  <w:tcW w:w="2085" w:type="pct"/>
                  <w:noWrap w:val="0"/>
                  <w:vAlign w:val="center"/>
                </w:tcPr>
                <w:p w14:paraId="4B42BFEF">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如有破碎工序或皮带输送作业环节的</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须在封闭空间内作业，防止扬尘污染</w:t>
                  </w:r>
                </w:p>
              </w:tc>
              <w:tc>
                <w:tcPr>
                  <w:tcW w:w="1248" w:type="pct"/>
                  <w:noWrap w:val="0"/>
                  <w:vAlign w:val="center"/>
                </w:tcPr>
                <w:p w14:paraId="301A89CF">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秸秆粉碎工序在密闭车间内进行</w:t>
                  </w:r>
                </w:p>
              </w:tc>
              <w:tc>
                <w:tcPr>
                  <w:tcW w:w="305" w:type="pct"/>
                  <w:noWrap w:val="0"/>
                  <w:vAlign w:val="center"/>
                </w:tcPr>
                <w:p w14:paraId="33C0C73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CC4F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516FF623">
                  <w:pPr>
                    <w:jc w:val="center"/>
                    <w:rPr>
                      <w:rFonts w:hint="default" w:ascii="Times New Roman" w:hAnsi="Times New Roman" w:cs="Times New Roman"/>
                      <w:color w:val="auto"/>
                      <w:sz w:val="18"/>
                      <w:szCs w:val="18"/>
                      <w:highlight w:val="none"/>
                    </w:rPr>
                  </w:pPr>
                </w:p>
              </w:tc>
              <w:tc>
                <w:tcPr>
                  <w:tcW w:w="607" w:type="pct"/>
                  <w:vMerge w:val="restart"/>
                  <w:noWrap w:val="0"/>
                  <w:vAlign w:val="center"/>
                </w:tcPr>
                <w:p w14:paraId="052231AB">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水污染防治措施</w:t>
                  </w:r>
                </w:p>
              </w:tc>
              <w:tc>
                <w:tcPr>
                  <w:tcW w:w="2085" w:type="pct"/>
                  <w:noWrap w:val="0"/>
                  <w:vAlign w:val="center"/>
                </w:tcPr>
                <w:p w14:paraId="49F001FF">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所应当配套建设雨水导流槽、雨水收集池（雨水收集池应建在厂区地势最低处），收集的雨水沉淀后用于场区洒水降尘和绿化</w:t>
                  </w:r>
                </w:p>
              </w:tc>
              <w:tc>
                <w:tcPr>
                  <w:tcW w:w="1248" w:type="pct"/>
                  <w:noWrap w:val="0"/>
                  <w:vAlign w:val="center"/>
                </w:tcPr>
                <w:p w14:paraId="78B46CC0">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厂区四周设置雨水导流槽北侧</w:t>
                  </w:r>
                  <w:r>
                    <w:rPr>
                      <w:rFonts w:hint="default" w:ascii="Times New Roman" w:hAnsi="Times New Roman" w:cs="Times New Roman"/>
                      <w:color w:val="auto"/>
                      <w:sz w:val="18"/>
                      <w:szCs w:val="18"/>
                      <w:highlight w:val="none"/>
                      <w:lang w:val="en-US" w:eastAsia="zh-CN"/>
                    </w:rPr>
                    <w:t>建设</w:t>
                  </w:r>
                  <w:r>
                    <w:rPr>
                      <w:rFonts w:hint="eastAsia" w:cs="Times New Roman"/>
                      <w:color w:val="auto"/>
                      <w:sz w:val="18"/>
                      <w:szCs w:val="18"/>
                      <w:highlight w:val="none"/>
                      <w:lang w:val="en-US" w:eastAsia="zh-CN"/>
                    </w:rPr>
                    <w:t>1座150m</w:t>
                  </w:r>
                  <w:r>
                    <w:rPr>
                      <w:rFonts w:hint="eastAsia"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初期雨水收集池</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厂区地势最低处</w:t>
                  </w:r>
                  <w:r>
                    <w:rPr>
                      <w:rFonts w:hint="eastAsia" w:cs="Times New Roman"/>
                      <w:color w:val="auto"/>
                      <w:sz w:val="18"/>
                      <w:szCs w:val="18"/>
                      <w:highlight w:val="none"/>
                      <w:lang w:val="en-US" w:eastAsia="zh-CN"/>
                    </w:rPr>
                    <w:t>），初期</w:t>
                  </w:r>
                  <w:r>
                    <w:rPr>
                      <w:rFonts w:hint="default" w:ascii="Times New Roman" w:hAnsi="Times New Roman" w:cs="Times New Roman"/>
                      <w:color w:val="auto"/>
                      <w:sz w:val="18"/>
                      <w:szCs w:val="18"/>
                      <w:highlight w:val="none"/>
                      <w:lang w:val="en-US" w:eastAsia="zh-CN"/>
                    </w:rPr>
                    <w:t>雨水</w:t>
                  </w:r>
                  <w:r>
                    <w:rPr>
                      <w:rFonts w:hint="eastAsia" w:cs="Times New Roman"/>
                      <w:color w:val="auto"/>
                      <w:sz w:val="18"/>
                      <w:szCs w:val="18"/>
                      <w:highlight w:val="none"/>
                      <w:lang w:val="en-US" w:eastAsia="zh-CN"/>
                    </w:rPr>
                    <w:t>收集</w:t>
                  </w:r>
                  <w:r>
                    <w:rPr>
                      <w:rFonts w:hint="default" w:ascii="Times New Roman" w:hAnsi="Times New Roman" w:cs="Times New Roman"/>
                      <w:color w:val="auto"/>
                      <w:sz w:val="18"/>
                      <w:szCs w:val="18"/>
                      <w:highlight w:val="none"/>
                      <w:lang w:val="en-US" w:eastAsia="zh-CN"/>
                    </w:rPr>
                    <w:t>沉淀后用于厂区洒水降尘</w:t>
                  </w:r>
                </w:p>
              </w:tc>
              <w:tc>
                <w:tcPr>
                  <w:tcW w:w="305" w:type="pct"/>
                  <w:noWrap w:val="0"/>
                  <w:vAlign w:val="center"/>
                </w:tcPr>
                <w:p w14:paraId="210D871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2C0AF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3D2FC528">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11735AC2">
                  <w:pPr>
                    <w:rPr>
                      <w:rFonts w:hint="default" w:ascii="Times New Roman" w:hAnsi="Times New Roman" w:cs="Times New Roman"/>
                      <w:color w:val="auto"/>
                      <w:sz w:val="18"/>
                      <w:szCs w:val="18"/>
                      <w:highlight w:val="none"/>
                    </w:rPr>
                  </w:pPr>
                </w:p>
              </w:tc>
              <w:tc>
                <w:tcPr>
                  <w:tcW w:w="2085" w:type="pct"/>
                  <w:noWrap w:val="0"/>
                  <w:vAlign w:val="center"/>
                </w:tcPr>
                <w:p w14:paraId="7697800B">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无法接入污水管网的</w:t>
                  </w: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应当建设防渗旱厕或防渗化粪池，定期转运至当地生活污水处理厂进行处理或作为肥料进行综合利用，并建立管理台账</w:t>
                  </w:r>
                </w:p>
              </w:tc>
              <w:tc>
                <w:tcPr>
                  <w:tcW w:w="1248" w:type="pct"/>
                  <w:noWrap w:val="0"/>
                  <w:vAlign w:val="center"/>
                </w:tcPr>
                <w:p w14:paraId="7058DC9D">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设置</w:t>
                  </w:r>
                  <w:r>
                    <w:rPr>
                      <w:rFonts w:hint="default" w:ascii="Times New Roman" w:hAnsi="Times New Roman" w:cs="Times New Roman"/>
                      <w:color w:val="auto"/>
                      <w:sz w:val="18"/>
                      <w:szCs w:val="18"/>
                      <w:highlight w:val="none"/>
                      <w:lang w:val="en-US" w:eastAsia="zh-CN"/>
                    </w:rPr>
                    <w:t>防渗旱厕，定期</w:t>
                  </w:r>
                  <w:r>
                    <w:rPr>
                      <w:rFonts w:hint="eastAsia" w:cs="Times New Roman"/>
                      <w:color w:val="auto"/>
                      <w:sz w:val="18"/>
                      <w:szCs w:val="18"/>
                      <w:highlight w:val="none"/>
                      <w:lang w:val="en-US" w:eastAsia="zh-CN"/>
                    </w:rPr>
                    <w:t>清掏</w:t>
                  </w:r>
                  <w:r>
                    <w:rPr>
                      <w:rFonts w:hint="default" w:ascii="Times New Roman" w:hAnsi="Times New Roman" w:cs="Times New Roman"/>
                      <w:color w:val="auto"/>
                      <w:sz w:val="18"/>
                      <w:szCs w:val="18"/>
                      <w:highlight w:val="none"/>
                      <w:lang w:val="en-US" w:eastAsia="zh-CN"/>
                    </w:rPr>
                    <w:t>外运堆肥</w:t>
                  </w:r>
                </w:p>
              </w:tc>
              <w:tc>
                <w:tcPr>
                  <w:tcW w:w="305" w:type="pct"/>
                  <w:noWrap w:val="0"/>
                  <w:vAlign w:val="center"/>
                </w:tcPr>
                <w:p w14:paraId="732247A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0035A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460A9794">
                  <w:pPr>
                    <w:jc w:val="center"/>
                    <w:rPr>
                      <w:rFonts w:hint="default" w:ascii="Times New Roman" w:hAnsi="Times New Roman" w:cs="Times New Roman"/>
                      <w:color w:val="auto"/>
                      <w:sz w:val="18"/>
                      <w:szCs w:val="18"/>
                      <w:highlight w:val="none"/>
                    </w:rPr>
                  </w:pPr>
                </w:p>
              </w:tc>
              <w:tc>
                <w:tcPr>
                  <w:tcW w:w="607" w:type="pct"/>
                  <w:noWrap w:val="0"/>
                  <w:vAlign w:val="center"/>
                </w:tcPr>
                <w:p w14:paraId="6C0D1AAF">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土壤污染防治措施</w:t>
                  </w:r>
                </w:p>
              </w:tc>
              <w:tc>
                <w:tcPr>
                  <w:tcW w:w="2085" w:type="pct"/>
                  <w:noWrap w:val="0"/>
                  <w:vAlign w:val="center"/>
                </w:tcPr>
                <w:p w14:paraId="12FE318A">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场区地面必须全部硬化，其中车辆进出口及主要运输通道必须使用水泥或柏油进行硬化</w:t>
                  </w:r>
                </w:p>
              </w:tc>
              <w:tc>
                <w:tcPr>
                  <w:tcW w:w="1248" w:type="pct"/>
                  <w:noWrap w:val="0"/>
                  <w:vAlign w:val="center"/>
                </w:tcPr>
                <w:p w14:paraId="52759442">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w:t>
                  </w:r>
                  <w:r>
                    <w:rPr>
                      <w:rFonts w:hint="default" w:ascii="Times New Roman" w:hAnsi="Times New Roman" w:cs="Times New Roman"/>
                      <w:color w:val="auto"/>
                      <w:sz w:val="18"/>
                      <w:szCs w:val="18"/>
                      <w:highlight w:val="none"/>
                      <w:lang w:val="en-US" w:eastAsia="zh-CN"/>
                    </w:rPr>
                    <w:t>厂区</w:t>
                  </w:r>
                  <w:r>
                    <w:rPr>
                      <w:rFonts w:hint="eastAsia" w:cs="Times New Roman"/>
                      <w:color w:val="auto"/>
                      <w:sz w:val="18"/>
                      <w:szCs w:val="18"/>
                      <w:highlight w:val="none"/>
                      <w:lang w:val="en-US" w:eastAsia="zh-CN"/>
                    </w:rPr>
                    <w:t>采用水泥</w:t>
                  </w:r>
                  <w:r>
                    <w:rPr>
                      <w:rFonts w:hint="default" w:ascii="Times New Roman" w:hAnsi="Times New Roman" w:cs="Times New Roman"/>
                      <w:color w:val="auto"/>
                      <w:sz w:val="18"/>
                      <w:szCs w:val="18"/>
                      <w:highlight w:val="none"/>
                      <w:lang w:val="en-US" w:eastAsia="zh-CN"/>
                    </w:rPr>
                    <w:t>硬化</w:t>
                  </w:r>
                </w:p>
              </w:tc>
              <w:tc>
                <w:tcPr>
                  <w:tcW w:w="305" w:type="pct"/>
                  <w:noWrap w:val="0"/>
                  <w:vAlign w:val="center"/>
                </w:tcPr>
                <w:p w14:paraId="25EB37C9">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5AD0B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2B542181">
                  <w:pPr>
                    <w:jc w:val="center"/>
                    <w:rPr>
                      <w:rFonts w:hint="default" w:ascii="Times New Roman" w:hAnsi="Times New Roman" w:cs="Times New Roman"/>
                      <w:color w:val="auto"/>
                      <w:sz w:val="18"/>
                      <w:szCs w:val="18"/>
                      <w:highlight w:val="none"/>
                    </w:rPr>
                  </w:pPr>
                </w:p>
              </w:tc>
              <w:tc>
                <w:tcPr>
                  <w:tcW w:w="607" w:type="pct"/>
                  <w:noWrap w:val="0"/>
                  <w:vAlign w:val="center"/>
                </w:tcPr>
                <w:p w14:paraId="0B45C763">
                  <w:pP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噪声污染防治措施</w:t>
                  </w:r>
                </w:p>
              </w:tc>
              <w:tc>
                <w:tcPr>
                  <w:tcW w:w="2085" w:type="pct"/>
                  <w:noWrap w:val="0"/>
                  <w:vAlign w:val="center"/>
                </w:tcPr>
                <w:p w14:paraId="2F755B0C">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洗煤厂</w:t>
                  </w:r>
                  <w:r>
                    <w:rPr>
                      <w:rFonts w:hint="default" w:ascii="Times New Roman" w:hAnsi="Times New Roman" w:cs="Times New Roman"/>
                      <w:color w:val="auto"/>
                      <w:sz w:val="18"/>
                      <w:szCs w:val="18"/>
                      <w:highlight w:val="none"/>
                      <w:lang w:val="en-US" w:eastAsia="zh-CN"/>
                    </w:rPr>
                    <w:t>应当选取低噪声的设备、设施，并严格遵守《中华人民共和国噪声污染防治法》的相关规定，合理规划生产作业时限</w:t>
                  </w:r>
                </w:p>
              </w:tc>
              <w:tc>
                <w:tcPr>
                  <w:tcW w:w="1248" w:type="pct"/>
                  <w:noWrap w:val="0"/>
                  <w:vAlign w:val="center"/>
                </w:tcPr>
                <w:p w14:paraId="65B126A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项目选取低噪声设备</w:t>
                  </w:r>
                </w:p>
              </w:tc>
              <w:tc>
                <w:tcPr>
                  <w:tcW w:w="305" w:type="pct"/>
                  <w:noWrap w:val="0"/>
                  <w:vAlign w:val="center"/>
                </w:tcPr>
                <w:p w14:paraId="4E161E9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9700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41F69CB4">
                  <w:pPr>
                    <w:jc w:val="center"/>
                    <w:rPr>
                      <w:rFonts w:hint="default" w:ascii="Times New Roman" w:hAnsi="Times New Roman" w:cs="Times New Roman"/>
                      <w:color w:val="auto"/>
                      <w:sz w:val="18"/>
                      <w:szCs w:val="18"/>
                      <w:highlight w:val="none"/>
                    </w:rPr>
                  </w:pPr>
                </w:p>
              </w:tc>
              <w:tc>
                <w:tcPr>
                  <w:tcW w:w="607" w:type="pct"/>
                  <w:noWrap w:val="0"/>
                  <w:vAlign w:val="center"/>
                </w:tcPr>
                <w:p w14:paraId="7B90AB7C">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危险废物污染防治措施</w:t>
                  </w:r>
                </w:p>
              </w:tc>
              <w:tc>
                <w:tcPr>
                  <w:tcW w:w="2085" w:type="pct"/>
                  <w:noWrap w:val="0"/>
                  <w:vAlign w:val="center"/>
                </w:tcPr>
                <w:p w14:paraId="3881DA5D">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应当建设危险废物贮存间，并按照《危险废物识别标志设置技术规范》设置危险废物标识，将产生的废机油</w:t>
                  </w:r>
                  <w:r>
                    <w:rPr>
                      <w:rFonts w:hint="eastAsia" w:cs="Times New Roman"/>
                      <w:color w:val="auto"/>
                      <w:sz w:val="18"/>
                      <w:szCs w:val="18"/>
                      <w:highlight w:val="none"/>
                      <w:lang w:eastAsia="zh-CN"/>
                    </w:rPr>
                    <w:t>、废弃含油抹布手套、</w:t>
                  </w:r>
                  <w:r>
                    <w:rPr>
                      <w:rFonts w:hint="eastAsia" w:cs="Times New Roman"/>
                      <w:color w:val="auto"/>
                      <w:sz w:val="18"/>
                      <w:szCs w:val="18"/>
                      <w:highlight w:val="none"/>
                      <w:lang w:val="en-US" w:eastAsia="zh-CN"/>
                    </w:rPr>
                    <w:t>废机油桶</w:t>
                  </w:r>
                  <w:r>
                    <w:rPr>
                      <w:rFonts w:hint="default" w:ascii="Times New Roman" w:hAnsi="Times New Roman" w:cs="Times New Roman"/>
                      <w:color w:val="auto"/>
                      <w:sz w:val="18"/>
                      <w:szCs w:val="18"/>
                      <w:highlight w:val="none"/>
                    </w:rPr>
                    <w:t>进行收集贮存，定期由有资质的处置单位转移、处置，执行危险废物转移联单管理制度并做好台账记录</w:t>
                  </w:r>
                </w:p>
              </w:tc>
              <w:tc>
                <w:tcPr>
                  <w:tcW w:w="1248" w:type="pct"/>
                  <w:noWrap w:val="0"/>
                  <w:vAlign w:val="center"/>
                </w:tcPr>
                <w:p w14:paraId="73E6A23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项目在厂内</w:t>
                  </w:r>
                  <w:r>
                    <w:rPr>
                      <w:rFonts w:hint="eastAsia" w:cs="Times New Roman"/>
                      <w:color w:val="auto"/>
                      <w:sz w:val="18"/>
                      <w:szCs w:val="18"/>
                      <w:highlight w:val="none"/>
                      <w:lang w:val="en-US" w:eastAsia="zh-CN"/>
                    </w:rPr>
                    <w:t>设置</w:t>
                  </w:r>
                  <w:r>
                    <w:rPr>
                      <w:rFonts w:hint="default" w:ascii="Times New Roman" w:hAnsi="Times New Roman" w:cs="Times New Roman"/>
                      <w:color w:val="auto"/>
                      <w:sz w:val="18"/>
                      <w:szCs w:val="18"/>
                      <w:highlight w:val="none"/>
                      <w:lang w:val="en-US" w:eastAsia="zh-CN"/>
                    </w:rPr>
                    <w:t>危险废物贮存点，用于贮存</w:t>
                  </w:r>
                  <w:r>
                    <w:rPr>
                      <w:rFonts w:hint="eastAsia" w:cs="Times New Roman"/>
                      <w:color w:val="auto"/>
                      <w:sz w:val="18"/>
                      <w:szCs w:val="18"/>
                      <w:highlight w:val="none"/>
                      <w:lang w:val="en-US" w:eastAsia="zh-CN"/>
                    </w:rPr>
                    <w:t>设备维护</w:t>
                  </w:r>
                  <w:r>
                    <w:rPr>
                      <w:rFonts w:hint="default" w:ascii="Times New Roman" w:hAnsi="Times New Roman" w:cs="Times New Roman"/>
                      <w:color w:val="auto"/>
                      <w:sz w:val="18"/>
                      <w:szCs w:val="18"/>
                      <w:highlight w:val="none"/>
                      <w:lang w:val="en-US" w:eastAsia="zh-CN"/>
                    </w:rPr>
                    <w:t>产生的废机油</w:t>
                  </w:r>
                  <w:r>
                    <w:rPr>
                      <w:rFonts w:hint="eastAsia" w:cs="Times New Roman"/>
                      <w:color w:val="auto"/>
                      <w:sz w:val="18"/>
                      <w:szCs w:val="18"/>
                      <w:highlight w:val="none"/>
                      <w:lang w:val="en-US" w:eastAsia="zh-CN"/>
                    </w:rPr>
                    <w:t>、废机油桶、废弃含油抹布手套</w:t>
                  </w:r>
                  <w:r>
                    <w:rPr>
                      <w:rFonts w:hint="default" w:ascii="Times New Roman" w:hAnsi="Times New Roman" w:cs="Times New Roman"/>
                      <w:color w:val="auto"/>
                      <w:sz w:val="18"/>
                      <w:szCs w:val="18"/>
                      <w:highlight w:val="none"/>
                      <w:lang w:val="en-US" w:eastAsia="zh-CN"/>
                    </w:rPr>
                    <w:t>等危险废物，定期交由有资质单位处理</w:t>
                  </w:r>
                </w:p>
              </w:tc>
              <w:tc>
                <w:tcPr>
                  <w:tcW w:w="305" w:type="pct"/>
                  <w:noWrap w:val="0"/>
                  <w:vAlign w:val="center"/>
                </w:tcPr>
                <w:p w14:paraId="234C5CB9">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A79C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noWrap w:val="0"/>
                  <w:vAlign w:val="center"/>
                </w:tcPr>
                <w:p w14:paraId="5F26943E">
                  <w:pPr>
                    <w:jc w:val="center"/>
                    <w:rPr>
                      <w:rFonts w:hint="default" w:ascii="Times New Roman" w:hAnsi="Times New Roman" w:cs="Times New Roman"/>
                      <w:color w:val="auto"/>
                      <w:sz w:val="18"/>
                      <w:szCs w:val="18"/>
                      <w:highlight w:val="none"/>
                    </w:rPr>
                  </w:pPr>
                </w:p>
              </w:tc>
              <w:tc>
                <w:tcPr>
                  <w:tcW w:w="607" w:type="pct"/>
                  <w:noWrap w:val="0"/>
                  <w:vAlign w:val="center"/>
                </w:tcPr>
                <w:p w14:paraId="71A0AAC5">
                  <w:pP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其他污染防治措施</w:t>
                  </w:r>
                </w:p>
              </w:tc>
              <w:tc>
                <w:tcPr>
                  <w:tcW w:w="2085" w:type="pct"/>
                  <w:noWrap w:val="0"/>
                  <w:vAlign w:val="center"/>
                </w:tcPr>
                <w:p w14:paraId="00F74841">
                  <w:pPr>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洗煤厂</w:t>
                  </w:r>
                  <w:r>
                    <w:rPr>
                      <w:rFonts w:hint="default" w:ascii="Times New Roman" w:hAnsi="Times New Roman" w:cs="Times New Roman"/>
                      <w:color w:val="auto"/>
                      <w:sz w:val="18"/>
                      <w:szCs w:val="18"/>
                      <w:highlight w:val="none"/>
                    </w:rPr>
                    <w:t>应当定期对厂区及周边进行清理保洁，保持良好的环境卫生面貌，防止出</w:t>
                  </w:r>
                  <w:r>
                    <w:rPr>
                      <w:rFonts w:hint="eastAsia" w:ascii="宋体" w:hAnsi="宋体" w:eastAsia="宋体" w:cs="宋体"/>
                      <w:color w:val="auto"/>
                      <w:sz w:val="18"/>
                      <w:szCs w:val="18"/>
                      <w:highlight w:val="none"/>
                    </w:rPr>
                    <w:t>现</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脏、乱、差</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现</w:t>
                  </w:r>
                  <w:r>
                    <w:rPr>
                      <w:rFonts w:hint="default" w:ascii="Times New Roman" w:hAnsi="Times New Roman" w:cs="Times New Roman"/>
                      <w:color w:val="auto"/>
                      <w:sz w:val="18"/>
                      <w:szCs w:val="18"/>
                      <w:highlight w:val="none"/>
                    </w:rPr>
                    <w:t>象。并设置生活垃圾收集箱，定期转运</w:t>
                  </w:r>
                </w:p>
              </w:tc>
              <w:tc>
                <w:tcPr>
                  <w:tcW w:w="1248" w:type="pct"/>
                  <w:noWrap w:val="0"/>
                  <w:vAlign w:val="center"/>
                </w:tcPr>
                <w:p w14:paraId="717DCA0E">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项目设置生活垃圾箱，定期转运，定期对厂区进行清理，</w:t>
                  </w:r>
                </w:p>
              </w:tc>
              <w:tc>
                <w:tcPr>
                  <w:tcW w:w="305" w:type="pct"/>
                  <w:noWrap w:val="0"/>
                  <w:vAlign w:val="center"/>
                </w:tcPr>
                <w:p w14:paraId="1B9692A5">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bl>
          <w:p w14:paraId="4215F098">
            <w:pPr>
              <w:pStyle w:val="38"/>
              <w:spacing w:before="0" w:beforeLines="0" w:after="0" w:afterLines="0" w:line="360" w:lineRule="auto"/>
              <w:ind w:firstLine="480"/>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综上，本项目符合《鸡西市洗煤厂、储煤厂排查整治工作方案》《鸡西市洗煤厂、储煤场环境综合整治验收标准》要求。</w:t>
            </w:r>
          </w:p>
          <w:p w14:paraId="17CDFBAA">
            <w:pPr>
              <w:pStyle w:val="6"/>
              <w:ind w:left="0" w:leftChars="0" w:firstLine="0" w:firstLineChars="0"/>
              <w:rPr>
                <w:rFonts w:ascii="Times New Roman" w:hAnsi="Times New Roman" w:cs="Times New Roman"/>
                <w:b/>
                <w:bCs/>
                <w:color w:val="auto"/>
                <w:highlight w:val="none"/>
              </w:rPr>
            </w:pPr>
            <w:r>
              <w:rPr>
                <w:rFonts w:ascii="Times New Roman" w:hAnsi="Times New Roman" w:cs="Times New Roman"/>
                <w:b/>
                <w:bCs/>
                <w:color w:val="auto"/>
                <w:szCs w:val="21"/>
                <w:highlight w:val="none"/>
              </w:rPr>
              <w:t>1</w:t>
            </w:r>
            <w:r>
              <w:rPr>
                <w:rFonts w:hint="eastAsia" w:ascii="Times New Roman" w:hAnsi="Times New Roman" w:cs="Times New Roman"/>
                <w:b/>
                <w:bCs/>
                <w:color w:val="auto"/>
                <w:szCs w:val="21"/>
                <w:highlight w:val="none"/>
                <w:lang w:val="en-US" w:eastAsia="zh-CN"/>
              </w:rPr>
              <w:t>3</w:t>
            </w:r>
            <w:r>
              <w:rPr>
                <w:rFonts w:ascii="Times New Roman" w:hAnsi="Times New Roman" w:cs="Times New Roman"/>
                <w:b/>
                <w:bCs/>
                <w:color w:val="auto"/>
                <w:szCs w:val="21"/>
                <w:highlight w:val="none"/>
              </w:rPr>
              <w:t>、</w:t>
            </w:r>
            <w:r>
              <w:rPr>
                <w:rFonts w:ascii="Times New Roman" w:hAnsi="Times New Roman" w:cs="Times New Roman"/>
                <w:b/>
                <w:bCs/>
                <w:color w:val="auto"/>
                <w:highlight w:val="none"/>
              </w:rPr>
              <w:t>《关于加强一般工业固体废物产生单位环境管理工作的通知》（鸡环发</w:t>
            </w:r>
            <w:r>
              <w:rPr>
                <w:rFonts w:hint="eastAsia" w:ascii="Times New Roman" w:hAnsi="Times New Roman" w:cs="Times New Roman"/>
                <w:b/>
                <w:bCs/>
                <w:color w:val="auto"/>
                <w:highlight w:val="none"/>
                <w:lang w:eastAsia="zh-CN"/>
              </w:rPr>
              <w:t>〔2023〕</w:t>
            </w:r>
            <w:r>
              <w:rPr>
                <w:rFonts w:ascii="Times New Roman" w:hAnsi="Times New Roman" w:cs="Times New Roman"/>
                <w:b/>
                <w:bCs/>
                <w:color w:val="auto"/>
                <w:highlight w:val="none"/>
              </w:rPr>
              <w:t>4 号）</w:t>
            </w:r>
          </w:p>
          <w:p w14:paraId="2EC1AB7C">
            <w:pPr>
              <w:adjustRightInd w:val="0"/>
              <w:snapToGrid w:val="0"/>
              <w:jc w:val="center"/>
              <w:rPr>
                <w:b/>
                <w:bCs/>
                <w:color w:val="auto"/>
                <w:szCs w:val="21"/>
                <w:highlight w:val="none"/>
              </w:rPr>
            </w:pPr>
            <w:r>
              <w:rPr>
                <w:rFonts w:hint="eastAsia"/>
                <w:b/>
                <w:bCs/>
                <w:color w:val="auto"/>
                <w:szCs w:val="21"/>
                <w:highlight w:val="none"/>
              </w:rPr>
              <w:t>表1-</w:t>
            </w:r>
            <w:r>
              <w:rPr>
                <w:rFonts w:hint="eastAsia"/>
                <w:b/>
                <w:bCs/>
                <w:color w:val="auto"/>
                <w:szCs w:val="21"/>
                <w:highlight w:val="none"/>
                <w:lang w:val="en-US" w:eastAsia="zh-CN"/>
              </w:rPr>
              <w:t>9</w:t>
            </w:r>
            <w:r>
              <w:rPr>
                <w:b/>
                <w:bCs/>
                <w:color w:val="auto"/>
                <w:szCs w:val="21"/>
                <w:highlight w:val="none"/>
              </w:rPr>
              <w:t>本项目与</w:t>
            </w:r>
            <w:r>
              <w:rPr>
                <w:b/>
                <w:bCs/>
                <w:color w:val="auto"/>
                <w:highlight w:val="none"/>
              </w:rPr>
              <w:t>《关于加强一般工业固体废物产生单位环境管理工作的通知》（鸡环发</w:t>
            </w:r>
            <w:r>
              <w:rPr>
                <w:rFonts w:hint="eastAsia"/>
                <w:b/>
                <w:bCs/>
                <w:color w:val="auto"/>
                <w:highlight w:val="none"/>
                <w:lang w:eastAsia="zh-CN"/>
              </w:rPr>
              <w:t>〔2023〕</w:t>
            </w:r>
            <w:r>
              <w:rPr>
                <w:b/>
                <w:bCs/>
                <w:color w:val="auto"/>
                <w:highlight w:val="none"/>
              </w:rPr>
              <w:t>4 号）</w:t>
            </w:r>
            <w:r>
              <w:rPr>
                <w:b/>
                <w:bCs/>
                <w:color w:val="auto"/>
                <w:szCs w:val="21"/>
                <w:highlight w:val="none"/>
              </w:rPr>
              <w:t>符合性分析</w:t>
            </w:r>
          </w:p>
          <w:tbl>
            <w:tblPr>
              <w:tblStyle w:val="23"/>
              <w:tblW w:w="753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33"/>
              <w:gridCol w:w="2306"/>
            </w:tblGrid>
            <w:tr w14:paraId="79D10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233" w:type="dxa"/>
                  <w:tcBorders>
                    <w:tl2br w:val="nil"/>
                    <w:tr2bl w:val="nil"/>
                  </w:tcBorders>
                  <w:vAlign w:val="center"/>
                </w:tcPr>
                <w:p w14:paraId="79F9FD18">
                  <w:pPr>
                    <w:adjustRightInd w:val="0"/>
                    <w:snapToGrid w:val="0"/>
                    <w:jc w:val="center"/>
                    <w:rPr>
                      <w:color w:val="auto"/>
                      <w:sz w:val="18"/>
                      <w:szCs w:val="18"/>
                      <w:highlight w:val="none"/>
                    </w:rPr>
                  </w:pPr>
                  <w:r>
                    <w:rPr>
                      <w:color w:val="auto"/>
                      <w:sz w:val="18"/>
                      <w:szCs w:val="18"/>
                      <w:highlight w:val="none"/>
                    </w:rPr>
                    <w:t>文件要求</w:t>
                  </w:r>
                </w:p>
              </w:tc>
              <w:tc>
                <w:tcPr>
                  <w:tcW w:w="2306" w:type="dxa"/>
                  <w:tcBorders>
                    <w:tl2br w:val="nil"/>
                    <w:tr2bl w:val="nil"/>
                  </w:tcBorders>
                  <w:vAlign w:val="center"/>
                </w:tcPr>
                <w:p w14:paraId="5AF4D07E">
                  <w:pPr>
                    <w:adjustRightInd w:val="0"/>
                    <w:snapToGrid w:val="0"/>
                    <w:jc w:val="center"/>
                    <w:rPr>
                      <w:color w:val="auto"/>
                      <w:sz w:val="18"/>
                      <w:szCs w:val="18"/>
                      <w:highlight w:val="none"/>
                    </w:rPr>
                  </w:pPr>
                  <w:r>
                    <w:rPr>
                      <w:color w:val="auto"/>
                      <w:sz w:val="18"/>
                      <w:szCs w:val="18"/>
                      <w:highlight w:val="none"/>
                    </w:rPr>
                    <w:t>本项目情况</w:t>
                  </w:r>
                </w:p>
              </w:tc>
            </w:tr>
            <w:tr w14:paraId="278B3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5233" w:type="dxa"/>
                  <w:tcBorders>
                    <w:tl2br w:val="nil"/>
                    <w:tr2bl w:val="nil"/>
                  </w:tcBorders>
                  <w:vAlign w:val="center"/>
                </w:tcPr>
                <w:p w14:paraId="1FD04934">
                  <w:pPr>
                    <w:rPr>
                      <w:color w:val="auto"/>
                      <w:sz w:val="18"/>
                      <w:szCs w:val="18"/>
                      <w:highlight w:val="none"/>
                    </w:rPr>
                  </w:pPr>
                  <w:r>
                    <w:rPr>
                      <w:color w:val="auto"/>
                      <w:sz w:val="18"/>
                      <w:szCs w:val="18"/>
                      <w:highlight w:val="none"/>
                    </w:rPr>
                    <w:t>产废单位结合建设项目环境影响评价、排污许可等文件和自身实际运营情况从单位管理、生产工艺、贮存转移、污染防治文件落实情况等各方面全面梳理明确一般工业固体废物的产生情况、物理化学特性和利用处置情况，建立一般工业固体废物规范化管理档案</w:t>
                  </w:r>
                </w:p>
              </w:tc>
              <w:tc>
                <w:tcPr>
                  <w:tcW w:w="2306" w:type="dxa"/>
                  <w:tcBorders>
                    <w:tl2br w:val="nil"/>
                    <w:tr2bl w:val="nil"/>
                  </w:tcBorders>
                  <w:vAlign w:val="center"/>
                </w:tcPr>
                <w:p w14:paraId="141F1960">
                  <w:pPr>
                    <w:rPr>
                      <w:color w:val="auto"/>
                      <w:sz w:val="18"/>
                      <w:szCs w:val="18"/>
                      <w:highlight w:val="none"/>
                    </w:rPr>
                  </w:pPr>
                  <w:r>
                    <w:rPr>
                      <w:rFonts w:hint="eastAsia"/>
                      <w:color w:val="auto"/>
                      <w:sz w:val="18"/>
                      <w:szCs w:val="18"/>
                      <w:highlight w:val="none"/>
                    </w:rPr>
                    <w:t>本项目根据文件要求建立</w:t>
                  </w:r>
                  <w:r>
                    <w:rPr>
                      <w:color w:val="auto"/>
                      <w:sz w:val="18"/>
                      <w:szCs w:val="18"/>
                      <w:highlight w:val="none"/>
                    </w:rPr>
                    <w:t>一般工业固体废物规范化管理档案</w:t>
                  </w:r>
                  <w:r>
                    <w:rPr>
                      <w:rFonts w:hint="eastAsia"/>
                      <w:color w:val="auto"/>
                      <w:sz w:val="18"/>
                      <w:szCs w:val="18"/>
                      <w:highlight w:val="none"/>
                    </w:rPr>
                    <w:t>，明确产生情况、物理化学特性和利用处置情况。</w:t>
                  </w:r>
                </w:p>
              </w:tc>
            </w:tr>
            <w:tr w14:paraId="31F0D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5" w:hRule="atLeast"/>
              </w:trPr>
              <w:tc>
                <w:tcPr>
                  <w:tcW w:w="5233" w:type="dxa"/>
                  <w:tcBorders>
                    <w:tl2br w:val="nil"/>
                    <w:tr2bl w:val="nil"/>
                  </w:tcBorders>
                  <w:vAlign w:val="center"/>
                </w:tcPr>
                <w:p w14:paraId="16924DE8">
                  <w:pPr>
                    <w:rPr>
                      <w:color w:val="auto"/>
                      <w:sz w:val="18"/>
                      <w:szCs w:val="18"/>
                      <w:highlight w:val="none"/>
                    </w:rPr>
                  </w:pPr>
                  <w:r>
                    <w:rPr>
                      <w:color w:val="auto"/>
                      <w:sz w:val="18"/>
                      <w:szCs w:val="18"/>
                      <w:highlight w:val="none"/>
                    </w:rPr>
                    <w:t>依据《一般工业固体废物管理台账制定指南(试行)》要求，台账应包括《一般工业固体废物产生清单》《一般工业固体废物流向汇总表》《一般工业固体废物出厂环节记录表》，其中，《一般工业固体废物产生清单》应结合环境影响评价、排污许可等材料根据实际生产运营情况记录一般工业固体废物产生信息，生产工艺发生重大变动等原因导致一般工业固体废物产生种类等发生变化的应及时变更</w:t>
                  </w:r>
                  <w:r>
                    <w:rPr>
                      <w:rFonts w:hint="eastAsia"/>
                      <w:color w:val="auto"/>
                      <w:sz w:val="18"/>
                      <w:szCs w:val="18"/>
                      <w:highlight w:val="none"/>
                    </w:rPr>
                    <w:t>；</w:t>
                  </w:r>
                  <w:r>
                    <w:rPr>
                      <w:color w:val="auto"/>
                      <w:sz w:val="18"/>
                      <w:szCs w:val="18"/>
                      <w:highlight w:val="none"/>
                    </w:rPr>
                    <w:t>《一般工业固体废物流向汇总表》按月填写，记录一般工业固体废物的产生、贮存、利用、处置数量和利用处置方式等信息</w:t>
                  </w:r>
                  <w:r>
                    <w:rPr>
                      <w:rFonts w:hint="eastAsia"/>
                      <w:color w:val="auto"/>
                      <w:sz w:val="18"/>
                      <w:szCs w:val="18"/>
                      <w:highlight w:val="none"/>
                    </w:rPr>
                    <w:t>；</w:t>
                  </w:r>
                  <w:r>
                    <w:rPr>
                      <w:color w:val="auto"/>
                      <w:sz w:val="18"/>
                      <w:szCs w:val="18"/>
                      <w:highlight w:val="none"/>
                    </w:rPr>
                    <w:t>《一般工业固体废物出厂环节记录表》按批次填写，每一批次一般工业固体废物的出厂转移信息均应如实记录。一般工业固体废物管理台账保存期限应不少于5年</w:t>
                  </w:r>
                </w:p>
              </w:tc>
              <w:tc>
                <w:tcPr>
                  <w:tcW w:w="2306" w:type="dxa"/>
                  <w:tcBorders>
                    <w:tl2br w:val="nil"/>
                    <w:tr2bl w:val="nil"/>
                  </w:tcBorders>
                  <w:shd w:val="clear" w:color="auto" w:fill="auto"/>
                  <w:vAlign w:val="center"/>
                </w:tcPr>
                <w:p w14:paraId="58C3D5D3">
                  <w:pPr>
                    <w:rPr>
                      <w:color w:val="auto"/>
                      <w:sz w:val="18"/>
                      <w:szCs w:val="18"/>
                      <w:highlight w:val="none"/>
                    </w:rPr>
                  </w:pPr>
                  <w:r>
                    <w:rPr>
                      <w:rFonts w:hint="eastAsia"/>
                      <w:color w:val="auto"/>
                      <w:sz w:val="18"/>
                      <w:szCs w:val="18"/>
                      <w:highlight w:val="none"/>
                    </w:rPr>
                    <w:t>本项目根据文件要求建立</w:t>
                  </w:r>
                  <w:r>
                    <w:rPr>
                      <w:color w:val="auto"/>
                      <w:sz w:val="18"/>
                      <w:szCs w:val="18"/>
                      <w:highlight w:val="none"/>
                    </w:rPr>
                    <w:t>《一般工业固体废物产生清单》《一般工业固体废物流向汇总表》《一般工业固体废物出厂环节记录表》</w:t>
                  </w:r>
                  <w:r>
                    <w:rPr>
                      <w:rFonts w:hint="eastAsia"/>
                      <w:color w:val="auto"/>
                      <w:sz w:val="18"/>
                      <w:szCs w:val="18"/>
                      <w:highlight w:val="none"/>
                    </w:rPr>
                    <w:t>等</w:t>
                  </w:r>
                  <w:r>
                    <w:rPr>
                      <w:color w:val="auto"/>
                      <w:sz w:val="18"/>
                      <w:szCs w:val="18"/>
                      <w:highlight w:val="none"/>
                    </w:rPr>
                    <w:t>台账</w:t>
                  </w:r>
                  <w:r>
                    <w:rPr>
                      <w:rFonts w:hint="eastAsia"/>
                      <w:color w:val="auto"/>
                      <w:sz w:val="18"/>
                      <w:szCs w:val="18"/>
                      <w:highlight w:val="none"/>
                    </w:rPr>
                    <w:t>，</w:t>
                  </w:r>
                  <w:r>
                    <w:rPr>
                      <w:color w:val="auto"/>
                      <w:sz w:val="18"/>
                      <w:szCs w:val="18"/>
                      <w:highlight w:val="none"/>
                    </w:rPr>
                    <w:t>保存期限不少于5年</w:t>
                  </w:r>
                  <w:r>
                    <w:rPr>
                      <w:rFonts w:hint="eastAsia"/>
                      <w:color w:val="auto"/>
                      <w:sz w:val="18"/>
                      <w:szCs w:val="18"/>
                      <w:highlight w:val="none"/>
                    </w:rPr>
                    <w:t>。</w:t>
                  </w:r>
                </w:p>
              </w:tc>
            </w:tr>
          </w:tbl>
          <w:p w14:paraId="0C08D1D6">
            <w:pPr>
              <w:adjustRightInd w:val="0"/>
              <w:snapToGrid w:val="0"/>
              <w:spacing w:line="360" w:lineRule="auto"/>
              <w:rPr>
                <w:b/>
                <w:bCs/>
                <w:color w:val="auto"/>
                <w:highlight w:val="none"/>
              </w:rPr>
            </w:pPr>
            <w:r>
              <w:rPr>
                <w:rFonts w:hint="eastAsia"/>
                <w:b/>
                <w:bCs/>
                <w:color w:val="auto"/>
                <w:highlight w:val="none"/>
                <w:lang w:val="en-US" w:eastAsia="zh-CN"/>
              </w:rPr>
              <w:t>14</w:t>
            </w:r>
            <w:r>
              <w:rPr>
                <w:rFonts w:hint="eastAsia"/>
                <w:b/>
                <w:bCs/>
                <w:color w:val="auto"/>
                <w:highlight w:val="none"/>
              </w:rPr>
              <w:t>、与《国家能源局关于加快推进煤炭洗选高质量发展的意见》（国能发煤炭〔2025〕86号）符合性分析。</w:t>
            </w:r>
          </w:p>
          <w:p w14:paraId="1F23B297">
            <w:pPr>
              <w:adjustRightInd w:val="0"/>
              <w:snapToGrid w:val="0"/>
              <w:jc w:val="center"/>
              <w:rPr>
                <w:b/>
                <w:bCs/>
                <w:color w:val="auto"/>
                <w:szCs w:val="21"/>
                <w:highlight w:val="none"/>
              </w:rPr>
            </w:pPr>
            <w:r>
              <w:rPr>
                <w:rFonts w:hint="eastAsia"/>
                <w:b/>
                <w:bCs/>
                <w:color w:val="auto"/>
                <w:szCs w:val="21"/>
                <w:highlight w:val="none"/>
              </w:rPr>
              <w:t>表1-10</w:t>
            </w:r>
            <w:r>
              <w:rPr>
                <w:rFonts w:hint="eastAsia"/>
                <w:b/>
                <w:bCs/>
                <w:color w:val="auto"/>
                <w:highlight w:val="none"/>
              </w:rPr>
              <w:t>（国能发煤炭〔2025〕86号）</w:t>
            </w:r>
            <w:r>
              <w:rPr>
                <w:rFonts w:hint="eastAsia"/>
                <w:b/>
                <w:bCs/>
                <w:color w:val="auto"/>
                <w:szCs w:val="21"/>
                <w:highlight w:val="none"/>
              </w:rPr>
              <w:t>符合性分析</w:t>
            </w:r>
          </w:p>
          <w:tbl>
            <w:tblPr>
              <w:tblStyle w:val="23"/>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92"/>
              <w:gridCol w:w="2628"/>
              <w:gridCol w:w="824"/>
            </w:tblGrid>
            <w:tr w14:paraId="5D6DC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3E6ADECA">
                  <w:pPr>
                    <w:adjustRightInd w:val="0"/>
                    <w:snapToGrid w:val="0"/>
                    <w:jc w:val="center"/>
                    <w:rPr>
                      <w:color w:val="auto"/>
                      <w:sz w:val="18"/>
                      <w:szCs w:val="18"/>
                      <w:highlight w:val="none"/>
                    </w:rPr>
                  </w:pPr>
                  <w:r>
                    <w:rPr>
                      <w:color w:val="auto"/>
                      <w:sz w:val="18"/>
                      <w:szCs w:val="18"/>
                      <w:highlight w:val="none"/>
                    </w:rPr>
                    <w:t>文件要求</w:t>
                  </w:r>
                </w:p>
              </w:tc>
              <w:tc>
                <w:tcPr>
                  <w:tcW w:w="2628" w:type="dxa"/>
                  <w:tcBorders>
                    <w:tl2br w:val="nil"/>
                    <w:tr2bl w:val="nil"/>
                  </w:tcBorders>
                  <w:vAlign w:val="center"/>
                </w:tcPr>
                <w:p w14:paraId="44ABCD77">
                  <w:pPr>
                    <w:adjustRightInd w:val="0"/>
                    <w:snapToGrid w:val="0"/>
                    <w:jc w:val="center"/>
                    <w:rPr>
                      <w:color w:val="auto"/>
                      <w:sz w:val="18"/>
                      <w:szCs w:val="18"/>
                      <w:highlight w:val="none"/>
                    </w:rPr>
                  </w:pPr>
                  <w:r>
                    <w:rPr>
                      <w:color w:val="auto"/>
                      <w:sz w:val="18"/>
                      <w:szCs w:val="18"/>
                      <w:highlight w:val="none"/>
                    </w:rPr>
                    <w:t>本项目情况</w:t>
                  </w:r>
                </w:p>
              </w:tc>
              <w:tc>
                <w:tcPr>
                  <w:tcW w:w="824" w:type="dxa"/>
                  <w:tcBorders>
                    <w:tl2br w:val="nil"/>
                    <w:tr2bl w:val="nil"/>
                  </w:tcBorders>
                  <w:vAlign w:val="center"/>
                </w:tcPr>
                <w:p w14:paraId="1D2B24A4">
                  <w:pPr>
                    <w:adjustRightInd w:val="0"/>
                    <w:snapToGrid w:val="0"/>
                    <w:jc w:val="center"/>
                    <w:rPr>
                      <w:color w:val="auto"/>
                      <w:sz w:val="18"/>
                      <w:szCs w:val="18"/>
                      <w:highlight w:val="none"/>
                    </w:rPr>
                  </w:pPr>
                  <w:r>
                    <w:rPr>
                      <w:rFonts w:hint="eastAsia"/>
                      <w:color w:val="auto"/>
                      <w:sz w:val="18"/>
                      <w:szCs w:val="18"/>
                      <w:highlight w:val="none"/>
                    </w:rPr>
                    <w:t>符合性</w:t>
                  </w:r>
                </w:p>
              </w:tc>
            </w:tr>
            <w:tr w14:paraId="4FB74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5D1A5426">
                  <w:pPr>
                    <w:widowControl/>
                    <w:jc w:val="left"/>
                    <w:rPr>
                      <w:color w:val="auto"/>
                      <w:sz w:val="18"/>
                      <w:szCs w:val="18"/>
                      <w:highlight w:val="none"/>
                    </w:rPr>
                  </w:pPr>
                  <w:r>
                    <w:rPr>
                      <w:rFonts w:ascii="宋体" w:hAnsi="宋体" w:cs="宋体"/>
                      <w:color w:val="auto"/>
                      <w:kern w:val="0"/>
                      <w:sz w:val="18"/>
                      <w:szCs w:val="18"/>
                      <w:highlight w:val="none"/>
                    </w:rPr>
                    <w:t>一、总体要求</w:t>
                  </w:r>
                </w:p>
                <w:p w14:paraId="059B45B6">
                  <w:pPr>
                    <w:widowControl/>
                    <w:jc w:val="left"/>
                    <w:rPr>
                      <w:rFonts w:ascii="宋体" w:hAnsi="宋体" w:cs="宋体"/>
                      <w:color w:val="auto"/>
                      <w:sz w:val="18"/>
                      <w:szCs w:val="18"/>
                      <w:highlight w:val="none"/>
                    </w:rPr>
                  </w:pPr>
                  <w:r>
                    <w:rPr>
                      <w:rFonts w:hint="eastAsia" w:ascii="宋体" w:hAnsi="宋体" w:cs="宋体"/>
                      <w:color w:val="auto"/>
                      <w:kern w:val="0"/>
                      <w:sz w:val="18"/>
                      <w:szCs w:val="18"/>
                      <w:highlight w:val="none"/>
                    </w:rPr>
                    <w:t>以习近平新时代中国特色社会主义思想为指导，完整准确全面贯彻新发展理念，深入践行“四个革命、一个合作”能源安全新战略，以减污降碳和绿色发展为主线，以科技进步和自主创新为动力，以政策支持和标准引领为保障，坚持系统推进、分类施策，发展煤炭洗选先进产能、淘汰落后产能，推进智能绿色洗选，加强洗选废弃物综合利用，提升煤炭开发综合效益。到“十五五”末，煤炭洗选设施高水平满足原煤入选需要，洗选产能结构持续优化，智能化选煤厂建设取得重要进展，干法选煤技术逐步推广应用，原煤入选率稳步提高，煤炭产品上下游衔接更加顺畅，为促进煤炭清洁高效利用提供重要支撑。</w:t>
                  </w:r>
                </w:p>
              </w:tc>
              <w:tc>
                <w:tcPr>
                  <w:tcW w:w="2628" w:type="dxa"/>
                  <w:tcBorders>
                    <w:tl2br w:val="nil"/>
                    <w:tr2bl w:val="nil"/>
                  </w:tcBorders>
                  <w:vAlign w:val="center"/>
                </w:tcPr>
                <w:p w14:paraId="220B3E68">
                  <w:pPr>
                    <w:widowControl/>
                    <w:jc w:val="left"/>
                    <w:rPr>
                      <w:color w:val="auto"/>
                      <w:sz w:val="18"/>
                      <w:szCs w:val="18"/>
                      <w:highlight w:val="none"/>
                    </w:rPr>
                  </w:pPr>
                  <w:r>
                    <w:rPr>
                      <w:rFonts w:hint="eastAsia" w:ascii="宋体" w:hAnsi="宋体" w:cs="宋体"/>
                      <w:color w:val="auto"/>
                      <w:kern w:val="0"/>
                      <w:sz w:val="18"/>
                      <w:szCs w:val="18"/>
                      <w:highlight w:val="none"/>
                    </w:rPr>
                    <w:t>本项目符合总体要求。项目以煤泥资源化利用为核心，采用先进浮选工艺提升资源回收效率，为煤炭清洁高效利用提供支撑。</w:t>
                  </w:r>
                </w:p>
              </w:tc>
              <w:tc>
                <w:tcPr>
                  <w:tcW w:w="824" w:type="dxa"/>
                  <w:tcBorders>
                    <w:tl2br w:val="nil"/>
                    <w:tr2bl w:val="nil"/>
                  </w:tcBorders>
                  <w:vAlign w:val="center"/>
                </w:tcPr>
                <w:p w14:paraId="3CD4F154">
                  <w:pPr>
                    <w:jc w:val="center"/>
                    <w:rPr>
                      <w:color w:val="auto"/>
                      <w:sz w:val="18"/>
                      <w:szCs w:val="18"/>
                      <w:highlight w:val="none"/>
                    </w:rPr>
                  </w:pPr>
                  <w:r>
                    <w:rPr>
                      <w:rFonts w:hint="eastAsia"/>
                      <w:color w:val="auto"/>
                      <w:sz w:val="18"/>
                      <w:szCs w:val="18"/>
                      <w:highlight w:val="none"/>
                    </w:rPr>
                    <w:t>符合</w:t>
                  </w:r>
                </w:p>
              </w:tc>
            </w:tr>
            <w:tr w14:paraId="5D196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773E94A1">
                  <w:pPr>
                    <w:widowControl/>
                    <w:jc w:val="left"/>
                    <w:rPr>
                      <w:color w:val="auto"/>
                      <w:sz w:val="18"/>
                      <w:szCs w:val="18"/>
                      <w:highlight w:val="none"/>
                    </w:rPr>
                  </w:pPr>
                  <w:r>
                    <w:rPr>
                      <w:rFonts w:ascii="宋体" w:hAnsi="宋体" w:cs="宋体"/>
                      <w:color w:val="auto"/>
                      <w:kern w:val="0"/>
                      <w:sz w:val="18"/>
                      <w:szCs w:val="18"/>
                      <w:highlight w:val="none"/>
                    </w:rPr>
                    <w:t>二、主要任务</w:t>
                  </w:r>
                </w:p>
                <w:p w14:paraId="20B4893F">
                  <w:pPr>
                    <w:widowControl/>
                    <w:jc w:val="left"/>
                    <w:rPr>
                      <w:color w:val="auto"/>
                      <w:sz w:val="18"/>
                      <w:szCs w:val="18"/>
                      <w:highlight w:val="none"/>
                    </w:rPr>
                  </w:pPr>
                  <w:r>
                    <w:rPr>
                      <w:rFonts w:hint="eastAsia" w:ascii="宋体" w:hAnsi="宋体" w:cs="宋体"/>
                      <w:color w:val="auto"/>
                      <w:kern w:val="0"/>
                      <w:sz w:val="18"/>
                      <w:szCs w:val="18"/>
                      <w:highlight w:val="none"/>
                    </w:rPr>
                    <w:t>（一）推进洗选产能增优汰劣。强化煤炭洗选能力规划建设，矿区总体规划设计文件应明确提出煤炭洗选加工方案，合理确定煤炭洗选能力规模、选煤工艺等。新建、改扩建煤矿项目应按照煤炭产业政策要求，配套建设相应规模的选煤厂（选煤设施），不符合要求的煤矿项目不得竣工验收。新建选煤厂要达到煤炭清洁高效利用重点领域标杆水平，黄河流域内项目要符合黄河流域工业用水定额要求。加强能耗能效、环境保护、技术工艺等标准规范约束，推动现有落后选煤厂（选煤设施）升级改造，限期达到煤炭清洁高效利用重点领域基准水平，不能按期改造完成的要关闭退出。鼓励优势企业发挥技术和管理优势，通过兼并重组等方式整合提升洗选能力小、技术装备落后、综合效益差的洗选产能。</w:t>
                  </w:r>
                </w:p>
              </w:tc>
              <w:tc>
                <w:tcPr>
                  <w:tcW w:w="2628" w:type="dxa"/>
                  <w:tcBorders>
                    <w:tl2br w:val="nil"/>
                    <w:tr2bl w:val="nil"/>
                  </w:tcBorders>
                  <w:vAlign w:val="center"/>
                </w:tcPr>
                <w:p w14:paraId="1B0F6E6B">
                  <w:pPr>
                    <w:widowControl/>
                    <w:jc w:val="left"/>
                    <w:rPr>
                      <w:color w:val="auto"/>
                      <w:sz w:val="18"/>
                      <w:szCs w:val="18"/>
                      <w:highlight w:val="none"/>
                    </w:rPr>
                  </w:pPr>
                  <w:r>
                    <w:rPr>
                      <w:rFonts w:hint="eastAsia" w:ascii="宋体" w:hAnsi="宋体" w:cs="宋体"/>
                      <w:color w:val="auto"/>
                      <w:kern w:val="0"/>
                      <w:sz w:val="18"/>
                      <w:szCs w:val="18"/>
                      <w:highlight w:val="none"/>
                    </w:rPr>
                    <w:t>本项目通过对煤泥的深度加工利用，采用先进浮选工艺，属于提升洗选产能质量的优化举措；不属于落后产能，工艺技术符合煤炭清洁高效利用相关要求。</w:t>
                  </w:r>
                </w:p>
              </w:tc>
              <w:tc>
                <w:tcPr>
                  <w:tcW w:w="824" w:type="dxa"/>
                  <w:tcBorders>
                    <w:tl2br w:val="nil"/>
                    <w:tr2bl w:val="nil"/>
                  </w:tcBorders>
                  <w:vAlign w:val="center"/>
                </w:tcPr>
                <w:p w14:paraId="04515731">
                  <w:pPr>
                    <w:jc w:val="center"/>
                    <w:rPr>
                      <w:color w:val="auto"/>
                      <w:sz w:val="18"/>
                      <w:szCs w:val="18"/>
                      <w:highlight w:val="none"/>
                    </w:rPr>
                  </w:pPr>
                  <w:r>
                    <w:rPr>
                      <w:rFonts w:hint="eastAsia"/>
                      <w:color w:val="auto"/>
                      <w:sz w:val="18"/>
                      <w:szCs w:val="18"/>
                      <w:highlight w:val="none"/>
                    </w:rPr>
                    <w:t>符合</w:t>
                  </w:r>
                </w:p>
              </w:tc>
            </w:tr>
            <w:tr w14:paraId="34ED5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4AF55B7C">
                  <w:pPr>
                    <w:widowControl/>
                    <w:jc w:val="left"/>
                    <w:rPr>
                      <w:color w:val="auto"/>
                      <w:sz w:val="18"/>
                      <w:szCs w:val="18"/>
                      <w:highlight w:val="none"/>
                    </w:rPr>
                  </w:pPr>
                  <w:r>
                    <w:rPr>
                      <w:rFonts w:hint="eastAsia" w:ascii="宋体" w:hAnsi="宋体" w:cs="宋体"/>
                      <w:color w:val="auto"/>
                      <w:kern w:val="0"/>
                      <w:sz w:val="18"/>
                      <w:szCs w:val="18"/>
                      <w:highlight w:val="none"/>
                    </w:rPr>
                    <w:t>（二）加强洗选智能化建设。新建选煤厂原则上按照智能化标准建设，鼓励现有选煤厂加快开展智能化改造。智能化选煤厂建设要聚焦排矸、分选、煤泥水处理等主要工艺环节，强化选前选后煤质指标采集分析，增强生产参数调节的智能性和精准性。 同步推进仓储、配煤、装车、煤质检测等辅助环节智能化，配套研发生产组织、产品分析、经营决策等智能管理系统，提升动态 分析决策与全流程智能化运行水平。开展选煤厂智能化技术升级应用试点，迭代升级选煤厂智能化生产运行系统，形成可复制可推广的选煤厂智能化建设和常态化运行模式。</w:t>
                  </w:r>
                </w:p>
              </w:tc>
              <w:tc>
                <w:tcPr>
                  <w:tcW w:w="2628" w:type="dxa"/>
                  <w:tcBorders>
                    <w:tl2br w:val="nil"/>
                    <w:tr2bl w:val="nil"/>
                  </w:tcBorders>
                  <w:shd w:val="clear" w:color="auto" w:fill="auto"/>
                  <w:vAlign w:val="center"/>
                </w:tcPr>
                <w:p w14:paraId="1B2C00DE">
                  <w:pPr>
                    <w:widowControl/>
                    <w:jc w:val="left"/>
                    <w:rPr>
                      <w:color w:val="auto"/>
                      <w:sz w:val="18"/>
                      <w:szCs w:val="18"/>
                      <w:highlight w:val="none"/>
                    </w:rPr>
                  </w:pPr>
                  <w:r>
                    <w:rPr>
                      <w:rFonts w:hint="eastAsia" w:ascii="宋体" w:hAnsi="宋体" w:cs="宋体"/>
                      <w:color w:val="auto"/>
                      <w:kern w:val="0"/>
                      <w:sz w:val="18"/>
                      <w:szCs w:val="18"/>
                      <w:highlight w:val="none"/>
                    </w:rPr>
                    <w:t>本项目采用先进浮选工艺，聚焦精细分选；后期将强化选前选后煤质指标采集分析，推进生产参数智能调节、配煤、装车、煤质检测等环节智能化建设，迭代升级选煤厂智能生产运行系统。</w:t>
                  </w:r>
                </w:p>
              </w:tc>
              <w:tc>
                <w:tcPr>
                  <w:tcW w:w="824" w:type="dxa"/>
                  <w:tcBorders>
                    <w:tl2br w:val="nil"/>
                    <w:tr2bl w:val="nil"/>
                  </w:tcBorders>
                  <w:shd w:val="clear" w:color="auto" w:fill="auto"/>
                  <w:vAlign w:val="center"/>
                </w:tcPr>
                <w:p w14:paraId="4957E204">
                  <w:pPr>
                    <w:jc w:val="center"/>
                    <w:rPr>
                      <w:rFonts w:ascii="宋体" w:hAnsi="宋体" w:cs="宋体"/>
                      <w:color w:val="auto"/>
                      <w:sz w:val="18"/>
                      <w:szCs w:val="18"/>
                      <w:highlight w:val="none"/>
                    </w:rPr>
                  </w:pPr>
                  <w:r>
                    <w:rPr>
                      <w:rFonts w:hint="eastAsia"/>
                      <w:color w:val="auto"/>
                      <w:sz w:val="18"/>
                      <w:szCs w:val="18"/>
                      <w:highlight w:val="none"/>
                    </w:rPr>
                    <w:t>符合</w:t>
                  </w:r>
                </w:p>
              </w:tc>
            </w:tr>
            <w:tr w14:paraId="08D73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1120E2B1">
                  <w:pPr>
                    <w:widowControl/>
                    <w:jc w:val="left"/>
                    <w:rPr>
                      <w:rFonts w:ascii="宋体" w:hAnsi="宋体" w:cs="宋体"/>
                      <w:color w:val="auto"/>
                      <w:sz w:val="18"/>
                      <w:szCs w:val="18"/>
                      <w:highlight w:val="none"/>
                    </w:rPr>
                  </w:pPr>
                  <w:r>
                    <w:rPr>
                      <w:rFonts w:hint="eastAsia" w:ascii="宋体" w:hAnsi="宋体" w:cs="宋体"/>
                      <w:color w:val="auto"/>
                      <w:kern w:val="0"/>
                      <w:sz w:val="18"/>
                      <w:szCs w:val="18"/>
                      <w:highlight w:val="none"/>
                    </w:rPr>
                    <w:t>（三）合理选择洗选工艺。根据原煤性质、产品要求、分选效率、投入产出等因素，经技术经济综合比较后，合理确定跳汰、重介、浮选、干选等选煤方法，洗选后产品应符合国家商品煤质量标准要求。优化选煤工艺组合，推进分选理论和技术创新，提升褐煤等易风化泥化煤种分选能力和分选效果。因地制宜积极发展干法选煤工艺，提高干法分选设备单机能力、分选精度和精煤回收率，提升粉尘、噪音控制水平，研制适应不同煤种的干法选煤成套设备。西北缺水地区新建选煤厂原则上采用干法或“干法+湿法”相结合技术路线，不适合干法工艺的需在项目核准或备案申请材料中进行说明。</w:t>
                  </w:r>
                </w:p>
              </w:tc>
              <w:tc>
                <w:tcPr>
                  <w:tcW w:w="2628" w:type="dxa"/>
                  <w:tcBorders>
                    <w:tl2br w:val="nil"/>
                    <w:tr2bl w:val="nil"/>
                  </w:tcBorders>
                  <w:shd w:val="clear" w:color="auto" w:fill="auto"/>
                  <w:vAlign w:val="center"/>
                </w:tcPr>
                <w:p w14:paraId="3DCDB5DB">
                  <w:pPr>
                    <w:widowControl/>
                    <w:jc w:val="left"/>
                    <w:rPr>
                      <w:color w:val="auto"/>
                      <w:sz w:val="18"/>
                      <w:szCs w:val="18"/>
                      <w:highlight w:val="none"/>
                    </w:rPr>
                  </w:pPr>
                  <w:r>
                    <w:rPr>
                      <w:rFonts w:hint="eastAsia" w:ascii="宋体" w:hAnsi="宋体" w:cs="宋体"/>
                      <w:color w:val="auto"/>
                      <w:kern w:val="0"/>
                      <w:sz w:val="18"/>
                      <w:szCs w:val="18"/>
                      <w:highlight w:val="none"/>
                    </w:rPr>
                    <w:t>本项目根据煤泥的物料特性，针对性采用浮选工艺处理煤泥，工艺选择经技术经济综合考量，符合“根据原煤性质合理确定洗选方法”的要求；洗选后产出精煤、中煤等产品，可满足国家商品煤质量标准相关要求，并配套建设相应的噪声、粉尘污染防治措施。</w:t>
                  </w:r>
                </w:p>
              </w:tc>
              <w:tc>
                <w:tcPr>
                  <w:tcW w:w="824" w:type="dxa"/>
                  <w:tcBorders>
                    <w:tl2br w:val="nil"/>
                    <w:tr2bl w:val="nil"/>
                  </w:tcBorders>
                  <w:shd w:val="clear" w:color="auto" w:fill="auto"/>
                  <w:vAlign w:val="center"/>
                </w:tcPr>
                <w:p w14:paraId="1CA81935">
                  <w:pPr>
                    <w:jc w:val="center"/>
                    <w:rPr>
                      <w:color w:val="auto"/>
                      <w:sz w:val="18"/>
                      <w:szCs w:val="18"/>
                      <w:highlight w:val="none"/>
                    </w:rPr>
                  </w:pPr>
                  <w:r>
                    <w:rPr>
                      <w:rFonts w:hint="eastAsia"/>
                      <w:color w:val="auto"/>
                      <w:sz w:val="18"/>
                      <w:szCs w:val="18"/>
                      <w:highlight w:val="none"/>
                    </w:rPr>
                    <w:t>符合</w:t>
                  </w:r>
                </w:p>
              </w:tc>
            </w:tr>
            <w:tr w14:paraId="201E60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738C9B33">
                  <w:pPr>
                    <w:widowControl/>
                    <w:jc w:val="left"/>
                    <w:rPr>
                      <w:rFonts w:ascii="宋体" w:hAnsi="宋体" w:cs="宋体"/>
                      <w:color w:val="auto"/>
                      <w:sz w:val="18"/>
                      <w:szCs w:val="18"/>
                      <w:highlight w:val="none"/>
                    </w:rPr>
                  </w:pPr>
                  <w:r>
                    <w:rPr>
                      <w:rFonts w:hint="eastAsia" w:ascii="宋体" w:hAnsi="宋体" w:cs="宋体"/>
                      <w:color w:val="auto"/>
                      <w:kern w:val="0"/>
                      <w:sz w:val="18"/>
                      <w:szCs w:val="18"/>
                      <w:highlight w:val="none"/>
                    </w:rPr>
                    <w:t>（四）提高清洁高效生产水平。严格落实国家清洁生产和生态环境保护等要求，煤炭洗选过程中要采取有效的降噪、减震措施，在物料转运、落料、破碎、筛分等易产尘节点配备除尘设施，减少煤炭洗选污染物生产和排放，加强选煤各生产环节安全生产隐患排查和治理，提高一线工人劳动保护水平。开发和推广绿色高效环保药剂，提高浮选、煤泥水处理等环节药剂利用效率，在满足工艺要求的前提下减少药剂使用。选煤厂内各环节采用廊道、管道等封闭式传运方式，提升厂区清洁化水平，禁止煤炭和煤矸石露天堆存。落实重点地区大气污染防治要求，推进煤矿到选煤厂、选煤厂到用户间清洁运输。洗选用水应实现循环利用、动态平衡，煤泥应全部回收。严格执行选煤电耗、水耗等国家标准，鼓励制定更严格的团体或企业标准，提高选煤节能降碳水平。</w:t>
                  </w:r>
                </w:p>
              </w:tc>
              <w:tc>
                <w:tcPr>
                  <w:tcW w:w="2628" w:type="dxa"/>
                  <w:tcBorders>
                    <w:tl2br w:val="nil"/>
                    <w:tr2bl w:val="nil"/>
                  </w:tcBorders>
                  <w:shd w:val="clear" w:color="auto" w:fill="auto"/>
                  <w:vAlign w:val="center"/>
                </w:tcPr>
                <w:p w14:paraId="207F5DB7">
                  <w:pPr>
                    <w:widowControl/>
                    <w:jc w:val="left"/>
                    <w:rPr>
                      <w:color w:val="auto"/>
                      <w:sz w:val="18"/>
                      <w:szCs w:val="18"/>
                      <w:highlight w:val="none"/>
                    </w:rPr>
                  </w:pPr>
                  <w:r>
                    <w:rPr>
                      <w:rFonts w:hint="eastAsia" w:ascii="宋体" w:hAnsi="宋体" w:cs="宋体"/>
                      <w:color w:val="auto"/>
                      <w:kern w:val="0"/>
                      <w:sz w:val="18"/>
                      <w:szCs w:val="18"/>
                      <w:highlight w:val="none"/>
                    </w:rPr>
                    <w:t>本项目在秸秆粉碎节点配备集气罩+布袋除尘器，物料设置罩棚并安装防风抑尘网，实现物料不露天堆存、输送系统全封闭，有效控制粉尘污染；采用先进工艺提升资源回收效率，减少废弃物排放，符合清洁生产、节能降碳及污染物管控的相关要求。</w:t>
                  </w:r>
                </w:p>
              </w:tc>
              <w:tc>
                <w:tcPr>
                  <w:tcW w:w="824" w:type="dxa"/>
                  <w:tcBorders>
                    <w:tl2br w:val="nil"/>
                    <w:tr2bl w:val="nil"/>
                  </w:tcBorders>
                  <w:shd w:val="clear" w:color="auto" w:fill="auto"/>
                  <w:vAlign w:val="center"/>
                </w:tcPr>
                <w:p w14:paraId="4AB41F24">
                  <w:pPr>
                    <w:jc w:val="center"/>
                    <w:rPr>
                      <w:color w:val="auto"/>
                      <w:sz w:val="18"/>
                      <w:szCs w:val="18"/>
                      <w:highlight w:val="none"/>
                    </w:rPr>
                  </w:pPr>
                  <w:r>
                    <w:rPr>
                      <w:rFonts w:hint="eastAsia"/>
                      <w:color w:val="auto"/>
                      <w:sz w:val="18"/>
                      <w:szCs w:val="18"/>
                      <w:highlight w:val="none"/>
                    </w:rPr>
                    <w:t>符合</w:t>
                  </w:r>
                </w:p>
              </w:tc>
            </w:tr>
            <w:tr w14:paraId="567969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5529FA89">
                  <w:pPr>
                    <w:widowControl/>
                    <w:jc w:val="left"/>
                    <w:rPr>
                      <w:rFonts w:ascii="宋体" w:hAnsi="宋体" w:cs="宋体"/>
                      <w:color w:val="auto"/>
                      <w:sz w:val="18"/>
                      <w:szCs w:val="18"/>
                      <w:highlight w:val="none"/>
                    </w:rPr>
                  </w:pPr>
                  <w:r>
                    <w:rPr>
                      <w:rFonts w:hint="eastAsia" w:ascii="宋体" w:hAnsi="宋体" w:cs="宋体"/>
                      <w:color w:val="auto"/>
                      <w:kern w:val="0"/>
                      <w:sz w:val="18"/>
                      <w:szCs w:val="18"/>
                      <w:highlight w:val="none"/>
                    </w:rPr>
                    <w:t>（五）推动洗选废弃物减排增用。新建、改扩建煤矿（含配套选煤厂）项目申请报告应包括煤矸石治理方案，明确煤矸石处 置方式和综合利用途径，新建独立选煤厂项目需明确煤矸石治理方案。积极实施井（坑）下分选，减少煤矸石升井（出坑）量， 推广充填开采、覆岩离层注浆等技术处置煤矸石，减少地面煤矸石产量。鼓励根据热值和含碳量对煤矸石、煤泥等分类进行资源 化综合利用，优先用于发电、建材、筑路、回收矿产品、制取化工品等领域，支持煤矸石回填、土地复垦等规模化利用。发挥大 宗固废（煤矸石）综合利用示范基地和企业的引领带动作用，利用中央预算内投资现有渠道对符合条件的煤矸石综合利用项目予以支持，促进洗选废弃物处置利用。</w:t>
                  </w:r>
                </w:p>
              </w:tc>
              <w:tc>
                <w:tcPr>
                  <w:tcW w:w="2628" w:type="dxa"/>
                  <w:tcBorders>
                    <w:tl2br w:val="nil"/>
                    <w:tr2bl w:val="nil"/>
                  </w:tcBorders>
                  <w:shd w:val="clear" w:color="auto" w:fill="auto"/>
                  <w:vAlign w:val="center"/>
                </w:tcPr>
                <w:p w14:paraId="476FF020">
                  <w:pPr>
                    <w:widowControl/>
                    <w:jc w:val="left"/>
                    <w:rPr>
                      <w:color w:val="auto"/>
                      <w:sz w:val="18"/>
                      <w:szCs w:val="18"/>
                      <w:highlight w:val="none"/>
                    </w:rPr>
                  </w:pPr>
                  <w:r>
                    <w:rPr>
                      <w:rFonts w:hint="eastAsia" w:ascii="宋体" w:hAnsi="宋体" w:cs="宋体"/>
                      <w:color w:val="auto"/>
                      <w:kern w:val="0"/>
                      <w:sz w:val="18"/>
                      <w:szCs w:val="18"/>
                      <w:highlight w:val="none"/>
                    </w:rPr>
                    <w:t>本项目利用尾矿泥生产人造土壤基质，实现了废弃物分类利用；明确了废弃物处置和综合利用途径，契合“加强洗选废弃物综合利用”的要求。</w:t>
                  </w:r>
                </w:p>
              </w:tc>
              <w:tc>
                <w:tcPr>
                  <w:tcW w:w="824" w:type="dxa"/>
                  <w:tcBorders>
                    <w:tl2br w:val="nil"/>
                    <w:tr2bl w:val="nil"/>
                  </w:tcBorders>
                  <w:shd w:val="clear" w:color="auto" w:fill="auto"/>
                  <w:vAlign w:val="center"/>
                </w:tcPr>
                <w:p w14:paraId="737BA58D">
                  <w:pPr>
                    <w:jc w:val="center"/>
                    <w:rPr>
                      <w:color w:val="auto"/>
                      <w:sz w:val="18"/>
                      <w:szCs w:val="18"/>
                      <w:highlight w:val="none"/>
                    </w:rPr>
                  </w:pPr>
                  <w:r>
                    <w:rPr>
                      <w:rFonts w:hint="eastAsia"/>
                      <w:color w:val="auto"/>
                      <w:sz w:val="18"/>
                      <w:szCs w:val="18"/>
                      <w:highlight w:val="none"/>
                    </w:rPr>
                    <w:t>符合</w:t>
                  </w:r>
                </w:p>
              </w:tc>
            </w:tr>
            <w:tr w14:paraId="43FDF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2" w:type="dxa"/>
                  <w:tcBorders>
                    <w:tl2br w:val="nil"/>
                    <w:tr2bl w:val="nil"/>
                  </w:tcBorders>
                  <w:vAlign w:val="center"/>
                </w:tcPr>
                <w:p w14:paraId="1928B50B">
                  <w:pPr>
                    <w:widowControl/>
                    <w:jc w:val="left"/>
                    <w:rPr>
                      <w:rFonts w:ascii="宋体" w:hAnsi="宋体" w:cs="宋体"/>
                      <w:color w:val="auto"/>
                      <w:sz w:val="18"/>
                      <w:szCs w:val="18"/>
                      <w:highlight w:val="none"/>
                    </w:rPr>
                  </w:pPr>
                  <w:r>
                    <w:rPr>
                      <w:rFonts w:hint="eastAsia" w:ascii="宋体" w:hAnsi="宋体" w:cs="宋体"/>
                      <w:color w:val="auto"/>
                      <w:kern w:val="0"/>
                      <w:sz w:val="18"/>
                      <w:szCs w:val="18"/>
                      <w:highlight w:val="none"/>
                    </w:rPr>
                    <w:t>（六）提升洗选经营管理水平。鼓励煤炭企业成立选煤专业机构，统一管理运营企业或区域内煤炭洗选业务，提升洗选技术、运营、管理标准化规范化水平。积极发展托管运营、维修保养、环保治理等第三方选煤服务，推进煤炭洗选专业化、精细化。发挥市场机制作用，坚持优质优价原则，煤矿企业根据电力、钢铁、化工、建材等不同用户需求，提升洗选加工定制化水平，提供符合需求的差异化、高价值煤炭产品。</w:t>
                  </w:r>
                </w:p>
              </w:tc>
              <w:tc>
                <w:tcPr>
                  <w:tcW w:w="2628" w:type="dxa"/>
                  <w:tcBorders>
                    <w:tl2br w:val="nil"/>
                    <w:tr2bl w:val="nil"/>
                  </w:tcBorders>
                  <w:shd w:val="clear" w:color="auto" w:fill="auto"/>
                  <w:vAlign w:val="center"/>
                </w:tcPr>
                <w:p w14:paraId="691E66EC">
                  <w:pPr>
                    <w:widowControl/>
                    <w:jc w:val="left"/>
                    <w:rPr>
                      <w:color w:val="auto"/>
                      <w:sz w:val="18"/>
                      <w:szCs w:val="18"/>
                      <w:highlight w:val="none"/>
                    </w:rPr>
                  </w:pPr>
                  <w:r>
                    <w:rPr>
                      <w:rFonts w:hint="eastAsia" w:ascii="宋体" w:hAnsi="宋体" w:cs="宋体"/>
                      <w:color w:val="auto"/>
                      <w:kern w:val="0"/>
                      <w:sz w:val="18"/>
                      <w:szCs w:val="18"/>
                      <w:highlight w:val="none"/>
                    </w:rPr>
                    <w:t>本项目通过精细化加工煤泥，产出精煤、中煤、人造土壤基质，可满足不同用户需求，符合“提升洗选加工定制化水平、提供差异化产品”的要求；后续可进一步完善专业运营管理机制，提升标准化管理水平。</w:t>
                  </w:r>
                </w:p>
              </w:tc>
              <w:tc>
                <w:tcPr>
                  <w:tcW w:w="824" w:type="dxa"/>
                  <w:tcBorders>
                    <w:tl2br w:val="nil"/>
                    <w:tr2bl w:val="nil"/>
                  </w:tcBorders>
                  <w:shd w:val="clear" w:color="auto" w:fill="auto"/>
                  <w:vAlign w:val="center"/>
                </w:tcPr>
                <w:p w14:paraId="59BDDF64">
                  <w:pPr>
                    <w:jc w:val="center"/>
                    <w:rPr>
                      <w:color w:val="auto"/>
                      <w:sz w:val="18"/>
                      <w:szCs w:val="18"/>
                      <w:highlight w:val="none"/>
                    </w:rPr>
                  </w:pPr>
                  <w:r>
                    <w:rPr>
                      <w:rFonts w:hint="eastAsia"/>
                      <w:color w:val="auto"/>
                      <w:sz w:val="18"/>
                      <w:szCs w:val="18"/>
                      <w:highlight w:val="none"/>
                    </w:rPr>
                    <w:t>符合</w:t>
                  </w:r>
                </w:p>
              </w:tc>
            </w:tr>
          </w:tbl>
          <w:p w14:paraId="747D4BF7">
            <w:pPr>
              <w:autoSpaceDE w:val="0"/>
              <w:autoSpaceDN w:val="0"/>
              <w:adjustRightInd w:val="0"/>
              <w:snapToGrid w:val="0"/>
              <w:spacing w:line="360" w:lineRule="auto"/>
              <w:ind w:firstLine="0" w:firstLineChars="0"/>
              <w:rPr>
                <w:rFonts w:ascii="Times New Roman" w:hAnsi="Times New Roman" w:eastAsia="宋体" w:cs="Times New Roman"/>
                <w:b/>
                <w:bCs/>
                <w:color w:val="auto"/>
                <w:sz w:val="21"/>
                <w:szCs w:val="21"/>
                <w:lang w:eastAsia="zh-CN"/>
              </w:rPr>
            </w:pPr>
            <w:r>
              <w:rPr>
                <w:rFonts w:hint="eastAsia" w:cs="Times New Roman"/>
                <w:b/>
                <w:bCs/>
                <w:color w:val="auto"/>
                <w:sz w:val="21"/>
                <w:szCs w:val="21"/>
                <w:lang w:val="en-US" w:eastAsia="zh-CN"/>
              </w:rPr>
              <w:t>15、本项目与</w:t>
            </w:r>
            <w:r>
              <w:rPr>
                <w:rFonts w:hint="eastAsia" w:cs="Times New Roman"/>
                <w:b/>
                <w:bCs/>
                <w:color w:val="auto"/>
                <w:sz w:val="21"/>
                <w:szCs w:val="21"/>
                <w:lang w:eastAsia="zh-CN"/>
              </w:rPr>
              <w:t>《</w:t>
            </w:r>
            <w:r>
              <w:rPr>
                <w:rFonts w:hint="eastAsia" w:ascii="Times New Roman" w:hAnsi="Times New Roman" w:eastAsia="宋体" w:cs="Times New Roman"/>
                <w:b/>
                <w:bCs/>
                <w:color w:val="auto"/>
                <w:sz w:val="21"/>
                <w:szCs w:val="21"/>
                <w:lang w:eastAsia="zh-CN"/>
              </w:rPr>
              <w:t>鸡西市国民经济和社会发展第十五个五年规划纲要</w:t>
            </w:r>
            <w:r>
              <w:rPr>
                <w:rFonts w:hint="eastAsia" w:cs="Times New Roman"/>
                <w:b/>
                <w:bCs/>
                <w:color w:val="auto"/>
                <w:sz w:val="21"/>
                <w:szCs w:val="21"/>
                <w:lang w:eastAsia="zh-CN"/>
              </w:rPr>
              <w:t>》</w:t>
            </w:r>
            <w:r>
              <w:rPr>
                <w:rFonts w:ascii="Times New Roman" w:hAnsi="Times New Roman" w:eastAsia="宋体" w:cs="Times New Roman"/>
                <w:b/>
                <w:bCs/>
                <w:color w:val="auto"/>
                <w:sz w:val="21"/>
                <w:szCs w:val="21"/>
                <w:lang w:eastAsia="zh-CN"/>
              </w:rPr>
              <w:t>符合性分析</w:t>
            </w:r>
          </w:p>
          <w:p w14:paraId="16CD9C83">
            <w:pPr>
              <w:autoSpaceDE/>
              <w:autoSpaceDN/>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b/>
                <w:bCs/>
                <w:color w:val="auto"/>
                <w:szCs w:val="21"/>
                <w:highlight w:val="none"/>
              </w:rPr>
              <w:t>表1-1</w:t>
            </w:r>
            <w:r>
              <w:rPr>
                <w:rFonts w:hint="eastAsia"/>
                <w:b/>
                <w:bCs/>
                <w:color w:val="auto"/>
                <w:szCs w:val="21"/>
                <w:highlight w:val="none"/>
                <w:lang w:val="en-US" w:eastAsia="zh-CN"/>
              </w:rPr>
              <w:t>1</w:t>
            </w:r>
            <w:r>
              <w:rPr>
                <w:rFonts w:hint="eastAsia" w:cs="Times New Roman"/>
                <w:b/>
                <w:bCs/>
                <w:color w:val="auto"/>
                <w:sz w:val="21"/>
                <w:szCs w:val="21"/>
                <w:lang w:eastAsia="zh-CN"/>
              </w:rPr>
              <w:t>《</w:t>
            </w:r>
            <w:r>
              <w:rPr>
                <w:rFonts w:hint="eastAsia" w:ascii="Times New Roman" w:hAnsi="Times New Roman" w:eastAsia="宋体" w:cs="Times New Roman"/>
                <w:b/>
                <w:bCs/>
                <w:color w:val="auto"/>
                <w:sz w:val="21"/>
                <w:szCs w:val="21"/>
                <w:lang w:eastAsia="zh-CN"/>
              </w:rPr>
              <w:t>鸡西市国民经济和社会发展第十五个五年规划纲要</w:t>
            </w:r>
            <w:r>
              <w:rPr>
                <w:rFonts w:hint="eastAsia" w:cs="Times New Roman"/>
                <w:b/>
                <w:bCs/>
                <w:color w:val="auto"/>
                <w:sz w:val="21"/>
                <w:szCs w:val="21"/>
                <w:lang w:eastAsia="zh-CN"/>
              </w:rPr>
              <w:t>》</w:t>
            </w:r>
            <w:r>
              <w:rPr>
                <w:rFonts w:hint="eastAsia"/>
                <w:b/>
                <w:bCs/>
                <w:color w:val="auto"/>
                <w:szCs w:val="21"/>
                <w:highlight w:val="none"/>
              </w:rPr>
              <w:t>符合性分析</w:t>
            </w:r>
          </w:p>
          <w:tbl>
            <w:tblPr>
              <w:tblStyle w:val="23"/>
              <w:tblW w:w="77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3420"/>
              <w:gridCol w:w="2730"/>
              <w:gridCol w:w="1021"/>
            </w:tblGrid>
            <w:tr w14:paraId="7BC6DC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967" w:type="dxa"/>
                  <w:gridSpan w:val="2"/>
                  <w:tcBorders>
                    <w:tl2br w:val="nil"/>
                    <w:tr2bl w:val="nil"/>
                  </w:tcBorders>
                  <w:vAlign w:val="center"/>
                </w:tcPr>
                <w:p w14:paraId="1EF5572E">
                  <w:pPr>
                    <w:adjustRightInd w:val="0"/>
                    <w:snapToGrid w:val="0"/>
                    <w:spacing w:line="240" w:lineRule="auto"/>
                    <w:jc w:val="center"/>
                    <w:rPr>
                      <w:rFonts w:hint="default" w:ascii="宋体" w:hAnsi="宋体" w:eastAsia="宋体" w:cs="宋体"/>
                      <w:color w:val="auto"/>
                      <w:sz w:val="18"/>
                      <w:szCs w:val="18"/>
                      <w:highlight w:val="none"/>
                      <w:vertAlign w:val="baseline"/>
                      <w:lang w:val="en-US" w:eastAsia="zh-CN"/>
                    </w:rPr>
                  </w:pPr>
                  <w:r>
                    <w:rPr>
                      <w:rFonts w:hint="eastAsia" w:ascii="宋体" w:hAnsi="宋体" w:cs="宋体"/>
                      <w:color w:val="auto"/>
                      <w:sz w:val="18"/>
                      <w:szCs w:val="18"/>
                      <w:highlight w:val="none"/>
                      <w:vertAlign w:val="baseline"/>
                      <w:lang w:val="en-US" w:eastAsia="zh-CN"/>
                    </w:rPr>
                    <w:t>规划要求</w:t>
                  </w:r>
                </w:p>
              </w:tc>
              <w:tc>
                <w:tcPr>
                  <w:tcW w:w="2730" w:type="dxa"/>
                  <w:tcBorders>
                    <w:tl2br w:val="nil"/>
                    <w:tr2bl w:val="nil"/>
                  </w:tcBorders>
                  <w:shd w:val="clear" w:color="auto" w:fill="auto"/>
                  <w:vAlign w:val="center"/>
                </w:tcPr>
                <w:p w14:paraId="75E5F470">
                  <w:pPr>
                    <w:adjustRightInd w:val="0"/>
                    <w:snapToGrid w:val="0"/>
                    <w:spacing w:line="240" w:lineRule="auto"/>
                    <w:jc w:val="center"/>
                    <w:rPr>
                      <w:rFonts w:hint="eastAsia" w:ascii="宋体" w:hAnsi="宋体" w:eastAsia="宋体" w:cs="宋体"/>
                      <w:color w:val="auto"/>
                      <w:kern w:val="2"/>
                      <w:sz w:val="18"/>
                      <w:szCs w:val="18"/>
                      <w:highlight w:val="none"/>
                      <w:vertAlign w:val="baseline"/>
                      <w:lang w:val="en-US" w:eastAsia="zh-CN" w:bidi="ar-SA"/>
                    </w:rPr>
                  </w:pPr>
                  <w:r>
                    <w:rPr>
                      <w:rFonts w:hint="eastAsia" w:ascii="宋体" w:hAnsi="宋体" w:cs="宋体"/>
                      <w:color w:val="auto"/>
                      <w:sz w:val="18"/>
                      <w:szCs w:val="18"/>
                      <w:highlight w:val="none"/>
                      <w:vertAlign w:val="baseline"/>
                      <w:lang w:val="en-US" w:eastAsia="zh-CN"/>
                    </w:rPr>
                    <w:t>本项目情况</w:t>
                  </w:r>
                </w:p>
              </w:tc>
              <w:tc>
                <w:tcPr>
                  <w:tcW w:w="1021" w:type="dxa"/>
                  <w:tcBorders>
                    <w:tl2br w:val="nil"/>
                    <w:tr2bl w:val="nil"/>
                  </w:tcBorders>
                  <w:shd w:val="clear" w:color="auto" w:fill="auto"/>
                  <w:vAlign w:val="center"/>
                </w:tcPr>
                <w:p w14:paraId="6D48EDDD">
                  <w:pPr>
                    <w:adjustRightInd w:val="0"/>
                    <w:snapToGrid w:val="0"/>
                    <w:spacing w:line="240" w:lineRule="auto"/>
                    <w:jc w:val="center"/>
                    <w:rPr>
                      <w:rFonts w:hint="eastAsia" w:ascii="宋体" w:hAnsi="宋体" w:eastAsia="宋体" w:cs="宋体"/>
                      <w:color w:val="auto"/>
                      <w:kern w:val="2"/>
                      <w:sz w:val="18"/>
                      <w:szCs w:val="18"/>
                      <w:highlight w:val="none"/>
                      <w:vertAlign w:val="baseline"/>
                      <w:lang w:val="en-US" w:eastAsia="zh-CN" w:bidi="ar-SA"/>
                    </w:rPr>
                  </w:pPr>
                  <w:r>
                    <w:rPr>
                      <w:rFonts w:hint="eastAsia" w:ascii="宋体" w:hAnsi="宋体" w:cs="宋体"/>
                      <w:color w:val="auto"/>
                      <w:sz w:val="18"/>
                      <w:szCs w:val="18"/>
                      <w:highlight w:val="none"/>
                      <w:vertAlign w:val="baseline"/>
                      <w:lang w:val="en-US" w:eastAsia="zh-CN"/>
                    </w:rPr>
                    <w:t>符合性</w:t>
                  </w:r>
                </w:p>
              </w:tc>
            </w:tr>
            <w:tr w14:paraId="34B122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547" w:type="dxa"/>
                  <w:tcBorders>
                    <w:tl2br w:val="nil"/>
                    <w:tr2bl w:val="nil"/>
                  </w:tcBorders>
                  <w:shd w:val="clear" w:color="auto" w:fill="auto"/>
                  <w:vAlign w:val="center"/>
                </w:tcPr>
                <w:p w14:paraId="20B38861">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ascii="宋体" w:hAnsi="宋体" w:eastAsia="宋体" w:cs="宋体"/>
                      <w:color w:val="auto"/>
                      <w:sz w:val="18"/>
                      <w:szCs w:val="18"/>
                    </w:rPr>
                    <w:t>加快释放煤炭安全优质产能。</w:t>
                  </w:r>
                </w:p>
              </w:tc>
              <w:tc>
                <w:tcPr>
                  <w:tcW w:w="3420" w:type="dxa"/>
                  <w:tcBorders>
                    <w:tl2br w:val="nil"/>
                    <w:tr2bl w:val="nil"/>
                  </w:tcBorders>
                  <w:vAlign w:val="center"/>
                </w:tcPr>
                <w:p w14:paraId="61186F88">
                  <w:pPr>
                    <w:adjustRightInd w:val="0"/>
                    <w:snapToGrid w:val="0"/>
                    <w:spacing w:line="240" w:lineRule="auto"/>
                    <w:jc w:val="center"/>
                    <w:rPr>
                      <w:rFonts w:ascii="宋体" w:hAnsi="宋体" w:cs="宋体"/>
                      <w:color w:val="auto"/>
                      <w:sz w:val="18"/>
                      <w:szCs w:val="18"/>
                      <w:highlight w:val="none"/>
                      <w:vertAlign w:val="baseline"/>
                    </w:rPr>
                  </w:pPr>
                  <w:r>
                    <w:rPr>
                      <w:rFonts w:ascii="宋体" w:hAnsi="宋体" w:eastAsia="宋体" w:cs="宋体"/>
                      <w:color w:val="auto"/>
                      <w:sz w:val="18"/>
                      <w:szCs w:val="18"/>
                    </w:rPr>
                    <w:t>推进升级改造煤矿全面开工建 设，建成龙煤鸡矿公司 150 万吨合作煤矿，打造优质煤炭生产基 地。支持煤炭企业推进煤矿“一优三减”（优化系统、减水平、减 头面、减人员）和“四化建设”（机械化、自动化、信息化、智能 化），打造一批安全、绿色、智能的示范性现代煤矿。推进 30 万吨/年以下煤矿分类处置，引导长期停产停建、资源枯竭、灾害 严重且难以有效防治的煤矿有序退出。增强原煤精细化洗选加工能力，推进智能绿色洗选，形成多品质、多粒度级产品，推动煤 炭产品由初级燃料向高价值产品攀升。提高煤炭洗选率，降低洗 选能耗、介耗和污染物排放，加强洗选废弃物综合利用。到 2030 年，全市煤炭产能达到 3800 万吨/年，原煤入选率达到 75%以上。</w:t>
                  </w:r>
                </w:p>
              </w:tc>
              <w:tc>
                <w:tcPr>
                  <w:tcW w:w="2730" w:type="dxa"/>
                  <w:tcBorders>
                    <w:tl2br w:val="nil"/>
                    <w:tr2bl w:val="nil"/>
                  </w:tcBorders>
                  <w:vAlign w:val="center"/>
                </w:tcPr>
                <w:p w14:paraId="54F6A3F9">
                  <w:pPr>
                    <w:widowControl w:val="0"/>
                    <w:adjustRightInd w:val="0"/>
                    <w:snapToGrid w:val="0"/>
                    <w:spacing w:line="240" w:lineRule="auto"/>
                    <w:ind w:firstLine="0" w:firstLineChars="0"/>
                    <w:rPr>
                      <w:rFonts w:hint="default" w:eastAsia="宋体"/>
                      <w:color w:val="auto"/>
                      <w:sz w:val="18"/>
                      <w:szCs w:val="18"/>
                      <w:highlight w:val="none"/>
                      <w:lang w:val="en-US" w:eastAsia="zh-CN"/>
                    </w:rPr>
                  </w:pPr>
                  <w:r>
                    <w:rPr>
                      <w:color w:val="auto"/>
                      <w:sz w:val="18"/>
                      <w:szCs w:val="18"/>
                      <w:highlight w:val="none"/>
                    </w:rPr>
                    <w:t>本项目通过将煤炭一次洗选后的煤泥进行</w:t>
                  </w:r>
                  <w:r>
                    <w:rPr>
                      <w:rFonts w:hint="eastAsia"/>
                      <w:color w:val="auto"/>
                      <w:sz w:val="18"/>
                      <w:szCs w:val="18"/>
                      <w:highlight w:val="none"/>
                    </w:rPr>
                    <w:t>浮选</w:t>
                  </w:r>
                  <w:r>
                    <w:rPr>
                      <w:color w:val="auto"/>
                      <w:sz w:val="18"/>
                      <w:szCs w:val="18"/>
                      <w:highlight w:val="none"/>
                    </w:rPr>
                    <w:t>，</w:t>
                  </w:r>
                  <w:r>
                    <w:rPr>
                      <w:rFonts w:hint="eastAsia"/>
                      <w:color w:val="auto"/>
                      <w:sz w:val="18"/>
                      <w:szCs w:val="18"/>
                      <w:highlight w:val="none"/>
                    </w:rPr>
                    <w:t>产生的产品精煤、中煤外售，</w:t>
                  </w:r>
                  <w:r>
                    <w:rPr>
                      <w:color w:val="auto"/>
                      <w:sz w:val="18"/>
                      <w:szCs w:val="18"/>
                      <w:highlight w:val="none"/>
                    </w:rPr>
                    <w:t>产生的一般工业固体废物尾矿泥用于生产</w:t>
                  </w:r>
                  <w:r>
                    <w:rPr>
                      <w:rFonts w:hint="eastAsia"/>
                      <w:color w:val="auto"/>
                      <w:sz w:val="18"/>
                      <w:szCs w:val="18"/>
                      <w:highlight w:val="none"/>
                    </w:rPr>
                    <w:t>人造土壤基质</w:t>
                  </w:r>
                  <w:r>
                    <w:rPr>
                      <w:rFonts w:hint="eastAsia"/>
                      <w:color w:val="auto"/>
                      <w:sz w:val="18"/>
                      <w:szCs w:val="18"/>
                      <w:highlight w:val="none"/>
                      <w:lang w:val="en-US" w:eastAsia="zh-CN"/>
                    </w:rPr>
                    <w:t>用于生态修复</w:t>
                  </w:r>
                  <w:r>
                    <w:rPr>
                      <w:rFonts w:hint="eastAsia"/>
                      <w:color w:val="auto"/>
                      <w:sz w:val="18"/>
                      <w:szCs w:val="18"/>
                      <w:highlight w:val="none"/>
                      <w:lang w:eastAsia="zh-CN"/>
                    </w:rPr>
                    <w:t>，</w:t>
                  </w:r>
                  <w:r>
                    <w:rPr>
                      <w:rFonts w:hint="eastAsia"/>
                      <w:color w:val="auto"/>
                      <w:sz w:val="18"/>
                      <w:szCs w:val="18"/>
                      <w:highlight w:val="none"/>
                      <w:lang w:val="en-US" w:eastAsia="zh-CN"/>
                    </w:rPr>
                    <w:t>并且可以同步利用工业副产石膏、炉渣、粉煤灰、秸秆水处理污泥等固体废物</w:t>
                  </w:r>
                  <w:r>
                    <w:rPr>
                      <w:color w:val="auto"/>
                      <w:sz w:val="18"/>
                      <w:szCs w:val="18"/>
                      <w:highlight w:val="none"/>
                    </w:rPr>
                    <w:t>。</w:t>
                  </w:r>
                  <w:r>
                    <w:rPr>
                      <w:rFonts w:hint="eastAsia"/>
                      <w:color w:val="auto"/>
                      <w:sz w:val="18"/>
                      <w:szCs w:val="18"/>
                      <w:highlight w:val="none"/>
                      <w:lang w:val="en-US" w:eastAsia="zh-CN"/>
                    </w:rPr>
                    <w:t>属于加强洗选废弃物综合利用</w:t>
                  </w:r>
                </w:p>
                <w:p w14:paraId="635C6BF4">
                  <w:pPr>
                    <w:adjustRightInd w:val="0"/>
                    <w:snapToGrid w:val="0"/>
                    <w:spacing w:line="240" w:lineRule="auto"/>
                    <w:jc w:val="center"/>
                    <w:rPr>
                      <w:rFonts w:ascii="宋体" w:hAnsi="宋体" w:cs="宋体"/>
                      <w:color w:val="auto"/>
                      <w:sz w:val="18"/>
                      <w:szCs w:val="18"/>
                      <w:highlight w:val="none"/>
                      <w:vertAlign w:val="baseline"/>
                    </w:rPr>
                  </w:pPr>
                </w:p>
              </w:tc>
              <w:tc>
                <w:tcPr>
                  <w:tcW w:w="1021" w:type="dxa"/>
                  <w:tcBorders>
                    <w:tl2br w:val="nil"/>
                    <w:tr2bl w:val="nil"/>
                  </w:tcBorders>
                  <w:vAlign w:val="center"/>
                </w:tcPr>
                <w:p w14:paraId="675AFB9A">
                  <w:pPr>
                    <w:adjustRightInd w:val="0"/>
                    <w:snapToGrid w:val="0"/>
                    <w:spacing w:line="240" w:lineRule="auto"/>
                    <w:jc w:val="center"/>
                    <w:rPr>
                      <w:rFonts w:hint="eastAsia" w:ascii="宋体" w:hAnsi="宋体" w:eastAsia="宋体" w:cs="宋体"/>
                      <w:color w:val="auto"/>
                      <w:sz w:val="18"/>
                      <w:szCs w:val="18"/>
                      <w:highlight w:val="none"/>
                      <w:vertAlign w:val="baseline"/>
                      <w:lang w:val="en-US" w:eastAsia="zh-CN"/>
                    </w:rPr>
                  </w:pPr>
                  <w:r>
                    <w:rPr>
                      <w:rFonts w:hint="eastAsia" w:ascii="宋体" w:hAnsi="宋体" w:cs="宋体"/>
                      <w:color w:val="auto"/>
                      <w:sz w:val="18"/>
                      <w:szCs w:val="18"/>
                      <w:highlight w:val="none"/>
                      <w:vertAlign w:val="baseline"/>
                      <w:lang w:val="en-US" w:eastAsia="zh-CN"/>
                    </w:rPr>
                    <w:t>符合</w:t>
                  </w:r>
                </w:p>
              </w:tc>
            </w:tr>
            <w:tr w14:paraId="784C9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547" w:type="dxa"/>
                  <w:tcBorders>
                    <w:tl2br w:val="nil"/>
                    <w:tr2bl w:val="nil"/>
                  </w:tcBorders>
                  <w:shd w:val="clear" w:color="auto" w:fill="auto"/>
                  <w:vAlign w:val="center"/>
                </w:tcPr>
                <w:p w14:paraId="7BF6148F">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b/>
                      <w:bCs/>
                      <w:snapToGrid w:val="0"/>
                      <w:color w:val="auto"/>
                      <w:kern w:val="0"/>
                      <w:sz w:val="18"/>
                      <w:szCs w:val="18"/>
                      <w:highlight w:val="none"/>
                      <w:lang w:val="en-US" w:eastAsia="zh-CN"/>
                    </w:rPr>
                    <w:t>全面改善空气质量</w:t>
                  </w:r>
                </w:p>
              </w:tc>
              <w:tc>
                <w:tcPr>
                  <w:tcW w:w="3420" w:type="dxa"/>
                  <w:tcBorders>
                    <w:tl2br w:val="nil"/>
                    <w:tr2bl w:val="nil"/>
                  </w:tcBorders>
                  <w:shd w:val="clear" w:color="auto" w:fill="auto"/>
                  <w:vAlign w:val="center"/>
                </w:tcPr>
                <w:p w14:paraId="3A789883">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rPr>
                    <w:t>加强散煤污染治理，推进散煤削减替代和清洁利用。积极应对重污染天气，动态完善重污染天气应急减排清单，开展空气质量保障行动。加强秸秆综合利用和禁烧分区分类管控，完善秸秆收储运体系，探索建立政府、企业与农民三方合作共赢机制。推进焦化、水泥等重点行业超低排放改造，提升脱硫、脱硝、除尘效率，实现烟气污染物稳定达标排放。强化重污染天气部门联动，确保“十五五”期间空气质量优良天数比率达到省定目标；加强工业噪声、建筑施工噪声、交通运输噪声和社会生活噪声监督管理，确保功能区声环境质量夜间达标率达到省定目标。</w:t>
                  </w:r>
                </w:p>
              </w:tc>
              <w:tc>
                <w:tcPr>
                  <w:tcW w:w="2730" w:type="dxa"/>
                  <w:tcBorders>
                    <w:tl2br w:val="nil"/>
                    <w:tr2bl w:val="nil"/>
                  </w:tcBorders>
                  <w:shd w:val="clear" w:color="auto" w:fill="auto"/>
                  <w:vAlign w:val="center"/>
                </w:tcPr>
                <w:p w14:paraId="01C51F5D">
                  <w:pPr>
                    <w:widowControl/>
                    <w:adjustRightInd w:val="0"/>
                    <w:snapToGrid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pacing w:val="-1"/>
                      <w:sz w:val="18"/>
                      <w:szCs w:val="18"/>
                      <w:highlight w:val="none"/>
                      <w:lang w:val="en-US" w:eastAsia="zh-CN"/>
                    </w:rPr>
                    <w:t>本项目</w:t>
                  </w:r>
                  <w:r>
                    <w:rPr>
                      <w:color w:val="auto"/>
                      <w:spacing w:val="-1"/>
                      <w:sz w:val="18"/>
                      <w:szCs w:val="18"/>
                      <w:highlight w:val="none"/>
                    </w:rPr>
                    <w:t>物料采用汽车运输，并用苫布遮盖，</w:t>
                  </w:r>
                  <w:r>
                    <w:rPr>
                      <w:rFonts w:hint="eastAsia"/>
                      <w:color w:val="auto"/>
                      <w:spacing w:val="-1"/>
                      <w:sz w:val="18"/>
                      <w:szCs w:val="18"/>
                      <w:highlight w:val="none"/>
                    </w:rPr>
                    <w:t>物料棚</w:t>
                  </w:r>
                  <w:r>
                    <w:rPr>
                      <w:color w:val="auto"/>
                      <w:spacing w:val="-1"/>
                      <w:sz w:val="18"/>
                      <w:szCs w:val="18"/>
                      <w:highlight w:val="none"/>
                    </w:rPr>
                    <w:t>四周设置防尘网，定期洒水降尘，道路定</w:t>
                  </w:r>
                  <w:r>
                    <w:rPr>
                      <w:color w:val="auto"/>
                      <w:spacing w:val="-3"/>
                      <w:sz w:val="18"/>
                      <w:szCs w:val="18"/>
                      <w:highlight w:val="none"/>
                    </w:rPr>
                    <w:t>期洒水降尘，减少厂内扬尘</w:t>
                  </w:r>
                  <w:r>
                    <w:rPr>
                      <w:rFonts w:hint="eastAsia"/>
                      <w:color w:val="auto"/>
                      <w:spacing w:val="-3"/>
                      <w:sz w:val="18"/>
                      <w:szCs w:val="18"/>
                      <w:highlight w:val="none"/>
                    </w:rPr>
                    <w:t>，煤泥浮选工序药剂投加过程产生的废气 VOCs无组织排放，</w:t>
                  </w:r>
                  <w:r>
                    <w:rPr>
                      <w:rFonts w:hint="eastAsia"/>
                      <w:color w:val="auto"/>
                      <w:sz w:val="18"/>
                      <w:szCs w:val="18"/>
                      <w:highlight w:val="none"/>
                    </w:rPr>
                    <w:t>秸秆粉碎工序粉尘经设备上方集气罩收集，通过布袋除尘器处理后经15m高排气筒（DA001）排放，粉煤灰</w:t>
                  </w:r>
                  <w:r>
                    <w:rPr>
                      <w:color w:val="auto"/>
                      <w:sz w:val="18"/>
                      <w:szCs w:val="18"/>
                      <w:highlight w:val="none"/>
                    </w:rPr>
                    <w:t>采用罐车运输，入仓粉尘经仓顶</w:t>
                  </w:r>
                  <w:r>
                    <w:rPr>
                      <w:rFonts w:hint="eastAsia"/>
                      <w:color w:val="auto"/>
                      <w:sz w:val="18"/>
                      <w:szCs w:val="18"/>
                      <w:highlight w:val="none"/>
                    </w:rPr>
                    <w:t>除尘器处理后通过呼吸口</w:t>
                  </w:r>
                  <w:r>
                    <w:rPr>
                      <w:color w:val="auto"/>
                      <w:spacing w:val="2"/>
                      <w:sz w:val="18"/>
                      <w:szCs w:val="18"/>
                      <w:highlight w:val="none"/>
                    </w:rPr>
                    <w:t>无组织排放</w:t>
                  </w:r>
                  <w:r>
                    <w:rPr>
                      <w:rFonts w:hint="eastAsia"/>
                      <w:color w:val="auto"/>
                      <w:spacing w:val="-1"/>
                      <w:sz w:val="18"/>
                      <w:szCs w:val="18"/>
                      <w:highlight w:val="none"/>
                    </w:rPr>
                    <w:t>。</w:t>
                  </w:r>
                  <w:r>
                    <w:rPr>
                      <w:rFonts w:hint="eastAsia" w:cs="Times New Roman"/>
                      <w:color w:val="auto"/>
                      <w:kern w:val="0"/>
                      <w:sz w:val="18"/>
                      <w:szCs w:val="18"/>
                      <w:highlight w:val="none"/>
                      <w:lang w:eastAsia="zh-CN"/>
                    </w:rPr>
                    <w:t>面对重污染天气情况下暂停作业，减少空气污染。</w:t>
                  </w:r>
                  <w:r>
                    <w:rPr>
                      <w:rFonts w:hint="default" w:ascii="Times New Roman" w:hAnsi="Times New Roman" w:eastAsia="宋体" w:cs="Times New Roman"/>
                      <w:snapToGrid w:val="0"/>
                      <w:color w:val="auto"/>
                      <w:kern w:val="0"/>
                      <w:sz w:val="18"/>
                      <w:szCs w:val="18"/>
                      <w:highlight w:val="none"/>
                      <w:lang w:val="en-US" w:eastAsia="zh-CN"/>
                    </w:rPr>
                    <w:t>确保功能区声环境质量夜间达标率达到省定目标。</w:t>
                  </w:r>
                </w:p>
              </w:tc>
              <w:tc>
                <w:tcPr>
                  <w:tcW w:w="1021" w:type="dxa"/>
                  <w:tcBorders>
                    <w:tl2br w:val="nil"/>
                    <w:tr2bl w:val="nil"/>
                  </w:tcBorders>
                  <w:vAlign w:val="center"/>
                </w:tcPr>
                <w:p w14:paraId="38717572">
                  <w:pPr>
                    <w:adjustRightInd w:val="0"/>
                    <w:snapToGrid w:val="0"/>
                    <w:spacing w:line="240" w:lineRule="auto"/>
                    <w:jc w:val="center"/>
                    <w:rPr>
                      <w:rFonts w:ascii="宋体" w:hAnsi="宋体" w:cs="宋体"/>
                      <w:color w:val="auto"/>
                      <w:sz w:val="18"/>
                      <w:szCs w:val="18"/>
                      <w:highlight w:val="none"/>
                      <w:vertAlign w:val="baseline"/>
                    </w:rPr>
                  </w:pPr>
                  <w:r>
                    <w:rPr>
                      <w:rFonts w:hint="eastAsia" w:ascii="宋体" w:hAnsi="宋体" w:cs="宋体"/>
                      <w:color w:val="auto"/>
                      <w:sz w:val="18"/>
                      <w:szCs w:val="18"/>
                      <w:highlight w:val="none"/>
                      <w:vertAlign w:val="baseline"/>
                      <w:lang w:val="en-US" w:eastAsia="zh-CN"/>
                    </w:rPr>
                    <w:t>符合</w:t>
                  </w:r>
                </w:p>
              </w:tc>
            </w:tr>
            <w:tr w14:paraId="68026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47" w:type="dxa"/>
                  <w:tcBorders>
                    <w:tl2br w:val="nil"/>
                    <w:tr2bl w:val="nil"/>
                  </w:tcBorders>
                  <w:shd w:val="clear" w:color="auto" w:fill="auto"/>
                  <w:vAlign w:val="center"/>
                </w:tcPr>
                <w:p w14:paraId="669CA4A1">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b/>
                      <w:bCs/>
                      <w:snapToGrid w:val="0"/>
                      <w:color w:val="auto"/>
                      <w:kern w:val="0"/>
                      <w:sz w:val="18"/>
                      <w:szCs w:val="18"/>
                      <w:highlight w:val="none"/>
                      <w:lang w:val="en-US" w:eastAsia="zh-CN"/>
                    </w:rPr>
                    <w:t>持续提升水环境质量</w:t>
                  </w:r>
                </w:p>
              </w:tc>
              <w:tc>
                <w:tcPr>
                  <w:tcW w:w="3420" w:type="dxa"/>
                  <w:tcBorders>
                    <w:tl2br w:val="nil"/>
                    <w:tr2bl w:val="nil"/>
                  </w:tcBorders>
                  <w:shd w:val="clear" w:color="auto" w:fill="auto"/>
                  <w:vAlign w:val="center"/>
                </w:tcPr>
                <w:p w14:paraId="754EB0CB">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rPr>
                    <w:t>统筹水资源、水环境、水生态治理，实施河湖生态流量保障和母亲河复苏行动，推进河湖水生态保护修复和美丽河湖建设，确保全市达到或好于Ⅲ类水体比例达到省定目标。强化地表水环境管理，加强排污口排查整治，定期开展“回头看”暗访检查。推进地下水污染防控和保护管理，强化地下水用量和水位指标“双控”。健全城市水源地管理评估机制，开展城市集中式饮用水水源地排查整治工作。推进工业污染防治，持续提升园区污水收集处理效能。到2030年，完成省级美丽河湖创建指标，入河湖排污口溯源整治率达到100%，地表水国控断面优良水质比例达到省定目标。</w:t>
                  </w:r>
                </w:p>
              </w:tc>
              <w:tc>
                <w:tcPr>
                  <w:tcW w:w="2730" w:type="dxa"/>
                  <w:tcBorders>
                    <w:tl2br w:val="nil"/>
                    <w:tr2bl w:val="nil"/>
                  </w:tcBorders>
                  <w:vAlign w:val="center"/>
                </w:tcPr>
                <w:p w14:paraId="5F2D18D9">
                  <w:pPr>
                    <w:adjustRightInd w:val="0"/>
                    <w:snapToGrid w:val="0"/>
                    <w:spacing w:line="240" w:lineRule="auto"/>
                    <w:jc w:val="center"/>
                    <w:rPr>
                      <w:rFonts w:hint="default" w:ascii="宋体" w:hAnsi="宋体" w:eastAsia="宋体" w:cs="宋体"/>
                      <w:color w:val="auto"/>
                      <w:sz w:val="18"/>
                      <w:szCs w:val="18"/>
                      <w:highlight w:val="none"/>
                      <w:vertAlign w:val="baseline"/>
                      <w:lang w:val="en-US" w:eastAsia="zh-CN"/>
                    </w:rPr>
                  </w:pPr>
                  <w:r>
                    <w:rPr>
                      <w:rFonts w:hint="eastAsia"/>
                      <w:color w:val="auto"/>
                      <w:sz w:val="18"/>
                      <w:szCs w:val="18"/>
                      <w:highlight w:val="none"/>
                      <w:lang w:val="en-US" w:eastAsia="zh-CN"/>
                    </w:rPr>
                    <w:t>本项目</w:t>
                  </w:r>
                  <w:r>
                    <w:rPr>
                      <w:rFonts w:hint="eastAsia"/>
                      <w:color w:val="auto"/>
                      <w:sz w:val="18"/>
                      <w:szCs w:val="18"/>
                      <w:highlight w:val="none"/>
                      <w:lang w:val="en-US"/>
                    </w:rPr>
                    <w:t>生产废水循环利用，不外排</w:t>
                  </w:r>
                  <w:r>
                    <w:rPr>
                      <w:color w:val="auto"/>
                      <w:sz w:val="18"/>
                      <w:szCs w:val="18"/>
                      <w:highlight w:val="none"/>
                    </w:rPr>
                    <w:t>，</w:t>
                  </w:r>
                  <w:r>
                    <w:rPr>
                      <w:color w:val="auto"/>
                      <w:sz w:val="18"/>
                      <w:szCs w:val="18"/>
                      <w:highlight w:val="none"/>
                      <w:lang w:val="en-US"/>
                    </w:rPr>
                    <w:t>生活废水排入</w:t>
                  </w:r>
                  <w:r>
                    <w:rPr>
                      <w:rFonts w:hint="eastAsia"/>
                      <w:color w:val="auto"/>
                      <w:sz w:val="18"/>
                      <w:szCs w:val="18"/>
                      <w:highlight w:val="none"/>
                      <w:lang w:val="en-US"/>
                    </w:rPr>
                    <w:t>防渗旱厕，定期清掏，外运堆肥，不外排。</w:t>
                  </w:r>
                  <w:r>
                    <w:rPr>
                      <w:rFonts w:hint="eastAsia"/>
                      <w:color w:val="auto"/>
                      <w:sz w:val="18"/>
                      <w:szCs w:val="18"/>
                      <w:highlight w:val="none"/>
                      <w:lang w:val="en-US" w:eastAsia="zh-CN"/>
                    </w:rPr>
                    <w:t>厂区四周设置雨水导流沟，</w:t>
                  </w:r>
                  <w:r>
                    <w:rPr>
                      <w:rFonts w:hint="eastAsia"/>
                      <w:color w:val="auto"/>
                      <w:sz w:val="18"/>
                      <w:szCs w:val="18"/>
                      <w:highlight w:val="none"/>
                      <w:lang w:val="en-US"/>
                    </w:rPr>
                    <w:t>设置雨水收集池1座</w:t>
                  </w:r>
                  <w:r>
                    <w:rPr>
                      <w:color w:val="auto"/>
                      <w:sz w:val="18"/>
                      <w:szCs w:val="18"/>
                      <w:highlight w:val="none"/>
                      <w:lang w:val="en-US"/>
                    </w:rPr>
                    <w:t>，</w:t>
                  </w:r>
                  <w:r>
                    <w:rPr>
                      <w:rFonts w:hint="eastAsia"/>
                      <w:color w:val="auto"/>
                      <w:sz w:val="18"/>
                      <w:szCs w:val="18"/>
                      <w:highlight w:val="none"/>
                      <w:lang w:val="en-US"/>
                    </w:rPr>
                    <w:t>位于厂区东北侧，收集整体厂区雨水，</w:t>
                  </w:r>
                  <w:r>
                    <w:rPr>
                      <w:color w:val="auto"/>
                      <w:sz w:val="18"/>
                      <w:szCs w:val="18"/>
                      <w:highlight w:val="none"/>
                      <w:lang w:val="en-US"/>
                    </w:rPr>
                    <w:t>收集的雨水沉淀后</w:t>
                  </w:r>
                  <w:r>
                    <w:rPr>
                      <w:rFonts w:hint="eastAsia"/>
                      <w:color w:val="auto"/>
                      <w:sz w:val="18"/>
                      <w:szCs w:val="18"/>
                      <w:highlight w:val="none"/>
                      <w:lang w:val="en-US"/>
                    </w:rPr>
                    <w:t>回用于生产，雨水收集池体积150</w:t>
                  </w:r>
                  <w:r>
                    <w:rPr>
                      <w:color w:val="auto"/>
                      <w:sz w:val="18"/>
                      <w:szCs w:val="18"/>
                      <w:highlight w:val="none"/>
                    </w:rPr>
                    <w:t>m</w:t>
                  </w:r>
                  <w:r>
                    <w:rPr>
                      <w:rFonts w:hint="eastAsia"/>
                      <w:color w:val="auto"/>
                      <w:sz w:val="18"/>
                      <w:szCs w:val="18"/>
                      <w:highlight w:val="none"/>
                      <w:vertAlign w:val="superscript"/>
                      <w:lang w:val="en-US"/>
                    </w:rPr>
                    <w:t>3</w:t>
                  </w:r>
                  <w:r>
                    <w:rPr>
                      <w:rFonts w:hint="eastAsia"/>
                      <w:color w:val="auto"/>
                      <w:sz w:val="18"/>
                      <w:szCs w:val="18"/>
                      <w:highlight w:val="none"/>
                    </w:rPr>
                    <w:t>，配备截断阀控制初期雨水收集。</w:t>
                  </w:r>
                  <w:r>
                    <w:rPr>
                      <w:rFonts w:hint="eastAsia"/>
                      <w:color w:val="auto"/>
                      <w:sz w:val="18"/>
                      <w:szCs w:val="18"/>
                      <w:highlight w:val="none"/>
                      <w:lang w:val="en-US" w:eastAsia="zh-CN"/>
                    </w:rPr>
                    <w:t>本项目无废水外排</w:t>
                  </w:r>
                </w:p>
              </w:tc>
              <w:tc>
                <w:tcPr>
                  <w:tcW w:w="1021" w:type="dxa"/>
                  <w:tcBorders>
                    <w:tl2br w:val="nil"/>
                    <w:tr2bl w:val="nil"/>
                  </w:tcBorders>
                  <w:vAlign w:val="center"/>
                </w:tcPr>
                <w:p w14:paraId="7563C5C4">
                  <w:pPr>
                    <w:adjustRightInd w:val="0"/>
                    <w:snapToGrid w:val="0"/>
                    <w:spacing w:line="240" w:lineRule="auto"/>
                    <w:jc w:val="center"/>
                    <w:rPr>
                      <w:rFonts w:hint="eastAsia" w:ascii="宋体" w:hAnsi="宋体" w:eastAsia="宋体" w:cs="宋体"/>
                      <w:color w:val="auto"/>
                      <w:sz w:val="18"/>
                      <w:szCs w:val="18"/>
                      <w:highlight w:val="none"/>
                      <w:vertAlign w:val="baseline"/>
                      <w:lang w:val="en-US" w:eastAsia="zh-CN"/>
                    </w:rPr>
                  </w:pPr>
                  <w:r>
                    <w:rPr>
                      <w:rFonts w:hint="eastAsia" w:ascii="宋体" w:hAnsi="宋体" w:cs="宋体"/>
                      <w:color w:val="auto"/>
                      <w:sz w:val="18"/>
                      <w:szCs w:val="18"/>
                      <w:highlight w:val="none"/>
                      <w:vertAlign w:val="baseline"/>
                      <w:lang w:val="en-US" w:eastAsia="zh-CN"/>
                    </w:rPr>
                    <w:t>符合</w:t>
                  </w:r>
                </w:p>
              </w:tc>
            </w:tr>
            <w:tr w14:paraId="6F626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47" w:type="dxa"/>
                  <w:tcBorders>
                    <w:tl2br w:val="nil"/>
                    <w:tr2bl w:val="nil"/>
                  </w:tcBorders>
                  <w:shd w:val="clear" w:color="auto" w:fill="auto"/>
                  <w:vAlign w:val="center"/>
                </w:tcPr>
                <w:p w14:paraId="000985D3">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b/>
                      <w:bCs/>
                      <w:snapToGrid w:val="0"/>
                      <w:color w:val="auto"/>
                      <w:kern w:val="0"/>
                      <w:sz w:val="18"/>
                      <w:szCs w:val="18"/>
                      <w:highlight w:val="none"/>
                      <w:lang w:val="en-US" w:eastAsia="zh-CN"/>
                    </w:rPr>
                    <w:t>加强土壤污染管控</w:t>
                  </w:r>
                </w:p>
              </w:tc>
              <w:tc>
                <w:tcPr>
                  <w:tcW w:w="3420" w:type="dxa"/>
                  <w:tcBorders>
                    <w:tl2br w:val="nil"/>
                    <w:tr2bl w:val="nil"/>
                  </w:tcBorders>
                  <w:shd w:val="clear" w:color="auto" w:fill="auto"/>
                  <w:vAlign w:val="center"/>
                </w:tcPr>
                <w:p w14:paraId="1236D2DD">
                  <w:pPr>
                    <w:adjustRightInd w:val="0"/>
                    <w:snapToGrid w:val="0"/>
                    <w:spacing w:line="240" w:lineRule="auto"/>
                    <w:jc w:val="center"/>
                    <w:rPr>
                      <w:rFonts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rPr>
                    <w:t>实施土壤污染源头防控行动，强化建设用地、工矿企业用地等重点领域污染源头防控和治理，加强农用地生态环境保护和农业面源污染防治，保障黑土地资源可持续利用。推进“一住两公”建设用地土壤污染状况调查，有效保障重点建设用地安全利用。开展涉镉等重金属重点行业企业和矿区历史遗留固体废物排查整治，引导土壤污染重点监管单位采用新技术、新工艺，加快实施提标改造。推进安全利用类、严格管控类受污染耕地落实安全利用各项技术措施。到2030年，全市受污染耕地安全利用率达到95%以上。</w:t>
                  </w:r>
                </w:p>
              </w:tc>
              <w:tc>
                <w:tcPr>
                  <w:tcW w:w="2730" w:type="dxa"/>
                  <w:tcBorders>
                    <w:tl2br w:val="nil"/>
                    <w:tr2bl w:val="nil"/>
                  </w:tcBorders>
                  <w:vAlign w:val="center"/>
                </w:tcPr>
                <w:p w14:paraId="7D19B981">
                  <w:pPr>
                    <w:adjustRightInd w:val="0"/>
                    <w:snapToGrid w:val="0"/>
                    <w:jc w:val="center"/>
                    <w:rPr>
                      <w:color w:val="auto"/>
                      <w:sz w:val="18"/>
                      <w:szCs w:val="18"/>
                      <w:highlight w:val="none"/>
                    </w:rPr>
                  </w:pPr>
                  <w:r>
                    <w:rPr>
                      <w:rFonts w:hint="eastAsia"/>
                      <w:color w:val="auto"/>
                      <w:sz w:val="18"/>
                      <w:szCs w:val="18"/>
                      <w:highlight w:val="none"/>
                      <w:lang w:val="en-US" w:eastAsia="zh-CN"/>
                    </w:rPr>
                    <w:t>本项目</w:t>
                  </w:r>
                  <w:r>
                    <w:rPr>
                      <w:rFonts w:hint="eastAsia"/>
                      <w:color w:val="auto"/>
                      <w:sz w:val="18"/>
                      <w:szCs w:val="18"/>
                      <w:highlight w:val="none"/>
                    </w:rPr>
                    <w:t>危废贮存点、药剂库</w:t>
                  </w:r>
                  <w:r>
                    <w:rPr>
                      <w:rFonts w:hint="eastAsia"/>
                      <w:color w:val="auto"/>
                      <w:sz w:val="18"/>
                      <w:szCs w:val="18"/>
                      <w:highlight w:val="none"/>
                      <w:lang w:val="en-US" w:eastAsia="zh-CN"/>
                    </w:rPr>
                    <w:t>采取重点防渗</w:t>
                  </w:r>
                  <w:r>
                    <w:rPr>
                      <w:rFonts w:hint="eastAsia"/>
                      <w:color w:val="auto"/>
                      <w:sz w:val="18"/>
                      <w:szCs w:val="18"/>
                      <w:highlight w:val="none"/>
                    </w:rPr>
                    <w:t>地面</w:t>
                  </w:r>
                  <w:r>
                    <w:rPr>
                      <w:rFonts w:hint="eastAsia"/>
                      <w:color w:val="auto"/>
                      <w:sz w:val="18"/>
                      <w:szCs w:val="18"/>
                      <w:highlight w:val="none"/>
                      <w:lang w:eastAsia="zh-CN"/>
                    </w:rPr>
                    <w:t>裙脚</w:t>
                  </w:r>
                  <w:r>
                    <w:rPr>
                      <w:rFonts w:hint="eastAsia"/>
                      <w:color w:val="auto"/>
                      <w:sz w:val="18"/>
                      <w:szCs w:val="18"/>
                      <w:highlight w:val="none"/>
                    </w:rPr>
                    <w:t>采用2mm高密度聚乙烯薄膜加25cm黏土层（渗透系数≤10</w:t>
                  </w:r>
                  <w:r>
                    <w:rPr>
                      <w:rFonts w:hint="eastAsia"/>
                      <w:color w:val="auto"/>
                      <w:sz w:val="18"/>
                      <w:szCs w:val="18"/>
                      <w:highlight w:val="none"/>
                      <w:vertAlign w:val="superscript"/>
                    </w:rPr>
                    <w:t>-10</w:t>
                  </w:r>
                  <w:r>
                    <w:rPr>
                      <w:rFonts w:hint="eastAsia"/>
                      <w:color w:val="auto"/>
                      <w:sz w:val="18"/>
                      <w:szCs w:val="18"/>
                      <w:highlight w:val="none"/>
                    </w:rPr>
                    <w:t xml:space="preserve"> cm/s），防渗技术等效厚度为6m粘土层、渗透系数不超过10</w:t>
                  </w:r>
                  <w:r>
                    <w:rPr>
                      <w:rFonts w:hint="eastAsia"/>
                      <w:color w:val="auto"/>
                      <w:sz w:val="18"/>
                      <w:szCs w:val="18"/>
                      <w:highlight w:val="none"/>
                      <w:vertAlign w:val="superscript"/>
                    </w:rPr>
                    <w:t>-7</w:t>
                  </w:r>
                  <w:r>
                    <w:rPr>
                      <w:rFonts w:hint="eastAsia"/>
                      <w:color w:val="auto"/>
                      <w:sz w:val="18"/>
                      <w:szCs w:val="18"/>
                      <w:highlight w:val="none"/>
                    </w:rPr>
                    <w:t>cm/s。</w:t>
                  </w:r>
                </w:p>
                <w:p w14:paraId="7461CDAA">
                  <w:pPr>
                    <w:adjustRightInd w:val="0"/>
                    <w:snapToGrid w:val="0"/>
                    <w:jc w:val="center"/>
                    <w:rPr>
                      <w:color w:val="auto"/>
                      <w:sz w:val="18"/>
                      <w:szCs w:val="18"/>
                      <w:highlight w:val="none"/>
                    </w:rPr>
                  </w:pPr>
                  <w:r>
                    <w:rPr>
                      <w:rFonts w:hint="eastAsia"/>
                      <w:color w:val="auto"/>
                      <w:sz w:val="18"/>
                      <w:szCs w:val="18"/>
                      <w:highlight w:val="none"/>
                    </w:rPr>
                    <w:t>生产车间、尾矿车间、浓缩车间、物料棚、初期雨水池、浓缩池</w:t>
                  </w:r>
                  <w:r>
                    <w:rPr>
                      <w:rFonts w:hint="eastAsia"/>
                      <w:color w:val="auto"/>
                      <w:sz w:val="18"/>
                      <w:szCs w:val="18"/>
                      <w:highlight w:val="none"/>
                      <w:lang w:eastAsia="zh-CN"/>
                    </w:rPr>
                    <w:t>、事故池、</w:t>
                  </w:r>
                  <w:r>
                    <w:rPr>
                      <w:rFonts w:hint="eastAsia"/>
                      <w:color w:val="auto"/>
                      <w:sz w:val="18"/>
                      <w:szCs w:val="18"/>
                      <w:highlight w:val="none"/>
                      <w:lang w:val="en-US" w:eastAsia="zh-CN"/>
                    </w:rPr>
                    <w:t>防渗旱厕</w:t>
                  </w:r>
                  <w:r>
                    <w:rPr>
                      <w:rFonts w:hint="eastAsia"/>
                      <w:color w:val="auto"/>
                      <w:sz w:val="18"/>
                      <w:szCs w:val="18"/>
                      <w:highlight w:val="none"/>
                    </w:rPr>
                    <w:t>区域</w:t>
                  </w:r>
                  <w:r>
                    <w:rPr>
                      <w:rFonts w:hint="eastAsia"/>
                      <w:color w:val="auto"/>
                      <w:sz w:val="18"/>
                      <w:szCs w:val="18"/>
                      <w:highlight w:val="none"/>
                      <w:lang w:val="en-US" w:eastAsia="zh-CN"/>
                    </w:rPr>
                    <w:t>采取一般防渗</w:t>
                  </w:r>
                  <w:r>
                    <w:rPr>
                      <w:rFonts w:hint="eastAsia"/>
                      <w:color w:val="auto"/>
                      <w:sz w:val="18"/>
                      <w:szCs w:val="18"/>
                      <w:highlight w:val="none"/>
                    </w:rPr>
                    <w:t>，采用防渗水泥硬化地面，防渗技术要求达到等效粘土防渗层Mb≥1.5m，≤1×10</w:t>
                  </w:r>
                  <w:r>
                    <w:rPr>
                      <w:rFonts w:hint="eastAsia"/>
                      <w:color w:val="auto"/>
                      <w:sz w:val="18"/>
                      <w:szCs w:val="18"/>
                      <w:highlight w:val="none"/>
                      <w:vertAlign w:val="superscript"/>
                    </w:rPr>
                    <w:t>-7</w:t>
                  </w:r>
                  <w:r>
                    <w:rPr>
                      <w:rFonts w:hint="eastAsia"/>
                      <w:color w:val="auto"/>
                      <w:sz w:val="18"/>
                      <w:szCs w:val="18"/>
                      <w:highlight w:val="none"/>
                    </w:rPr>
                    <w:t>cm/s。</w:t>
                  </w:r>
                </w:p>
                <w:p w14:paraId="5B90209C">
                  <w:pPr>
                    <w:adjustRightInd w:val="0"/>
                    <w:snapToGrid w:val="0"/>
                    <w:spacing w:line="240" w:lineRule="auto"/>
                    <w:jc w:val="center"/>
                    <w:rPr>
                      <w:rFonts w:ascii="宋体" w:hAnsi="宋体" w:cs="宋体"/>
                      <w:color w:val="auto"/>
                      <w:sz w:val="18"/>
                      <w:szCs w:val="18"/>
                      <w:highlight w:val="none"/>
                      <w:vertAlign w:val="baseline"/>
                    </w:rPr>
                  </w:pPr>
                  <w:r>
                    <w:rPr>
                      <w:rFonts w:hint="eastAsia"/>
                      <w:color w:val="auto"/>
                      <w:sz w:val="18"/>
                      <w:szCs w:val="18"/>
                      <w:highlight w:val="none"/>
                      <w:lang w:val="en-US" w:eastAsia="zh-CN"/>
                    </w:rPr>
                    <w:t>厂区</w:t>
                  </w:r>
                  <w:r>
                    <w:rPr>
                      <w:rFonts w:hint="eastAsia"/>
                      <w:color w:val="auto"/>
                      <w:sz w:val="18"/>
                      <w:szCs w:val="18"/>
                      <w:highlight w:val="none"/>
                    </w:rPr>
                    <w:t>除一般防渗区以外地面，采用耐腐蚀的水泥对地面进行硬化。</w:t>
                  </w:r>
                </w:p>
              </w:tc>
              <w:tc>
                <w:tcPr>
                  <w:tcW w:w="1021" w:type="dxa"/>
                  <w:tcBorders>
                    <w:tl2br w:val="nil"/>
                    <w:tr2bl w:val="nil"/>
                  </w:tcBorders>
                  <w:vAlign w:val="center"/>
                </w:tcPr>
                <w:p w14:paraId="68A19B19">
                  <w:pPr>
                    <w:adjustRightInd w:val="0"/>
                    <w:snapToGrid w:val="0"/>
                    <w:spacing w:line="240" w:lineRule="auto"/>
                    <w:jc w:val="center"/>
                    <w:rPr>
                      <w:rFonts w:hint="eastAsia" w:ascii="宋体" w:hAnsi="宋体" w:eastAsia="宋体" w:cs="宋体"/>
                      <w:color w:val="auto"/>
                      <w:sz w:val="18"/>
                      <w:szCs w:val="18"/>
                      <w:highlight w:val="none"/>
                      <w:vertAlign w:val="baseline"/>
                      <w:lang w:val="en-US" w:eastAsia="zh-CN"/>
                    </w:rPr>
                  </w:pPr>
                  <w:r>
                    <w:rPr>
                      <w:rFonts w:hint="eastAsia" w:ascii="宋体" w:hAnsi="宋体" w:cs="宋体"/>
                      <w:color w:val="auto"/>
                      <w:sz w:val="18"/>
                      <w:szCs w:val="18"/>
                      <w:highlight w:val="none"/>
                      <w:vertAlign w:val="baseline"/>
                      <w:lang w:val="en-US" w:eastAsia="zh-CN"/>
                    </w:rPr>
                    <w:t>符合</w:t>
                  </w:r>
                </w:p>
              </w:tc>
            </w:tr>
            <w:tr w14:paraId="5A6D7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47" w:type="dxa"/>
                  <w:tcBorders>
                    <w:tl2br w:val="nil"/>
                    <w:tr2bl w:val="nil"/>
                  </w:tcBorders>
                  <w:shd w:val="clear" w:color="auto" w:fill="auto"/>
                  <w:vAlign w:val="center"/>
                </w:tcPr>
                <w:p w14:paraId="7271DD14">
                  <w:pPr>
                    <w:adjustRightInd w:val="0"/>
                    <w:snapToGrid w:val="0"/>
                    <w:spacing w:line="240" w:lineRule="auto"/>
                    <w:jc w:val="center"/>
                    <w:rPr>
                      <w:rFonts w:hint="default"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b/>
                      <w:bCs/>
                      <w:snapToGrid w:val="0"/>
                      <w:color w:val="auto"/>
                      <w:kern w:val="0"/>
                      <w:sz w:val="18"/>
                      <w:szCs w:val="18"/>
                      <w:highlight w:val="none"/>
                      <w:lang w:val="en-US" w:eastAsia="zh-CN"/>
                    </w:rPr>
                    <w:t>深入推进“无废城市”建设</w:t>
                  </w:r>
                </w:p>
              </w:tc>
              <w:tc>
                <w:tcPr>
                  <w:tcW w:w="3420" w:type="dxa"/>
                  <w:tcBorders>
                    <w:tl2br w:val="nil"/>
                    <w:tr2bl w:val="nil"/>
                  </w:tcBorders>
                  <w:shd w:val="clear" w:color="auto" w:fill="auto"/>
                  <w:vAlign w:val="center"/>
                </w:tcPr>
                <w:p w14:paraId="00B928BA">
                  <w:pPr>
                    <w:adjustRightInd w:val="0"/>
                    <w:snapToGrid w:val="0"/>
                    <w:spacing w:line="240" w:lineRule="auto"/>
                    <w:jc w:val="center"/>
                    <w:rPr>
                      <w:rFonts w:hint="default" w:ascii="宋体" w:hAnsi="宋体" w:eastAsia="宋体" w:cs="宋体"/>
                      <w:color w:val="auto"/>
                      <w:kern w:val="2"/>
                      <w:sz w:val="18"/>
                      <w:szCs w:val="18"/>
                      <w:highlight w:val="none"/>
                      <w:vertAlign w:val="baseline"/>
                      <w:lang w:val="en-US" w:eastAsia="zh-CN" w:bidi="ar-SA"/>
                    </w:rPr>
                  </w:pPr>
                  <w:r>
                    <w:rPr>
                      <w:rFonts w:hint="default" w:ascii="Times New Roman" w:hAnsi="Times New Roman" w:eastAsia="宋体" w:cs="Times New Roman"/>
                      <w:snapToGrid w:val="0"/>
                      <w:color w:val="auto"/>
                      <w:kern w:val="0"/>
                      <w:sz w:val="18"/>
                      <w:szCs w:val="18"/>
                      <w:highlight w:val="none"/>
                      <w:lang w:val="en-US" w:eastAsia="zh-CN"/>
                    </w:rPr>
                    <w:t>统筹推进固体废物综合治理，提高固废无害化、减量化和资源化水平，积极争创“无废城市”。开展危险废物规范化环境管理评估和涉尾矿库企业环境风险隐患排查整治。畅通固废综合利用渠道，完善工业固体废物收贮运体系，加强大宗工业固废堆存场所安全建设，健全大宗工业固废资源循环利用链条。完善废旧物资回收网络，推进垃圾分类和资源化利用，强化建筑垃圾管理和规范处置。到2030年，全市生活垃圾资源化利用率达到80%以上，完成省定目标。</w:t>
                  </w:r>
                </w:p>
              </w:tc>
              <w:tc>
                <w:tcPr>
                  <w:tcW w:w="2730" w:type="dxa"/>
                  <w:tcBorders>
                    <w:tl2br w:val="nil"/>
                    <w:tr2bl w:val="nil"/>
                  </w:tcBorders>
                  <w:shd w:val="clear" w:color="auto" w:fill="auto"/>
                  <w:vAlign w:val="center"/>
                </w:tcPr>
                <w:p w14:paraId="734811A5">
                  <w:pPr>
                    <w:adjustRightInd w:val="0"/>
                    <w:snapToGrid w:val="0"/>
                    <w:spacing w:line="240" w:lineRule="auto"/>
                    <w:jc w:val="center"/>
                    <w:rPr>
                      <w:rFonts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尾矿泥作为原料用于生产人造土壤基质；粉煤灰仓除尘灰，落回料仓内回用于生产；废布袋由厂家回收处理；生活垃圾集中收集后定期委托环卫部门外运处置；</w:t>
                  </w:r>
                  <w:r>
                    <w:rPr>
                      <w:color w:val="auto"/>
                      <w:sz w:val="18"/>
                      <w:szCs w:val="18"/>
                      <w:highlight w:val="none"/>
                    </w:rPr>
                    <w:t>废机油</w:t>
                  </w:r>
                  <w:r>
                    <w:rPr>
                      <w:rFonts w:hint="eastAsia"/>
                      <w:color w:val="auto"/>
                      <w:sz w:val="18"/>
                      <w:szCs w:val="18"/>
                      <w:highlight w:val="none"/>
                    </w:rPr>
                    <w:t>、废弃含油抹布手套、废机油桶、废药剂桶暂存厂区内危险废物贮存点，委托有资质单位处理处置。</w:t>
                  </w:r>
                </w:p>
              </w:tc>
              <w:tc>
                <w:tcPr>
                  <w:tcW w:w="1021" w:type="dxa"/>
                  <w:tcBorders>
                    <w:tl2br w:val="nil"/>
                    <w:tr2bl w:val="nil"/>
                  </w:tcBorders>
                  <w:vAlign w:val="center"/>
                </w:tcPr>
                <w:p w14:paraId="3CC01AE0">
                  <w:pPr>
                    <w:adjustRightInd w:val="0"/>
                    <w:snapToGrid w:val="0"/>
                    <w:spacing w:line="240" w:lineRule="auto"/>
                    <w:jc w:val="center"/>
                    <w:rPr>
                      <w:rFonts w:hint="eastAsia" w:ascii="宋体" w:hAnsi="宋体" w:eastAsia="宋体" w:cs="宋体"/>
                      <w:color w:val="auto"/>
                      <w:sz w:val="18"/>
                      <w:szCs w:val="18"/>
                      <w:highlight w:val="none"/>
                      <w:vertAlign w:val="baseline"/>
                      <w:lang w:val="en-US" w:eastAsia="zh-CN"/>
                    </w:rPr>
                  </w:pPr>
                  <w:r>
                    <w:rPr>
                      <w:rFonts w:hint="eastAsia" w:ascii="宋体" w:hAnsi="宋体" w:cs="宋体"/>
                      <w:color w:val="auto"/>
                      <w:sz w:val="18"/>
                      <w:szCs w:val="18"/>
                      <w:highlight w:val="none"/>
                      <w:vertAlign w:val="baseline"/>
                      <w:lang w:val="en-US" w:eastAsia="zh-CN"/>
                    </w:rPr>
                    <w:t>符合</w:t>
                  </w:r>
                </w:p>
              </w:tc>
            </w:tr>
          </w:tbl>
          <w:p w14:paraId="442B6752">
            <w:pPr>
              <w:adjustRightInd w:val="0"/>
              <w:snapToGrid w:val="0"/>
              <w:spacing w:line="360" w:lineRule="auto"/>
              <w:ind w:firstLine="420" w:firstLineChars="200"/>
              <w:jc w:val="left"/>
              <w:rPr>
                <w:rFonts w:ascii="宋体" w:hAnsi="宋体" w:cs="宋体"/>
                <w:color w:val="auto"/>
                <w:szCs w:val="21"/>
                <w:highlight w:val="none"/>
              </w:rPr>
            </w:pPr>
          </w:p>
        </w:tc>
      </w:tr>
    </w:tbl>
    <w:p w14:paraId="34F4FC4C">
      <w:pPr>
        <w:pStyle w:val="19"/>
        <w:jc w:val="center"/>
        <w:rPr>
          <w:rFonts w:ascii="Times New Roman" w:hAnsi="Times New Roman" w:eastAsia="黑体"/>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6CCE5C31">
      <w:pPr>
        <w:pStyle w:val="19"/>
        <w:jc w:val="center"/>
        <w:outlineLvl w:val="0"/>
        <w:rPr>
          <w:rFonts w:ascii="Times New Roman" w:hAnsi="Times New Roman" w:eastAsia="黑体"/>
          <w:snapToGrid w:val="0"/>
          <w:color w:val="auto"/>
          <w:sz w:val="30"/>
          <w:szCs w:val="30"/>
          <w:highlight w:val="none"/>
        </w:rPr>
      </w:pPr>
      <w:bookmarkStart w:id="23" w:name="_Toc13190"/>
      <w:bookmarkStart w:id="24" w:name="_Toc14898"/>
      <w:bookmarkStart w:id="25" w:name="_Toc27741"/>
      <w:bookmarkStart w:id="26" w:name="_Toc13644"/>
      <w:bookmarkStart w:id="27" w:name="_Toc5516"/>
      <w:r>
        <w:rPr>
          <w:rFonts w:ascii="Times New Roman" w:hAnsi="Times New Roman" w:eastAsia="黑体"/>
          <w:snapToGrid w:val="0"/>
          <w:color w:val="auto"/>
          <w:sz w:val="30"/>
          <w:szCs w:val="30"/>
          <w:highlight w:val="none"/>
        </w:rPr>
        <w:t>二、建设项目工程分析</w:t>
      </w:r>
      <w:bookmarkEnd w:id="23"/>
      <w:bookmarkEnd w:id="24"/>
      <w:bookmarkEnd w:id="25"/>
      <w:bookmarkEnd w:id="26"/>
      <w:bookmarkEnd w:id="27"/>
    </w:p>
    <w:tbl>
      <w:tblPr>
        <w:tblStyle w:val="22"/>
        <w:tblW w:w="90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285"/>
      </w:tblGrid>
      <w:tr w14:paraId="0DD080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633" w:hRule="atLeast"/>
          <w:jc w:val="center"/>
        </w:trPr>
        <w:tc>
          <w:tcPr>
            <w:tcW w:w="731" w:type="dxa"/>
            <w:vAlign w:val="center"/>
          </w:tcPr>
          <w:p w14:paraId="27A3596E">
            <w:pPr>
              <w:pStyle w:val="19"/>
              <w:adjustRightInd w:val="0"/>
              <w:snapToGrid w:val="0"/>
              <w:spacing w:before="0" w:beforeAutospacing="0" w:after="0" w:afterAutospacing="0"/>
              <w:jc w:val="center"/>
              <w:rPr>
                <w:rFonts w:ascii="Times New Roman" w:hAnsi="Times New Roman"/>
                <w:color w:val="auto"/>
                <w:szCs w:val="24"/>
                <w:highlight w:val="none"/>
              </w:rPr>
            </w:pPr>
            <w:r>
              <w:rPr>
                <w:rFonts w:ascii="Times New Roman" w:hAnsi="Times New Roman"/>
                <w:color w:val="auto"/>
                <w:szCs w:val="24"/>
                <w:highlight w:val="none"/>
              </w:rPr>
              <w:t>建设内容</w:t>
            </w:r>
          </w:p>
        </w:tc>
        <w:tc>
          <w:tcPr>
            <w:tcW w:w="8285" w:type="dxa"/>
          </w:tcPr>
          <w:p w14:paraId="27F5F229">
            <w:pPr>
              <w:pStyle w:val="38"/>
              <w:spacing w:beforeLines="0" w:afterLines="0" w:line="360" w:lineRule="auto"/>
              <w:ind w:firstLine="0" w:firstLineChars="0"/>
              <w:textAlignment w:val="baseline"/>
              <w:rPr>
                <w:b/>
                <w:bCs/>
                <w:color w:val="auto"/>
                <w:sz w:val="21"/>
                <w:szCs w:val="21"/>
                <w:highlight w:val="none"/>
              </w:rPr>
            </w:pPr>
            <w:r>
              <w:rPr>
                <w:b/>
                <w:bCs/>
                <w:color w:val="auto"/>
                <w:sz w:val="21"/>
                <w:szCs w:val="21"/>
                <w:highlight w:val="none"/>
              </w:rPr>
              <w:t>1、</w:t>
            </w:r>
            <w:r>
              <w:rPr>
                <w:rFonts w:hint="eastAsia"/>
                <w:b/>
                <w:bCs/>
                <w:color w:val="auto"/>
                <w:sz w:val="21"/>
                <w:szCs w:val="21"/>
                <w:highlight w:val="none"/>
              </w:rPr>
              <w:t>项目概况</w:t>
            </w:r>
          </w:p>
          <w:p w14:paraId="6DE4214B">
            <w:pPr>
              <w:widowControl/>
              <w:adjustRightInd w:val="0"/>
              <w:snapToGrid w:val="0"/>
              <w:spacing w:line="360" w:lineRule="auto"/>
              <w:ind w:firstLine="420" w:firstLineChars="200"/>
              <w:jc w:val="left"/>
              <w:rPr>
                <w:bCs/>
                <w:color w:val="auto"/>
                <w:szCs w:val="21"/>
                <w:highlight w:val="none"/>
              </w:rPr>
            </w:pPr>
            <w:r>
              <w:rPr>
                <w:rFonts w:hint="eastAsia" w:ascii="宋体" w:hAnsi="宋体" w:cs="宋体"/>
                <w:color w:val="auto"/>
                <w:kern w:val="0"/>
                <w:szCs w:val="21"/>
                <w:highlight w:val="none"/>
              </w:rPr>
              <w:t>本项目原为煤矸石洗选项目，现根据经济生产需要，拆除原煤矸石洗选生产线，新建煤泥浮选生产线，浮选得到产品精煤、中煤外售，尾煤泥回用于生产人造土壤基质。做到既回收煤炭资源，又减少尾矿废弃物的对外排放，将剩余的废弃浮选尾矿泥进行综合利用，可做到固体废物的减量化、资源化处理。</w:t>
            </w:r>
          </w:p>
          <w:p w14:paraId="14A44D2C">
            <w:pPr>
              <w:pStyle w:val="38"/>
              <w:spacing w:beforeLines="0" w:afterLines="0" w:line="360" w:lineRule="auto"/>
              <w:ind w:firstLine="0" w:firstLineChars="0"/>
              <w:textAlignment w:val="baseline"/>
              <w:rPr>
                <w:b/>
                <w:color w:val="auto"/>
                <w:sz w:val="21"/>
                <w:szCs w:val="21"/>
                <w:highlight w:val="none"/>
              </w:rPr>
            </w:pPr>
            <w:r>
              <w:rPr>
                <w:rFonts w:hint="eastAsia"/>
                <w:b/>
                <w:color w:val="auto"/>
                <w:sz w:val="21"/>
                <w:szCs w:val="21"/>
                <w:highlight w:val="none"/>
              </w:rPr>
              <w:t>2、建设内容</w:t>
            </w:r>
          </w:p>
          <w:p w14:paraId="2A57AE6B">
            <w:pPr>
              <w:widowControl/>
              <w:adjustRightInd w:val="0"/>
              <w:snapToGrid w:val="0"/>
              <w:spacing w:line="360" w:lineRule="auto"/>
              <w:ind w:firstLine="420" w:firstLineChars="200"/>
              <w:jc w:val="left"/>
              <w:rPr>
                <w:bCs/>
                <w:color w:val="auto"/>
                <w:szCs w:val="21"/>
                <w:highlight w:val="none"/>
              </w:rPr>
            </w:pPr>
            <w:r>
              <w:rPr>
                <w:color w:val="auto"/>
                <w:kern w:val="0"/>
                <w:szCs w:val="21"/>
                <w:highlight w:val="none"/>
              </w:rPr>
              <w:t>本项目位于黑龙江省鸡西市恒山区红旗乡义安村。</w:t>
            </w:r>
            <w:r>
              <w:rPr>
                <w:rFonts w:hint="eastAsia"/>
                <w:color w:val="auto"/>
                <w:kern w:val="0"/>
                <w:szCs w:val="21"/>
                <w:highlight w:val="none"/>
              </w:rPr>
              <w:t>厂区原有占地面积1000m</w:t>
            </w:r>
            <w:r>
              <w:rPr>
                <w:rFonts w:hint="eastAsia"/>
                <w:color w:val="auto"/>
                <w:kern w:val="0"/>
                <w:szCs w:val="21"/>
                <w:highlight w:val="none"/>
                <w:vertAlign w:val="superscript"/>
              </w:rPr>
              <w:t>2</w:t>
            </w:r>
            <w:r>
              <w:rPr>
                <w:rFonts w:hint="eastAsia"/>
                <w:color w:val="auto"/>
                <w:kern w:val="0"/>
                <w:szCs w:val="21"/>
                <w:highlight w:val="none"/>
              </w:rPr>
              <w:t>，新增占地面积9496.95m</w:t>
            </w:r>
            <w:r>
              <w:rPr>
                <w:rFonts w:hint="eastAsia"/>
                <w:color w:val="auto"/>
                <w:kern w:val="0"/>
                <w:szCs w:val="21"/>
                <w:highlight w:val="none"/>
                <w:vertAlign w:val="superscript"/>
              </w:rPr>
              <w:t>2</w:t>
            </w:r>
            <w:r>
              <w:rPr>
                <w:rFonts w:hint="eastAsia"/>
                <w:color w:val="auto"/>
                <w:kern w:val="0"/>
                <w:szCs w:val="21"/>
                <w:highlight w:val="none"/>
              </w:rPr>
              <w:t>，</w:t>
            </w:r>
            <w:r>
              <w:rPr>
                <w:color w:val="auto"/>
                <w:kern w:val="0"/>
                <w:szCs w:val="21"/>
                <w:highlight w:val="none"/>
              </w:rPr>
              <w:t>厂区总占地面积10496.95m</w:t>
            </w:r>
            <w:r>
              <w:rPr>
                <w:color w:val="auto"/>
                <w:kern w:val="0"/>
                <w:szCs w:val="21"/>
                <w:highlight w:val="none"/>
                <w:vertAlign w:val="superscript"/>
              </w:rPr>
              <w:t>2</w:t>
            </w:r>
            <w:r>
              <w:rPr>
                <w:color w:val="auto"/>
                <w:kern w:val="0"/>
                <w:szCs w:val="21"/>
                <w:highlight w:val="none"/>
              </w:rPr>
              <w:t>，</w:t>
            </w:r>
            <w:r>
              <w:rPr>
                <w:rFonts w:hint="eastAsia"/>
                <w:color w:val="auto"/>
                <w:highlight w:val="none"/>
              </w:rPr>
              <w:t>总建筑面积</w:t>
            </w:r>
            <w:r>
              <w:rPr>
                <w:color w:val="auto"/>
                <w:kern w:val="0"/>
                <w:szCs w:val="21"/>
                <w:highlight w:val="none"/>
              </w:rPr>
              <w:t>1</w:t>
            </w:r>
            <w:r>
              <w:rPr>
                <w:rFonts w:hint="eastAsia"/>
                <w:color w:val="auto"/>
                <w:kern w:val="0"/>
                <w:szCs w:val="21"/>
                <w:highlight w:val="none"/>
              </w:rPr>
              <w:t>810</w:t>
            </w:r>
            <w:r>
              <w:rPr>
                <w:color w:val="auto"/>
                <w:kern w:val="0"/>
                <w:szCs w:val="21"/>
                <w:highlight w:val="none"/>
              </w:rPr>
              <w:t>m</w:t>
            </w:r>
            <w:r>
              <w:rPr>
                <w:color w:val="auto"/>
                <w:kern w:val="0"/>
                <w:szCs w:val="21"/>
                <w:highlight w:val="none"/>
                <w:vertAlign w:val="superscript"/>
              </w:rPr>
              <w:t>2</w:t>
            </w:r>
            <w:r>
              <w:rPr>
                <w:color w:val="auto"/>
                <w:kern w:val="0"/>
                <w:szCs w:val="21"/>
                <w:highlight w:val="none"/>
              </w:rPr>
              <w:t>，</w:t>
            </w:r>
            <w:r>
              <w:rPr>
                <w:rFonts w:hint="eastAsia"/>
                <w:color w:val="auto"/>
                <w:kern w:val="0"/>
                <w:szCs w:val="21"/>
                <w:highlight w:val="none"/>
                <w:lang w:eastAsia="zh-CN"/>
              </w:rPr>
              <w:t>原有</w:t>
            </w:r>
            <w:r>
              <w:rPr>
                <w:rFonts w:hint="eastAsia"/>
                <w:color w:val="auto"/>
                <w:kern w:val="0"/>
                <w:szCs w:val="21"/>
                <w:highlight w:val="none"/>
                <w:lang w:val="en-US" w:eastAsia="zh-CN"/>
              </w:rPr>
              <w:t>600m</w:t>
            </w:r>
            <w:r>
              <w:rPr>
                <w:rFonts w:hint="eastAsia"/>
                <w:color w:val="auto"/>
                <w:kern w:val="0"/>
                <w:szCs w:val="21"/>
                <w:highlight w:val="none"/>
                <w:vertAlign w:val="superscript"/>
                <w:lang w:val="en-US" w:eastAsia="zh-CN"/>
              </w:rPr>
              <w:t>2</w:t>
            </w:r>
            <w:r>
              <w:rPr>
                <w:rFonts w:hint="eastAsia"/>
                <w:color w:val="auto"/>
                <w:kern w:val="0"/>
                <w:szCs w:val="21"/>
                <w:highlight w:val="none"/>
                <w:vertAlign w:val="baseline"/>
                <w:lang w:val="en-US" w:eastAsia="zh-CN"/>
              </w:rPr>
              <w:t>生产</w:t>
            </w:r>
            <w:r>
              <w:rPr>
                <w:rFonts w:hint="eastAsia"/>
                <w:color w:val="auto"/>
                <w:kern w:val="0"/>
                <w:szCs w:val="21"/>
                <w:highlight w:val="none"/>
                <w:lang w:val="en-US" w:eastAsia="zh-CN"/>
              </w:rPr>
              <w:t>车间扩建至700m</w:t>
            </w:r>
            <w:r>
              <w:rPr>
                <w:rFonts w:hint="eastAsia"/>
                <w:color w:val="auto"/>
                <w:kern w:val="0"/>
                <w:szCs w:val="21"/>
                <w:highlight w:val="none"/>
                <w:vertAlign w:val="superscript"/>
                <w:lang w:val="en-US" w:eastAsia="zh-CN"/>
              </w:rPr>
              <w:t>2</w:t>
            </w:r>
            <w:r>
              <w:rPr>
                <w:rFonts w:hint="eastAsia"/>
                <w:color w:val="auto"/>
                <w:kern w:val="0"/>
                <w:szCs w:val="21"/>
                <w:highlight w:val="none"/>
                <w:lang w:val="en-US" w:eastAsia="zh-CN"/>
              </w:rPr>
              <w:t>，</w:t>
            </w:r>
            <w:r>
              <w:rPr>
                <w:rFonts w:hint="eastAsia"/>
                <w:color w:val="auto"/>
                <w:highlight w:val="none"/>
              </w:rPr>
              <w:t>拆除</w:t>
            </w:r>
            <w:r>
              <w:rPr>
                <w:rFonts w:hint="eastAsia"/>
                <w:color w:val="auto"/>
                <w:highlight w:val="none"/>
                <w:lang w:eastAsia="zh-CN"/>
              </w:rPr>
              <w:t>生产车间内</w:t>
            </w:r>
            <w:r>
              <w:rPr>
                <w:rFonts w:hint="eastAsia"/>
                <w:color w:val="auto"/>
                <w:highlight w:val="none"/>
              </w:rPr>
              <w:t>原有煤矸石洗选生产线，</w:t>
            </w:r>
            <w:r>
              <w:rPr>
                <w:color w:val="auto"/>
                <w:kern w:val="0"/>
                <w:szCs w:val="21"/>
                <w:highlight w:val="none"/>
              </w:rPr>
              <w:t>新建1条煤泥浮选生产线，</w:t>
            </w:r>
            <w:r>
              <w:rPr>
                <w:rFonts w:hint="eastAsia"/>
                <w:color w:val="auto"/>
                <w:kern w:val="0"/>
                <w:szCs w:val="21"/>
                <w:highlight w:val="none"/>
              </w:rPr>
              <w:t>1条人造土壤基质生产线，</w:t>
            </w:r>
            <w:r>
              <w:rPr>
                <w:color w:val="auto"/>
                <w:kern w:val="0"/>
                <w:szCs w:val="21"/>
                <w:highlight w:val="none"/>
              </w:rPr>
              <w:t>以及配套的厂房、辅助工程等，年浮选煤泥</w:t>
            </w:r>
            <w:r>
              <w:rPr>
                <w:rFonts w:hint="eastAsia"/>
                <w:color w:val="auto"/>
                <w:kern w:val="0"/>
                <w:szCs w:val="21"/>
                <w:highlight w:val="none"/>
              </w:rPr>
              <w:t>20</w:t>
            </w:r>
            <w:r>
              <w:rPr>
                <w:color w:val="auto"/>
                <w:kern w:val="0"/>
                <w:szCs w:val="21"/>
                <w:highlight w:val="none"/>
              </w:rPr>
              <w:t>万t</w:t>
            </w:r>
            <w:r>
              <w:rPr>
                <w:rFonts w:hint="eastAsia"/>
                <w:color w:val="auto"/>
                <w:kern w:val="0"/>
                <w:szCs w:val="21"/>
                <w:highlight w:val="none"/>
              </w:rPr>
              <w:t>、</w:t>
            </w:r>
            <w:r>
              <w:rPr>
                <w:rFonts w:hint="eastAsia"/>
                <w:bCs/>
                <w:color w:val="auto"/>
                <w:szCs w:val="21"/>
                <w:highlight w:val="none"/>
              </w:rPr>
              <w:t>年产人造土壤基质30.38万t</w:t>
            </w:r>
            <w:r>
              <w:rPr>
                <w:color w:val="auto"/>
                <w:kern w:val="0"/>
                <w:szCs w:val="21"/>
                <w:highlight w:val="none"/>
              </w:rPr>
              <w:t>。主要建设内容见表2-1。</w:t>
            </w:r>
          </w:p>
          <w:p w14:paraId="195AAFA1">
            <w:pPr>
              <w:adjustRightInd w:val="0"/>
              <w:snapToGrid w:val="0"/>
              <w:jc w:val="center"/>
              <w:rPr>
                <w:b/>
                <w:bCs/>
                <w:color w:val="auto"/>
                <w:szCs w:val="21"/>
                <w:highlight w:val="none"/>
              </w:rPr>
            </w:pPr>
            <w:r>
              <w:rPr>
                <w:b/>
                <w:bCs/>
                <w:color w:val="auto"/>
                <w:szCs w:val="21"/>
                <w:highlight w:val="none"/>
              </w:rPr>
              <w:t>表2-1  主要建设内容一览表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3"/>
              <w:gridCol w:w="1037"/>
              <w:gridCol w:w="5659"/>
              <w:gridCol w:w="813"/>
            </w:tblGrid>
            <w:tr w14:paraId="7F4F0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vAlign w:val="center"/>
                </w:tcPr>
                <w:p w14:paraId="67D657EF">
                  <w:pPr>
                    <w:pStyle w:val="39"/>
                    <w:rPr>
                      <w:color w:val="auto"/>
                      <w:sz w:val="18"/>
                      <w:szCs w:val="18"/>
                      <w:highlight w:val="none"/>
                    </w:rPr>
                  </w:pPr>
                  <w:r>
                    <w:rPr>
                      <w:color w:val="auto"/>
                      <w:sz w:val="18"/>
                      <w:szCs w:val="18"/>
                      <w:highlight w:val="none"/>
                    </w:rPr>
                    <w:t>工程</w:t>
                  </w:r>
                </w:p>
                <w:p w14:paraId="5EDCB876">
                  <w:pPr>
                    <w:pStyle w:val="39"/>
                    <w:rPr>
                      <w:color w:val="auto"/>
                      <w:sz w:val="18"/>
                      <w:szCs w:val="18"/>
                      <w:highlight w:val="none"/>
                    </w:rPr>
                  </w:pPr>
                  <w:r>
                    <w:rPr>
                      <w:color w:val="auto"/>
                      <w:sz w:val="18"/>
                      <w:szCs w:val="18"/>
                      <w:highlight w:val="none"/>
                    </w:rPr>
                    <w:t>类型</w:t>
                  </w:r>
                </w:p>
              </w:tc>
              <w:tc>
                <w:tcPr>
                  <w:tcW w:w="639" w:type="pct"/>
                  <w:tcBorders>
                    <w:tl2br w:val="nil"/>
                    <w:tr2bl w:val="nil"/>
                  </w:tcBorders>
                  <w:vAlign w:val="center"/>
                </w:tcPr>
                <w:p w14:paraId="31E98340">
                  <w:pPr>
                    <w:pStyle w:val="39"/>
                    <w:rPr>
                      <w:color w:val="auto"/>
                      <w:sz w:val="18"/>
                      <w:szCs w:val="18"/>
                      <w:highlight w:val="none"/>
                    </w:rPr>
                  </w:pPr>
                  <w:r>
                    <w:rPr>
                      <w:color w:val="auto"/>
                      <w:sz w:val="18"/>
                      <w:szCs w:val="18"/>
                      <w:highlight w:val="none"/>
                    </w:rPr>
                    <w:t>工程名称</w:t>
                  </w:r>
                </w:p>
              </w:tc>
              <w:tc>
                <w:tcPr>
                  <w:tcW w:w="3488" w:type="pct"/>
                  <w:tcBorders>
                    <w:tl2br w:val="nil"/>
                    <w:tr2bl w:val="nil"/>
                  </w:tcBorders>
                  <w:vAlign w:val="center"/>
                </w:tcPr>
                <w:p w14:paraId="75663F8E">
                  <w:pPr>
                    <w:pStyle w:val="39"/>
                    <w:rPr>
                      <w:color w:val="auto"/>
                      <w:sz w:val="18"/>
                      <w:szCs w:val="18"/>
                      <w:highlight w:val="none"/>
                    </w:rPr>
                  </w:pPr>
                  <w:r>
                    <w:rPr>
                      <w:color w:val="auto"/>
                      <w:sz w:val="18"/>
                      <w:szCs w:val="18"/>
                      <w:highlight w:val="none"/>
                    </w:rPr>
                    <w:t>工程建设内容</w:t>
                  </w:r>
                </w:p>
              </w:tc>
              <w:tc>
                <w:tcPr>
                  <w:tcW w:w="501" w:type="pct"/>
                  <w:tcBorders>
                    <w:tl2br w:val="nil"/>
                    <w:tr2bl w:val="nil"/>
                  </w:tcBorders>
                  <w:vAlign w:val="center"/>
                </w:tcPr>
                <w:p w14:paraId="0511D883">
                  <w:pPr>
                    <w:pStyle w:val="39"/>
                    <w:rPr>
                      <w:color w:val="auto"/>
                      <w:sz w:val="18"/>
                      <w:szCs w:val="18"/>
                      <w:highlight w:val="none"/>
                    </w:rPr>
                  </w:pPr>
                  <w:r>
                    <w:rPr>
                      <w:color w:val="auto"/>
                      <w:sz w:val="18"/>
                      <w:szCs w:val="18"/>
                      <w:highlight w:val="none"/>
                    </w:rPr>
                    <w:t>备注</w:t>
                  </w:r>
                </w:p>
              </w:tc>
            </w:tr>
            <w:tr w14:paraId="7B41C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restart"/>
                  <w:tcBorders>
                    <w:tl2br w:val="nil"/>
                    <w:tr2bl w:val="nil"/>
                  </w:tcBorders>
                  <w:vAlign w:val="center"/>
                </w:tcPr>
                <w:p w14:paraId="56EB8AF2">
                  <w:pPr>
                    <w:pStyle w:val="39"/>
                    <w:rPr>
                      <w:color w:val="auto"/>
                      <w:sz w:val="18"/>
                      <w:szCs w:val="18"/>
                      <w:highlight w:val="none"/>
                    </w:rPr>
                  </w:pPr>
                  <w:r>
                    <w:rPr>
                      <w:color w:val="auto"/>
                      <w:sz w:val="18"/>
                      <w:szCs w:val="18"/>
                      <w:highlight w:val="none"/>
                    </w:rPr>
                    <w:t>主体</w:t>
                  </w:r>
                </w:p>
                <w:p w14:paraId="26D3A787">
                  <w:pPr>
                    <w:pStyle w:val="39"/>
                    <w:rPr>
                      <w:color w:val="auto"/>
                      <w:sz w:val="18"/>
                      <w:szCs w:val="18"/>
                      <w:highlight w:val="none"/>
                    </w:rPr>
                  </w:pPr>
                  <w:r>
                    <w:rPr>
                      <w:color w:val="auto"/>
                      <w:sz w:val="18"/>
                      <w:szCs w:val="18"/>
                      <w:highlight w:val="none"/>
                    </w:rPr>
                    <w:t>工程</w:t>
                  </w:r>
                </w:p>
              </w:tc>
              <w:tc>
                <w:tcPr>
                  <w:tcW w:w="639" w:type="pct"/>
                  <w:tcBorders>
                    <w:tl2br w:val="nil"/>
                    <w:tr2bl w:val="nil"/>
                  </w:tcBorders>
                  <w:vAlign w:val="center"/>
                </w:tcPr>
                <w:p w14:paraId="0D14C63D">
                  <w:pPr>
                    <w:pStyle w:val="39"/>
                    <w:rPr>
                      <w:color w:val="auto"/>
                      <w:sz w:val="18"/>
                      <w:szCs w:val="18"/>
                      <w:highlight w:val="none"/>
                      <w:lang w:val="en-US"/>
                    </w:rPr>
                  </w:pPr>
                  <w:r>
                    <w:rPr>
                      <w:rFonts w:hint="eastAsia"/>
                      <w:color w:val="auto"/>
                      <w:sz w:val="18"/>
                      <w:szCs w:val="18"/>
                      <w:highlight w:val="none"/>
                      <w:lang w:val="en-US"/>
                    </w:rPr>
                    <w:t>生产车间</w:t>
                  </w:r>
                </w:p>
              </w:tc>
              <w:tc>
                <w:tcPr>
                  <w:tcW w:w="3488" w:type="pct"/>
                  <w:tcBorders>
                    <w:tl2br w:val="nil"/>
                    <w:tr2bl w:val="nil"/>
                  </w:tcBorders>
                  <w:vAlign w:val="center"/>
                </w:tcPr>
                <w:p w14:paraId="24EE3596">
                  <w:pPr>
                    <w:pStyle w:val="39"/>
                    <w:jc w:val="left"/>
                    <w:rPr>
                      <w:color w:val="auto"/>
                      <w:sz w:val="18"/>
                      <w:szCs w:val="18"/>
                      <w:highlight w:val="none"/>
                      <w:lang w:val="en-US"/>
                    </w:rPr>
                  </w:pPr>
                  <w:r>
                    <w:rPr>
                      <w:rFonts w:hint="eastAsia"/>
                      <w:color w:val="auto"/>
                      <w:sz w:val="18"/>
                      <w:szCs w:val="18"/>
                      <w:highlight w:val="none"/>
                      <w:lang w:val="en-US" w:eastAsia="zh-CN"/>
                    </w:rPr>
                    <w:t>原有1座单层钢结构生产车间，占地面积600</w:t>
                  </w:r>
                  <w:r>
                    <w:rPr>
                      <w:rFonts w:hint="eastAsia"/>
                      <w:color w:val="auto"/>
                      <w:sz w:val="18"/>
                      <w:szCs w:val="18"/>
                      <w:highlight w:val="none"/>
                      <w:lang w:val="en-US"/>
                    </w:rPr>
                    <w:t>m</w:t>
                  </w:r>
                  <w:r>
                    <w:rPr>
                      <w:rFonts w:hint="eastAsia"/>
                      <w:color w:val="auto"/>
                      <w:sz w:val="18"/>
                      <w:szCs w:val="18"/>
                      <w:highlight w:val="none"/>
                      <w:vertAlign w:val="superscript"/>
                      <w:lang w:val="en-US"/>
                    </w:rPr>
                    <w:t>2</w:t>
                  </w:r>
                  <w:r>
                    <w:rPr>
                      <w:rFonts w:hint="eastAsia"/>
                      <w:color w:val="auto"/>
                      <w:sz w:val="18"/>
                      <w:szCs w:val="18"/>
                      <w:highlight w:val="none"/>
                      <w:vertAlign w:val="baseline"/>
                      <w:lang w:val="en-US" w:eastAsia="zh-CN"/>
                    </w:rPr>
                    <w:t>，内置1套煤矸石洗选生产线。本次工程拆除煤矸石洗选生产线，将原有生产车间扩建，扩建后</w:t>
                  </w:r>
                  <w:r>
                    <w:rPr>
                      <w:rFonts w:hint="eastAsia"/>
                      <w:color w:val="auto"/>
                      <w:sz w:val="18"/>
                      <w:szCs w:val="18"/>
                      <w:highlight w:val="none"/>
                      <w:lang w:val="en-US"/>
                    </w:rPr>
                    <w:t>占地面积700m</w:t>
                  </w:r>
                  <w:r>
                    <w:rPr>
                      <w:rFonts w:hint="eastAsia"/>
                      <w:color w:val="auto"/>
                      <w:sz w:val="18"/>
                      <w:szCs w:val="18"/>
                      <w:highlight w:val="none"/>
                      <w:vertAlign w:val="superscript"/>
                      <w:lang w:val="en-US"/>
                    </w:rPr>
                    <w:t>2</w:t>
                  </w:r>
                  <w:r>
                    <w:rPr>
                      <w:rFonts w:hint="eastAsia"/>
                      <w:color w:val="auto"/>
                      <w:sz w:val="18"/>
                      <w:szCs w:val="18"/>
                      <w:highlight w:val="none"/>
                      <w:lang w:val="en-US"/>
                    </w:rPr>
                    <w:t>，高12m，设置1条煤泥浮选生产线，生产线主要为预处理系统、浮选机、压滤机等。</w:t>
                  </w:r>
                  <w:r>
                    <w:rPr>
                      <w:color w:val="auto"/>
                      <w:spacing w:val="-1"/>
                      <w:sz w:val="18"/>
                      <w:szCs w:val="18"/>
                      <w:highlight w:val="none"/>
                    </w:rPr>
                    <w:t>对煤</w:t>
                  </w:r>
                  <w:r>
                    <w:rPr>
                      <w:color w:val="auto"/>
                      <w:sz w:val="18"/>
                      <w:szCs w:val="18"/>
                      <w:highlight w:val="none"/>
                    </w:rPr>
                    <w:t>炭一次洗选后产生的煤泥进行</w:t>
                  </w:r>
                  <w:r>
                    <w:rPr>
                      <w:rFonts w:hint="eastAsia"/>
                      <w:color w:val="auto"/>
                      <w:sz w:val="18"/>
                      <w:szCs w:val="18"/>
                      <w:highlight w:val="none"/>
                    </w:rPr>
                    <w:t>预处理</w:t>
                  </w:r>
                  <w:r>
                    <w:rPr>
                      <w:color w:val="auto"/>
                      <w:sz w:val="18"/>
                      <w:szCs w:val="18"/>
                      <w:highlight w:val="none"/>
                    </w:rPr>
                    <w:t>、</w:t>
                  </w:r>
                  <w:r>
                    <w:rPr>
                      <w:rFonts w:hint="eastAsia"/>
                      <w:color w:val="auto"/>
                      <w:sz w:val="18"/>
                      <w:szCs w:val="18"/>
                      <w:highlight w:val="none"/>
                    </w:rPr>
                    <w:t>筛选、</w:t>
                  </w:r>
                  <w:r>
                    <w:rPr>
                      <w:color w:val="auto"/>
                      <w:sz w:val="18"/>
                      <w:szCs w:val="18"/>
                      <w:highlight w:val="none"/>
                    </w:rPr>
                    <w:t>浮选</w:t>
                  </w:r>
                  <w:r>
                    <w:rPr>
                      <w:rFonts w:hint="eastAsia"/>
                      <w:color w:val="auto"/>
                      <w:sz w:val="18"/>
                      <w:szCs w:val="18"/>
                      <w:highlight w:val="none"/>
                    </w:rPr>
                    <w:t>、压滤脱水，设计年处理煤泥</w:t>
                  </w:r>
                  <w:r>
                    <w:rPr>
                      <w:rFonts w:hint="eastAsia"/>
                      <w:color w:val="auto"/>
                      <w:sz w:val="18"/>
                      <w:szCs w:val="18"/>
                      <w:highlight w:val="none"/>
                      <w:lang w:val="en-US"/>
                    </w:rPr>
                    <w:t>20万t/a，年产精煤1.5万t/a、中煤7000t/a、尾矿泥17.8万t/a。</w:t>
                  </w:r>
                </w:p>
              </w:tc>
              <w:tc>
                <w:tcPr>
                  <w:tcW w:w="501" w:type="pct"/>
                  <w:tcBorders>
                    <w:tl2br w:val="nil"/>
                    <w:tr2bl w:val="nil"/>
                  </w:tcBorders>
                  <w:vAlign w:val="center"/>
                </w:tcPr>
                <w:p w14:paraId="71310AC1">
                  <w:pPr>
                    <w:jc w:val="center"/>
                    <w:rPr>
                      <w:rFonts w:hint="default"/>
                      <w:color w:val="auto"/>
                      <w:sz w:val="18"/>
                      <w:szCs w:val="18"/>
                      <w:highlight w:val="none"/>
                      <w:lang w:val="en-US"/>
                    </w:rPr>
                  </w:pPr>
                  <w:r>
                    <w:rPr>
                      <w:rFonts w:hint="eastAsia"/>
                      <w:color w:val="auto"/>
                      <w:sz w:val="18"/>
                      <w:szCs w:val="18"/>
                      <w:highlight w:val="none"/>
                      <w:lang w:val="en-US" w:eastAsia="zh-CN"/>
                    </w:rPr>
                    <w:t>已建成</w:t>
                  </w:r>
                </w:p>
              </w:tc>
            </w:tr>
            <w:tr w14:paraId="1BA47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11C2AFA0">
                  <w:pPr>
                    <w:pStyle w:val="39"/>
                    <w:rPr>
                      <w:color w:val="auto"/>
                      <w:sz w:val="18"/>
                      <w:szCs w:val="18"/>
                      <w:highlight w:val="none"/>
                    </w:rPr>
                  </w:pPr>
                </w:p>
              </w:tc>
              <w:tc>
                <w:tcPr>
                  <w:tcW w:w="639" w:type="pct"/>
                  <w:tcBorders>
                    <w:tl2br w:val="nil"/>
                    <w:tr2bl w:val="nil"/>
                  </w:tcBorders>
                  <w:vAlign w:val="center"/>
                </w:tcPr>
                <w:p w14:paraId="1B14BCC9">
                  <w:pPr>
                    <w:pStyle w:val="39"/>
                    <w:rPr>
                      <w:rFonts w:hint="default" w:eastAsia="宋体"/>
                      <w:color w:val="auto"/>
                      <w:sz w:val="18"/>
                      <w:szCs w:val="18"/>
                      <w:highlight w:val="none"/>
                      <w:lang w:val="en-US" w:eastAsia="zh-CN"/>
                    </w:rPr>
                  </w:pPr>
                  <w:r>
                    <w:rPr>
                      <w:rFonts w:hint="eastAsia"/>
                      <w:color w:val="auto"/>
                      <w:sz w:val="18"/>
                      <w:szCs w:val="18"/>
                      <w:highlight w:val="none"/>
                      <w:lang w:val="en-US" w:eastAsia="zh-CN"/>
                    </w:rPr>
                    <w:t>人造土壤基质生产线</w:t>
                  </w:r>
                </w:p>
              </w:tc>
              <w:tc>
                <w:tcPr>
                  <w:tcW w:w="3488" w:type="pct"/>
                  <w:tcBorders>
                    <w:tl2br w:val="nil"/>
                    <w:tr2bl w:val="nil"/>
                  </w:tcBorders>
                  <w:vAlign w:val="center"/>
                </w:tcPr>
                <w:p w14:paraId="54ECF4CD">
                  <w:pPr>
                    <w:pStyle w:val="39"/>
                    <w:jc w:val="left"/>
                    <w:rPr>
                      <w:rFonts w:hint="eastAsia" w:eastAsia="宋体"/>
                      <w:color w:val="auto"/>
                      <w:sz w:val="18"/>
                      <w:szCs w:val="18"/>
                      <w:highlight w:val="none"/>
                      <w:lang w:val="en-US" w:eastAsia="zh-CN"/>
                    </w:rPr>
                  </w:pPr>
                  <w:r>
                    <w:rPr>
                      <w:rFonts w:hint="eastAsia"/>
                      <w:color w:val="auto"/>
                      <w:sz w:val="18"/>
                      <w:szCs w:val="18"/>
                      <w:highlight w:val="none"/>
                      <w:lang w:val="en-US" w:eastAsia="zh-CN"/>
                    </w:rPr>
                    <w:t>厂区东侧</w:t>
                  </w:r>
                  <w:r>
                    <w:rPr>
                      <w:rFonts w:hint="eastAsia"/>
                      <w:color w:val="auto"/>
                      <w:sz w:val="18"/>
                      <w:szCs w:val="18"/>
                      <w:highlight w:val="none"/>
                      <w:lang w:val="en-US"/>
                    </w:rPr>
                    <w:t>设置1套</w:t>
                  </w:r>
                  <w:r>
                    <w:rPr>
                      <w:color w:val="auto"/>
                      <w:sz w:val="18"/>
                      <w:szCs w:val="18"/>
                      <w:highlight w:val="none"/>
                      <w:lang w:val="en-US"/>
                    </w:rPr>
                    <w:t>WCZ600</w:t>
                  </w:r>
                  <w:r>
                    <w:rPr>
                      <w:rFonts w:hint="eastAsia"/>
                      <w:color w:val="auto"/>
                      <w:sz w:val="18"/>
                      <w:szCs w:val="18"/>
                      <w:highlight w:val="none"/>
                      <w:lang w:val="en-US"/>
                    </w:rPr>
                    <w:t>搅拌主机，年生产人造土壤基质30.38万t/a</w:t>
                  </w:r>
                  <w:r>
                    <w:rPr>
                      <w:rFonts w:hint="eastAsia"/>
                      <w:color w:val="auto"/>
                      <w:sz w:val="18"/>
                      <w:szCs w:val="18"/>
                      <w:highlight w:val="none"/>
                      <w:lang w:val="en-US" w:eastAsia="zh-CN"/>
                    </w:rPr>
                    <w:t>。</w:t>
                  </w:r>
                </w:p>
              </w:tc>
              <w:tc>
                <w:tcPr>
                  <w:tcW w:w="501" w:type="pct"/>
                  <w:tcBorders>
                    <w:tl2br w:val="nil"/>
                    <w:tr2bl w:val="nil"/>
                  </w:tcBorders>
                  <w:vAlign w:val="center"/>
                </w:tcPr>
                <w:p w14:paraId="75506631">
                  <w:pPr>
                    <w:jc w:val="center"/>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2D772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3C1FB7DB">
                  <w:pPr>
                    <w:pStyle w:val="39"/>
                    <w:rPr>
                      <w:color w:val="auto"/>
                      <w:sz w:val="18"/>
                      <w:szCs w:val="18"/>
                      <w:highlight w:val="none"/>
                    </w:rPr>
                  </w:pPr>
                </w:p>
              </w:tc>
              <w:tc>
                <w:tcPr>
                  <w:tcW w:w="639" w:type="pct"/>
                  <w:tcBorders>
                    <w:tl2br w:val="nil"/>
                    <w:tr2bl w:val="nil"/>
                  </w:tcBorders>
                  <w:vAlign w:val="center"/>
                </w:tcPr>
                <w:p w14:paraId="3EBDF75F">
                  <w:pPr>
                    <w:pStyle w:val="39"/>
                    <w:rPr>
                      <w:color w:val="auto"/>
                      <w:sz w:val="18"/>
                      <w:szCs w:val="18"/>
                      <w:highlight w:val="none"/>
                      <w:lang w:val="en-US"/>
                    </w:rPr>
                  </w:pPr>
                  <w:r>
                    <w:rPr>
                      <w:rFonts w:hint="eastAsia"/>
                      <w:color w:val="auto"/>
                      <w:sz w:val="18"/>
                      <w:szCs w:val="18"/>
                      <w:highlight w:val="none"/>
                      <w:lang w:val="en-US"/>
                    </w:rPr>
                    <w:t>破碎车间</w:t>
                  </w:r>
                </w:p>
              </w:tc>
              <w:tc>
                <w:tcPr>
                  <w:tcW w:w="3488" w:type="pct"/>
                  <w:tcBorders>
                    <w:tl2br w:val="nil"/>
                    <w:tr2bl w:val="nil"/>
                  </w:tcBorders>
                  <w:vAlign w:val="center"/>
                </w:tcPr>
                <w:p w14:paraId="3C69EBCA">
                  <w:pPr>
                    <w:pStyle w:val="39"/>
                    <w:jc w:val="left"/>
                    <w:rPr>
                      <w:color w:val="auto"/>
                      <w:sz w:val="18"/>
                      <w:szCs w:val="18"/>
                      <w:highlight w:val="none"/>
                      <w:lang w:val="en-US"/>
                    </w:rPr>
                  </w:pPr>
                  <w:r>
                    <w:rPr>
                      <w:rFonts w:hint="eastAsia"/>
                      <w:color w:val="auto"/>
                      <w:sz w:val="18"/>
                      <w:szCs w:val="18"/>
                      <w:highlight w:val="none"/>
                      <w:lang w:val="en-US"/>
                    </w:rPr>
                    <w:t>破碎车间，</w:t>
                  </w:r>
                  <w:r>
                    <w:rPr>
                      <w:rFonts w:hint="eastAsia"/>
                      <w:color w:val="auto"/>
                      <w:sz w:val="18"/>
                      <w:szCs w:val="18"/>
                      <w:highlight w:val="none"/>
                    </w:rPr>
                    <w:t>位于厂区</w:t>
                  </w:r>
                  <w:r>
                    <w:rPr>
                      <w:rFonts w:hint="eastAsia"/>
                      <w:color w:val="auto"/>
                      <w:sz w:val="18"/>
                      <w:szCs w:val="18"/>
                      <w:highlight w:val="none"/>
                      <w:lang w:val="en-US"/>
                    </w:rPr>
                    <w:t>东侧，钢结构，占地面积50m</w:t>
                  </w:r>
                  <w:r>
                    <w:rPr>
                      <w:rFonts w:hint="eastAsia"/>
                      <w:color w:val="auto"/>
                      <w:sz w:val="18"/>
                      <w:szCs w:val="18"/>
                      <w:highlight w:val="none"/>
                      <w:vertAlign w:val="superscript"/>
                      <w:lang w:val="en-US"/>
                    </w:rPr>
                    <w:t>2</w:t>
                  </w:r>
                  <w:r>
                    <w:rPr>
                      <w:rFonts w:hint="eastAsia"/>
                      <w:color w:val="auto"/>
                      <w:sz w:val="18"/>
                      <w:szCs w:val="18"/>
                      <w:highlight w:val="none"/>
                      <w:lang w:val="en-US"/>
                    </w:rPr>
                    <w:t>，高8m，设置1台圆盘粉碎机，年粉碎秸秆1.78万t/a。</w:t>
                  </w:r>
                </w:p>
              </w:tc>
              <w:tc>
                <w:tcPr>
                  <w:tcW w:w="501" w:type="pct"/>
                  <w:tcBorders>
                    <w:tl2br w:val="nil"/>
                    <w:tr2bl w:val="nil"/>
                  </w:tcBorders>
                  <w:vAlign w:val="center"/>
                </w:tcPr>
                <w:p w14:paraId="0294F23A">
                  <w:pPr>
                    <w:jc w:val="center"/>
                    <w:rPr>
                      <w:color w:val="auto"/>
                      <w:sz w:val="18"/>
                      <w:szCs w:val="18"/>
                      <w:highlight w:val="none"/>
                    </w:rPr>
                  </w:pPr>
                  <w:r>
                    <w:rPr>
                      <w:rFonts w:hint="eastAsia"/>
                      <w:color w:val="auto"/>
                      <w:sz w:val="18"/>
                      <w:szCs w:val="18"/>
                      <w:highlight w:val="none"/>
                    </w:rPr>
                    <w:t>新建</w:t>
                  </w:r>
                </w:p>
              </w:tc>
            </w:tr>
            <w:tr w14:paraId="572EC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371" w:type="pct"/>
                  <w:vMerge w:val="restart"/>
                  <w:tcBorders>
                    <w:tl2br w:val="nil"/>
                    <w:tr2bl w:val="nil"/>
                  </w:tcBorders>
                  <w:vAlign w:val="center"/>
                </w:tcPr>
                <w:p w14:paraId="3CB377B2">
                  <w:pPr>
                    <w:pStyle w:val="39"/>
                    <w:rPr>
                      <w:color w:val="auto"/>
                      <w:sz w:val="18"/>
                      <w:szCs w:val="18"/>
                      <w:highlight w:val="none"/>
                      <w:lang w:val="en-US"/>
                    </w:rPr>
                  </w:pPr>
                  <w:r>
                    <w:rPr>
                      <w:rFonts w:hint="eastAsia"/>
                      <w:color w:val="auto"/>
                      <w:sz w:val="18"/>
                      <w:szCs w:val="18"/>
                      <w:highlight w:val="none"/>
                      <w:lang w:val="en-US"/>
                    </w:rPr>
                    <w:t>辅助工程</w:t>
                  </w:r>
                </w:p>
              </w:tc>
              <w:tc>
                <w:tcPr>
                  <w:tcW w:w="639" w:type="pct"/>
                  <w:tcBorders>
                    <w:tl2br w:val="nil"/>
                    <w:tr2bl w:val="nil"/>
                  </w:tcBorders>
                  <w:vAlign w:val="center"/>
                </w:tcPr>
                <w:p w14:paraId="07A83CEB">
                  <w:pPr>
                    <w:pStyle w:val="39"/>
                    <w:rPr>
                      <w:color w:val="auto"/>
                      <w:sz w:val="18"/>
                      <w:szCs w:val="18"/>
                      <w:highlight w:val="none"/>
                      <w:lang w:val="en-US"/>
                    </w:rPr>
                  </w:pPr>
                  <w:r>
                    <w:rPr>
                      <w:rFonts w:hint="eastAsia"/>
                      <w:color w:val="auto"/>
                      <w:sz w:val="18"/>
                      <w:szCs w:val="18"/>
                      <w:highlight w:val="none"/>
                      <w:lang w:val="en-US"/>
                    </w:rPr>
                    <w:t>浓缩车间</w:t>
                  </w:r>
                </w:p>
              </w:tc>
              <w:tc>
                <w:tcPr>
                  <w:tcW w:w="3488" w:type="pct"/>
                  <w:tcBorders>
                    <w:tl2br w:val="nil"/>
                    <w:tr2bl w:val="nil"/>
                  </w:tcBorders>
                  <w:vAlign w:val="center"/>
                </w:tcPr>
                <w:p w14:paraId="24E0AEA3">
                  <w:pPr>
                    <w:pStyle w:val="39"/>
                    <w:jc w:val="left"/>
                    <w:rPr>
                      <w:color w:val="auto"/>
                      <w:sz w:val="18"/>
                      <w:szCs w:val="18"/>
                      <w:highlight w:val="none"/>
                      <w:lang w:val="en-US"/>
                    </w:rPr>
                  </w:pPr>
                  <w:r>
                    <w:rPr>
                      <w:rFonts w:hint="eastAsia"/>
                      <w:color w:val="auto"/>
                      <w:sz w:val="18"/>
                      <w:szCs w:val="18"/>
                      <w:highlight w:val="none"/>
                      <w:lang w:val="en-US"/>
                    </w:rPr>
                    <w:t>占地面积800m</w:t>
                  </w:r>
                  <w:r>
                    <w:rPr>
                      <w:rFonts w:hint="eastAsia"/>
                      <w:color w:val="auto"/>
                      <w:sz w:val="18"/>
                      <w:szCs w:val="18"/>
                      <w:highlight w:val="none"/>
                      <w:vertAlign w:val="superscript"/>
                      <w:lang w:val="en-US"/>
                    </w:rPr>
                    <w:t>2</w:t>
                  </w:r>
                  <w:r>
                    <w:rPr>
                      <w:rFonts w:hint="eastAsia"/>
                      <w:color w:val="auto"/>
                      <w:sz w:val="18"/>
                      <w:szCs w:val="18"/>
                      <w:highlight w:val="none"/>
                      <w:lang w:val="en-US"/>
                    </w:rPr>
                    <w:t>，高3m，设置浓缩池，泵房等。</w:t>
                  </w:r>
                </w:p>
              </w:tc>
              <w:tc>
                <w:tcPr>
                  <w:tcW w:w="501" w:type="pct"/>
                  <w:tcBorders>
                    <w:tl2br w:val="nil"/>
                    <w:tr2bl w:val="nil"/>
                  </w:tcBorders>
                  <w:vAlign w:val="center"/>
                </w:tcPr>
                <w:p w14:paraId="144CCF2B">
                  <w:pPr>
                    <w:jc w:val="center"/>
                    <w:rPr>
                      <w:color w:val="auto"/>
                      <w:sz w:val="18"/>
                      <w:szCs w:val="18"/>
                      <w:highlight w:val="none"/>
                    </w:rPr>
                  </w:pPr>
                  <w:r>
                    <w:rPr>
                      <w:rFonts w:hint="eastAsia"/>
                      <w:color w:val="auto"/>
                      <w:sz w:val="18"/>
                      <w:szCs w:val="18"/>
                      <w:highlight w:val="none"/>
                    </w:rPr>
                    <w:t>新建</w:t>
                  </w:r>
                </w:p>
              </w:tc>
            </w:tr>
            <w:tr w14:paraId="03CB4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371" w:type="pct"/>
                  <w:vMerge w:val="continue"/>
                  <w:tcBorders>
                    <w:tl2br w:val="nil"/>
                    <w:tr2bl w:val="nil"/>
                  </w:tcBorders>
                  <w:vAlign w:val="center"/>
                </w:tcPr>
                <w:p w14:paraId="5A1CCD61">
                  <w:pPr>
                    <w:pStyle w:val="39"/>
                    <w:rPr>
                      <w:rFonts w:hint="eastAsia"/>
                      <w:color w:val="auto"/>
                      <w:sz w:val="18"/>
                      <w:szCs w:val="18"/>
                      <w:highlight w:val="none"/>
                      <w:lang w:val="en-US"/>
                    </w:rPr>
                  </w:pPr>
                </w:p>
              </w:tc>
              <w:tc>
                <w:tcPr>
                  <w:tcW w:w="639" w:type="pct"/>
                  <w:tcBorders>
                    <w:tl2br w:val="nil"/>
                    <w:tr2bl w:val="nil"/>
                  </w:tcBorders>
                  <w:vAlign w:val="center"/>
                </w:tcPr>
                <w:p w14:paraId="365201DD">
                  <w:pPr>
                    <w:pStyle w:val="39"/>
                    <w:rPr>
                      <w:rFonts w:hint="eastAsia" w:eastAsia="宋体"/>
                      <w:color w:val="auto"/>
                      <w:sz w:val="18"/>
                      <w:szCs w:val="18"/>
                      <w:highlight w:val="none"/>
                      <w:lang w:val="en-US" w:eastAsia="zh-CN"/>
                    </w:rPr>
                  </w:pPr>
                  <w:r>
                    <w:rPr>
                      <w:rFonts w:hint="eastAsia"/>
                      <w:color w:val="auto"/>
                      <w:sz w:val="18"/>
                      <w:szCs w:val="18"/>
                      <w:highlight w:val="none"/>
                      <w:lang w:val="en-US" w:eastAsia="zh-CN"/>
                    </w:rPr>
                    <w:t>办公室</w:t>
                  </w:r>
                </w:p>
              </w:tc>
              <w:tc>
                <w:tcPr>
                  <w:tcW w:w="3488" w:type="pct"/>
                  <w:tcBorders>
                    <w:tl2br w:val="nil"/>
                    <w:tr2bl w:val="nil"/>
                  </w:tcBorders>
                  <w:vAlign w:val="center"/>
                </w:tcPr>
                <w:p w14:paraId="13DDDE74">
                  <w:pPr>
                    <w:pStyle w:val="39"/>
                    <w:jc w:val="left"/>
                    <w:rPr>
                      <w:rFonts w:hint="default" w:eastAsia="宋体"/>
                      <w:color w:val="auto"/>
                      <w:sz w:val="18"/>
                      <w:szCs w:val="18"/>
                      <w:highlight w:val="none"/>
                      <w:lang w:val="en-US" w:eastAsia="zh-CN"/>
                    </w:rPr>
                  </w:pPr>
                  <w:r>
                    <w:rPr>
                      <w:rFonts w:hint="eastAsia"/>
                      <w:color w:val="auto"/>
                      <w:sz w:val="18"/>
                      <w:szCs w:val="18"/>
                      <w:highlight w:val="none"/>
                      <w:lang w:val="en-US" w:eastAsia="zh-CN"/>
                    </w:rPr>
                    <w:t>原有工程未建设办公室，本次新建1座，单层钢结构，占地面积150m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，位于厂区西北侧，用于企业办公。</w:t>
                  </w:r>
                </w:p>
              </w:tc>
              <w:tc>
                <w:tcPr>
                  <w:tcW w:w="501" w:type="pct"/>
                  <w:tcBorders>
                    <w:tl2br w:val="nil"/>
                    <w:tr2bl w:val="nil"/>
                  </w:tcBorders>
                  <w:vAlign w:val="center"/>
                </w:tcPr>
                <w:p w14:paraId="67614643">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已建成</w:t>
                  </w:r>
                </w:p>
              </w:tc>
            </w:tr>
            <w:tr w14:paraId="30C38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5" w:hRule="atLeast"/>
                <w:jc w:val="center"/>
              </w:trPr>
              <w:tc>
                <w:tcPr>
                  <w:tcW w:w="371" w:type="pct"/>
                  <w:vMerge w:val="restart"/>
                  <w:tcBorders>
                    <w:tl2br w:val="nil"/>
                    <w:tr2bl w:val="nil"/>
                  </w:tcBorders>
                  <w:vAlign w:val="center"/>
                </w:tcPr>
                <w:p w14:paraId="3EB3637B">
                  <w:pPr>
                    <w:pStyle w:val="39"/>
                    <w:rPr>
                      <w:color w:val="auto"/>
                      <w:sz w:val="18"/>
                      <w:szCs w:val="18"/>
                      <w:highlight w:val="none"/>
                      <w:lang w:val="en-US"/>
                    </w:rPr>
                  </w:pPr>
                  <w:r>
                    <w:rPr>
                      <w:rFonts w:hint="eastAsia"/>
                      <w:color w:val="auto"/>
                      <w:sz w:val="18"/>
                      <w:szCs w:val="18"/>
                      <w:highlight w:val="none"/>
                      <w:lang w:val="en-US"/>
                    </w:rPr>
                    <w:t>储运工程</w:t>
                  </w:r>
                </w:p>
              </w:tc>
              <w:tc>
                <w:tcPr>
                  <w:tcW w:w="639" w:type="pct"/>
                  <w:tcBorders>
                    <w:tl2br w:val="nil"/>
                    <w:tr2bl w:val="nil"/>
                  </w:tcBorders>
                  <w:vAlign w:val="center"/>
                </w:tcPr>
                <w:p w14:paraId="2063583E">
                  <w:pPr>
                    <w:pStyle w:val="39"/>
                    <w:rPr>
                      <w:color w:val="auto"/>
                      <w:sz w:val="18"/>
                      <w:szCs w:val="18"/>
                      <w:highlight w:val="none"/>
                      <w:lang w:val="en-US"/>
                    </w:rPr>
                  </w:pPr>
                  <w:r>
                    <w:rPr>
                      <w:color w:val="auto"/>
                      <w:spacing w:val="-3"/>
                      <w:sz w:val="18"/>
                      <w:szCs w:val="18"/>
                      <w:highlight w:val="none"/>
                    </w:rPr>
                    <w:t>物料</w:t>
                  </w:r>
                  <w:r>
                    <w:rPr>
                      <w:rFonts w:hint="eastAsia"/>
                      <w:color w:val="auto"/>
                      <w:spacing w:val="-3"/>
                      <w:sz w:val="18"/>
                      <w:szCs w:val="18"/>
                      <w:highlight w:val="none"/>
                      <w:lang w:val="en-US"/>
                    </w:rPr>
                    <w:t>棚</w:t>
                  </w:r>
                </w:p>
              </w:tc>
              <w:tc>
                <w:tcPr>
                  <w:tcW w:w="3488" w:type="pct"/>
                  <w:tcBorders>
                    <w:tl2br w:val="nil"/>
                    <w:tr2bl w:val="nil"/>
                  </w:tcBorders>
                  <w:vAlign w:val="center"/>
                </w:tcPr>
                <w:p w14:paraId="6107D447">
                  <w:pPr>
                    <w:pStyle w:val="39"/>
                    <w:jc w:val="left"/>
                    <w:rPr>
                      <w:rFonts w:hint="default" w:eastAsia="宋体"/>
                      <w:color w:val="auto"/>
                      <w:sz w:val="18"/>
                      <w:szCs w:val="18"/>
                      <w:highlight w:val="none"/>
                      <w:lang w:val="en-US" w:eastAsia="zh-CN"/>
                    </w:rPr>
                  </w:pPr>
                  <w:r>
                    <w:rPr>
                      <w:rFonts w:hint="eastAsia"/>
                      <w:color w:val="auto"/>
                      <w:sz w:val="18"/>
                      <w:szCs w:val="18"/>
                      <w:highlight w:val="none"/>
                      <w:lang w:val="en-US"/>
                    </w:rPr>
                    <w:t>占地面积3900m</w:t>
                  </w:r>
                  <w:r>
                    <w:rPr>
                      <w:rFonts w:hint="eastAsia"/>
                      <w:color w:val="auto"/>
                      <w:sz w:val="18"/>
                      <w:szCs w:val="18"/>
                      <w:highlight w:val="none"/>
                      <w:vertAlign w:val="superscript"/>
                      <w:lang w:val="en-US"/>
                    </w:rPr>
                    <w:t>2</w:t>
                  </w:r>
                  <w:r>
                    <w:rPr>
                      <w:rFonts w:hint="eastAsia"/>
                      <w:color w:val="auto"/>
                      <w:sz w:val="18"/>
                      <w:szCs w:val="18"/>
                      <w:highlight w:val="none"/>
                      <w:lang w:val="en-US"/>
                    </w:rPr>
                    <w:t>，四周设置防风抑尘网，高4m，</w:t>
                  </w:r>
                  <w:r>
                    <w:rPr>
                      <w:rFonts w:hint="eastAsia" w:cs="Times New Roman"/>
                      <w:color w:val="auto"/>
                      <w:sz w:val="18"/>
                      <w:szCs w:val="18"/>
                      <w:highlight w:val="none"/>
                      <w:lang w:val="en-US" w:eastAsia="zh-CN"/>
                    </w:rPr>
                    <w:t>物料均为汽车转运，散装储存，</w:t>
                  </w:r>
                  <w:r>
                    <w:rPr>
                      <w:rFonts w:hint="eastAsia"/>
                      <w:color w:val="auto"/>
                      <w:sz w:val="18"/>
                      <w:szCs w:val="18"/>
                      <w:highlight w:val="none"/>
                      <w:lang w:val="en-US"/>
                    </w:rPr>
                    <w:t>其中煤泥堆场占地面积2000m</w:t>
                  </w:r>
                  <w:r>
                    <w:rPr>
                      <w:rFonts w:hint="eastAsia"/>
                      <w:color w:val="auto"/>
                      <w:sz w:val="18"/>
                      <w:szCs w:val="18"/>
                      <w:highlight w:val="none"/>
                      <w:vertAlign w:val="superscript"/>
                      <w:lang w:val="en-US"/>
                    </w:rPr>
                    <w:t>2</w:t>
                  </w:r>
                  <w:r>
                    <w:rPr>
                      <w:rFonts w:hint="eastAsia"/>
                      <w:color w:val="auto"/>
                      <w:sz w:val="18"/>
                      <w:szCs w:val="18"/>
                      <w:highlight w:val="none"/>
                      <w:lang w:val="en-US"/>
                    </w:rPr>
                    <w:t>，堆高3m，最大储存量4000t，精煤堆场占地650m</w:t>
                  </w:r>
                  <w:r>
                    <w:rPr>
                      <w:rFonts w:hint="eastAsia"/>
                      <w:color w:val="auto"/>
                      <w:sz w:val="18"/>
                      <w:szCs w:val="18"/>
                      <w:highlight w:val="none"/>
                      <w:vertAlign w:val="superscript"/>
                      <w:lang w:val="en-US"/>
                    </w:rPr>
                    <w:t>2</w:t>
                  </w:r>
                  <w:r>
                    <w:rPr>
                      <w:rFonts w:hint="eastAsia"/>
                      <w:color w:val="auto"/>
                      <w:sz w:val="18"/>
                      <w:szCs w:val="18"/>
                      <w:highlight w:val="none"/>
                      <w:lang w:val="en-US"/>
                    </w:rPr>
                    <w:t>，堆高3m，最大储存量1200t，中煤堆场占地面积350m</w:t>
                  </w:r>
                  <w:r>
                    <w:rPr>
                      <w:rFonts w:hint="eastAsia"/>
                      <w:color w:val="auto"/>
                      <w:sz w:val="18"/>
                      <w:szCs w:val="18"/>
                      <w:highlight w:val="none"/>
                      <w:vertAlign w:val="superscript"/>
                      <w:lang w:val="en-US"/>
                    </w:rPr>
                    <w:t>2</w:t>
                  </w:r>
                  <w:r>
                    <w:rPr>
                      <w:rFonts w:hint="eastAsia"/>
                      <w:color w:val="auto"/>
                      <w:sz w:val="18"/>
                      <w:szCs w:val="18"/>
                      <w:highlight w:val="none"/>
                      <w:lang w:val="en-US"/>
                    </w:rPr>
                    <w:t>，堆高3m，最大储存量600t。骨料存放区占地面积500m</w:t>
                  </w:r>
                  <w:r>
                    <w:rPr>
                      <w:rFonts w:hint="eastAsia"/>
                      <w:color w:val="auto"/>
                      <w:sz w:val="18"/>
                      <w:szCs w:val="18"/>
                      <w:highlight w:val="none"/>
                      <w:vertAlign w:val="superscript"/>
                      <w:lang w:val="en-US"/>
                    </w:rPr>
                    <w:t>2</w:t>
                  </w:r>
                  <w:r>
                    <w:rPr>
                      <w:rFonts w:hint="eastAsia"/>
                      <w:color w:val="auto"/>
                      <w:sz w:val="18"/>
                      <w:szCs w:val="18"/>
                      <w:highlight w:val="none"/>
                      <w:lang w:val="en-US"/>
                    </w:rPr>
                    <w:t>，最大储存量3000t。炉渣、脱硫石膏存放区占地面积100m</w:t>
                  </w:r>
                  <w:r>
                    <w:rPr>
                      <w:rFonts w:hint="eastAsia"/>
                      <w:color w:val="auto"/>
                      <w:sz w:val="18"/>
                      <w:szCs w:val="18"/>
                      <w:highlight w:val="none"/>
                      <w:vertAlign w:val="superscript"/>
                      <w:lang w:val="en-US"/>
                    </w:rPr>
                    <w:t>2</w:t>
                  </w:r>
                  <w:r>
                    <w:rPr>
                      <w:rFonts w:hint="eastAsia"/>
                      <w:color w:val="auto"/>
                      <w:sz w:val="18"/>
                      <w:szCs w:val="18"/>
                      <w:highlight w:val="none"/>
                      <w:lang w:val="en-US"/>
                    </w:rPr>
                    <w:t>，水处理污泥存放区占地面积150m</w:t>
                  </w:r>
                  <w:r>
                    <w:rPr>
                      <w:rFonts w:hint="eastAsia"/>
                      <w:color w:val="auto"/>
                      <w:sz w:val="18"/>
                      <w:szCs w:val="18"/>
                      <w:highlight w:val="none"/>
                      <w:vertAlign w:val="superscript"/>
                      <w:lang w:val="en-US"/>
                    </w:rPr>
                    <w:t>2</w:t>
                  </w:r>
                  <w:r>
                    <w:rPr>
                      <w:rFonts w:hint="eastAsia"/>
                      <w:color w:val="auto"/>
                      <w:sz w:val="18"/>
                      <w:szCs w:val="18"/>
                      <w:highlight w:val="none"/>
                      <w:lang w:val="en-US"/>
                    </w:rPr>
                    <w:t>，有机肥存放区占地面积50m</w:t>
                  </w:r>
                  <w:r>
                    <w:rPr>
                      <w:rFonts w:hint="eastAsia"/>
                      <w:color w:val="auto"/>
                      <w:sz w:val="18"/>
                      <w:szCs w:val="18"/>
                      <w:highlight w:val="none"/>
                      <w:vertAlign w:val="superscript"/>
                      <w:lang w:val="en-US"/>
                    </w:rPr>
                    <w:t>2</w:t>
                  </w:r>
                  <w:r>
                    <w:rPr>
                      <w:rFonts w:hint="eastAsia"/>
                      <w:color w:val="auto"/>
                      <w:sz w:val="18"/>
                      <w:szCs w:val="18"/>
                      <w:highlight w:val="none"/>
                      <w:lang w:val="en-US"/>
                    </w:rPr>
                    <w:t>，秸秆存放区占地面积100m</w:t>
                  </w:r>
                  <w:r>
                    <w:rPr>
                      <w:rFonts w:hint="eastAsia"/>
                      <w:color w:val="auto"/>
                      <w:sz w:val="18"/>
                      <w:szCs w:val="18"/>
                      <w:highlight w:val="none"/>
                      <w:vertAlign w:val="superscript"/>
                      <w:lang w:val="en-US"/>
                    </w:rPr>
                    <w:t>2</w:t>
                  </w:r>
                  <w:r>
                    <w:rPr>
                      <w:rFonts w:hint="eastAsia"/>
                      <w:color w:val="auto"/>
                      <w:sz w:val="18"/>
                      <w:szCs w:val="18"/>
                      <w:highlight w:val="none"/>
                      <w:lang w:val="en-US"/>
                    </w:rPr>
                    <w:t>，辅料不长期贮存，随用随运。</w:t>
                  </w:r>
                </w:p>
              </w:tc>
              <w:tc>
                <w:tcPr>
                  <w:tcW w:w="501" w:type="pct"/>
                  <w:tcBorders>
                    <w:tl2br w:val="nil"/>
                    <w:tr2bl w:val="nil"/>
                  </w:tcBorders>
                  <w:vAlign w:val="center"/>
                </w:tcPr>
                <w:p w14:paraId="14B7DA5E">
                  <w:pPr>
                    <w:jc w:val="center"/>
                    <w:rPr>
                      <w:color w:val="auto"/>
                      <w:sz w:val="18"/>
                      <w:szCs w:val="18"/>
                      <w:highlight w:val="none"/>
                    </w:rPr>
                  </w:pPr>
                  <w:r>
                    <w:rPr>
                      <w:rFonts w:hint="eastAsia"/>
                      <w:color w:val="auto"/>
                      <w:sz w:val="18"/>
                      <w:szCs w:val="18"/>
                      <w:highlight w:val="none"/>
                    </w:rPr>
                    <w:t>新建</w:t>
                  </w:r>
                </w:p>
              </w:tc>
            </w:tr>
            <w:tr w14:paraId="3FE48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371" w:type="pct"/>
                  <w:vMerge w:val="continue"/>
                  <w:tcBorders>
                    <w:tl2br w:val="nil"/>
                    <w:tr2bl w:val="nil"/>
                  </w:tcBorders>
                  <w:vAlign w:val="center"/>
                </w:tcPr>
                <w:p w14:paraId="46D1BBB4">
                  <w:pPr>
                    <w:pStyle w:val="39"/>
                    <w:rPr>
                      <w:color w:val="auto"/>
                      <w:sz w:val="18"/>
                      <w:szCs w:val="18"/>
                      <w:highlight w:val="none"/>
                      <w:lang w:val="en-US"/>
                    </w:rPr>
                  </w:pPr>
                </w:p>
              </w:tc>
              <w:tc>
                <w:tcPr>
                  <w:tcW w:w="639" w:type="pct"/>
                  <w:tcBorders>
                    <w:tl2br w:val="nil"/>
                    <w:tr2bl w:val="nil"/>
                  </w:tcBorders>
                  <w:vAlign w:val="center"/>
                </w:tcPr>
                <w:p w14:paraId="52129FBD">
                  <w:pPr>
                    <w:pStyle w:val="39"/>
                    <w:rPr>
                      <w:color w:val="auto"/>
                      <w:spacing w:val="-3"/>
                      <w:sz w:val="18"/>
                      <w:szCs w:val="18"/>
                      <w:highlight w:val="none"/>
                      <w:lang w:val="en-US"/>
                    </w:rPr>
                  </w:pPr>
                  <w:r>
                    <w:rPr>
                      <w:rFonts w:hint="eastAsia"/>
                      <w:color w:val="auto"/>
                      <w:spacing w:val="-3"/>
                      <w:sz w:val="18"/>
                      <w:szCs w:val="18"/>
                      <w:highlight w:val="none"/>
                      <w:lang w:val="en-US"/>
                    </w:rPr>
                    <w:t>尾矿车间</w:t>
                  </w:r>
                </w:p>
              </w:tc>
              <w:tc>
                <w:tcPr>
                  <w:tcW w:w="3488" w:type="pct"/>
                  <w:tcBorders>
                    <w:tl2br w:val="nil"/>
                    <w:tr2bl w:val="nil"/>
                  </w:tcBorders>
                  <w:vAlign w:val="center"/>
                </w:tcPr>
                <w:p w14:paraId="5059281C">
                  <w:pPr>
                    <w:pStyle w:val="39"/>
                    <w:jc w:val="left"/>
                    <w:rPr>
                      <w:color w:val="auto"/>
                      <w:sz w:val="18"/>
                      <w:szCs w:val="18"/>
                      <w:highlight w:val="none"/>
                      <w:lang w:val="en-US"/>
                    </w:rPr>
                  </w:pPr>
                  <w:r>
                    <w:rPr>
                      <w:rFonts w:hint="eastAsia"/>
                      <w:color w:val="auto"/>
                      <w:sz w:val="18"/>
                      <w:szCs w:val="18"/>
                      <w:highlight w:val="none"/>
                      <w:lang w:val="en-US"/>
                    </w:rPr>
                    <w:t>占地面积300m</w:t>
                  </w:r>
                  <w:r>
                    <w:rPr>
                      <w:rFonts w:hint="eastAsia"/>
                      <w:color w:val="auto"/>
                      <w:sz w:val="18"/>
                      <w:szCs w:val="18"/>
                      <w:highlight w:val="none"/>
                      <w:vertAlign w:val="superscript"/>
                      <w:lang w:val="en-US"/>
                    </w:rPr>
                    <w:t>2</w:t>
                  </w:r>
                  <w:r>
                    <w:rPr>
                      <w:rFonts w:hint="eastAsia"/>
                      <w:color w:val="auto"/>
                      <w:sz w:val="18"/>
                      <w:szCs w:val="18"/>
                      <w:highlight w:val="none"/>
                      <w:lang w:val="en-US"/>
                    </w:rPr>
                    <w:t>，高8m，存放尾煤泥，最大储存量3000t。</w:t>
                  </w:r>
                </w:p>
              </w:tc>
              <w:tc>
                <w:tcPr>
                  <w:tcW w:w="501" w:type="pct"/>
                  <w:tcBorders>
                    <w:tl2br w:val="nil"/>
                    <w:tr2bl w:val="nil"/>
                  </w:tcBorders>
                  <w:vAlign w:val="center"/>
                </w:tcPr>
                <w:p w14:paraId="5E03B855">
                  <w:pPr>
                    <w:jc w:val="center"/>
                    <w:rPr>
                      <w:rFonts w:hint="eastAsia" w:eastAsia="宋体"/>
                      <w:color w:val="auto"/>
                      <w:sz w:val="18"/>
                      <w:szCs w:val="18"/>
                      <w:highlight w:val="none"/>
                      <w:lang w:eastAsia="zh-CN"/>
                    </w:rPr>
                  </w:pPr>
                  <w:r>
                    <w:rPr>
                      <w:rFonts w:hint="eastAsia"/>
                      <w:color w:val="auto"/>
                      <w:sz w:val="18"/>
                      <w:szCs w:val="18"/>
                      <w:highlight w:val="none"/>
                      <w:lang w:val="en-US" w:eastAsia="zh-CN"/>
                    </w:rPr>
                    <w:t>已建成</w:t>
                  </w:r>
                </w:p>
              </w:tc>
            </w:tr>
            <w:tr w14:paraId="6FF58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71" w:type="pct"/>
                  <w:vMerge w:val="continue"/>
                  <w:tcBorders>
                    <w:tl2br w:val="nil"/>
                    <w:tr2bl w:val="nil"/>
                  </w:tcBorders>
                  <w:vAlign w:val="center"/>
                </w:tcPr>
                <w:p w14:paraId="14A3DF92">
                  <w:pPr>
                    <w:jc w:val="center"/>
                    <w:rPr>
                      <w:color w:val="auto"/>
                      <w:highlight w:val="none"/>
                    </w:rPr>
                  </w:pPr>
                </w:p>
              </w:tc>
              <w:tc>
                <w:tcPr>
                  <w:tcW w:w="639" w:type="pct"/>
                  <w:tcBorders>
                    <w:tl2br w:val="nil"/>
                    <w:tr2bl w:val="nil"/>
                  </w:tcBorders>
                  <w:vAlign w:val="center"/>
                </w:tcPr>
                <w:p w14:paraId="5CF4DDD5">
                  <w:pPr>
                    <w:jc w:val="center"/>
                    <w:rPr>
                      <w:color w:val="auto"/>
                      <w:sz w:val="18"/>
                      <w:szCs w:val="18"/>
                      <w:highlight w:val="none"/>
                    </w:rPr>
                  </w:pPr>
                  <w:r>
                    <w:rPr>
                      <w:rFonts w:hint="eastAsia"/>
                      <w:color w:val="auto"/>
                      <w:sz w:val="18"/>
                      <w:szCs w:val="18"/>
                      <w:highlight w:val="none"/>
                    </w:rPr>
                    <w:t>危废贮存点</w:t>
                  </w:r>
                </w:p>
              </w:tc>
              <w:tc>
                <w:tcPr>
                  <w:tcW w:w="3488" w:type="pct"/>
                  <w:tcBorders>
                    <w:tl2br w:val="nil"/>
                    <w:tr2bl w:val="nil"/>
                  </w:tcBorders>
                  <w:vAlign w:val="center"/>
                </w:tcPr>
                <w:p w14:paraId="7C4E2A4E">
                  <w:pPr>
                    <w:rPr>
                      <w:color w:val="auto"/>
                      <w:sz w:val="18"/>
                      <w:szCs w:val="18"/>
                      <w:highlight w:val="none"/>
                    </w:rPr>
                  </w:pPr>
                  <w:r>
                    <w:rPr>
                      <w:rFonts w:hint="eastAsia"/>
                      <w:color w:val="auto"/>
                      <w:sz w:val="18"/>
                      <w:szCs w:val="18"/>
                      <w:highlight w:val="none"/>
                    </w:rPr>
                    <w:t>厂区设置1处危险废物贮存点，钢结构封闭式，占地面积10m</w:t>
                  </w:r>
                  <w:r>
                    <w:rPr>
                      <w:rFonts w:hint="eastAsia"/>
                      <w:color w:val="auto"/>
                      <w:sz w:val="18"/>
                      <w:szCs w:val="18"/>
                      <w:highlight w:val="none"/>
                      <w:vertAlign w:val="superscript"/>
                    </w:rPr>
                    <w:t>2</w:t>
                  </w:r>
                  <w:r>
                    <w:rPr>
                      <w:rFonts w:hint="eastAsia"/>
                      <w:color w:val="auto"/>
                      <w:sz w:val="18"/>
                      <w:szCs w:val="18"/>
                      <w:highlight w:val="none"/>
                    </w:rPr>
                    <w:t>，</w:t>
                  </w:r>
                </w:p>
              </w:tc>
              <w:tc>
                <w:tcPr>
                  <w:tcW w:w="501" w:type="pct"/>
                  <w:tcBorders>
                    <w:tl2br w:val="nil"/>
                    <w:tr2bl w:val="nil"/>
                  </w:tcBorders>
                  <w:vAlign w:val="center"/>
                </w:tcPr>
                <w:p w14:paraId="423BC087">
                  <w:pPr>
                    <w:jc w:val="center"/>
                    <w:rPr>
                      <w:color w:val="auto"/>
                      <w:sz w:val="18"/>
                      <w:szCs w:val="18"/>
                      <w:highlight w:val="none"/>
                    </w:rPr>
                  </w:pPr>
                  <w:r>
                    <w:rPr>
                      <w:rFonts w:hint="eastAsia"/>
                      <w:color w:val="auto"/>
                      <w:sz w:val="18"/>
                      <w:szCs w:val="18"/>
                      <w:highlight w:val="none"/>
                    </w:rPr>
                    <w:t>新建</w:t>
                  </w:r>
                </w:p>
              </w:tc>
            </w:tr>
            <w:tr w14:paraId="195CE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371" w:type="pct"/>
                  <w:vMerge w:val="continue"/>
                  <w:tcBorders>
                    <w:tl2br w:val="nil"/>
                    <w:tr2bl w:val="nil"/>
                  </w:tcBorders>
                  <w:vAlign w:val="center"/>
                </w:tcPr>
                <w:p w14:paraId="16D76EB0">
                  <w:pPr>
                    <w:jc w:val="center"/>
                    <w:rPr>
                      <w:color w:val="auto"/>
                      <w:highlight w:val="none"/>
                    </w:rPr>
                  </w:pPr>
                </w:p>
              </w:tc>
              <w:tc>
                <w:tcPr>
                  <w:tcW w:w="639" w:type="pct"/>
                  <w:tcBorders>
                    <w:tl2br w:val="nil"/>
                    <w:tr2bl w:val="nil"/>
                  </w:tcBorders>
                  <w:vAlign w:val="center"/>
                </w:tcPr>
                <w:p w14:paraId="340B8A7C">
                  <w:pPr>
                    <w:pStyle w:val="39"/>
                    <w:rPr>
                      <w:color w:val="auto"/>
                      <w:sz w:val="18"/>
                      <w:szCs w:val="18"/>
                      <w:highlight w:val="none"/>
                      <w:lang w:val="en-US"/>
                    </w:rPr>
                  </w:pPr>
                  <w:r>
                    <w:rPr>
                      <w:rFonts w:hint="eastAsia"/>
                      <w:color w:val="auto"/>
                      <w:spacing w:val="-4"/>
                      <w:sz w:val="18"/>
                      <w:szCs w:val="18"/>
                      <w:highlight w:val="none"/>
                    </w:rPr>
                    <w:t>筒仓</w:t>
                  </w:r>
                </w:p>
              </w:tc>
              <w:tc>
                <w:tcPr>
                  <w:tcW w:w="3488" w:type="pct"/>
                  <w:tcBorders>
                    <w:tl2br w:val="nil"/>
                    <w:tr2bl w:val="nil"/>
                  </w:tcBorders>
                  <w:vAlign w:val="center"/>
                </w:tcPr>
                <w:p w14:paraId="71A25C9F">
                  <w:pPr>
                    <w:rPr>
                      <w:color w:val="auto"/>
                      <w:sz w:val="18"/>
                      <w:szCs w:val="18"/>
                      <w:highlight w:val="none"/>
                    </w:rPr>
                  </w:pPr>
                  <w:r>
                    <w:rPr>
                      <w:rFonts w:hint="eastAsia"/>
                      <w:color w:val="auto"/>
                      <w:sz w:val="18"/>
                      <w:szCs w:val="18"/>
                      <w:highlight w:val="none"/>
                    </w:rPr>
                    <w:t>人造土壤基质</w:t>
                  </w:r>
                  <w:r>
                    <w:rPr>
                      <w:color w:val="auto"/>
                      <w:sz w:val="18"/>
                      <w:szCs w:val="18"/>
                      <w:highlight w:val="none"/>
                    </w:rPr>
                    <w:t>生产线</w:t>
                  </w:r>
                  <w:r>
                    <w:rPr>
                      <w:rFonts w:hint="eastAsia"/>
                      <w:color w:val="auto"/>
                      <w:sz w:val="18"/>
                      <w:szCs w:val="18"/>
                      <w:highlight w:val="none"/>
                    </w:rPr>
                    <w:t>设置1座储罐，储存粉煤灰，粉煤灰仓最大储存量100t，高度17m，入仓粉尘通过仓顶布袋除尘器过滤后经呼吸口无组织形式排放 。</w:t>
                  </w:r>
                </w:p>
              </w:tc>
              <w:tc>
                <w:tcPr>
                  <w:tcW w:w="501" w:type="pct"/>
                  <w:tcBorders>
                    <w:tl2br w:val="nil"/>
                    <w:tr2bl w:val="nil"/>
                  </w:tcBorders>
                  <w:vAlign w:val="center"/>
                </w:tcPr>
                <w:p w14:paraId="18C59002">
                  <w:pPr>
                    <w:jc w:val="center"/>
                    <w:rPr>
                      <w:color w:val="auto"/>
                      <w:sz w:val="18"/>
                      <w:szCs w:val="18"/>
                      <w:highlight w:val="none"/>
                    </w:rPr>
                  </w:pPr>
                  <w:r>
                    <w:rPr>
                      <w:rFonts w:hint="eastAsia"/>
                      <w:color w:val="auto"/>
                      <w:sz w:val="18"/>
                      <w:szCs w:val="18"/>
                      <w:highlight w:val="none"/>
                    </w:rPr>
                    <w:t>新建</w:t>
                  </w:r>
                </w:p>
              </w:tc>
            </w:tr>
            <w:tr w14:paraId="7B8D6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371" w:type="pct"/>
                  <w:vMerge w:val="continue"/>
                  <w:tcBorders>
                    <w:tl2br w:val="nil"/>
                    <w:tr2bl w:val="nil"/>
                  </w:tcBorders>
                  <w:vAlign w:val="center"/>
                </w:tcPr>
                <w:p w14:paraId="35760ADC">
                  <w:pPr>
                    <w:jc w:val="center"/>
                    <w:rPr>
                      <w:color w:val="auto"/>
                      <w:highlight w:val="none"/>
                    </w:rPr>
                  </w:pPr>
                </w:p>
              </w:tc>
              <w:tc>
                <w:tcPr>
                  <w:tcW w:w="639" w:type="pct"/>
                  <w:tcBorders>
                    <w:tl2br w:val="nil"/>
                    <w:tr2bl w:val="nil"/>
                  </w:tcBorders>
                  <w:vAlign w:val="center"/>
                </w:tcPr>
                <w:p w14:paraId="069B2F5D">
                  <w:pPr>
                    <w:jc w:val="center"/>
                    <w:rPr>
                      <w:color w:val="auto"/>
                      <w:sz w:val="18"/>
                      <w:szCs w:val="18"/>
                      <w:highlight w:val="none"/>
                    </w:rPr>
                  </w:pPr>
                  <w:r>
                    <w:rPr>
                      <w:rFonts w:hint="eastAsia"/>
                      <w:color w:val="auto"/>
                      <w:sz w:val="18"/>
                      <w:szCs w:val="18"/>
                      <w:highlight w:val="none"/>
                    </w:rPr>
                    <w:t>药剂库</w:t>
                  </w:r>
                </w:p>
              </w:tc>
              <w:tc>
                <w:tcPr>
                  <w:tcW w:w="3488" w:type="pct"/>
                  <w:tcBorders>
                    <w:tl2br w:val="nil"/>
                    <w:tr2bl w:val="nil"/>
                  </w:tcBorders>
                  <w:vAlign w:val="center"/>
                </w:tcPr>
                <w:p w14:paraId="618FAC8D">
                  <w:pPr>
                    <w:rPr>
                      <w:color w:val="auto"/>
                      <w:sz w:val="18"/>
                      <w:szCs w:val="18"/>
                      <w:highlight w:val="none"/>
                    </w:rPr>
                  </w:pPr>
                  <w:r>
                    <w:rPr>
                      <w:rFonts w:hint="eastAsia"/>
                      <w:color w:val="auto"/>
                      <w:sz w:val="18"/>
                      <w:szCs w:val="18"/>
                      <w:highlight w:val="none"/>
                    </w:rPr>
                    <w:t>建筑面积</w:t>
                  </w:r>
                  <w:r>
                    <w:rPr>
                      <w:rFonts w:hint="eastAsia"/>
                      <w:color w:val="auto"/>
                      <w:sz w:val="18"/>
                      <w:szCs w:val="18"/>
                      <w:highlight w:val="none"/>
                      <w:lang w:val="en-US" w:eastAsia="zh-CN"/>
                    </w:rPr>
                    <w:t>60</w:t>
                  </w:r>
                  <w:r>
                    <w:rPr>
                      <w:rFonts w:hint="eastAsia"/>
                      <w:color w:val="auto"/>
                      <w:sz w:val="18"/>
                      <w:szCs w:val="18"/>
                      <w:highlight w:val="none"/>
                    </w:rPr>
                    <w:t>m</w:t>
                  </w:r>
                  <w:r>
                    <w:rPr>
                      <w:rFonts w:hint="eastAsia"/>
                      <w:color w:val="auto"/>
                      <w:sz w:val="18"/>
                      <w:szCs w:val="18"/>
                      <w:highlight w:val="none"/>
                      <w:vertAlign w:val="superscript"/>
                    </w:rPr>
                    <w:t>2</w:t>
                  </w:r>
                  <w:r>
                    <w:rPr>
                      <w:rFonts w:hint="eastAsia"/>
                      <w:color w:val="auto"/>
                      <w:sz w:val="18"/>
                      <w:szCs w:val="18"/>
                      <w:highlight w:val="none"/>
                    </w:rPr>
                    <w:t>，位于生产车间内。药剂库用于储存起泡剂、捕收剂</w:t>
                  </w:r>
                  <w:r>
                    <w:rPr>
                      <w:rFonts w:hint="eastAsia"/>
                      <w:color w:val="auto"/>
                      <w:sz w:val="18"/>
                      <w:szCs w:val="18"/>
                      <w:highlight w:val="none"/>
                      <w:lang w:eastAsia="zh-CN"/>
                    </w:rPr>
                    <w:t>、聚合氯化铝、聚丙烯酰胺</w:t>
                  </w:r>
                  <w:r>
                    <w:rPr>
                      <w:rFonts w:hint="eastAsia"/>
                      <w:color w:val="auto"/>
                      <w:sz w:val="18"/>
                      <w:szCs w:val="18"/>
                      <w:highlight w:val="none"/>
                    </w:rPr>
                    <w:t>。设50m</w:t>
                  </w:r>
                  <w:r>
                    <w:rPr>
                      <w:rFonts w:hint="eastAsia"/>
                      <w:color w:val="auto"/>
                      <w:sz w:val="18"/>
                      <w:szCs w:val="18"/>
                      <w:highlight w:val="none"/>
                      <w:vertAlign w:val="superscript"/>
                    </w:rPr>
                    <w:t xml:space="preserve">3 </w:t>
                  </w:r>
                  <w:r>
                    <w:rPr>
                      <w:rFonts w:hint="eastAsia"/>
                      <w:color w:val="auto"/>
                      <w:sz w:val="18"/>
                      <w:szCs w:val="18"/>
                      <w:highlight w:val="none"/>
                    </w:rPr>
                    <w:t>药剂罐3个，其中捕收剂罐2个，起泡剂罐 1个</w:t>
                  </w:r>
                  <w:r>
                    <w:rPr>
                      <w:rFonts w:hint="eastAsia"/>
                      <w:color w:val="auto"/>
                      <w:sz w:val="18"/>
                      <w:szCs w:val="18"/>
                      <w:highlight w:val="none"/>
                      <w:lang w:eastAsia="zh-CN"/>
                    </w:rPr>
                    <w:t>，聚合氯化铝、聚丙烯酰胺采取袋装，最大储存量</w:t>
                  </w:r>
                  <w:r>
                    <w:rPr>
                      <w:rFonts w:hint="eastAsia"/>
                      <w:color w:val="auto"/>
                      <w:sz w:val="18"/>
                      <w:szCs w:val="18"/>
                      <w:highlight w:val="none"/>
                      <w:lang w:val="en-US" w:eastAsia="zh-CN"/>
                    </w:rPr>
                    <w:t>4t</w:t>
                  </w:r>
                  <w:r>
                    <w:rPr>
                      <w:rFonts w:hint="eastAsia"/>
                      <w:color w:val="auto"/>
                      <w:sz w:val="18"/>
                      <w:szCs w:val="18"/>
                      <w:highlight w:val="none"/>
                    </w:rPr>
                    <w:t>。药剂库</w:t>
                  </w:r>
                  <w:r>
                    <w:rPr>
                      <w:rFonts w:hint="eastAsia"/>
                      <w:bCs/>
                      <w:color w:val="auto"/>
                      <w:sz w:val="18"/>
                      <w:szCs w:val="18"/>
                      <w:highlight w:val="none"/>
                    </w:rPr>
                    <w:t>地面</w:t>
                  </w:r>
                  <w:r>
                    <w:rPr>
                      <w:rFonts w:hint="eastAsia"/>
                      <w:bCs/>
                      <w:color w:val="auto"/>
                      <w:sz w:val="18"/>
                      <w:szCs w:val="18"/>
                      <w:highlight w:val="none"/>
                      <w:lang w:val="en-US" w:eastAsia="zh-CN"/>
                    </w:rPr>
                    <w:t>与</w:t>
                  </w:r>
                  <w:r>
                    <w:rPr>
                      <w:rFonts w:hint="eastAsia"/>
                      <w:bCs/>
                      <w:color w:val="auto"/>
                      <w:sz w:val="18"/>
                      <w:szCs w:val="18"/>
                      <w:highlight w:val="none"/>
                    </w:rPr>
                    <w:t>裙脚采用2mm厚的高密度聚乙烯+</w:t>
                  </w:r>
                  <w:r>
                    <w:rPr>
                      <w:rFonts w:hint="eastAsia"/>
                      <w:bCs/>
                      <w:color w:val="auto"/>
                      <w:sz w:val="18"/>
                      <w:szCs w:val="18"/>
                      <w:highlight w:val="none"/>
                      <w:lang w:eastAsia="zh-CN"/>
                    </w:rPr>
                    <w:t>抗渗</w:t>
                  </w:r>
                  <w:r>
                    <w:rPr>
                      <w:rFonts w:hint="eastAsia"/>
                      <w:bCs/>
                      <w:color w:val="auto"/>
                      <w:sz w:val="18"/>
                      <w:szCs w:val="18"/>
                      <w:highlight w:val="none"/>
                    </w:rPr>
                    <w:t>混凝土进行防渗处理，渗透系数≤10</w:t>
                  </w:r>
                  <w:r>
                    <w:rPr>
                      <w:rFonts w:hint="eastAsia"/>
                      <w:bCs/>
                      <w:color w:val="auto"/>
                      <w:sz w:val="18"/>
                      <w:szCs w:val="18"/>
                      <w:highlight w:val="none"/>
                      <w:vertAlign w:val="superscript"/>
                    </w:rPr>
                    <w:t>-10</w:t>
                  </w:r>
                  <w:r>
                    <w:rPr>
                      <w:rFonts w:hint="eastAsia"/>
                      <w:bCs/>
                      <w:color w:val="auto"/>
                      <w:sz w:val="18"/>
                      <w:szCs w:val="18"/>
                      <w:highlight w:val="none"/>
                    </w:rPr>
                    <w:t>cm/s。</w:t>
                  </w:r>
                  <w:r>
                    <w:rPr>
                      <w:color w:val="auto"/>
                      <w:sz w:val="18"/>
                      <w:szCs w:val="18"/>
                      <w:highlight w:val="none"/>
                    </w:rPr>
                    <w:t>防渗技术等效厚度为6m粘土层、渗透系数不超过10</w:t>
                  </w:r>
                  <w:r>
                    <w:rPr>
                      <w:color w:val="auto"/>
                      <w:sz w:val="18"/>
                      <w:szCs w:val="18"/>
                      <w:highlight w:val="none"/>
                      <w:vertAlign w:val="superscript"/>
                    </w:rPr>
                    <w:t>-7</w:t>
                  </w:r>
                  <w:r>
                    <w:rPr>
                      <w:color w:val="auto"/>
                      <w:sz w:val="18"/>
                      <w:szCs w:val="18"/>
                      <w:highlight w:val="none"/>
                    </w:rPr>
                    <w:t>cm/s。</w:t>
                  </w:r>
                </w:p>
              </w:tc>
              <w:tc>
                <w:tcPr>
                  <w:tcW w:w="501" w:type="pct"/>
                  <w:tcBorders>
                    <w:tl2br w:val="nil"/>
                    <w:tr2bl w:val="nil"/>
                  </w:tcBorders>
                  <w:vAlign w:val="center"/>
                </w:tcPr>
                <w:p w14:paraId="7C6A1C7B">
                  <w:pPr>
                    <w:jc w:val="center"/>
                    <w:rPr>
                      <w:color w:val="auto"/>
                      <w:spacing w:val="-4"/>
                      <w:sz w:val="18"/>
                      <w:szCs w:val="18"/>
                      <w:highlight w:val="none"/>
                    </w:rPr>
                  </w:pPr>
                  <w:r>
                    <w:rPr>
                      <w:rFonts w:hint="eastAsia"/>
                      <w:color w:val="auto"/>
                      <w:sz w:val="18"/>
                      <w:szCs w:val="18"/>
                      <w:highlight w:val="none"/>
                    </w:rPr>
                    <w:t>新建</w:t>
                  </w:r>
                </w:p>
              </w:tc>
            </w:tr>
            <w:tr w14:paraId="6533A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restart"/>
                  <w:tcBorders>
                    <w:tl2br w:val="nil"/>
                    <w:tr2bl w:val="nil"/>
                  </w:tcBorders>
                  <w:vAlign w:val="center"/>
                </w:tcPr>
                <w:p w14:paraId="5C2DD87E">
                  <w:pPr>
                    <w:pStyle w:val="39"/>
                    <w:rPr>
                      <w:color w:val="auto"/>
                      <w:sz w:val="18"/>
                      <w:szCs w:val="18"/>
                      <w:highlight w:val="none"/>
                    </w:rPr>
                  </w:pPr>
                  <w:r>
                    <w:rPr>
                      <w:color w:val="auto"/>
                      <w:sz w:val="18"/>
                      <w:szCs w:val="18"/>
                      <w:highlight w:val="none"/>
                    </w:rPr>
                    <w:t>公用</w:t>
                  </w:r>
                </w:p>
                <w:p w14:paraId="697C00A2">
                  <w:pPr>
                    <w:pStyle w:val="39"/>
                    <w:rPr>
                      <w:color w:val="auto"/>
                      <w:sz w:val="18"/>
                      <w:szCs w:val="18"/>
                      <w:highlight w:val="none"/>
                    </w:rPr>
                  </w:pPr>
                  <w:r>
                    <w:rPr>
                      <w:color w:val="auto"/>
                      <w:sz w:val="18"/>
                      <w:szCs w:val="18"/>
                      <w:highlight w:val="none"/>
                    </w:rPr>
                    <w:t>工程</w:t>
                  </w:r>
                </w:p>
              </w:tc>
              <w:tc>
                <w:tcPr>
                  <w:tcW w:w="639" w:type="pct"/>
                  <w:tcBorders>
                    <w:tl2br w:val="nil"/>
                    <w:tr2bl w:val="nil"/>
                  </w:tcBorders>
                  <w:vAlign w:val="center"/>
                </w:tcPr>
                <w:p w14:paraId="7D6B39A6">
                  <w:pPr>
                    <w:pStyle w:val="39"/>
                    <w:rPr>
                      <w:color w:val="auto"/>
                      <w:sz w:val="18"/>
                      <w:szCs w:val="18"/>
                      <w:highlight w:val="none"/>
                    </w:rPr>
                  </w:pPr>
                  <w:r>
                    <w:rPr>
                      <w:color w:val="auto"/>
                      <w:sz w:val="18"/>
                      <w:szCs w:val="18"/>
                      <w:highlight w:val="none"/>
                    </w:rPr>
                    <w:t>给水工程</w:t>
                  </w:r>
                </w:p>
              </w:tc>
              <w:tc>
                <w:tcPr>
                  <w:tcW w:w="3488" w:type="pct"/>
                  <w:tcBorders>
                    <w:tl2br w:val="nil"/>
                    <w:tr2bl w:val="nil"/>
                  </w:tcBorders>
                  <w:vAlign w:val="center"/>
                </w:tcPr>
                <w:p w14:paraId="4C4233E8">
                  <w:pPr>
                    <w:pStyle w:val="39"/>
                    <w:jc w:val="left"/>
                    <w:rPr>
                      <w:color w:val="auto"/>
                      <w:sz w:val="18"/>
                      <w:szCs w:val="18"/>
                      <w:highlight w:val="none"/>
                      <w:lang w:val="en-US"/>
                    </w:rPr>
                  </w:pPr>
                  <w:r>
                    <w:rPr>
                      <w:color w:val="auto"/>
                      <w:sz w:val="18"/>
                      <w:szCs w:val="18"/>
                      <w:highlight w:val="none"/>
                    </w:rPr>
                    <w:t>项目</w:t>
                  </w:r>
                  <w:r>
                    <w:rPr>
                      <w:rFonts w:hint="eastAsia"/>
                      <w:color w:val="auto"/>
                      <w:sz w:val="18"/>
                      <w:szCs w:val="18"/>
                      <w:highlight w:val="none"/>
                      <w:lang w:val="en-US"/>
                    </w:rPr>
                    <w:t>生活</w:t>
                  </w:r>
                  <w:r>
                    <w:rPr>
                      <w:color w:val="auto"/>
                      <w:sz w:val="18"/>
                      <w:szCs w:val="18"/>
                      <w:highlight w:val="none"/>
                    </w:rPr>
                    <w:t>用水</w:t>
                  </w:r>
                  <w:r>
                    <w:rPr>
                      <w:rFonts w:hint="eastAsia"/>
                      <w:color w:val="auto"/>
                      <w:sz w:val="18"/>
                      <w:szCs w:val="18"/>
                      <w:highlight w:val="none"/>
                      <w:lang w:val="en-US"/>
                    </w:rPr>
                    <w:t>来源为外购桶装水，生产用水为罐车拉运。</w:t>
                  </w:r>
                </w:p>
              </w:tc>
              <w:tc>
                <w:tcPr>
                  <w:tcW w:w="501" w:type="pct"/>
                  <w:tcBorders>
                    <w:tl2br w:val="nil"/>
                    <w:tr2bl w:val="nil"/>
                  </w:tcBorders>
                  <w:vAlign w:val="center"/>
                </w:tcPr>
                <w:p w14:paraId="591E5B52">
                  <w:pPr>
                    <w:pStyle w:val="39"/>
                    <w:rPr>
                      <w:color w:val="auto"/>
                      <w:sz w:val="18"/>
                      <w:szCs w:val="18"/>
                      <w:highlight w:val="none"/>
                    </w:rPr>
                  </w:pPr>
                  <w:r>
                    <w:rPr>
                      <w:rFonts w:hint="eastAsia"/>
                      <w:color w:val="auto"/>
                      <w:sz w:val="18"/>
                      <w:szCs w:val="18"/>
                      <w:highlight w:val="none"/>
                      <w:lang w:val="en-US"/>
                    </w:rPr>
                    <w:t>新建</w:t>
                  </w:r>
                </w:p>
              </w:tc>
            </w:tr>
            <w:tr w14:paraId="10AB5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4C35E634">
                  <w:pPr>
                    <w:pStyle w:val="39"/>
                    <w:rPr>
                      <w:color w:val="auto"/>
                      <w:sz w:val="18"/>
                      <w:szCs w:val="18"/>
                      <w:highlight w:val="none"/>
                    </w:rPr>
                  </w:pPr>
                </w:p>
              </w:tc>
              <w:tc>
                <w:tcPr>
                  <w:tcW w:w="639" w:type="pct"/>
                  <w:tcBorders>
                    <w:tl2br w:val="nil"/>
                    <w:tr2bl w:val="nil"/>
                  </w:tcBorders>
                  <w:vAlign w:val="center"/>
                </w:tcPr>
                <w:p w14:paraId="00B3766B">
                  <w:pPr>
                    <w:pStyle w:val="39"/>
                    <w:rPr>
                      <w:color w:val="auto"/>
                      <w:sz w:val="18"/>
                      <w:szCs w:val="18"/>
                      <w:highlight w:val="none"/>
                    </w:rPr>
                  </w:pPr>
                  <w:r>
                    <w:rPr>
                      <w:color w:val="auto"/>
                      <w:sz w:val="18"/>
                      <w:szCs w:val="18"/>
                      <w:highlight w:val="none"/>
                    </w:rPr>
                    <w:t>排水工程</w:t>
                  </w:r>
                </w:p>
              </w:tc>
              <w:tc>
                <w:tcPr>
                  <w:tcW w:w="3488" w:type="pct"/>
                  <w:tcBorders>
                    <w:tl2br w:val="nil"/>
                    <w:tr2bl w:val="nil"/>
                  </w:tcBorders>
                  <w:vAlign w:val="center"/>
                </w:tcPr>
                <w:p w14:paraId="0B407311">
                  <w:pPr>
                    <w:pStyle w:val="39"/>
                    <w:jc w:val="left"/>
                    <w:rPr>
                      <w:color w:val="auto"/>
                      <w:sz w:val="18"/>
                      <w:szCs w:val="18"/>
                      <w:highlight w:val="none"/>
                    </w:rPr>
                  </w:pPr>
                  <w:r>
                    <w:rPr>
                      <w:rFonts w:hint="eastAsia"/>
                      <w:color w:val="auto"/>
                      <w:sz w:val="18"/>
                      <w:szCs w:val="18"/>
                      <w:highlight w:val="none"/>
                      <w:lang w:val="en-US"/>
                    </w:rPr>
                    <w:t>生产废水循环利用，不外排</w:t>
                  </w:r>
                  <w:r>
                    <w:rPr>
                      <w:color w:val="auto"/>
                      <w:sz w:val="18"/>
                      <w:szCs w:val="18"/>
                      <w:highlight w:val="none"/>
                    </w:rPr>
                    <w:t>，</w:t>
                  </w:r>
                  <w:r>
                    <w:rPr>
                      <w:rFonts w:hint="eastAsia"/>
                      <w:color w:val="auto"/>
                      <w:sz w:val="18"/>
                      <w:szCs w:val="18"/>
                      <w:highlight w:val="none"/>
                      <w:lang w:val="en-US"/>
                    </w:rPr>
                    <w:t>生活废水排入防渗旱厕，定期清掏，外运堆肥，不外排。</w:t>
                  </w:r>
                </w:p>
              </w:tc>
              <w:tc>
                <w:tcPr>
                  <w:tcW w:w="501" w:type="pct"/>
                  <w:tcBorders>
                    <w:tl2br w:val="nil"/>
                    <w:tr2bl w:val="nil"/>
                  </w:tcBorders>
                  <w:vAlign w:val="center"/>
                </w:tcPr>
                <w:p w14:paraId="2F57F7D1">
                  <w:pPr>
                    <w:pStyle w:val="39"/>
                    <w:rPr>
                      <w:color w:val="auto"/>
                      <w:sz w:val="18"/>
                      <w:szCs w:val="18"/>
                      <w:highlight w:val="none"/>
                      <w:lang w:val="en-US"/>
                    </w:rPr>
                  </w:pPr>
                  <w:r>
                    <w:rPr>
                      <w:rFonts w:hint="eastAsia"/>
                      <w:color w:val="auto"/>
                      <w:sz w:val="18"/>
                      <w:szCs w:val="18"/>
                      <w:highlight w:val="none"/>
                      <w:lang w:val="en-US"/>
                    </w:rPr>
                    <w:t>新建</w:t>
                  </w:r>
                </w:p>
              </w:tc>
            </w:tr>
            <w:tr w14:paraId="6021B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3B8ED38D">
                  <w:pPr>
                    <w:pStyle w:val="39"/>
                    <w:rPr>
                      <w:color w:val="auto"/>
                      <w:sz w:val="18"/>
                      <w:szCs w:val="18"/>
                      <w:highlight w:val="none"/>
                    </w:rPr>
                  </w:pPr>
                </w:p>
              </w:tc>
              <w:tc>
                <w:tcPr>
                  <w:tcW w:w="639" w:type="pct"/>
                  <w:tcBorders>
                    <w:tl2br w:val="nil"/>
                    <w:tr2bl w:val="nil"/>
                  </w:tcBorders>
                  <w:vAlign w:val="center"/>
                </w:tcPr>
                <w:p w14:paraId="77996879">
                  <w:pPr>
                    <w:pStyle w:val="39"/>
                    <w:rPr>
                      <w:color w:val="auto"/>
                      <w:sz w:val="18"/>
                      <w:szCs w:val="18"/>
                      <w:highlight w:val="none"/>
                    </w:rPr>
                  </w:pPr>
                  <w:r>
                    <w:rPr>
                      <w:color w:val="auto"/>
                      <w:sz w:val="18"/>
                      <w:szCs w:val="18"/>
                      <w:highlight w:val="none"/>
                    </w:rPr>
                    <w:t>供电工程</w:t>
                  </w:r>
                </w:p>
              </w:tc>
              <w:tc>
                <w:tcPr>
                  <w:tcW w:w="3488" w:type="pct"/>
                  <w:tcBorders>
                    <w:tl2br w:val="nil"/>
                    <w:tr2bl w:val="nil"/>
                  </w:tcBorders>
                  <w:vAlign w:val="center"/>
                </w:tcPr>
                <w:p w14:paraId="7850C61D">
                  <w:pPr>
                    <w:pStyle w:val="39"/>
                    <w:jc w:val="left"/>
                    <w:rPr>
                      <w:color w:val="auto"/>
                      <w:sz w:val="18"/>
                      <w:szCs w:val="18"/>
                      <w:highlight w:val="none"/>
                    </w:rPr>
                  </w:pPr>
                  <w:r>
                    <w:rPr>
                      <w:color w:val="auto"/>
                      <w:sz w:val="18"/>
                      <w:szCs w:val="18"/>
                      <w:highlight w:val="none"/>
                    </w:rPr>
                    <w:t>由市政电网提供</w:t>
                  </w:r>
                  <w:r>
                    <w:rPr>
                      <w:rFonts w:hint="eastAsia"/>
                      <w:color w:val="auto"/>
                      <w:sz w:val="18"/>
                      <w:szCs w:val="18"/>
                      <w:highlight w:val="none"/>
                    </w:rPr>
                    <w:t>。</w:t>
                  </w:r>
                </w:p>
              </w:tc>
              <w:tc>
                <w:tcPr>
                  <w:tcW w:w="501" w:type="pct"/>
                  <w:tcBorders>
                    <w:tl2br w:val="nil"/>
                    <w:tr2bl w:val="nil"/>
                  </w:tcBorders>
                  <w:vAlign w:val="center"/>
                </w:tcPr>
                <w:p w14:paraId="52020B6B">
                  <w:pPr>
                    <w:pStyle w:val="39"/>
                    <w:rPr>
                      <w:color w:val="auto"/>
                      <w:sz w:val="18"/>
                      <w:szCs w:val="18"/>
                      <w:highlight w:val="none"/>
                      <w:lang w:val="en-US"/>
                    </w:rPr>
                  </w:pPr>
                  <w:r>
                    <w:rPr>
                      <w:rFonts w:hint="eastAsia"/>
                      <w:color w:val="auto"/>
                      <w:sz w:val="18"/>
                      <w:szCs w:val="18"/>
                      <w:highlight w:val="none"/>
                      <w:lang w:val="en-US"/>
                    </w:rPr>
                    <w:t>新建</w:t>
                  </w:r>
                </w:p>
              </w:tc>
            </w:tr>
            <w:tr w14:paraId="7574E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356B6AC8">
                  <w:pPr>
                    <w:pStyle w:val="39"/>
                    <w:rPr>
                      <w:color w:val="auto"/>
                      <w:sz w:val="18"/>
                      <w:szCs w:val="18"/>
                      <w:highlight w:val="none"/>
                    </w:rPr>
                  </w:pPr>
                </w:p>
              </w:tc>
              <w:tc>
                <w:tcPr>
                  <w:tcW w:w="639" w:type="pct"/>
                  <w:tcBorders>
                    <w:tl2br w:val="nil"/>
                    <w:tr2bl w:val="nil"/>
                  </w:tcBorders>
                  <w:vAlign w:val="center"/>
                </w:tcPr>
                <w:p w14:paraId="70CA778D">
                  <w:pPr>
                    <w:pStyle w:val="39"/>
                    <w:rPr>
                      <w:color w:val="auto"/>
                      <w:sz w:val="18"/>
                      <w:szCs w:val="18"/>
                      <w:highlight w:val="none"/>
                    </w:rPr>
                  </w:pPr>
                  <w:r>
                    <w:rPr>
                      <w:color w:val="auto"/>
                      <w:sz w:val="18"/>
                      <w:szCs w:val="18"/>
                      <w:highlight w:val="none"/>
                    </w:rPr>
                    <w:t>供热工程</w:t>
                  </w:r>
                </w:p>
              </w:tc>
              <w:tc>
                <w:tcPr>
                  <w:tcW w:w="3488" w:type="pct"/>
                  <w:tcBorders>
                    <w:tl2br w:val="nil"/>
                    <w:tr2bl w:val="nil"/>
                  </w:tcBorders>
                  <w:vAlign w:val="center"/>
                </w:tcPr>
                <w:p w14:paraId="55E7824A">
                  <w:pPr>
                    <w:pStyle w:val="39"/>
                    <w:jc w:val="left"/>
                    <w:rPr>
                      <w:color w:val="auto"/>
                      <w:sz w:val="18"/>
                      <w:szCs w:val="18"/>
                      <w:highlight w:val="none"/>
                      <w:lang w:val="en-US"/>
                    </w:rPr>
                  </w:pPr>
                  <w:r>
                    <w:rPr>
                      <w:color w:val="auto"/>
                      <w:sz w:val="18"/>
                      <w:szCs w:val="18"/>
                      <w:highlight w:val="none"/>
                    </w:rPr>
                    <w:t>本项目</w:t>
                  </w:r>
                  <w:r>
                    <w:rPr>
                      <w:rFonts w:hint="eastAsia"/>
                      <w:color w:val="auto"/>
                      <w:sz w:val="18"/>
                      <w:szCs w:val="18"/>
                      <w:highlight w:val="none"/>
                      <w:lang w:val="en-US"/>
                    </w:rPr>
                    <w:t>冬季取暖采用电采暖。</w:t>
                  </w:r>
                </w:p>
              </w:tc>
              <w:tc>
                <w:tcPr>
                  <w:tcW w:w="501" w:type="pct"/>
                  <w:tcBorders>
                    <w:tl2br w:val="nil"/>
                    <w:tr2bl w:val="nil"/>
                  </w:tcBorders>
                  <w:vAlign w:val="center"/>
                </w:tcPr>
                <w:p w14:paraId="49298E08">
                  <w:pPr>
                    <w:pStyle w:val="39"/>
                    <w:rPr>
                      <w:color w:val="auto"/>
                      <w:sz w:val="18"/>
                      <w:szCs w:val="18"/>
                      <w:highlight w:val="none"/>
                      <w:lang w:val="en-US"/>
                    </w:rPr>
                  </w:pPr>
                  <w:r>
                    <w:rPr>
                      <w:rFonts w:hint="eastAsia"/>
                      <w:color w:val="auto"/>
                      <w:sz w:val="18"/>
                      <w:szCs w:val="18"/>
                      <w:highlight w:val="none"/>
                      <w:lang w:val="en-US"/>
                    </w:rPr>
                    <w:t>新建</w:t>
                  </w:r>
                </w:p>
              </w:tc>
            </w:tr>
            <w:tr w14:paraId="3E970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restart"/>
                  <w:tcBorders>
                    <w:tl2br w:val="nil"/>
                    <w:tr2bl w:val="nil"/>
                  </w:tcBorders>
                  <w:vAlign w:val="center"/>
                </w:tcPr>
                <w:p w14:paraId="05728FFF">
                  <w:pPr>
                    <w:pStyle w:val="39"/>
                    <w:rPr>
                      <w:color w:val="auto"/>
                      <w:sz w:val="18"/>
                      <w:szCs w:val="18"/>
                      <w:highlight w:val="none"/>
                    </w:rPr>
                  </w:pPr>
                  <w:r>
                    <w:rPr>
                      <w:color w:val="auto"/>
                      <w:sz w:val="18"/>
                      <w:szCs w:val="18"/>
                      <w:highlight w:val="none"/>
                    </w:rPr>
                    <w:t>环保</w:t>
                  </w:r>
                </w:p>
                <w:p w14:paraId="56E48214">
                  <w:pPr>
                    <w:pStyle w:val="39"/>
                    <w:rPr>
                      <w:color w:val="auto"/>
                      <w:sz w:val="18"/>
                      <w:szCs w:val="18"/>
                      <w:highlight w:val="none"/>
                    </w:rPr>
                  </w:pPr>
                  <w:r>
                    <w:rPr>
                      <w:color w:val="auto"/>
                      <w:sz w:val="18"/>
                      <w:szCs w:val="18"/>
                      <w:highlight w:val="none"/>
                    </w:rPr>
                    <w:t>工程</w:t>
                  </w:r>
                </w:p>
              </w:tc>
              <w:tc>
                <w:tcPr>
                  <w:tcW w:w="639" w:type="pct"/>
                  <w:tcBorders>
                    <w:tl2br w:val="nil"/>
                    <w:tr2bl w:val="nil"/>
                  </w:tcBorders>
                  <w:vAlign w:val="center"/>
                </w:tcPr>
                <w:p w14:paraId="2FA2985D">
                  <w:pPr>
                    <w:pStyle w:val="39"/>
                    <w:rPr>
                      <w:color w:val="auto"/>
                      <w:sz w:val="18"/>
                      <w:szCs w:val="18"/>
                      <w:highlight w:val="none"/>
                    </w:rPr>
                  </w:pPr>
                  <w:r>
                    <w:rPr>
                      <w:color w:val="auto"/>
                      <w:sz w:val="18"/>
                      <w:szCs w:val="18"/>
                      <w:highlight w:val="none"/>
                    </w:rPr>
                    <w:t>污水防治措施</w:t>
                  </w:r>
                </w:p>
              </w:tc>
              <w:tc>
                <w:tcPr>
                  <w:tcW w:w="3488" w:type="pct"/>
                  <w:tcBorders>
                    <w:tl2br w:val="nil"/>
                    <w:tr2bl w:val="nil"/>
                  </w:tcBorders>
                  <w:vAlign w:val="center"/>
                </w:tcPr>
                <w:p w14:paraId="5AED225A">
                  <w:pPr>
                    <w:pStyle w:val="39"/>
                    <w:jc w:val="left"/>
                    <w:rPr>
                      <w:color w:val="auto"/>
                      <w:sz w:val="18"/>
                      <w:szCs w:val="18"/>
                      <w:highlight w:val="none"/>
                      <w:lang w:val="en-US"/>
                    </w:rPr>
                  </w:pPr>
                  <w:r>
                    <w:rPr>
                      <w:rFonts w:hint="eastAsia"/>
                      <w:color w:val="auto"/>
                      <w:sz w:val="18"/>
                      <w:szCs w:val="18"/>
                      <w:highlight w:val="none"/>
                      <w:lang w:val="en-US"/>
                    </w:rPr>
                    <w:t>生产废水循环利用，不外排</w:t>
                  </w:r>
                  <w:r>
                    <w:rPr>
                      <w:color w:val="auto"/>
                      <w:sz w:val="18"/>
                      <w:szCs w:val="18"/>
                      <w:highlight w:val="none"/>
                    </w:rPr>
                    <w:t>，</w:t>
                  </w:r>
                  <w:r>
                    <w:rPr>
                      <w:color w:val="auto"/>
                      <w:sz w:val="18"/>
                      <w:szCs w:val="18"/>
                      <w:highlight w:val="none"/>
                      <w:lang w:val="en-US"/>
                    </w:rPr>
                    <w:t>生活废水排入</w:t>
                  </w:r>
                  <w:r>
                    <w:rPr>
                      <w:rFonts w:hint="eastAsia"/>
                      <w:color w:val="auto"/>
                      <w:sz w:val="18"/>
                      <w:szCs w:val="18"/>
                      <w:highlight w:val="none"/>
                      <w:lang w:val="en-US"/>
                    </w:rPr>
                    <w:t>防渗旱厕，定期清掏，外运堆肥，不外排。</w:t>
                  </w:r>
                  <w:r>
                    <w:rPr>
                      <w:rFonts w:hint="eastAsia"/>
                      <w:color w:val="auto"/>
                      <w:sz w:val="18"/>
                      <w:szCs w:val="18"/>
                      <w:highlight w:val="none"/>
                      <w:lang w:val="en-US" w:eastAsia="zh-CN"/>
                    </w:rPr>
                    <w:t>原有排水沟建设较早已破损，本次在厂区四周重新建设雨水导流沟，</w:t>
                  </w:r>
                  <w:r>
                    <w:rPr>
                      <w:rFonts w:hint="eastAsia"/>
                      <w:color w:val="auto"/>
                      <w:sz w:val="18"/>
                      <w:szCs w:val="18"/>
                      <w:highlight w:val="none"/>
                      <w:lang w:val="en-US"/>
                    </w:rPr>
                    <w:t>设置雨水收集池1座</w:t>
                  </w:r>
                  <w:r>
                    <w:rPr>
                      <w:color w:val="auto"/>
                      <w:sz w:val="18"/>
                      <w:szCs w:val="18"/>
                      <w:highlight w:val="none"/>
                      <w:lang w:val="en-US"/>
                    </w:rPr>
                    <w:t>，</w:t>
                  </w:r>
                  <w:r>
                    <w:rPr>
                      <w:rFonts w:hint="eastAsia"/>
                      <w:color w:val="auto"/>
                      <w:sz w:val="18"/>
                      <w:szCs w:val="18"/>
                      <w:highlight w:val="none"/>
                      <w:lang w:val="en-US"/>
                    </w:rPr>
                    <w:t>位于厂区东北侧，收集整体厂区雨水，</w:t>
                  </w:r>
                  <w:r>
                    <w:rPr>
                      <w:color w:val="auto"/>
                      <w:sz w:val="18"/>
                      <w:szCs w:val="18"/>
                      <w:highlight w:val="none"/>
                      <w:lang w:val="en-US"/>
                    </w:rPr>
                    <w:t>收集的雨水沉淀后</w:t>
                  </w:r>
                  <w:r>
                    <w:rPr>
                      <w:rFonts w:hint="eastAsia"/>
                      <w:color w:val="auto"/>
                      <w:sz w:val="18"/>
                      <w:szCs w:val="18"/>
                      <w:highlight w:val="none"/>
                      <w:lang w:val="en-US"/>
                    </w:rPr>
                    <w:t>回用于生产，雨水收集池体积150</w:t>
                  </w:r>
                  <w:r>
                    <w:rPr>
                      <w:color w:val="auto"/>
                      <w:sz w:val="18"/>
                      <w:szCs w:val="18"/>
                      <w:highlight w:val="none"/>
                    </w:rPr>
                    <w:t>m</w:t>
                  </w:r>
                  <w:r>
                    <w:rPr>
                      <w:rFonts w:hint="eastAsia"/>
                      <w:color w:val="auto"/>
                      <w:sz w:val="18"/>
                      <w:szCs w:val="18"/>
                      <w:highlight w:val="none"/>
                      <w:vertAlign w:val="superscript"/>
                      <w:lang w:val="en-US"/>
                    </w:rPr>
                    <w:t>3</w:t>
                  </w:r>
                  <w:r>
                    <w:rPr>
                      <w:rFonts w:hint="eastAsia"/>
                      <w:color w:val="auto"/>
                      <w:sz w:val="18"/>
                      <w:szCs w:val="18"/>
                      <w:highlight w:val="none"/>
                    </w:rPr>
                    <w:t>，配备截断阀控制初期雨水收集。</w:t>
                  </w:r>
                </w:p>
              </w:tc>
              <w:tc>
                <w:tcPr>
                  <w:tcW w:w="501" w:type="pct"/>
                  <w:tcBorders>
                    <w:tl2br w:val="nil"/>
                    <w:tr2bl w:val="nil"/>
                  </w:tcBorders>
                  <w:vAlign w:val="center"/>
                </w:tcPr>
                <w:p w14:paraId="2930CD68">
                  <w:pPr>
                    <w:pStyle w:val="39"/>
                    <w:rPr>
                      <w:color w:val="auto"/>
                      <w:sz w:val="18"/>
                      <w:szCs w:val="18"/>
                      <w:highlight w:val="none"/>
                      <w:lang w:val="en-US"/>
                    </w:rPr>
                  </w:pPr>
                  <w:r>
                    <w:rPr>
                      <w:color w:val="auto"/>
                      <w:sz w:val="18"/>
                      <w:szCs w:val="18"/>
                      <w:highlight w:val="none"/>
                    </w:rPr>
                    <w:t>新建</w:t>
                  </w:r>
                </w:p>
              </w:tc>
            </w:tr>
            <w:tr w14:paraId="6F07C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57ABC69B">
                  <w:pPr>
                    <w:pStyle w:val="39"/>
                    <w:rPr>
                      <w:color w:val="auto"/>
                      <w:sz w:val="18"/>
                      <w:szCs w:val="18"/>
                      <w:highlight w:val="none"/>
                    </w:rPr>
                  </w:pPr>
                </w:p>
              </w:tc>
              <w:tc>
                <w:tcPr>
                  <w:tcW w:w="639" w:type="pct"/>
                  <w:tcBorders>
                    <w:tl2br w:val="nil"/>
                    <w:tr2bl w:val="nil"/>
                  </w:tcBorders>
                  <w:vAlign w:val="center"/>
                </w:tcPr>
                <w:p w14:paraId="0C403356">
                  <w:pPr>
                    <w:pStyle w:val="39"/>
                    <w:rPr>
                      <w:color w:val="auto"/>
                      <w:sz w:val="18"/>
                      <w:szCs w:val="18"/>
                      <w:highlight w:val="none"/>
                    </w:rPr>
                  </w:pPr>
                  <w:r>
                    <w:rPr>
                      <w:color w:val="auto"/>
                      <w:sz w:val="18"/>
                      <w:szCs w:val="18"/>
                      <w:highlight w:val="none"/>
                    </w:rPr>
                    <w:t>固体废物防治措施</w:t>
                  </w:r>
                </w:p>
              </w:tc>
              <w:tc>
                <w:tcPr>
                  <w:tcW w:w="3488" w:type="pct"/>
                  <w:tcBorders>
                    <w:tl2br w:val="nil"/>
                    <w:tr2bl w:val="nil"/>
                  </w:tcBorders>
                </w:tcPr>
                <w:p w14:paraId="5748B4D5">
                  <w:pPr>
                    <w:rPr>
                      <w:color w:val="auto"/>
                      <w:sz w:val="18"/>
                      <w:szCs w:val="18"/>
                      <w:highlight w:val="none"/>
                    </w:rPr>
                  </w:pPr>
                  <w:r>
                    <w:rPr>
                      <w:rFonts w:hint="eastAsia"/>
                      <w:color w:val="auto"/>
                      <w:sz w:val="18"/>
                      <w:szCs w:val="18"/>
                      <w:highlight w:val="none"/>
                    </w:rPr>
                    <w:t>尾矿泥作为原料用于生产人造土壤基质；粉煤灰仓除尘灰，落回料仓内回用于生产；废布袋由厂家回收处理；生活垃圾集中收集后定期委托环卫部门外运处置；</w:t>
                  </w:r>
                  <w:r>
                    <w:rPr>
                      <w:color w:val="auto"/>
                      <w:sz w:val="18"/>
                      <w:szCs w:val="18"/>
                      <w:highlight w:val="none"/>
                    </w:rPr>
                    <w:t>废机油</w:t>
                  </w:r>
                  <w:r>
                    <w:rPr>
                      <w:rFonts w:hint="eastAsia"/>
                      <w:color w:val="auto"/>
                      <w:sz w:val="18"/>
                      <w:szCs w:val="18"/>
                      <w:highlight w:val="none"/>
                    </w:rPr>
                    <w:t>、废弃含油抹布手套、废机油桶、废药剂桶暂存厂区内危险废物贮存点，委托有资质单位处理处置。</w:t>
                  </w:r>
                </w:p>
              </w:tc>
              <w:tc>
                <w:tcPr>
                  <w:tcW w:w="501" w:type="pct"/>
                  <w:tcBorders>
                    <w:tl2br w:val="nil"/>
                    <w:tr2bl w:val="nil"/>
                  </w:tcBorders>
                  <w:vAlign w:val="center"/>
                </w:tcPr>
                <w:p w14:paraId="1D139808">
                  <w:pPr>
                    <w:pStyle w:val="39"/>
                    <w:rPr>
                      <w:color w:val="auto"/>
                      <w:sz w:val="18"/>
                      <w:szCs w:val="18"/>
                      <w:highlight w:val="none"/>
                      <w:lang w:val="en-US"/>
                    </w:rPr>
                  </w:pPr>
                  <w:r>
                    <w:rPr>
                      <w:rFonts w:hint="eastAsia"/>
                      <w:color w:val="auto"/>
                      <w:sz w:val="18"/>
                      <w:szCs w:val="18"/>
                      <w:highlight w:val="none"/>
                      <w:lang w:val="en-US"/>
                    </w:rPr>
                    <w:t>新建</w:t>
                  </w:r>
                </w:p>
              </w:tc>
            </w:tr>
            <w:tr w14:paraId="71CE7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371" w:type="pct"/>
                  <w:vMerge w:val="continue"/>
                  <w:tcBorders>
                    <w:tl2br w:val="nil"/>
                    <w:tr2bl w:val="nil"/>
                  </w:tcBorders>
                  <w:vAlign w:val="center"/>
                </w:tcPr>
                <w:p w14:paraId="5CA9141F">
                  <w:pPr>
                    <w:pStyle w:val="39"/>
                    <w:rPr>
                      <w:color w:val="auto"/>
                      <w:sz w:val="18"/>
                      <w:szCs w:val="18"/>
                      <w:highlight w:val="none"/>
                    </w:rPr>
                  </w:pPr>
                </w:p>
              </w:tc>
              <w:tc>
                <w:tcPr>
                  <w:tcW w:w="639" w:type="pct"/>
                  <w:tcBorders>
                    <w:tl2br w:val="nil"/>
                    <w:tr2bl w:val="nil"/>
                  </w:tcBorders>
                  <w:vAlign w:val="center"/>
                </w:tcPr>
                <w:p w14:paraId="516102FE">
                  <w:pPr>
                    <w:pStyle w:val="39"/>
                    <w:rPr>
                      <w:color w:val="auto"/>
                      <w:sz w:val="18"/>
                      <w:szCs w:val="18"/>
                      <w:highlight w:val="none"/>
                    </w:rPr>
                  </w:pPr>
                  <w:r>
                    <w:rPr>
                      <w:color w:val="auto"/>
                      <w:sz w:val="18"/>
                      <w:szCs w:val="18"/>
                      <w:highlight w:val="none"/>
                    </w:rPr>
                    <w:t>废气防治措施</w:t>
                  </w:r>
                </w:p>
              </w:tc>
              <w:tc>
                <w:tcPr>
                  <w:tcW w:w="3488" w:type="pct"/>
                  <w:tcBorders>
                    <w:tl2br w:val="nil"/>
                    <w:tr2bl w:val="nil"/>
                  </w:tcBorders>
                  <w:vAlign w:val="center"/>
                </w:tcPr>
                <w:p w14:paraId="7EFDA088">
                  <w:pPr>
                    <w:widowControl/>
                    <w:jc w:val="left"/>
                    <w:rPr>
                      <w:color w:val="auto"/>
                      <w:sz w:val="18"/>
                      <w:szCs w:val="18"/>
                      <w:highlight w:val="none"/>
                    </w:rPr>
                  </w:pPr>
                  <w:r>
                    <w:rPr>
                      <w:color w:val="auto"/>
                      <w:spacing w:val="-1"/>
                      <w:sz w:val="18"/>
                      <w:szCs w:val="18"/>
                      <w:highlight w:val="none"/>
                    </w:rPr>
                    <w:t>物料采用汽车运输，并用苫布遮盖，</w:t>
                  </w:r>
                  <w:r>
                    <w:rPr>
                      <w:rFonts w:hint="eastAsia"/>
                      <w:color w:val="auto"/>
                      <w:spacing w:val="-1"/>
                      <w:sz w:val="18"/>
                      <w:szCs w:val="18"/>
                      <w:highlight w:val="none"/>
                    </w:rPr>
                    <w:t>物料棚</w:t>
                  </w:r>
                  <w:r>
                    <w:rPr>
                      <w:color w:val="auto"/>
                      <w:spacing w:val="-1"/>
                      <w:sz w:val="18"/>
                      <w:szCs w:val="18"/>
                      <w:highlight w:val="none"/>
                    </w:rPr>
                    <w:t>四周设置防尘网，定期洒水降尘，道路定</w:t>
                  </w:r>
                  <w:r>
                    <w:rPr>
                      <w:color w:val="auto"/>
                      <w:spacing w:val="-3"/>
                      <w:sz w:val="18"/>
                      <w:szCs w:val="18"/>
                      <w:highlight w:val="none"/>
                    </w:rPr>
                    <w:t>期洒水降尘，减少厂内扬尘</w:t>
                  </w:r>
                  <w:r>
                    <w:rPr>
                      <w:rFonts w:hint="eastAsia"/>
                      <w:color w:val="auto"/>
                      <w:spacing w:val="-3"/>
                      <w:sz w:val="18"/>
                      <w:szCs w:val="18"/>
                      <w:highlight w:val="none"/>
                    </w:rPr>
                    <w:t>，煤泥浮选工序药剂投加过程产生的废气 VOCs无组织排放，</w:t>
                  </w:r>
                  <w:r>
                    <w:rPr>
                      <w:rFonts w:hint="eastAsia"/>
                      <w:color w:val="auto"/>
                      <w:sz w:val="18"/>
                      <w:szCs w:val="18"/>
                      <w:highlight w:val="none"/>
                    </w:rPr>
                    <w:t>秸秆粉碎工序粉尘经设备上方集气罩收集，通过布袋除尘器处理后经15m高排气筒（DA001）排放，粉煤灰</w:t>
                  </w:r>
                  <w:r>
                    <w:rPr>
                      <w:color w:val="auto"/>
                      <w:sz w:val="18"/>
                      <w:szCs w:val="18"/>
                      <w:highlight w:val="none"/>
                    </w:rPr>
                    <w:t>采用罐车运输，入仓粉尘经仓顶</w:t>
                  </w:r>
                  <w:r>
                    <w:rPr>
                      <w:rFonts w:hint="eastAsia"/>
                      <w:color w:val="auto"/>
                      <w:sz w:val="18"/>
                      <w:szCs w:val="18"/>
                      <w:highlight w:val="none"/>
                    </w:rPr>
                    <w:t>除尘器处理后通过呼吸口</w:t>
                  </w:r>
                  <w:r>
                    <w:rPr>
                      <w:color w:val="auto"/>
                      <w:spacing w:val="2"/>
                      <w:sz w:val="18"/>
                      <w:szCs w:val="18"/>
                      <w:highlight w:val="none"/>
                    </w:rPr>
                    <w:t>无组织排放</w:t>
                  </w:r>
                  <w:r>
                    <w:rPr>
                      <w:rFonts w:hint="eastAsia"/>
                      <w:color w:val="auto"/>
                      <w:spacing w:val="-1"/>
                      <w:sz w:val="18"/>
                      <w:szCs w:val="18"/>
                      <w:highlight w:val="none"/>
                    </w:rPr>
                    <w:t>。</w:t>
                  </w:r>
                </w:p>
              </w:tc>
              <w:tc>
                <w:tcPr>
                  <w:tcW w:w="501" w:type="pct"/>
                  <w:tcBorders>
                    <w:tl2br w:val="nil"/>
                    <w:tr2bl w:val="nil"/>
                  </w:tcBorders>
                  <w:vAlign w:val="center"/>
                </w:tcPr>
                <w:p w14:paraId="59A2E9E8">
                  <w:pPr>
                    <w:pStyle w:val="39"/>
                    <w:rPr>
                      <w:color w:val="auto"/>
                      <w:sz w:val="18"/>
                      <w:szCs w:val="18"/>
                      <w:highlight w:val="none"/>
                      <w:lang w:val="en-US"/>
                    </w:rPr>
                  </w:pPr>
                  <w:r>
                    <w:rPr>
                      <w:rFonts w:hint="eastAsia"/>
                      <w:color w:val="auto"/>
                      <w:sz w:val="18"/>
                      <w:szCs w:val="18"/>
                      <w:highlight w:val="none"/>
                      <w:lang w:val="en-US"/>
                    </w:rPr>
                    <w:t>新建</w:t>
                  </w:r>
                </w:p>
              </w:tc>
            </w:tr>
            <w:tr w14:paraId="76193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6B88E803">
                  <w:pPr>
                    <w:pStyle w:val="39"/>
                    <w:rPr>
                      <w:color w:val="auto"/>
                      <w:sz w:val="18"/>
                      <w:szCs w:val="18"/>
                      <w:highlight w:val="none"/>
                    </w:rPr>
                  </w:pPr>
                </w:p>
              </w:tc>
              <w:tc>
                <w:tcPr>
                  <w:tcW w:w="639" w:type="pct"/>
                  <w:tcBorders>
                    <w:tl2br w:val="nil"/>
                    <w:tr2bl w:val="nil"/>
                  </w:tcBorders>
                  <w:vAlign w:val="center"/>
                </w:tcPr>
                <w:p w14:paraId="6C5252A8">
                  <w:pPr>
                    <w:pStyle w:val="39"/>
                    <w:rPr>
                      <w:color w:val="auto"/>
                      <w:sz w:val="18"/>
                      <w:szCs w:val="18"/>
                      <w:highlight w:val="none"/>
                    </w:rPr>
                  </w:pPr>
                  <w:r>
                    <w:rPr>
                      <w:color w:val="auto"/>
                      <w:sz w:val="18"/>
                      <w:szCs w:val="18"/>
                      <w:highlight w:val="none"/>
                    </w:rPr>
                    <w:t>噪声防治措施</w:t>
                  </w:r>
                </w:p>
              </w:tc>
              <w:tc>
                <w:tcPr>
                  <w:tcW w:w="3488" w:type="pct"/>
                  <w:tcBorders>
                    <w:tl2br w:val="nil"/>
                    <w:tr2bl w:val="nil"/>
                  </w:tcBorders>
                  <w:vAlign w:val="center"/>
                </w:tcPr>
                <w:p w14:paraId="6A343AA4">
                  <w:pPr>
                    <w:widowControl/>
                    <w:jc w:val="left"/>
                    <w:rPr>
                      <w:color w:val="auto"/>
                      <w:sz w:val="18"/>
                      <w:szCs w:val="18"/>
                      <w:highlight w:val="none"/>
                    </w:rPr>
                  </w:pPr>
                  <w:r>
                    <w:rPr>
                      <w:color w:val="auto"/>
                      <w:sz w:val="18"/>
                      <w:szCs w:val="18"/>
                      <w:highlight w:val="none"/>
                    </w:rPr>
                    <w:t>采用</w:t>
                  </w:r>
                  <w:r>
                    <w:rPr>
                      <w:rFonts w:hint="eastAsia"/>
                      <w:color w:val="auto"/>
                      <w:sz w:val="18"/>
                      <w:szCs w:val="18"/>
                      <w:highlight w:val="none"/>
                    </w:rPr>
                    <w:t>低噪声设备、</w:t>
                  </w:r>
                  <w:r>
                    <w:rPr>
                      <w:rFonts w:hint="eastAsia"/>
                      <w:color w:val="auto"/>
                      <w:sz w:val="18"/>
                      <w:szCs w:val="18"/>
                      <w:highlight w:val="none"/>
                      <w:lang w:eastAsia="zh-CN"/>
                    </w:rPr>
                    <w:t>厂房隔声、基础减振、</w:t>
                  </w:r>
                  <w:r>
                    <w:rPr>
                      <w:rFonts w:hint="eastAsia"/>
                      <w:color w:val="auto"/>
                      <w:kern w:val="2"/>
                      <w:sz w:val="18"/>
                      <w:szCs w:val="18"/>
                      <w:highlight w:val="none"/>
                      <w:lang w:eastAsia="zh-CN"/>
                    </w:rPr>
                    <w:t>风机安装</w:t>
                  </w:r>
                  <w:r>
                    <w:rPr>
                      <w:rFonts w:hint="eastAsia"/>
                      <w:color w:val="auto"/>
                      <w:sz w:val="18"/>
                      <w:szCs w:val="18"/>
                      <w:highlight w:val="none"/>
                      <w:lang w:eastAsia="zh-CN"/>
                    </w:rPr>
                    <w:t>消声器、水泵设置隔声罩等</w:t>
                  </w:r>
                  <w:r>
                    <w:rPr>
                      <w:rFonts w:hint="eastAsia"/>
                      <w:color w:val="auto"/>
                      <w:sz w:val="18"/>
                      <w:szCs w:val="18"/>
                      <w:highlight w:val="none"/>
                    </w:rPr>
                    <w:t>，场内运输车辆低速、禁鸣措施，</w:t>
                  </w:r>
                  <w:r>
                    <w:rPr>
                      <w:color w:val="auto"/>
                      <w:sz w:val="18"/>
                      <w:szCs w:val="18"/>
                      <w:highlight w:val="none"/>
                    </w:rPr>
                    <w:t>厂界外满足</w:t>
                  </w:r>
                  <w:r>
                    <w:rPr>
                      <w:rFonts w:hint="eastAsia"/>
                      <w:color w:val="auto"/>
                      <w:sz w:val="18"/>
                      <w:szCs w:val="18"/>
                      <w:highlight w:val="none"/>
                    </w:rPr>
                    <w:t>《工业企业厂界环境噪声排放标准》（GB12348-2008）中3类标准。</w:t>
                  </w:r>
                </w:p>
              </w:tc>
              <w:tc>
                <w:tcPr>
                  <w:tcW w:w="501" w:type="pct"/>
                  <w:tcBorders>
                    <w:tl2br w:val="nil"/>
                    <w:tr2bl w:val="nil"/>
                  </w:tcBorders>
                  <w:vAlign w:val="center"/>
                </w:tcPr>
                <w:p w14:paraId="7D605F28">
                  <w:pPr>
                    <w:pStyle w:val="39"/>
                    <w:rPr>
                      <w:color w:val="auto"/>
                      <w:sz w:val="18"/>
                      <w:szCs w:val="18"/>
                      <w:highlight w:val="none"/>
                    </w:rPr>
                  </w:pPr>
                  <w:r>
                    <w:rPr>
                      <w:rFonts w:hint="eastAsia"/>
                      <w:color w:val="auto"/>
                      <w:sz w:val="18"/>
                      <w:szCs w:val="18"/>
                      <w:highlight w:val="none"/>
                      <w:lang w:val="en-US"/>
                    </w:rPr>
                    <w:t>新建</w:t>
                  </w:r>
                </w:p>
              </w:tc>
            </w:tr>
            <w:tr w14:paraId="0A8B1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42B79C98">
                  <w:pPr>
                    <w:pStyle w:val="39"/>
                    <w:rPr>
                      <w:color w:val="auto"/>
                      <w:sz w:val="18"/>
                      <w:szCs w:val="18"/>
                      <w:highlight w:val="none"/>
                    </w:rPr>
                  </w:pPr>
                </w:p>
              </w:tc>
              <w:tc>
                <w:tcPr>
                  <w:tcW w:w="639" w:type="pct"/>
                  <w:tcBorders>
                    <w:tl2br w:val="nil"/>
                    <w:tr2bl w:val="nil"/>
                  </w:tcBorders>
                  <w:vAlign w:val="center"/>
                </w:tcPr>
                <w:p w14:paraId="70D0CCD3">
                  <w:pPr>
                    <w:pStyle w:val="39"/>
                    <w:rPr>
                      <w:color w:val="auto"/>
                      <w:sz w:val="18"/>
                      <w:szCs w:val="18"/>
                      <w:highlight w:val="none"/>
                      <w:lang w:val="en-US"/>
                    </w:rPr>
                  </w:pPr>
                  <w:r>
                    <w:rPr>
                      <w:rFonts w:hint="eastAsia"/>
                      <w:color w:val="auto"/>
                      <w:sz w:val="18"/>
                      <w:szCs w:val="18"/>
                      <w:highlight w:val="none"/>
                      <w:lang w:val="en-US"/>
                    </w:rPr>
                    <w:t>地下水、土壤保护措施</w:t>
                  </w:r>
                </w:p>
              </w:tc>
              <w:tc>
                <w:tcPr>
                  <w:tcW w:w="3488" w:type="pct"/>
                  <w:tcBorders>
                    <w:tl2br w:val="nil"/>
                    <w:tr2bl w:val="nil"/>
                  </w:tcBorders>
                  <w:vAlign w:val="center"/>
                </w:tcPr>
                <w:p w14:paraId="7DCBF056">
                  <w:pPr>
                    <w:rPr>
                      <w:color w:val="auto"/>
                      <w:sz w:val="18"/>
                      <w:szCs w:val="18"/>
                      <w:highlight w:val="none"/>
                    </w:rPr>
                  </w:pPr>
                  <w:r>
                    <w:rPr>
                      <w:color w:val="auto"/>
                      <w:sz w:val="18"/>
                      <w:szCs w:val="18"/>
                      <w:highlight w:val="none"/>
                    </w:rPr>
                    <w:t>危废贮存点</w:t>
                  </w:r>
                  <w:r>
                    <w:rPr>
                      <w:rFonts w:hint="eastAsia"/>
                      <w:color w:val="auto"/>
                      <w:sz w:val="18"/>
                      <w:szCs w:val="18"/>
                      <w:highlight w:val="none"/>
                    </w:rPr>
                    <w:t>、药剂库</w:t>
                  </w:r>
                  <w:r>
                    <w:rPr>
                      <w:rFonts w:hint="eastAsia"/>
                      <w:color w:val="auto"/>
                      <w:sz w:val="18"/>
                      <w:szCs w:val="18"/>
                      <w:highlight w:val="none"/>
                      <w:lang w:eastAsia="zh-CN"/>
                    </w:rPr>
                    <w:t>设置重点防渗，</w:t>
                  </w:r>
                  <w:r>
                    <w:rPr>
                      <w:rFonts w:hint="eastAsia"/>
                      <w:bCs/>
                      <w:color w:val="auto"/>
                      <w:sz w:val="18"/>
                      <w:szCs w:val="18"/>
                      <w:highlight w:val="none"/>
                    </w:rPr>
                    <w:t>地面</w:t>
                  </w:r>
                  <w:r>
                    <w:rPr>
                      <w:rFonts w:hint="eastAsia"/>
                      <w:bCs/>
                      <w:color w:val="auto"/>
                      <w:sz w:val="18"/>
                      <w:szCs w:val="18"/>
                      <w:highlight w:val="none"/>
                      <w:lang w:val="en-US" w:eastAsia="zh-CN"/>
                    </w:rPr>
                    <w:t>与</w:t>
                  </w:r>
                  <w:r>
                    <w:rPr>
                      <w:rFonts w:hint="eastAsia"/>
                      <w:bCs/>
                      <w:color w:val="auto"/>
                      <w:sz w:val="18"/>
                      <w:szCs w:val="18"/>
                      <w:highlight w:val="none"/>
                    </w:rPr>
                    <w:t>裙脚采用2mm厚的高密度聚乙烯+</w:t>
                  </w:r>
                  <w:r>
                    <w:rPr>
                      <w:rFonts w:hint="eastAsia"/>
                      <w:bCs/>
                      <w:color w:val="auto"/>
                      <w:sz w:val="18"/>
                      <w:szCs w:val="18"/>
                      <w:highlight w:val="none"/>
                      <w:lang w:eastAsia="zh-CN"/>
                    </w:rPr>
                    <w:t>抗渗</w:t>
                  </w:r>
                  <w:r>
                    <w:rPr>
                      <w:rFonts w:hint="eastAsia"/>
                      <w:bCs/>
                      <w:color w:val="auto"/>
                      <w:sz w:val="18"/>
                      <w:szCs w:val="18"/>
                      <w:highlight w:val="none"/>
                    </w:rPr>
                    <w:t>混凝土进行防渗处理，渗透系数≤10</w:t>
                  </w:r>
                  <w:r>
                    <w:rPr>
                      <w:rFonts w:hint="eastAsia"/>
                      <w:bCs/>
                      <w:color w:val="auto"/>
                      <w:sz w:val="18"/>
                      <w:szCs w:val="18"/>
                      <w:highlight w:val="none"/>
                      <w:vertAlign w:val="superscript"/>
                    </w:rPr>
                    <w:t>-10</w:t>
                  </w:r>
                  <w:r>
                    <w:rPr>
                      <w:rFonts w:hint="eastAsia"/>
                      <w:bCs/>
                      <w:color w:val="auto"/>
                      <w:sz w:val="18"/>
                      <w:szCs w:val="18"/>
                      <w:highlight w:val="none"/>
                    </w:rPr>
                    <w:t>cm/s。</w:t>
                  </w:r>
                  <w:r>
                    <w:rPr>
                      <w:color w:val="auto"/>
                      <w:sz w:val="18"/>
                      <w:szCs w:val="18"/>
                      <w:highlight w:val="none"/>
                    </w:rPr>
                    <w:t>防渗技术等效厚度为6m粘土层、渗透系数不超过10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rPr>
                    <w:t>生产车间、浓缩车间、尾矿车间</w:t>
                  </w:r>
                  <w:r>
                    <w:rPr>
                      <w:color w:val="auto"/>
                      <w:sz w:val="18"/>
                      <w:szCs w:val="18"/>
                      <w:highlight w:val="none"/>
                    </w:rPr>
                    <w:t>、</w:t>
                  </w:r>
                  <w:r>
                    <w:rPr>
                      <w:rFonts w:hint="eastAsia"/>
                      <w:color w:val="auto"/>
                      <w:sz w:val="18"/>
                      <w:szCs w:val="18"/>
                      <w:highlight w:val="none"/>
                    </w:rPr>
                    <w:t>物料棚、浓缩池、</w:t>
                  </w:r>
                  <w:r>
                    <w:rPr>
                      <w:color w:val="auto"/>
                      <w:sz w:val="18"/>
                      <w:szCs w:val="18"/>
                      <w:highlight w:val="none"/>
                    </w:rPr>
                    <w:t>初期雨水池、事故池</w:t>
                  </w:r>
                  <w:r>
                    <w:rPr>
                      <w:rFonts w:hint="eastAsia"/>
                      <w:color w:val="auto"/>
                      <w:sz w:val="18"/>
                      <w:szCs w:val="18"/>
                      <w:highlight w:val="none"/>
                      <w:lang w:eastAsia="zh-CN"/>
                    </w:rPr>
                    <w:t>、</w:t>
                  </w:r>
                  <w:r>
                    <w:rPr>
                      <w:rFonts w:hint="eastAsia"/>
                      <w:color w:val="auto"/>
                      <w:sz w:val="18"/>
                      <w:szCs w:val="18"/>
                      <w:highlight w:val="none"/>
                      <w:lang w:val="en-US" w:eastAsia="zh-CN"/>
                    </w:rPr>
                    <w:t>防渗旱厕</w:t>
                  </w:r>
                  <w:r>
                    <w:rPr>
                      <w:color w:val="auto"/>
                      <w:sz w:val="18"/>
                      <w:szCs w:val="18"/>
                      <w:highlight w:val="none"/>
                    </w:rPr>
                    <w:t>区域</w:t>
                  </w:r>
                  <w:r>
                    <w:rPr>
                      <w:rFonts w:hint="eastAsia"/>
                      <w:color w:val="auto"/>
                      <w:sz w:val="18"/>
                      <w:szCs w:val="18"/>
                      <w:highlight w:val="none"/>
                      <w:lang w:eastAsia="zh-CN"/>
                    </w:rPr>
                    <w:t>设置一般防渗</w:t>
                  </w:r>
                  <w:r>
                    <w:rPr>
                      <w:color w:val="auto"/>
                      <w:sz w:val="18"/>
                      <w:szCs w:val="18"/>
                      <w:highlight w:val="none"/>
                    </w:rPr>
                    <w:t>，采用</w:t>
                  </w:r>
                  <w:r>
                    <w:rPr>
                      <w:rFonts w:hint="eastAsia"/>
                      <w:color w:val="auto"/>
                      <w:sz w:val="18"/>
                      <w:szCs w:val="18"/>
                      <w:highlight w:val="none"/>
                      <w:lang w:eastAsia="zh-CN"/>
                    </w:rPr>
                    <w:t>抗渗混凝土进行防渗处理</w:t>
                  </w:r>
                  <w:r>
                    <w:rPr>
                      <w:color w:val="auto"/>
                      <w:sz w:val="18"/>
                      <w:szCs w:val="18"/>
                      <w:highlight w:val="none"/>
                    </w:rPr>
                    <w:t>，防渗技术要求达到等效粘土防渗层Mb≥1.5m，≤1×10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lang w:eastAsia="zh-CN"/>
                    </w:rPr>
                    <w:t>厂区内其他区域简单防渗区</w:t>
                  </w:r>
                  <w:r>
                    <w:rPr>
                      <w:color w:val="auto"/>
                      <w:sz w:val="18"/>
                      <w:szCs w:val="18"/>
                      <w:highlight w:val="none"/>
                    </w:rPr>
                    <w:t>，采用耐腐蚀的水泥对地面进行硬化。</w:t>
                  </w:r>
                </w:p>
              </w:tc>
              <w:tc>
                <w:tcPr>
                  <w:tcW w:w="501" w:type="pct"/>
                  <w:tcBorders>
                    <w:tl2br w:val="nil"/>
                    <w:tr2bl w:val="nil"/>
                  </w:tcBorders>
                  <w:vAlign w:val="center"/>
                </w:tcPr>
                <w:p w14:paraId="4C2D1B3B">
                  <w:pPr>
                    <w:pStyle w:val="39"/>
                    <w:rPr>
                      <w:color w:val="auto"/>
                      <w:sz w:val="18"/>
                      <w:szCs w:val="18"/>
                      <w:highlight w:val="none"/>
                      <w:lang w:val="en-US"/>
                    </w:rPr>
                  </w:pPr>
                  <w:r>
                    <w:rPr>
                      <w:rFonts w:hint="eastAsia"/>
                      <w:color w:val="auto"/>
                      <w:sz w:val="18"/>
                      <w:szCs w:val="18"/>
                      <w:highlight w:val="none"/>
                      <w:lang w:val="en-US"/>
                    </w:rPr>
                    <w:t>新建</w:t>
                  </w:r>
                </w:p>
              </w:tc>
            </w:tr>
            <w:tr w14:paraId="47471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6" w:hRule="exact"/>
                <w:jc w:val="center"/>
              </w:trPr>
              <w:tc>
                <w:tcPr>
                  <w:tcW w:w="371" w:type="pct"/>
                  <w:vMerge w:val="continue"/>
                  <w:tcBorders>
                    <w:tl2br w:val="nil"/>
                    <w:tr2bl w:val="nil"/>
                  </w:tcBorders>
                  <w:vAlign w:val="center"/>
                </w:tcPr>
                <w:p w14:paraId="38FE9ED7">
                  <w:pPr>
                    <w:pStyle w:val="39"/>
                    <w:rPr>
                      <w:color w:val="auto"/>
                      <w:sz w:val="18"/>
                      <w:szCs w:val="18"/>
                      <w:highlight w:val="none"/>
                    </w:rPr>
                  </w:pPr>
                </w:p>
              </w:tc>
              <w:tc>
                <w:tcPr>
                  <w:tcW w:w="639" w:type="pct"/>
                  <w:tcBorders>
                    <w:tl2br w:val="nil"/>
                    <w:tr2bl w:val="nil"/>
                  </w:tcBorders>
                  <w:vAlign w:val="center"/>
                </w:tcPr>
                <w:p w14:paraId="02B230A0">
                  <w:pPr>
                    <w:pStyle w:val="39"/>
                    <w:rPr>
                      <w:color w:val="auto"/>
                      <w:sz w:val="18"/>
                      <w:szCs w:val="18"/>
                      <w:highlight w:val="none"/>
                      <w:lang w:val="en-US"/>
                    </w:rPr>
                  </w:pPr>
                  <w:r>
                    <w:rPr>
                      <w:rFonts w:hint="eastAsia"/>
                      <w:color w:val="auto"/>
                      <w:sz w:val="18"/>
                      <w:szCs w:val="18"/>
                      <w:highlight w:val="none"/>
                      <w:lang w:val="en-US"/>
                    </w:rPr>
                    <w:t>环境风险</w:t>
                  </w:r>
                </w:p>
              </w:tc>
              <w:tc>
                <w:tcPr>
                  <w:tcW w:w="3488" w:type="pct"/>
                  <w:tcBorders>
                    <w:tl2br w:val="nil"/>
                    <w:tr2bl w:val="nil"/>
                  </w:tcBorders>
                  <w:vAlign w:val="center"/>
                </w:tcPr>
                <w:p w14:paraId="19A070C3">
                  <w:pPr>
                    <w:rPr>
                      <w:color w:val="auto"/>
                      <w:sz w:val="18"/>
                      <w:szCs w:val="18"/>
                      <w:highlight w:val="none"/>
                    </w:rPr>
                  </w:pPr>
                  <w:r>
                    <w:rPr>
                      <w:rFonts w:hint="eastAsia"/>
                      <w:color w:val="auto"/>
                      <w:sz w:val="18"/>
                      <w:szCs w:val="18"/>
                      <w:highlight w:val="none"/>
                    </w:rPr>
                    <w:t>厂区设置1处危险废物贮存点，钢结构封闭式，占地面积10m</w:t>
                  </w:r>
                  <w:r>
                    <w:rPr>
                      <w:rFonts w:hint="eastAsia"/>
                      <w:color w:val="auto"/>
                      <w:sz w:val="18"/>
                      <w:szCs w:val="18"/>
                      <w:highlight w:val="none"/>
                      <w:vertAlign w:val="superscript"/>
                    </w:rPr>
                    <w:t>2</w:t>
                  </w:r>
                  <w:r>
                    <w:rPr>
                      <w:rFonts w:hint="eastAsia"/>
                      <w:color w:val="auto"/>
                      <w:sz w:val="18"/>
                      <w:szCs w:val="18"/>
                      <w:highlight w:val="none"/>
                    </w:rPr>
                    <w:t>，地面进行重点防渗。</w:t>
                  </w:r>
                  <w:r>
                    <w:rPr>
                      <w:color w:val="auto"/>
                      <w:sz w:val="18"/>
                      <w:szCs w:val="18"/>
                      <w:highlight w:val="none"/>
                    </w:rPr>
                    <w:t>危废贮存点</w:t>
                  </w:r>
                  <w:r>
                    <w:rPr>
                      <w:rFonts w:hint="eastAsia"/>
                      <w:color w:val="auto"/>
                      <w:sz w:val="18"/>
                      <w:szCs w:val="18"/>
                      <w:highlight w:val="none"/>
                    </w:rPr>
                    <w:t>、药剂库</w:t>
                  </w:r>
                  <w:r>
                    <w:rPr>
                      <w:rFonts w:hint="eastAsia"/>
                      <w:color w:val="auto"/>
                      <w:sz w:val="18"/>
                      <w:szCs w:val="18"/>
                      <w:highlight w:val="none"/>
                      <w:lang w:eastAsia="zh-CN"/>
                    </w:rPr>
                    <w:t>设置重点防渗，</w:t>
                  </w:r>
                  <w:r>
                    <w:rPr>
                      <w:rFonts w:hint="eastAsia"/>
                      <w:bCs/>
                      <w:color w:val="auto"/>
                      <w:sz w:val="18"/>
                      <w:szCs w:val="18"/>
                      <w:highlight w:val="none"/>
                    </w:rPr>
                    <w:t>地面</w:t>
                  </w:r>
                  <w:r>
                    <w:rPr>
                      <w:rFonts w:hint="eastAsia"/>
                      <w:bCs/>
                      <w:color w:val="auto"/>
                      <w:sz w:val="18"/>
                      <w:szCs w:val="18"/>
                      <w:highlight w:val="none"/>
                      <w:lang w:val="en-US" w:eastAsia="zh-CN"/>
                    </w:rPr>
                    <w:t>与</w:t>
                  </w:r>
                  <w:r>
                    <w:rPr>
                      <w:rFonts w:hint="eastAsia"/>
                      <w:bCs/>
                      <w:color w:val="auto"/>
                      <w:sz w:val="18"/>
                      <w:szCs w:val="18"/>
                      <w:highlight w:val="none"/>
                    </w:rPr>
                    <w:t>裙脚采用2mm厚的高密度聚乙烯+</w:t>
                  </w:r>
                  <w:r>
                    <w:rPr>
                      <w:rFonts w:hint="eastAsia"/>
                      <w:bCs/>
                      <w:color w:val="auto"/>
                      <w:sz w:val="18"/>
                      <w:szCs w:val="18"/>
                      <w:highlight w:val="none"/>
                      <w:lang w:eastAsia="zh-CN"/>
                    </w:rPr>
                    <w:t>抗渗</w:t>
                  </w:r>
                  <w:r>
                    <w:rPr>
                      <w:rFonts w:hint="eastAsia"/>
                      <w:bCs/>
                      <w:color w:val="auto"/>
                      <w:sz w:val="18"/>
                      <w:szCs w:val="18"/>
                      <w:highlight w:val="none"/>
                    </w:rPr>
                    <w:t>混凝土进行防渗处理，渗透系数≤10</w:t>
                  </w:r>
                  <w:r>
                    <w:rPr>
                      <w:rFonts w:hint="eastAsia"/>
                      <w:bCs/>
                      <w:color w:val="auto"/>
                      <w:sz w:val="18"/>
                      <w:szCs w:val="18"/>
                      <w:highlight w:val="none"/>
                      <w:vertAlign w:val="superscript"/>
                    </w:rPr>
                    <w:t>-10</w:t>
                  </w:r>
                  <w:r>
                    <w:rPr>
                      <w:rFonts w:hint="eastAsia"/>
                      <w:bCs/>
                      <w:color w:val="auto"/>
                      <w:sz w:val="18"/>
                      <w:szCs w:val="18"/>
                      <w:highlight w:val="none"/>
                    </w:rPr>
                    <w:t>cm/s。</w:t>
                  </w:r>
                  <w:r>
                    <w:rPr>
                      <w:color w:val="auto"/>
                      <w:sz w:val="18"/>
                      <w:szCs w:val="18"/>
                      <w:highlight w:val="none"/>
                    </w:rPr>
                    <w:t>防渗技术等效厚度为6m粘土层、渗透系数不超过10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rPr>
                    <w:t>生产车间、浓缩车间、尾矿车间</w:t>
                  </w:r>
                  <w:r>
                    <w:rPr>
                      <w:color w:val="auto"/>
                      <w:sz w:val="18"/>
                      <w:szCs w:val="18"/>
                      <w:highlight w:val="none"/>
                    </w:rPr>
                    <w:t>、</w:t>
                  </w:r>
                  <w:r>
                    <w:rPr>
                      <w:rFonts w:hint="eastAsia"/>
                      <w:color w:val="auto"/>
                      <w:sz w:val="18"/>
                      <w:szCs w:val="18"/>
                      <w:highlight w:val="none"/>
                    </w:rPr>
                    <w:t>物料棚、浓缩池、</w:t>
                  </w:r>
                  <w:r>
                    <w:rPr>
                      <w:color w:val="auto"/>
                      <w:sz w:val="18"/>
                      <w:szCs w:val="18"/>
                      <w:highlight w:val="none"/>
                    </w:rPr>
                    <w:t>初期雨水池、事故池</w:t>
                  </w:r>
                  <w:r>
                    <w:rPr>
                      <w:rFonts w:hint="eastAsia"/>
                      <w:color w:val="auto"/>
                      <w:sz w:val="18"/>
                      <w:szCs w:val="18"/>
                      <w:highlight w:val="none"/>
                      <w:lang w:eastAsia="zh-CN"/>
                    </w:rPr>
                    <w:t>、</w:t>
                  </w:r>
                  <w:r>
                    <w:rPr>
                      <w:rFonts w:hint="eastAsia"/>
                      <w:color w:val="auto"/>
                      <w:sz w:val="18"/>
                      <w:szCs w:val="18"/>
                      <w:highlight w:val="none"/>
                      <w:lang w:val="en-US" w:eastAsia="zh-CN"/>
                    </w:rPr>
                    <w:t>防渗旱厕</w:t>
                  </w:r>
                  <w:r>
                    <w:rPr>
                      <w:color w:val="auto"/>
                      <w:sz w:val="18"/>
                      <w:szCs w:val="18"/>
                      <w:highlight w:val="none"/>
                    </w:rPr>
                    <w:t>区域</w:t>
                  </w:r>
                  <w:r>
                    <w:rPr>
                      <w:rFonts w:hint="eastAsia"/>
                      <w:color w:val="auto"/>
                      <w:sz w:val="18"/>
                      <w:szCs w:val="18"/>
                      <w:highlight w:val="none"/>
                      <w:lang w:eastAsia="zh-CN"/>
                    </w:rPr>
                    <w:t>设置一般防渗</w:t>
                  </w:r>
                  <w:r>
                    <w:rPr>
                      <w:color w:val="auto"/>
                      <w:sz w:val="18"/>
                      <w:szCs w:val="18"/>
                      <w:highlight w:val="none"/>
                    </w:rPr>
                    <w:t>，采用</w:t>
                  </w:r>
                  <w:r>
                    <w:rPr>
                      <w:rFonts w:hint="eastAsia"/>
                      <w:color w:val="auto"/>
                      <w:sz w:val="18"/>
                      <w:szCs w:val="18"/>
                      <w:highlight w:val="none"/>
                      <w:lang w:eastAsia="zh-CN"/>
                    </w:rPr>
                    <w:t>抗渗混凝土进行防渗处理</w:t>
                  </w:r>
                  <w:r>
                    <w:rPr>
                      <w:color w:val="auto"/>
                      <w:sz w:val="18"/>
                      <w:szCs w:val="18"/>
                      <w:highlight w:val="none"/>
                    </w:rPr>
                    <w:t>，防渗技术要求达到等效粘土防渗层Mb≥1.5m，≤1×10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lang w:eastAsia="zh-CN"/>
                    </w:rPr>
                    <w:t>厂区内其他区域简单防渗区</w:t>
                  </w:r>
                  <w:r>
                    <w:rPr>
                      <w:color w:val="auto"/>
                      <w:sz w:val="18"/>
                      <w:szCs w:val="18"/>
                      <w:highlight w:val="none"/>
                    </w:rPr>
                    <w:t>，采用耐腐蚀的水泥对地面进行硬化。</w:t>
                  </w:r>
                </w:p>
                <w:p w14:paraId="08E3E078">
                  <w:pPr>
                    <w:rPr>
                      <w:color w:val="auto"/>
                      <w:highlight w:val="none"/>
                    </w:rPr>
                  </w:pPr>
                  <w:r>
                    <w:rPr>
                      <w:rFonts w:hint="eastAsia"/>
                      <w:color w:val="auto"/>
                      <w:sz w:val="18"/>
                      <w:szCs w:val="18"/>
                      <w:highlight w:val="none"/>
                      <w:lang w:val="en-US" w:eastAsia="zh-CN"/>
                    </w:rPr>
                    <w:t>利用原有</w:t>
                  </w:r>
                  <w:r>
                    <w:rPr>
                      <w:rFonts w:hint="eastAsia"/>
                      <w:color w:val="auto"/>
                      <w:sz w:val="18"/>
                      <w:szCs w:val="18"/>
                      <w:highlight w:val="none"/>
                    </w:rPr>
                    <w:t>1座容积</w:t>
                  </w:r>
                  <w:r>
                    <w:rPr>
                      <w:rFonts w:hint="eastAsia"/>
                      <w:color w:val="auto"/>
                      <w:sz w:val="18"/>
                      <w:szCs w:val="18"/>
                      <w:highlight w:val="none"/>
                      <w:lang w:val="en-US" w:eastAsia="zh-CN"/>
                    </w:rPr>
                    <w:t>250</w:t>
                  </w:r>
                  <w:r>
                    <w:rPr>
                      <w:rFonts w:hint="eastAsia"/>
                      <w:color w:val="auto"/>
                      <w:sz w:val="18"/>
                      <w:szCs w:val="18"/>
                      <w:highlight w:val="none"/>
                    </w:rPr>
                    <w:t>m</w:t>
                  </w:r>
                  <w:r>
                    <w:rPr>
                      <w:rFonts w:hint="eastAsia"/>
                      <w:color w:val="auto"/>
                      <w:sz w:val="18"/>
                      <w:szCs w:val="18"/>
                      <w:highlight w:val="none"/>
                      <w:vertAlign w:val="superscript"/>
                    </w:rPr>
                    <w:t>3</w:t>
                  </w:r>
                  <w:r>
                    <w:rPr>
                      <w:rFonts w:hint="eastAsia"/>
                      <w:color w:val="auto"/>
                      <w:sz w:val="18"/>
                      <w:szCs w:val="18"/>
                      <w:highlight w:val="none"/>
                    </w:rPr>
                    <w:t>事故池，采用</w:t>
                  </w:r>
                  <w:r>
                    <w:rPr>
                      <w:rFonts w:hint="eastAsia"/>
                      <w:color w:val="auto"/>
                      <w:sz w:val="18"/>
                      <w:szCs w:val="18"/>
                      <w:highlight w:val="none"/>
                      <w:lang w:eastAsia="zh-CN"/>
                    </w:rPr>
                    <w:t>抗渗混凝土</w:t>
                  </w:r>
                  <w:r>
                    <w:rPr>
                      <w:rFonts w:hint="eastAsia"/>
                      <w:color w:val="auto"/>
                      <w:sz w:val="18"/>
                      <w:szCs w:val="18"/>
                      <w:highlight w:val="none"/>
                    </w:rPr>
                    <w:t>地面，防渗技术要求达到等效粘土防渗层Mb≥1.5m，≤1×10</w:t>
                  </w:r>
                  <w:r>
                    <w:rPr>
                      <w:rFonts w:hint="eastAsia"/>
                      <w:color w:val="auto"/>
                      <w:sz w:val="18"/>
                      <w:szCs w:val="18"/>
                      <w:highlight w:val="none"/>
                      <w:vertAlign w:val="superscript"/>
                    </w:rPr>
                    <w:t>-7</w:t>
                  </w:r>
                  <w:r>
                    <w:rPr>
                      <w:rFonts w:hint="eastAsia"/>
                      <w:color w:val="auto"/>
                      <w:sz w:val="18"/>
                      <w:szCs w:val="18"/>
                      <w:highlight w:val="none"/>
                    </w:rPr>
                    <w:t>cm/s。</w:t>
                  </w:r>
                </w:p>
              </w:tc>
              <w:tc>
                <w:tcPr>
                  <w:tcW w:w="501" w:type="pct"/>
                  <w:tcBorders>
                    <w:tl2br w:val="nil"/>
                    <w:tr2bl w:val="nil"/>
                  </w:tcBorders>
                  <w:vAlign w:val="center"/>
                </w:tcPr>
                <w:p w14:paraId="60078AB3">
                  <w:pPr>
                    <w:pStyle w:val="39"/>
                    <w:rPr>
                      <w:rFonts w:hint="default" w:eastAsia="宋体"/>
                      <w:color w:val="auto"/>
                      <w:sz w:val="18"/>
                      <w:szCs w:val="18"/>
                      <w:highlight w:val="none"/>
                      <w:lang w:val="en-US" w:eastAsia="zh-CN"/>
                    </w:rPr>
                  </w:pPr>
                  <w:r>
                    <w:rPr>
                      <w:rFonts w:hint="eastAsia"/>
                      <w:color w:val="auto"/>
                      <w:sz w:val="18"/>
                      <w:szCs w:val="18"/>
                      <w:highlight w:val="none"/>
                      <w:lang w:val="en-US" w:eastAsia="zh-CN"/>
                    </w:rPr>
                    <w:t>危废准点新建、事故池依托</w:t>
                  </w:r>
                </w:p>
              </w:tc>
            </w:tr>
            <w:tr w14:paraId="4BCC8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vMerge w:val="continue"/>
                  <w:tcBorders>
                    <w:tl2br w:val="nil"/>
                    <w:tr2bl w:val="nil"/>
                  </w:tcBorders>
                  <w:vAlign w:val="center"/>
                </w:tcPr>
                <w:p w14:paraId="3316E4BA">
                  <w:pPr>
                    <w:pStyle w:val="39"/>
                    <w:rPr>
                      <w:color w:val="auto"/>
                      <w:sz w:val="18"/>
                      <w:szCs w:val="18"/>
                      <w:highlight w:val="none"/>
                    </w:rPr>
                  </w:pPr>
                </w:p>
              </w:tc>
              <w:tc>
                <w:tcPr>
                  <w:tcW w:w="639" w:type="pct"/>
                  <w:tcBorders>
                    <w:tl2br w:val="nil"/>
                    <w:tr2bl w:val="nil"/>
                  </w:tcBorders>
                  <w:vAlign w:val="center"/>
                </w:tcPr>
                <w:p w14:paraId="4D9817AF">
                  <w:pPr>
                    <w:pStyle w:val="39"/>
                    <w:rPr>
                      <w:rFonts w:hint="default" w:eastAsia="宋体"/>
                      <w:color w:val="auto"/>
                      <w:sz w:val="18"/>
                      <w:szCs w:val="18"/>
                      <w:highlight w:val="none"/>
                      <w:lang w:val="en-US" w:eastAsia="zh-CN"/>
                    </w:rPr>
                  </w:pPr>
                  <w:r>
                    <w:rPr>
                      <w:rFonts w:hint="eastAsia"/>
                      <w:color w:val="auto"/>
                      <w:sz w:val="18"/>
                      <w:szCs w:val="18"/>
                      <w:highlight w:val="none"/>
                      <w:lang w:val="en-US" w:eastAsia="zh-CN"/>
                    </w:rPr>
                    <w:t>绿化工程</w:t>
                  </w:r>
                </w:p>
              </w:tc>
              <w:tc>
                <w:tcPr>
                  <w:tcW w:w="3488" w:type="pct"/>
                  <w:tcBorders>
                    <w:tl2br w:val="nil"/>
                    <w:tr2bl w:val="nil"/>
                  </w:tcBorders>
                  <w:vAlign w:val="center"/>
                </w:tcPr>
                <w:p w14:paraId="72C0D338">
                  <w:pPr>
                    <w:rPr>
                      <w:rFonts w:hint="default"/>
                      <w:color w:val="auto"/>
                      <w:sz w:val="18"/>
                      <w:szCs w:val="18"/>
                      <w:highlight w:val="none"/>
                      <w:lang w:val="en-US" w:eastAsia="zh-CN"/>
                    </w:rPr>
                  </w:pPr>
                  <w:r>
                    <w:rPr>
                      <w:rFonts w:hint="eastAsia"/>
                      <w:color w:val="auto"/>
                      <w:sz w:val="18"/>
                      <w:szCs w:val="18"/>
                      <w:highlight w:val="none"/>
                      <w:lang w:val="en-US" w:eastAsia="zh-CN"/>
                    </w:rPr>
                    <w:t>项目厂区内均为硬化地面，故不设置绿化区域。</w:t>
                  </w:r>
                </w:p>
              </w:tc>
              <w:tc>
                <w:tcPr>
                  <w:tcW w:w="501" w:type="pct"/>
                  <w:tcBorders>
                    <w:tl2br w:val="nil"/>
                    <w:tr2bl w:val="nil"/>
                  </w:tcBorders>
                  <w:vAlign w:val="center"/>
                </w:tcPr>
                <w:p w14:paraId="5E5D925F">
                  <w:pPr>
                    <w:pStyle w:val="39"/>
                    <w:rPr>
                      <w:rFonts w:hint="default"/>
                      <w:color w:val="auto"/>
                      <w:sz w:val="18"/>
                      <w:szCs w:val="18"/>
                      <w:highlight w:val="none"/>
                      <w:lang w:val="en-US" w:eastAsia="zh-CN"/>
                    </w:rPr>
                  </w:pPr>
                  <w:r>
                    <w:rPr>
                      <w:rFonts w:hint="eastAsia"/>
                      <w:color w:val="auto"/>
                      <w:sz w:val="18"/>
                      <w:szCs w:val="18"/>
                      <w:highlight w:val="none"/>
                      <w:lang w:val="en-US" w:eastAsia="zh-CN"/>
                    </w:rPr>
                    <w:t>/</w:t>
                  </w:r>
                </w:p>
              </w:tc>
            </w:tr>
          </w:tbl>
          <w:p w14:paraId="06DF2356">
            <w:pPr>
              <w:autoSpaceDE w:val="0"/>
              <w:autoSpaceDN w:val="0"/>
              <w:adjustRightInd w:val="0"/>
              <w:spacing w:line="360" w:lineRule="auto"/>
              <w:rPr>
                <w:color w:val="auto"/>
                <w:szCs w:val="21"/>
                <w:highlight w:val="none"/>
              </w:rPr>
            </w:pPr>
            <w:r>
              <w:rPr>
                <w:rFonts w:hint="eastAsia"/>
                <w:b/>
                <w:bCs/>
                <w:color w:val="auto"/>
                <w:szCs w:val="21"/>
                <w:highlight w:val="none"/>
              </w:rPr>
              <w:t>3</w:t>
            </w:r>
            <w:r>
              <w:rPr>
                <w:b/>
                <w:bCs/>
                <w:color w:val="auto"/>
                <w:szCs w:val="21"/>
                <w:highlight w:val="none"/>
              </w:rPr>
              <w:t>、主要设备</w:t>
            </w:r>
          </w:p>
          <w:p w14:paraId="084D5B86">
            <w:pPr>
              <w:autoSpaceDE w:val="0"/>
              <w:autoSpaceDN w:val="0"/>
              <w:adjustRightInd w:val="0"/>
              <w:spacing w:line="360" w:lineRule="auto"/>
              <w:ind w:firstLine="420" w:firstLineChars="200"/>
              <w:rPr>
                <w:b/>
                <w:bCs/>
                <w:color w:val="auto"/>
                <w:szCs w:val="21"/>
                <w:highlight w:val="none"/>
              </w:rPr>
            </w:pPr>
            <w:r>
              <w:rPr>
                <w:color w:val="auto"/>
                <w:szCs w:val="21"/>
                <w:highlight w:val="none"/>
              </w:rPr>
              <w:t>本项目主要设备清单见下表2-2。</w:t>
            </w:r>
          </w:p>
          <w:p w14:paraId="47BBD362">
            <w:pPr>
              <w:jc w:val="center"/>
              <w:rPr>
                <w:b/>
                <w:bCs/>
                <w:color w:val="auto"/>
                <w:szCs w:val="21"/>
                <w:highlight w:val="none"/>
              </w:rPr>
            </w:pPr>
            <w:r>
              <w:rPr>
                <w:b/>
                <w:bCs/>
                <w:color w:val="auto"/>
                <w:szCs w:val="21"/>
                <w:highlight w:val="none"/>
              </w:rPr>
              <w:t>表2-2设备明细一览表</w:t>
            </w:r>
          </w:p>
          <w:tbl>
            <w:tblPr>
              <w:tblStyle w:val="22"/>
              <w:tblW w:w="81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5"/>
              <w:gridCol w:w="3289"/>
              <w:gridCol w:w="1774"/>
              <w:gridCol w:w="1229"/>
              <w:gridCol w:w="1009"/>
            </w:tblGrid>
            <w:tr w14:paraId="08BDC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513" w:type="pct"/>
                  <w:vAlign w:val="center"/>
                </w:tcPr>
                <w:p w14:paraId="61BF0D8A">
                  <w:pPr>
                    <w:jc w:val="center"/>
                    <w:rPr>
                      <w:color w:val="auto"/>
                      <w:sz w:val="18"/>
                      <w:szCs w:val="18"/>
                      <w:highlight w:val="none"/>
                    </w:rPr>
                  </w:pPr>
                  <w:r>
                    <w:rPr>
                      <w:color w:val="auto"/>
                      <w:sz w:val="18"/>
                      <w:szCs w:val="18"/>
                      <w:highlight w:val="none"/>
                    </w:rPr>
                    <w:t>序号</w:t>
                  </w:r>
                </w:p>
              </w:tc>
              <w:tc>
                <w:tcPr>
                  <w:tcW w:w="2021" w:type="pct"/>
                  <w:vAlign w:val="center"/>
                </w:tcPr>
                <w:p w14:paraId="76E3B99C">
                  <w:pPr>
                    <w:jc w:val="center"/>
                    <w:rPr>
                      <w:color w:val="auto"/>
                      <w:sz w:val="18"/>
                      <w:szCs w:val="18"/>
                      <w:highlight w:val="none"/>
                    </w:rPr>
                  </w:pPr>
                  <w:r>
                    <w:rPr>
                      <w:color w:val="auto"/>
                      <w:sz w:val="18"/>
                      <w:szCs w:val="18"/>
                      <w:highlight w:val="none"/>
                    </w:rPr>
                    <w:t>名称</w:t>
                  </w:r>
                </w:p>
              </w:tc>
              <w:tc>
                <w:tcPr>
                  <w:tcW w:w="1090" w:type="pct"/>
                  <w:vAlign w:val="center"/>
                </w:tcPr>
                <w:p w14:paraId="75420AD3">
                  <w:pPr>
                    <w:jc w:val="center"/>
                    <w:rPr>
                      <w:color w:val="auto"/>
                      <w:sz w:val="18"/>
                      <w:szCs w:val="18"/>
                      <w:highlight w:val="none"/>
                    </w:rPr>
                  </w:pPr>
                  <w:r>
                    <w:rPr>
                      <w:color w:val="auto"/>
                      <w:sz w:val="18"/>
                      <w:szCs w:val="18"/>
                      <w:highlight w:val="none"/>
                    </w:rPr>
                    <w:t>技术参数</w:t>
                  </w:r>
                </w:p>
              </w:tc>
              <w:tc>
                <w:tcPr>
                  <w:tcW w:w="755" w:type="pct"/>
                  <w:vAlign w:val="center"/>
                </w:tcPr>
                <w:p w14:paraId="384FD7C1">
                  <w:pPr>
                    <w:jc w:val="center"/>
                    <w:rPr>
                      <w:color w:val="auto"/>
                      <w:sz w:val="18"/>
                      <w:szCs w:val="18"/>
                      <w:highlight w:val="none"/>
                    </w:rPr>
                  </w:pPr>
                  <w:r>
                    <w:rPr>
                      <w:color w:val="auto"/>
                      <w:sz w:val="18"/>
                      <w:szCs w:val="18"/>
                      <w:highlight w:val="none"/>
                    </w:rPr>
                    <w:t>数量</w:t>
                  </w:r>
                </w:p>
              </w:tc>
              <w:tc>
                <w:tcPr>
                  <w:tcW w:w="620" w:type="pct"/>
                  <w:vAlign w:val="center"/>
                </w:tcPr>
                <w:p w14:paraId="053B4E8D">
                  <w:pPr>
                    <w:jc w:val="center"/>
                    <w:rPr>
                      <w:color w:val="auto"/>
                      <w:sz w:val="18"/>
                      <w:szCs w:val="18"/>
                      <w:highlight w:val="none"/>
                    </w:rPr>
                  </w:pPr>
                  <w:r>
                    <w:rPr>
                      <w:color w:val="auto"/>
                      <w:sz w:val="18"/>
                      <w:szCs w:val="18"/>
                      <w:highlight w:val="none"/>
                    </w:rPr>
                    <w:t>备注</w:t>
                  </w:r>
                </w:p>
              </w:tc>
            </w:tr>
            <w:tr w14:paraId="22730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000" w:type="pct"/>
                  <w:gridSpan w:val="5"/>
                  <w:vAlign w:val="center"/>
                </w:tcPr>
                <w:p w14:paraId="2735A8D6">
                  <w:pPr>
                    <w:jc w:val="center"/>
                    <w:rPr>
                      <w:color w:val="auto"/>
                      <w:sz w:val="18"/>
                      <w:szCs w:val="18"/>
                      <w:highlight w:val="none"/>
                    </w:rPr>
                  </w:pPr>
                  <w:r>
                    <w:rPr>
                      <w:rFonts w:hint="eastAsia"/>
                      <w:color w:val="auto"/>
                      <w:sz w:val="18"/>
                      <w:szCs w:val="18"/>
                      <w:highlight w:val="none"/>
                    </w:rPr>
                    <w:t>煤泥浮选生产线</w:t>
                  </w:r>
                </w:p>
              </w:tc>
            </w:tr>
            <w:tr w14:paraId="7B063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13" w:type="pct"/>
                  <w:vAlign w:val="center"/>
                </w:tcPr>
                <w:p w14:paraId="08454CDE">
                  <w:pPr>
                    <w:jc w:val="center"/>
                    <w:rPr>
                      <w:color w:val="auto"/>
                      <w:sz w:val="18"/>
                      <w:szCs w:val="18"/>
                      <w:highlight w:val="none"/>
                    </w:rPr>
                  </w:pPr>
                  <w:r>
                    <w:rPr>
                      <w:color w:val="auto"/>
                      <w:sz w:val="18"/>
                      <w:szCs w:val="18"/>
                      <w:highlight w:val="none"/>
                    </w:rPr>
                    <w:t>1</w:t>
                  </w:r>
                </w:p>
              </w:tc>
              <w:tc>
                <w:tcPr>
                  <w:tcW w:w="2021" w:type="pct"/>
                  <w:vAlign w:val="center"/>
                </w:tcPr>
                <w:p w14:paraId="3E79E0D8">
                  <w:pPr>
                    <w:jc w:val="center"/>
                    <w:rPr>
                      <w:color w:val="auto"/>
                      <w:sz w:val="18"/>
                      <w:szCs w:val="18"/>
                      <w:highlight w:val="none"/>
                    </w:rPr>
                  </w:pPr>
                  <w:r>
                    <w:rPr>
                      <w:rFonts w:hint="eastAsia"/>
                      <w:color w:val="auto"/>
                      <w:sz w:val="18"/>
                      <w:szCs w:val="18"/>
                      <w:highlight w:val="none"/>
                    </w:rPr>
                    <w:t>截粗筛</w:t>
                  </w:r>
                </w:p>
              </w:tc>
              <w:tc>
                <w:tcPr>
                  <w:tcW w:w="1090" w:type="pct"/>
                  <w:shd w:val="clear" w:color="auto" w:fill="auto"/>
                  <w:vAlign w:val="center"/>
                </w:tcPr>
                <w:p w14:paraId="54EE7590">
                  <w:pPr>
                    <w:jc w:val="center"/>
                    <w:rPr>
                      <w:color w:val="auto"/>
                      <w:sz w:val="18"/>
                      <w:szCs w:val="18"/>
                      <w:highlight w:val="none"/>
                    </w:rPr>
                  </w:pPr>
                  <w:r>
                    <w:rPr>
                      <w:rFonts w:hint="eastAsia"/>
                      <w:color w:val="auto"/>
                      <w:sz w:val="18"/>
                      <w:szCs w:val="18"/>
                      <w:highlight w:val="none"/>
                    </w:rPr>
                    <w:t>ZK1530</w:t>
                  </w:r>
                </w:p>
              </w:tc>
              <w:tc>
                <w:tcPr>
                  <w:tcW w:w="755" w:type="pct"/>
                  <w:vAlign w:val="center"/>
                </w:tcPr>
                <w:p w14:paraId="6A029544">
                  <w:pPr>
                    <w:jc w:val="center"/>
                    <w:rPr>
                      <w:color w:val="auto"/>
                      <w:sz w:val="18"/>
                      <w:szCs w:val="18"/>
                      <w:highlight w:val="none"/>
                    </w:rPr>
                  </w:pPr>
                  <w:r>
                    <w:rPr>
                      <w:rFonts w:hint="eastAsia"/>
                      <w:color w:val="auto"/>
                      <w:sz w:val="18"/>
                      <w:szCs w:val="18"/>
                      <w:highlight w:val="none"/>
                    </w:rPr>
                    <w:t>1台</w:t>
                  </w:r>
                </w:p>
              </w:tc>
              <w:tc>
                <w:tcPr>
                  <w:tcW w:w="620" w:type="pct"/>
                  <w:vMerge w:val="restart"/>
                  <w:vAlign w:val="center"/>
                </w:tcPr>
                <w:p w14:paraId="7A1CA5FB">
                  <w:pPr>
                    <w:jc w:val="center"/>
                    <w:rPr>
                      <w:color w:val="auto"/>
                      <w:sz w:val="18"/>
                      <w:szCs w:val="18"/>
                      <w:highlight w:val="none"/>
                    </w:rPr>
                  </w:pPr>
                  <w:r>
                    <w:rPr>
                      <w:rFonts w:hint="eastAsia"/>
                      <w:color w:val="auto"/>
                      <w:sz w:val="18"/>
                      <w:szCs w:val="18"/>
                      <w:highlight w:val="none"/>
                      <w:lang w:val="en-US" w:eastAsia="zh-CN"/>
                    </w:rPr>
                    <w:t>已建成</w:t>
                  </w:r>
                </w:p>
              </w:tc>
            </w:tr>
            <w:tr w14:paraId="122E7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13" w:type="pct"/>
                  <w:vAlign w:val="center"/>
                </w:tcPr>
                <w:p w14:paraId="63372689">
                  <w:pPr>
                    <w:jc w:val="center"/>
                    <w:rPr>
                      <w:color w:val="auto"/>
                      <w:sz w:val="18"/>
                      <w:szCs w:val="18"/>
                      <w:highlight w:val="none"/>
                    </w:rPr>
                  </w:pPr>
                  <w:r>
                    <w:rPr>
                      <w:rFonts w:hint="eastAsia"/>
                      <w:color w:val="auto"/>
                      <w:sz w:val="18"/>
                      <w:szCs w:val="18"/>
                      <w:highlight w:val="none"/>
                    </w:rPr>
                    <w:t>2</w:t>
                  </w:r>
                </w:p>
              </w:tc>
              <w:tc>
                <w:tcPr>
                  <w:tcW w:w="2021" w:type="pct"/>
                  <w:shd w:val="clear" w:color="auto" w:fill="auto"/>
                  <w:vAlign w:val="center"/>
                </w:tcPr>
                <w:p w14:paraId="17A52C6D">
                  <w:pPr>
                    <w:jc w:val="center"/>
                    <w:rPr>
                      <w:color w:val="auto"/>
                      <w:sz w:val="18"/>
                      <w:szCs w:val="18"/>
                      <w:highlight w:val="none"/>
                    </w:rPr>
                  </w:pPr>
                  <w:r>
                    <w:rPr>
                      <w:rFonts w:hint="eastAsia"/>
                      <w:color w:val="auto"/>
                      <w:sz w:val="18"/>
                      <w:szCs w:val="18"/>
                      <w:highlight w:val="none"/>
                    </w:rPr>
                    <w:t>脱泥筛</w:t>
                  </w:r>
                </w:p>
              </w:tc>
              <w:tc>
                <w:tcPr>
                  <w:tcW w:w="1090" w:type="pct"/>
                  <w:vAlign w:val="center"/>
                </w:tcPr>
                <w:p w14:paraId="506EC31C">
                  <w:pPr>
                    <w:jc w:val="center"/>
                    <w:rPr>
                      <w:color w:val="auto"/>
                      <w:sz w:val="18"/>
                      <w:szCs w:val="18"/>
                      <w:highlight w:val="none"/>
                    </w:rPr>
                  </w:pPr>
                  <w:r>
                    <w:rPr>
                      <w:rFonts w:hint="eastAsia"/>
                      <w:color w:val="auto"/>
                      <w:sz w:val="18"/>
                      <w:szCs w:val="18"/>
                      <w:highlight w:val="none"/>
                    </w:rPr>
                    <w:t>ZK2053</w:t>
                  </w:r>
                </w:p>
              </w:tc>
              <w:tc>
                <w:tcPr>
                  <w:tcW w:w="755" w:type="pct"/>
                  <w:vAlign w:val="center"/>
                </w:tcPr>
                <w:p w14:paraId="46607800">
                  <w:pPr>
                    <w:jc w:val="center"/>
                    <w:rPr>
                      <w:color w:val="auto"/>
                      <w:sz w:val="18"/>
                      <w:szCs w:val="18"/>
                      <w:highlight w:val="none"/>
                    </w:rPr>
                  </w:pPr>
                  <w:r>
                    <w:rPr>
                      <w:rFonts w:hint="eastAsia"/>
                      <w:color w:val="auto"/>
                      <w:sz w:val="18"/>
                      <w:szCs w:val="18"/>
                      <w:highlight w:val="none"/>
                    </w:rPr>
                    <w:t>5台</w:t>
                  </w:r>
                </w:p>
              </w:tc>
              <w:tc>
                <w:tcPr>
                  <w:tcW w:w="620" w:type="pct"/>
                  <w:vMerge w:val="continue"/>
                  <w:vAlign w:val="center"/>
                </w:tcPr>
                <w:p w14:paraId="19E897A5">
                  <w:pPr>
                    <w:jc w:val="center"/>
                    <w:rPr>
                      <w:color w:val="auto"/>
                      <w:sz w:val="18"/>
                      <w:szCs w:val="18"/>
                      <w:highlight w:val="none"/>
                    </w:rPr>
                  </w:pPr>
                </w:p>
              </w:tc>
            </w:tr>
            <w:tr w14:paraId="5F860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035033C6">
                  <w:pPr>
                    <w:jc w:val="center"/>
                    <w:rPr>
                      <w:color w:val="auto"/>
                      <w:sz w:val="18"/>
                      <w:szCs w:val="18"/>
                      <w:highlight w:val="none"/>
                    </w:rPr>
                  </w:pPr>
                  <w:r>
                    <w:rPr>
                      <w:rFonts w:hint="eastAsia"/>
                      <w:color w:val="auto"/>
                      <w:sz w:val="18"/>
                      <w:szCs w:val="18"/>
                      <w:highlight w:val="none"/>
                    </w:rPr>
                    <w:t>3</w:t>
                  </w:r>
                </w:p>
              </w:tc>
              <w:tc>
                <w:tcPr>
                  <w:tcW w:w="2021" w:type="pct"/>
                  <w:vAlign w:val="center"/>
                </w:tcPr>
                <w:p w14:paraId="3F427E20">
                  <w:pPr>
                    <w:jc w:val="center"/>
                    <w:rPr>
                      <w:color w:val="auto"/>
                      <w:sz w:val="18"/>
                      <w:szCs w:val="18"/>
                      <w:highlight w:val="none"/>
                    </w:rPr>
                  </w:pPr>
                  <w:r>
                    <w:rPr>
                      <w:rFonts w:hint="eastAsia"/>
                      <w:color w:val="auto"/>
                      <w:sz w:val="18"/>
                      <w:szCs w:val="18"/>
                      <w:highlight w:val="none"/>
                    </w:rPr>
                    <w:t>预处理器</w:t>
                  </w:r>
                </w:p>
              </w:tc>
              <w:tc>
                <w:tcPr>
                  <w:tcW w:w="1090" w:type="pct"/>
                  <w:vAlign w:val="center"/>
                </w:tcPr>
                <w:p w14:paraId="29C6E6DA">
                  <w:pPr>
                    <w:jc w:val="center"/>
                    <w:rPr>
                      <w:color w:val="auto"/>
                      <w:sz w:val="18"/>
                      <w:szCs w:val="18"/>
                      <w:highlight w:val="none"/>
                    </w:rPr>
                  </w:pPr>
                  <w:r>
                    <w:rPr>
                      <w:rFonts w:hint="eastAsia"/>
                      <w:color w:val="auto"/>
                      <w:sz w:val="18"/>
                      <w:szCs w:val="18"/>
                      <w:highlight w:val="none"/>
                    </w:rPr>
                    <w:t>/</w:t>
                  </w:r>
                </w:p>
              </w:tc>
              <w:tc>
                <w:tcPr>
                  <w:tcW w:w="755" w:type="pct"/>
                  <w:vAlign w:val="center"/>
                </w:tcPr>
                <w:p w14:paraId="1AF145F1">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4E8D9125">
                  <w:pPr>
                    <w:jc w:val="center"/>
                    <w:rPr>
                      <w:color w:val="auto"/>
                      <w:sz w:val="18"/>
                      <w:szCs w:val="18"/>
                      <w:highlight w:val="none"/>
                    </w:rPr>
                  </w:pPr>
                </w:p>
              </w:tc>
            </w:tr>
            <w:tr w14:paraId="567FB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05E849AD">
                  <w:pPr>
                    <w:jc w:val="center"/>
                    <w:rPr>
                      <w:color w:val="auto"/>
                      <w:sz w:val="18"/>
                      <w:szCs w:val="18"/>
                      <w:highlight w:val="none"/>
                    </w:rPr>
                  </w:pPr>
                  <w:r>
                    <w:rPr>
                      <w:rFonts w:hint="eastAsia"/>
                      <w:color w:val="auto"/>
                      <w:sz w:val="18"/>
                      <w:szCs w:val="18"/>
                      <w:highlight w:val="none"/>
                    </w:rPr>
                    <w:t>4</w:t>
                  </w:r>
                </w:p>
              </w:tc>
              <w:tc>
                <w:tcPr>
                  <w:tcW w:w="2021" w:type="pct"/>
                  <w:vAlign w:val="center"/>
                </w:tcPr>
                <w:p w14:paraId="06BA3A8C">
                  <w:pPr>
                    <w:jc w:val="center"/>
                    <w:rPr>
                      <w:color w:val="auto"/>
                      <w:sz w:val="18"/>
                      <w:szCs w:val="18"/>
                      <w:highlight w:val="none"/>
                    </w:rPr>
                  </w:pPr>
                  <w:r>
                    <w:rPr>
                      <w:rFonts w:hint="eastAsia"/>
                      <w:color w:val="auto"/>
                      <w:sz w:val="18"/>
                      <w:szCs w:val="18"/>
                      <w:highlight w:val="none"/>
                    </w:rPr>
                    <w:t>浮选机</w:t>
                  </w:r>
                </w:p>
              </w:tc>
              <w:tc>
                <w:tcPr>
                  <w:tcW w:w="1090" w:type="pct"/>
                  <w:vAlign w:val="center"/>
                </w:tcPr>
                <w:p w14:paraId="1C524553">
                  <w:pPr>
                    <w:jc w:val="center"/>
                    <w:rPr>
                      <w:color w:val="auto"/>
                      <w:sz w:val="18"/>
                      <w:szCs w:val="18"/>
                      <w:highlight w:val="none"/>
                    </w:rPr>
                  </w:pPr>
                  <w:r>
                    <w:rPr>
                      <w:rFonts w:hint="eastAsia"/>
                      <w:color w:val="auto"/>
                      <w:sz w:val="18"/>
                      <w:szCs w:val="18"/>
                      <w:highlight w:val="none"/>
                    </w:rPr>
                    <w:t>16m</w:t>
                  </w:r>
                  <w:r>
                    <w:rPr>
                      <w:rFonts w:hint="eastAsia"/>
                      <w:color w:val="auto"/>
                      <w:sz w:val="18"/>
                      <w:szCs w:val="18"/>
                      <w:highlight w:val="none"/>
                      <w:vertAlign w:val="superscript"/>
                    </w:rPr>
                    <w:t>3</w:t>
                  </w:r>
                  <w:r>
                    <w:rPr>
                      <w:rFonts w:hint="eastAsia"/>
                      <w:color w:val="auto"/>
                      <w:sz w:val="18"/>
                      <w:szCs w:val="18"/>
                      <w:highlight w:val="none"/>
                    </w:rPr>
                    <w:t>-4室</w:t>
                  </w:r>
                </w:p>
              </w:tc>
              <w:tc>
                <w:tcPr>
                  <w:tcW w:w="755" w:type="pct"/>
                  <w:vAlign w:val="center"/>
                </w:tcPr>
                <w:p w14:paraId="24846CD5">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658EAD97">
                  <w:pPr>
                    <w:jc w:val="center"/>
                    <w:rPr>
                      <w:color w:val="auto"/>
                      <w:sz w:val="18"/>
                      <w:szCs w:val="18"/>
                      <w:highlight w:val="none"/>
                    </w:rPr>
                  </w:pPr>
                </w:p>
              </w:tc>
            </w:tr>
            <w:tr w14:paraId="37181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B7AE6AB">
                  <w:pPr>
                    <w:jc w:val="center"/>
                    <w:rPr>
                      <w:color w:val="auto"/>
                      <w:sz w:val="18"/>
                      <w:szCs w:val="18"/>
                      <w:highlight w:val="none"/>
                    </w:rPr>
                  </w:pPr>
                  <w:r>
                    <w:rPr>
                      <w:rFonts w:hint="eastAsia"/>
                      <w:color w:val="auto"/>
                      <w:sz w:val="18"/>
                      <w:szCs w:val="18"/>
                      <w:highlight w:val="none"/>
                    </w:rPr>
                    <w:t>5</w:t>
                  </w:r>
                </w:p>
              </w:tc>
              <w:tc>
                <w:tcPr>
                  <w:tcW w:w="2021" w:type="pct"/>
                  <w:vAlign w:val="center"/>
                </w:tcPr>
                <w:p w14:paraId="54314DA8">
                  <w:pPr>
                    <w:jc w:val="center"/>
                    <w:rPr>
                      <w:color w:val="auto"/>
                      <w:sz w:val="18"/>
                      <w:szCs w:val="18"/>
                      <w:highlight w:val="none"/>
                    </w:rPr>
                  </w:pPr>
                  <w:r>
                    <w:rPr>
                      <w:rFonts w:hint="eastAsia"/>
                      <w:color w:val="auto"/>
                      <w:sz w:val="18"/>
                      <w:szCs w:val="18"/>
                      <w:highlight w:val="none"/>
                    </w:rPr>
                    <w:t>浮选机</w:t>
                  </w:r>
                </w:p>
              </w:tc>
              <w:tc>
                <w:tcPr>
                  <w:tcW w:w="1090" w:type="pct"/>
                  <w:vAlign w:val="center"/>
                </w:tcPr>
                <w:p w14:paraId="4C928A50">
                  <w:pPr>
                    <w:jc w:val="center"/>
                    <w:rPr>
                      <w:color w:val="auto"/>
                      <w:sz w:val="18"/>
                      <w:szCs w:val="18"/>
                      <w:highlight w:val="none"/>
                    </w:rPr>
                  </w:pPr>
                  <w:r>
                    <w:rPr>
                      <w:rFonts w:hint="eastAsia"/>
                      <w:color w:val="auto"/>
                      <w:sz w:val="18"/>
                      <w:szCs w:val="18"/>
                      <w:highlight w:val="none"/>
                    </w:rPr>
                    <w:t>8m</w:t>
                  </w:r>
                  <w:r>
                    <w:rPr>
                      <w:rFonts w:hint="eastAsia"/>
                      <w:color w:val="auto"/>
                      <w:sz w:val="18"/>
                      <w:szCs w:val="18"/>
                      <w:highlight w:val="none"/>
                      <w:vertAlign w:val="superscript"/>
                    </w:rPr>
                    <w:t>3</w:t>
                  </w:r>
                  <w:r>
                    <w:rPr>
                      <w:rFonts w:hint="eastAsia"/>
                      <w:color w:val="auto"/>
                      <w:sz w:val="18"/>
                      <w:szCs w:val="18"/>
                      <w:highlight w:val="none"/>
                    </w:rPr>
                    <w:t>-4室</w:t>
                  </w:r>
                </w:p>
              </w:tc>
              <w:tc>
                <w:tcPr>
                  <w:tcW w:w="755" w:type="pct"/>
                  <w:vAlign w:val="center"/>
                </w:tcPr>
                <w:p w14:paraId="50E1BF21">
                  <w:pPr>
                    <w:jc w:val="center"/>
                    <w:rPr>
                      <w:color w:val="auto"/>
                      <w:sz w:val="18"/>
                      <w:szCs w:val="18"/>
                      <w:highlight w:val="none"/>
                    </w:rPr>
                  </w:pPr>
                  <w:r>
                    <w:rPr>
                      <w:rFonts w:hint="eastAsia"/>
                      <w:color w:val="auto"/>
                      <w:sz w:val="18"/>
                      <w:szCs w:val="18"/>
                      <w:highlight w:val="none"/>
                    </w:rPr>
                    <w:t>2台</w:t>
                  </w:r>
                </w:p>
              </w:tc>
              <w:tc>
                <w:tcPr>
                  <w:tcW w:w="620" w:type="pct"/>
                  <w:vMerge w:val="continue"/>
                  <w:vAlign w:val="center"/>
                </w:tcPr>
                <w:p w14:paraId="383C5173">
                  <w:pPr>
                    <w:jc w:val="center"/>
                    <w:rPr>
                      <w:color w:val="auto"/>
                      <w:sz w:val="18"/>
                      <w:szCs w:val="18"/>
                      <w:highlight w:val="none"/>
                    </w:rPr>
                  </w:pPr>
                </w:p>
              </w:tc>
            </w:tr>
            <w:tr w14:paraId="6597F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513" w:type="pct"/>
                  <w:vAlign w:val="center"/>
                </w:tcPr>
                <w:p w14:paraId="459B730E">
                  <w:pPr>
                    <w:jc w:val="center"/>
                    <w:rPr>
                      <w:color w:val="auto"/>
                      <w:sz w:val="18"/>
                      <w:szCs w:val="18"/>
                      <w:highlight w:val="none"/>
                    </w:rPr>
                  </w:pPr>
                  <w:r>
                    <w:rPr>
                      <w:rFonts w:hint="eastAsia"/>
                      <w:color w:val="auto"/>
                      <w:sz w:val="18"/>
                      <w:szCs w:val="18"/>
                      <w:highlight w:val="none"/>
                    </w:rPr>
                    <w:t>6</w:t>
                  </w:r>
                </w:p>
              </w:tc>
              <w:tc>
                <w:tcPr>
                  <w:tcW w:w="2021" w:type="pct"/>
                  <w:vAlign w:val="center"/>
                </w:tcPr>
                <w:p w14:paraId="7D517206">
                  <w:pPr>
                    <w:jc w:val="center"/>
                    <w:rPr>
                      <w:color w:val="auto"/>
                      <w:sz w:val="18"/>
                      <w:szCs w:val="18"/>
                      <w:highlight w:val="none"/>
                    </w:rPr>
                  </w:pPr>
                  <w:r>
                    <w:rPr>
                      <w:rFonts w:hint="eastAsia"/>
                      <w:color w:val="auto"/>
                      <w:sz w:val="18"/>
                      <w:szCs w:val="18"/>
                      <w:highlight w:val="none"/>
                    </w:rPr>
                    <w:t>浮选机</w:t>
                  </w:r>
                </w:p>
              </w:tc>
              <w:tc>
                <w:tcPr>
                  <w:tcW w:w="1090" w:type="pct"/>
                  <w:vAlign w:val="center"/>
                </w:tcPr>
                <w:p w14:paraId="70C283A2">
                  <w:pPr>
                    <w:jc w:val="center"/>
                    <w:rPr>
                      <w:color w:val="auto"/>
                      <w:sz w:val="18"/>
                      <w:szCs w:val="18"/>
                      <w:highlight w:val="none"/>
                    </w:rPr>
                  </w:pPr>
                  <w:r>
                    <w:rPr>
                      <w:rFonts w:hint="eastAsia"/>
                      <w:color w:val="auto"/>
                      <w:sz w:val="18"/>
                      <w:szCs w:val="18"/>
                      <w:highlight w:val="none"/>
                    </w:rPr>
                    <w:t>16m</w:t>
                  </w:r>
                  <w:r>
                    <w:rPr>
                      <w:rFonts w:hint="eastAsia"/>
                      <w:color w:val="auto"/>
                      <w:sz w:val="18"/>
                      <w:szCs w:val="18"/>
                      <w:highlight w:val="none"/>
                      <w:vertAlign w:val="superscript"/>
                    </w:rPr>
                    <w:t>3</w:t>
                  </w:r>
                  <w:r>
                    <w:rPr>
                      <w:rFonts w:hint="eastAsia"/>
                      <w:color w:val="auto"/>
                      <w:sz w:val="18"/>
                      <w:szCs w:val="18"/>
                      <w:highlight w:val="none"/>
                    </w:rPr>
                    <w:t>-2室</w:t>
                  </w:r>
                </w:p>
              </w:tc>
              <w:tc>
                <w:tcPr>
                  <w:tcW w:w="755" w:type="pct"/>
                  <w:vAlign w:val="center"/>
                </w:tcPr>
                <w:p w14:paraId="5FD967E3">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7A4BDE7B">
                  <w:pPr>
                    <w:jc w:val="center"/>
                    <w:rPr>
                      <w:color w:val="auto"/>
                      <w:sz w:val="18"/>
                      <w:szCs w:val="18"/>
                      <w:highlight w:val="none"/>
                    </w:rPr>
                  </w:pPr>
                </w:p>
              </w:tc>
            </w:tr>
            <w:tr w14:paraId="6EACF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13" w:type="pct"/>
                  <w:vAlign w:val="center"/>
                </w:tcPr>
                <w:p w14:paraId="1A42A277">
                  <w:pPr>
                    <w:jc w:val="center"/>
                    <w:rPr>
                      <w:color w:val="auto"/>
                      <w:sz w:val="18"/>
                      <w:szCs w:val="18"/>
                      <w:highlight w:val="none"/>
                    </w:rPr>
                  </w:pPr>
                  <w:r>
                    <w:rPr>
                      <w:rFonts w:hint="eastAsia"/>
                      <w:color w:val="auto"/>
                      <w:sz w:val="18"/>
                      <w:szCs w:val="18"/>
                      <w:highlight w:val="none"/>
                    </w:rPr>
                    <w:t>7</w:t>
                  </w:r>
                </w:p>
              </w:tc>
              <w:tc>
                <w:tcPr>
                  <w:tcW w:w="2021" w:type="pct"/>
                  <w:vAlign w:val="center"/>
                </w:tcPr>
                <w:p w14:paraId="18B7B359">
                  <w:pPr>
                    <w:jc w:val="center"/>
                    <w:rPr>
                      <w:color w:val="auto"/>
                      <w:sz w:val="18"/>
                      <w:szCs w:val="18"/>
                      <w:highlight w:val="none"/>
                    </w:rPr>
                  </w:pPr>
                  <w:r>
                    <w:rPr>
                      <w:rFonts w:hint="eastAsia"/>
                      <w:color w:val="auto"/>
                      <w:sz w:val="18"/>
                      <w:szCs w:val="18"/>
                      <w:highlight w:val="none"/>
                    </w:rPr>
                    <w:t>中煤压滤机</w:t>
                  </w:r>
                </w:p>
              </w:tc>
              <w:tc>
                <w:tcPr>
                  <w:tcW w:w="1090" w:type="pct"/>
                  <w:vAlign w:val="center"/>
                </w:tcPr>
                <w:p w14:paraId="52A04449">
                  <w:pPr>
                    <w:jc w:val="center"/>
                    <w:rPr>
                      <w:color w:val="auto"/>
                      <w:sz w:val="18"/>
                      <w:szCs w:val="18"/>
                      <w:highlight w:val="none"/>
                    </w:rPr>
                  </w:pPr>
                  <w:r>
                    <w:rPr>
                      <w:rFonts w:hint="eastAsia"/>
                      <w:color w:val="auto"/>
                      <w:sz w:val="18"/>
                      <w:szCs w:val="18"/>
                      <w:highlight w:val="none"/>
                    </w:rPr>
                    <w:t>XMAZ200/1250-UK</w:t>
                  </w:r>
                </w:p>
              </w:tc>
              <w:tc>
                <w:tcPr>
                  <w:tcW w:w="755" w:type="pct"/>
                  <w:vAlign w:val="center"/>
                </w:tcPr>
                <w:p w14:paraId="055B794C">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1462255A">
                  <w:pPr>
                    <w:jc w:val="center"/>
                    <w:rPr>
                      <w:color w:val="auto"/>
                      <w:sz w:val="18"/>
                      <w:szCs w:val="18"/>
                      <w:highlight w:val="none"/>
                    </w:rPr>
                  </w:pPr>
                </w:p>
              </w:tc>
            </w:tr>
            <w:tr w14:paraId="738F3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13" w:type="pct"/>
                  <w:vAlign w:val="center"/>
                </w:tcPr>
                <w:p w14:paraId="1D7E8CE1">
                  <w:pPr>
                    <w:jc w:val="center"/>
                    <w:rPr>
                      <w:color w:val="auto"/>
                      <w:sz w:val="18"/>
                      <w:szCs w:val="18"/>
                      <w:highlight w:val="none"/>
                    </w:rPr>
                  </w:pPr>
                  <w:r>
                    <w:rPr>
                      <w:rFonts w:hint="eastAsia"/>
                      <w:color w:val="auto"/>
                      <w:sz w:val="18"/>
                      <w:szCs w:val="18"/>
                      <w:highlight w:val="none"/>
                    </w:rPr>
                    <w:t>8</w:t>
                  </w:r>
                </w:p>
              </w:tc>
              <w:tc>
                <w:tcPr>
                  <w:tcW w:w="2021" w:type="pct"/>
                  <w:vAlign w:val="center"/>
                </w:tcPr>
                <w:p w14:paraId="2A90C52B">
                  <w:pPr>
                    <w:jc w:val="center"/>
                    <w:rPr>
                      <w:color w:val="auto"/>
                      <w:sz w:val="18"/>
                      <w:szCs w:val="18"/>
                      <w:highlight w:val="none"/>
                    </w:rPr>
                  </w:pPr>
                  <w:r>
                    <w:rPr>
                      <w:rFonts w:hint="eastAsia"/>
                      <w:color w:val="auto"/>
                      <w:sz w:val="18"/>
                      <w:szCs w:val="18"/>
                      <w:highlight w:val="none"/>
                    </w:rPr>
                    <w:t>中煤压滤机</w:t>
                  </w:r>
                </w:p>
              </w:tc>
              <w:tc>
                <w:tcPr>
                  <w:tcW w:w="1090" w:type="pct"/>
                  <w:vAlign w:val="center"/>
                </w:tcPr>
                <w:p w14:paraId="42F5DCBD">
                  <w:pPr>
                    <w:jc w:val="center"/>
                    <w:rPr>
                      <w:color w:val="auto"/>
                      <w:sz w:val="18"/>
                      <w:szCs w:val="18"/>
                      <w:highlight w:val="none"/>
                    </w:rPr>
                  </w:pPr>
                  <w:r>
                    <w:rPr>
                      <w:rFonts w:hint="eastAsia"/>
                      <w:color w:val="auto"/>
                      <w:sz w:val="18"/>
                      <w:szCs w:val="18"/>
                      <w:highlight w:val="none"/>
                    </w:rPr>
                    <w:t>XMZG400/1500-U</w:t>
                  </w:r>
                </w:p>
              </w:tc>
              <w:tc>
                <w:tcPr>
                  <w:tcW w:w="755" w:type="pct"/>
                  <w:vAlign w:val="center"/>
                </w:tcPr>
                <w:p w14:paraId="1BBAABEF">
                  <w:pPr>
                    <w:jc w:val="center"/>
                    <w:rPr>
                      <w:color w:val="auto"/>
                      <w:sz w:val="18"/>
                      <w:szCs w:val="18"/>
                      <w:highlight w:val="none"/>
                    </w:rPr>
                  </w:pPr>
                  <w:r>
                    <w:rPr>
                      <w:rFonts w:hint="eastAsia"/>
                      <w:color w:val="auto"/>
                      <w:sz w:val="18"/>
                      <w:szCs w:val="18"/>
                      <w:highlight w:val="none"/>
                    </w:rPr>
                    <w:t>2台</w:t>
                  </w:r>
                </w:p>
              </w:tc>
              <w:tc>
                <w:tcPr>
                  <w:tcW w:w="620" w:type="pct"/>
                  <w:vMerge w:val="continue"/>
                  <w:vAlign w:val="center"/>
                </w:tcPr>
                <w:p w14:paraId="6DED971C">
                  <w:pPr>
                    <w:jc w:val="center"/>
                    <w:rPr>
                      <w:color w:val="auto"/>
                      <w:sz w:val="18"/>
                      <w:szCs w:val="18"/>
                      <w:highlight w:val="none"/>
                    </w:rPr>
                  </w:pPr>
                </w:p>
              </w:tc>
            </w:tr>
            <w:tr w14:paraId="0593E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13" w:type="pct"/>
                  <w:vAlign w:val="center"/>
                </w:tcPr>
                <w:p w14:paraId="08979700">
                  <w:pPr>
                    <w:jc w:val="center"/>
                    <w:rPr>
                      <w:color w:val="auto"/>
                      <w:sz w:val="18"/>
                      <w:szCs w:val="18"/>
                      <w:highlight w:val="none"/>
                    </w:rPr>
                  </w:pPr>
                  <w:r>
                    <w:rPr>
                      <w:rFonts w:hint="eastAsia"/>
                      <w:color w:val="auto"/>
                      <w:sz w:val="18"/>
                      <w:szCs w:val="18"/>
                      <w:highlight w:val="none"/>
                    </w:rPr>
                    <w:t>9</w:t>
                  </w:r>
                </w:p>
              </w:tc>
              <w:tc>
                <w:tcPr>
                  <w:tcW w:w="2021" w:type="pct"/>
                  <w:vAlign w:val="center"/>
                </w:tcPr>
                <w:p w14:paraId="4C4E4204">
                  <w:pPr>
                    <w:jc w:val="center"/>
                    <w:rPr>
                      <w:color w:val="auto"/>
                      <w:sz w:val="18"/>
                      <w:szCs w:val="18"/>
                      <w:highlight w:val="none"/>
                    </w:rPr>
                  </w:pPr>
                  <w:r>
                    <w:rPr>
                      <w:rFonts w:hint="eastAsia"/>
                      <w:color w:val="auto"/>
                      <w:sz w:val="18"/>
                      <w:szCs w:val="18"/>
                      <w:highlight w:val="none"/>
                    </w:rPr>
                    <w:t>尾矿压滤机</w:t>
                  </w:r>
                </w:p>
              </w:tc>
              <w:tc>
                <w:tcPr>
                  <w:tcW w:w="1090" w:type="pct"/>
                  <w:vAlign w:val="center"/>
                </w:tcPr>
                <w:p w14:paraId="1DFAA983">
                  <w:pPr>
                    <w:jc w:val="center"/>
                    <w:rPr>
                      <w:color w:val="auto"/>
                      <w:sz w:val="18"/>
                      <w:szCs w:val="18"/>
                      <w:highlight w:val="none"/>
                    </w:rPr>
                  </w:pPr>
                  <w:r>
                    <w:rPr>
                      <w:rFonts w:hint="eastAsia"/>
                      <w:color w:val="auto"/>
                      <w:sz w:val="18"/>
                      <w:szCs w:val="18"/>
                      <w:highlight w:val="none"/>
                    </w:rPr>
                    <w:t>XMZ500/1500-U</w:t>
                  </w:r>
                </w:p>
              </w:tc>
              <w:tc>
                <w:tcPr>
                  <w:tcW w:w="755" w:type="pct"/>
                  <w:vAlign w:val="center"/>
                </w:tcPr>
                <w:p w14:paraId="33BAA552">
                  <w:pPr>
                    <w:jc w:val="center"/>
                    <w:rPr>
                      <w:color w:val="auto"/>
                      <w:sz w:val="18"/>
                      <w:szCs w:val="18"/>
                      <w:highlight w:val="none"/>
                    </w:rPr>
                  </w:pPr>
                  <w:r>
                    <w:rPr>
                      <w:rFonts w:hint="eastAsia"/>
                      <w:color w:val="auto"/>
                      <w:sz w:val="18"/>
                      <w:szCs w:val="18"/>
                      <w:highlight w:val="none"/>
                    </w:rPr>
                    <w:t>3台</w:t>
                  </w:r>
                </w:p>
              </w:tc>
              <w:tc>
                <w:tcPr>
                  <w:tcW w:w="620" w:type="pct"/>
                  <w:vMerge w:val="continue"/>
                  <w:vAlign w:val="center"/>
                </w:tcPr>
                <w:p w14:paraId="016364A4">
                  <w:pPr>
                    <w:jc w:val="center"/>
                    <w:rPr>
                      <w:color w:val="auto"/>
                      <w:sz w:val="18"/>
                      <w:szCs w:val="18"/>
                      <w:highlight w:val="none"/>
                    </w:rPr>
                  </w:pPr>
                </w:p>
              </w:tc>
            </w:tr>
            <w:tr w14:paraId="5ECCA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98DF2D1">
                  <w:pPr>
                    <w:jc w:val="center"/>
                    <w:rPr>
                      <w:color w:val="auto"/>
                      <w:sz w:val="18"/>
                      <w:szCs w:val="18"/>
                      <w:highlight w:val="none"/>
                    </w:rPr>
                  </w:pPr>
                  <w:r>
                    <w:rPr>
                      <w:rFonts w:hint="eastAsia"/>
                      <w:color w:val="auto"/>
                      <w:sz w:val="18"/>
                      <w:szCs w:val="18"/>
                      <w:highlight w:val="none"/>
                    </w:rPr>
                    <w:t>10</w:t>
                  </w:r>
                </w:p>
              </w:tc>
              <w:tc>
                <w:tcPr>
                  <w:tcW w:w="2021" w:type="pct"/>
                  <w:vAlign w:val="center"/>
                </w:tcPr>
                <w:p w14:paraId="55A696D8">
                  <w:pPr>
                    <w:jc w:val="center"/>
                    <w:rPr>
                      <w:color w:val="auto"/>
                      <w:sz w:val="18"/>
                      <w:szCs w:val="18"/>
                      <w:highlight w:val="none"/>
                    </w:rPr>
                  </w:pPr>
                  <w:r>
                    <w:rPr>
                      <w:rFonts w:hint="eastAsia"/>
                      <w:color w:val="auto"/>
                      <w:sz w:val="18"/>
                      <w:szCs w:val="18"/>
                      <w:highlight w:val="none"/>
                    </w:rPr>
                    <w:t>浮选上料泵</w:t>
                  </w:r>
                </w:p>
              </w:tc>
              <w:tc>
                <w:tcPr>
                  <w:tcW w:w="1090" w:type="pct"/>
                  <w:vAlign w:val="center"/>
                </w:tcPr>
                <w:p w14:paraId="2459D4D6">
                  <w:pPr>
                    <w:jc w:val="center"/>
                    <w:rPr>
                      <w:color w:val="auto"/>
                      <w:sz w:val="18"/>
                      <w:szCs w:val="18"/>
                      <w:highlight w:val="none"/>
                    </w:rPr>
                  </w:pPr>
                  <w:r>
                    <w:rPr>
                      <w:rFonts w:hint="eastAsia"/>
                      <w:color w:val="auto"/>
                      <w:sz w:val="18"/>
                      <w:szCs w:val="18"/>
                      <w:highlight w:val="none"/>
                    </w:rPr>
                    <w:t>/</w:t>
                  </w:r>
                </w:p>
              </w:tc>
              <w:tc>
                <w:tcPr>
                  <w:tcW w:w="755" w:type="pct"/>
                  <w:vAlign w:val="center"/>
                </w:tcPr>
                <w:p w14:paraId="12B16AEE">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07002129">
                  <w:pPr>
                    <w:jc w:val="center"/>
                    <w:rPr>
                      <w:color w:val="auto"/>
                      <w:sz w:val="18"/>
                      <w:szCs w:val="18"/>
                      <w:highlight w:val="none"/>
                    </w:rPr>
                  </w:pPr>
                </w:p>
              </w:tc>
            </w:tr>
            <w:tr w14:paraId="2C454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400E0BA8">
                  <w:pPr>
                    <w:jc w:val="center"/>
                    <w:rPr>
                      <w:color w:val="auto"/>
                      <w:sz w:val="18"/>
                      <w:szCs w:val="18"/>
                      <w:highlight w:val="none"/>
                    </w:rPr>
                  </w:pPr>
                  <w:r>
                    <w:rPr>
                      <w:rFonts w:hint="eastAsia"/>
                      <w:color w:val="auto"/>
                      <w:sz w:val="18"/>
                      <w:szCs w:val="18"/>
                      <w:highlight w:val="none"/>
                    </w:rPr>
                    <w:t>11</w:t>
                  </w:r>
                </w:p>
              </w:tc>
              <w:tc>
                <w:tcPr>
                  <w:tcW w:w="2021" w:type="pct"/>
                  <w:vAlign w:val="center"/>
                </w:tcPr>
                <w:p w14:paraId="0880FBD6">
                  <w:pPr>
                    <w:jc w:val="center"/>
                    <w:rPr>
                      <w:color w:val="auto"/>
                      <w:sz w:val="18"/>
                      <w:szCs w:val="18"/>
                      <w:highlight w:val="none"/>
                    </w:rPr>
                  </w:pPr>
                  <w:r>
                    <w:rPr>
                      <w:rFonts w:hint="eastAsia"/>
                      <w:color w:val="auto"/>
                      <w:sz w:val="18"/>
                      <w:szCs w:val="18"/>
                      <w:highlight w:val="none"/>
                    </w:rPr>
                    <w:t>浮选压滤上料泵</w:t>
                  </w:r>
                </w:p>
              </w:tc>
              <w:tc>
                <w:tcPr>
                  <w:tcW w:w="1090" w:type="pct"/>
                  <w:vAlign w:val="center"/>
                </w:tcPr>
                <w:p w14:paraId="31DB8875">
                  <w:pPr>
                    <w:jc w:val="center"/>
                    <w:rPr>
                      <w:color w:val="auto"/>
                      <w:sz w:val="18"/>
                      <w:szCs w:val="18"/>
                      <w:highlight w:val="none"/>
                    </w:rPr>
                  </w:pPr>
                  <w:r>
                    <w:rPr>
                      <w:rFonts w:hint="eastAsia"/>
                      <w:color w:val="auto"/>
                      <w:sz w:val="18"/>
                      <w:szCs w:val="18"/>
                      <w:highlight w:val="none"/>
                    </w:rPr>
                    <w:t>/</w:t>
                  </w:r>
                </w:p>
              </w:tc>
              <w:tc>
                <w:tcPr>
                  <w:tcW w:w="755" w:type="pct"/>
                  <w:vAlign w:val="center"/>
                </w:tcPr>
                <w:p w14:paraId="17E25E0E">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3EFD7E03">
                  <w:pPr>
                    <w:jc w:val="center"/>
                    <w:rPr>
                      <w:color w:val="auto"/>
                      <w:sz w:val="18"/>
                      <w:szCs w:val="18"/>
                      <w:highlight w:val="none"/>
                    </w:rPr>
                  </w:pPr>
                </w:p>
              </w:tc>
            </w:tr>
            <w:tr w14:paraId="3CF16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241B7BEF">
                  <w:pPr>
                    <w:jc w:val="center"/>
                    <w:rPr>
                      <w:color w:val="auto"/>
                      <w:sz w:val="18"/>
                      <w:szCs w:val="18"/>
                      <w:highlight w:val="none"/>
                    </w:rPr>
                  </w:pPr>
                  <w:r>
                    <w:rPr>
                      <w:rFonts w:hint="eastAsia"/>
                      <w:color w:val="auto"/>
                      <w:sz w:val="18"/>
                      <w:szCs w:val="18"/>
                      <w:highlight w:val="none"/>
                    </w:rPr>
                    <w:t>12</w:t>
                  </w:r>
                </w:p>
              </w:tc>
              <w:tc>
                <w:tcPr>
                  <w:tcW w:w="2021" w:type="pct"/>
                  <w:vAlign w:val="center"/>
                </w:tcPr>
                <w:p w14:paraId="53D22637">
                  <w:pPr>
                    <w:jc w:val="center"/>
                    <w:rPr>
                      <w:color w:val="auto"/>
                      <w:sz w:val="18"/>
                      <w:szCs w:val="18"/>
                      <w:highlight w:val="none"/>
                    </w:rPr>
                  </w:pPr>
                  <w:r>
                    <w:rPr>
                      <w:rFonts w:hint="eastAsia"/>
                      <w:color w:val="auto"/>
                      <w:sz w:val="18"/>
                      <w:szCs w:val="18"/>
                      <w:highlight w:val="none"/>
                    </w:rPr>
                    <w:t>中煤压滤上料泵</w:t>
                  </w:r>
                </w:p>
              </w:tc>
              <w:tc>
                <w:tcPr>
                  <w:tcW w:w="1090" w:type="pct"/>
                  <w:vAlign w:val="center"/>
                </w:tcPr>
                <w:p w14:paraId="272643F6">
                  <w:pPr>
                    <w:jc w:val="center"/>
                    <w:rPr>
                      <w:color w:val="auto"/>
                      <w:sz w:val="18"/>
                      <w:szCs w:val="18"/>
                      <w:highlight w:val="none"/>
                    </w:rPr>
                  </w:pPr>
                  <w:r>
                    <w:rPr>
                      <w:rFonts w:hint="eastAsia"/>
                      <w:color w:val="auto"/>
                      <w:sz w:val="18"/>
                      <w:szCs w:val="18"/>
                      <w:highlight w:val="none"/>
                    </w:rPr>
                    <w:t>/</w:t>
                  </w:r>
                </w:p>
              </w:tc>
              <w:tc>
                <w:tcPr>
                  <w:tcW w:w="755" w:type="pct"/>
                  <w:vAlign w:val="center"/>
                </w:tcPr>
                <w:p w14:paraId="641EDFAC">
                  <w:pPr>
                    <w:jc w:val="center"/>
                    <w:rPr>
                      <w:color w:val="auto"/>
                      <w:sz w:val="18"/>
                      <w:szCs w:val="18"/>
                      <w:highlight w:val="none"/>
                    </w:rPr>
                  </w:pPr>
                  <w:r>
                    <w:rPr>
                      <w:rFonts w:hint="eastAsia"/>
                      <w:color w:val="auto"/>
                      <w:sz w:val="18"/>
                      <w:szCs w:val="18"/>
                      <w:highlight w:val="none"/>
                    </w:rPr>
                    <w:t>1台</w:t>
                  </w:r>
                </w:p>
              </w:tc>
              <w:tc>
                <w:tcPr>
                  <w:tcW w:w="620" w:type="pct"/>
                  <w:vMerge w:val="continue"/>
                  <w:vAlign w:val="center"/>
                </w:tcPr>
                <w:p w14:paraId="77B9581F">
                  <w:pPr>
                    <w:jc w:val="center"/>
                    <w:rPr>
                      <w:color w:val="auto"/>
                      <w:sz w:val="18"/>
                      <w:szCs w:val="18"/>
                      <w:highlight w:val="none"/>
                    </w:rPr>
                  </w:pPr>
                </w:p>
              </w:tc>
            </w:tr>
            <w:tr w14:paraId="3FEFD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0A907F8E">
                  <w:pPr>
                    <w:jc w:val="center"/>
                    <w:rPr>
                      <w:color w:val="auto"/>
                      <w:sz w:val="18"/>
                      <w:szCs w:val="18"/>
                      <w:highlight w:val="none"/>
                    </w:rPr>
                  </w:pPr>
                  <w:r>
                    <w:rPr>
                      <w:rFonts w:hint="eastAsia"/>
                      <w:color w:val="auto"/>
                      <w:sz w:val="18"/>
                      <w:szCs w:val="18"/>
                      <w:highlight w:val="none"/>
                    </w:rPr>
                    <w:t>13</w:t>
                  </w:r>
                </w:p>
              </w:tc>
              <w:tc>
                <w:tcPr>
                  <w:tcW w:w="2021" w:type="pct"/>
                  <w:vAlign w:val="center"/>
                </w:tcPr>
                <w:p w14:paraId="7DB78DED">
                  <w:pPr>
                    <w:jc w:val="center"/>
                    <w:rPr>
                      <w:color w:val="auto"/>
                      <w:sz w:val="18"/>
                      <w:szCs w:val="18"/>
                      <w:highlight w:val="none"/>
                    </w:rPr>
                  </w:pPr>
                  <w:r>
                    <w:rPr>
                      <w:rFonts w:hint="eastAsia"/>
                      <w:color w:val="auto"/>
                      <w:sz w:val="18"/>
                      <w:szCs w:val="18"/>
                      <w:highlight w:val="none"/>
                    </w:rPr>
                    <w:t>水泵</w:t>
                  </w:r>
                </w:p>
              </w:tc>
              <w:tc>
                <w:tcPr>
                  <w:tcW w:w="1090" w:type="pct"/>
                  <w:vAlign w:val="center"/>
                </w:tcPr>
                <w:p w14:paraId="6608C4E3">
                  <w:pPr>
                    <w:jc w:val="center"/>
                    <w:rPr>
                      <w:color w:val="auto"/>
                      <w:sz w:val="18"/>
                      <w:szCs w:val="18"/>
                      <w:highlight w:val="none"/>
                    </w:rPr>
                  </w:pPr>
                  <w:r>
                    <w:rPr>
                      <w:rFonts w:hint="eastAsia"/>
                      <w:color w:val="auto"/>
                      <w:sz w:val="18"/>
                      <w:szCs w:val="18"/>
                      <w:highlight w:val="none"/>
                    </w:rPr>
                    <w:t>/</w:t>
                  </w:r>
                </w:p>
              </w:tc>
              <w:tc>
                <w:tcPr>
                  <w:tcW w:w="755" w:type="pct"/>
                  <w:vAlign w:val="center"/>
                </w:tcPr>
                <w:p w14:paraId="79CE0534">
                  <w:pPr>
                    <w:jc w:val="center"/>
                    <w:rPr>
                      <w:color w:val="auto"/>
                      <w:sz w:val="18"/>
                      <w:szCs w:val="18"/>
                      <w:highlight w:val="none"/>
                    </w:rPr>
                  </w:pPr>
                  <w:r>
                    <w:rPr>
                      <w:rFonts w:hint="eastAsia"/>
                      <w:color w:val="auto"/>
                      <w:sz w:val="18"/>
                      <w:szCs w:val="18"/>
                      <w:highlight w:val="none"/>
                    </w:rPr>
                    <w:t>3台</w:t>
                  </w:r>
                </w:p>
              </w:tc>
              <w:tc>
                <w:tcPr>
                  <w:tcW w:w="620" w:type="pct"/>
                  <w:vMerge w:val="continue"/>
                  <w:vAlign w:val="center"/>
                </w:tcPr>
                <w:p w14:paraId="0D440CDE">
                  <w:pPr>
                    <w:jc w:val="center"/>
                    <w:rPr>
                      <w:color w:val="auto"/>
                      <w:sz w:val="18"/>
                      <w:szCs w:val="18"/>
                      <w:highlight w:val="none"/>
                    </w:rPr>
                  </w:pPr>
                </w:p>
              </w:tc>
            </w:tr>
            <w:tr w14:paraId="1C321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000" w:type="pct"/>
                  <w:gridSpan w:val="5"/>
                  <w:vAlign w:val="center"/>
                </w:tcPr>
                <w:p w14:paraId="646CD350">
                  <w:pPr>
                    <w:jc w:val="center"/>
                    <w:rPr>
                      <w:color w:val="auto"/>
                      <w:sz w:val="18"/>
                      <w:szCs w:val="18"/>
                      <w:highlight w:val="none"/>
                    </w:rPr>
                  </w:pPr>
                  <w:r>
                    <w:rPr>
                      <w:rStyle w:val="40"/>
                      <w:rFonts w:hint="eastAsia"/>
                      <w:color w:val="auto"/>
                      <w:sz w:val="18"/>
                      <w:szCs w:val="18"/>
                      <w:highlight w:val="none"/>
                    </w:rPr>
                    <w:t>人造土壤基质</w:t>
                  </w:r>
                  <w:r>
                    <w:rPr>
                      <w:rStyle w:val="40"/>
                      <w:color w:val="auto"/>
                      <w:sz w:val="18"/>
                      <w:szCs w:val="18"/>
                      <w:highlight w:val="none"/>
                    </w:rPr>
                    <w:t>生产线</w:t>
                  </w:r>
                </w:p>
              </w:tc>
            </w:tr>
            <w:tr w14:paraId="3BBF3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53C6B3A">
                  <w:pPr>
                    <w:widowControl/>
                    <w:jc w:val="center"/>
                    <w:textAlignment w:val="center"/>
                    <w:rPr>
                      <w:color w:val="auto"/>
                      <w:sz w:val="18"/>
                      <w:szCs w:val="18"/>
                      <w:highlight w:val="none"/>
                    </w:rPr>
                  </w:pPr>
                  <w:r>
                    <w:rPr>
                      <w:color w:val="auto"/>
                      <w:kern w:val="0"/>
                      <w:sz w:val="18"/>
                      <w:szCs w:val="18"/>
                      <w:highlight w:val="none"/>
                    </w:rPr>
                    <w:t>1</w:t>
                  </w:r>
                </w:p>
              </w:tc>
              <w:tc>
                <w:tcPr>
                  <w:tcW w:w="2021" w:type="pct"/>
                  <w:vAlign w:val="center"/>
                </w:tcPr>
                <w:p w14:paraId="2644DD54">
                  <w:pPr>
                    <w:widowControl/>
                    <w:jc w:val="center"/>
                    <w:rPr>
                      <w:color w:val="auto"/>
                      <w:sz w:val="18"/>
                      <w:szCs w:val="18"/>
                      <w:highlight w:val="none"/>
                    </w:rPr>
                  </w:pPr>
                  <w:r>
                    <w:rPr>
                      <w:color w:val="auto"/>
                      <w:kern w:val="0"/>
                      <w:sz w:val="18"/>
                      <w:szCs w:val="18"/>
                      <w:highlight w:val="none"/>
                    </w:rPr>
                    <w:t>搅拌主机</w:t>
                  </w:r>
                </w:p>
              </w:tc>
              <w:tc>
                <w:tcPr>
                  <w:tcW w:w="1090" w:type="pct"/>
                  <w:vAlign w:val="center"/>
                </w:tcPr>
                <w:p w14:paraId="5633416B">
                  <w:pPr>
                    <w:widowControl/>
                    <w:jc w:val="center"/>
                    <w:textAlignment w:val="center"/>
                    <w:rPr>
                      <w:color w:val="auto"/>
                      <w:sz w:val="18"/>
                      <w:szCs w:val="18"/>
                      <w:highlight w:val="none"/>
                    </w:rPr>
                  </w:pPr>
                  <w:r>
                    <w:rPr>
                      <w:color w:val="auto"/>
                      <w:sz w:val="18"/>
                      <w:szCs w:val="18"/>
                      <w:highlight w:val="none"/>
                    </w:rPr>
                    <w:t>WCZ600</w:t>
                  </w:r>
                </w:p>
              </w:tc>
              <w:tc>
                <w:tcPr>
                  <w:tcW w:w="755" w:type="pct"/>
                  <w:vAlign w:val="center"/>
                </w:tcPr>
                <w:p w14:paraId="441173C6">
                  <w:pPr>
                    <w:jc w:val="center"/>
                    <w:rPr>
                      <w:color w:val="auto"/>
                      <w:sz w:val="18"/>
                      <w:szCs w:val="18"/>
                      <w:highlight w:val="none"/>
                    </w:rPr>
                  </w:pPr>
                  <w:r>
                    <w:rPr>
                      <w:rStyle w:val="40"/>
                      <w:color w:val="auto"/>
                      <w:sz w:val="18"/>
                      <w:szCs w:val="18"/>
                      <w:highlight w:val="none"/>
                    </w:rPr>
                    <w:t>1套</w:t>
                  </w:r>
                </w:p>
              </w:tc>
              <w:tc>
                <w:tcPr>
                  <w:tcW w:w="620" w:type="pct"/>
                  <w:vAlign w:val="center"/>
                </w:tcPr>
                <w:p w14:paraId="52B7D044">
                  <w:pPr>
                    <w:widowControl/>
                    <w:jc w:val="center"/>
                    <w:textAlignment w:val="center"/>
                    <w:rPr>
                      <w:color w:val="auto"/>
                      <w:sz w:val="18"/>
                      <w:szCs w:val="18"/>
                      <w:highlight w:val="none"/>
                    </w:rPr>
                  </w:pPr>
                  <w:r>
                    <w:rPr>
                      <w:color w:val="auto"/>
                      <w:kern w:val="0"/>
                      <w:sz w:val="18"/>
                      <w:szCs w:val="18"/>
                      <w:highlight w:val="none"/>
                    </w:rPr>
                    <w:t>/</w:t>
                  </w:r>
                </w:p>
              </w:tc>
            </w:tr>
            <w:tr w14:paraId="0862B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2AC33FA1">
                  <w:pPr>
                    <w:widowControl/>
                    <w:jc w:val="center"/>
                    <w:textAlignment w:val="center"/>
                    <w:rPr>
                      <w:color w:val="auto"/>
                      <w:sz w:val="18"/>
                      <w:szCs w:val="18"/>
                      <w:highlight w:val="none"/>
                    </w:rPr>
                  </w:pPr>
                  <w:r>
                    <w:rPr>
                      <w:color w:val="auto"/>
                      <w:kern w:val="0"/>
                      <w:sz w:val="18"/>
                      <w:szCs w:val="18"/>
                      <w:highlight w:val="none"/>
                    </w:rPr>
                    <w:t>2</w:t>
                  </w:r>
                </w:p>
              </w:tc>
              <w:tc>
                <w:tcPr>
                  <w:tcW w:w="2021" w:type="pct"/>
                  <w:vAlign w:val="center"/>
                </w:tcPr>
                <w:p w14:paraId="53077905">
                  <w:pPr>
                    <w:jc w:val="center"/>
                    <w:rPr>
                      <w:color w:val="auto"/>
                      <w:sz w:val="18"/>
                      <w:szCs w:val="18"/>
                      <w:highlight w:val="none"/>
                    </w:rPr>
                  </w:pPr>
                  <w:r>
                    <w:rPr>
                      <w:color w:val="auto"/>
                      <w:sz w:val="18"/>
                      <w:szCs w:val="18"/>
                      <w:highlight w:val="none"/>
                    </w:rPr>
                    <w:t>骨料配料系统</w:t>
                  </w:r>
                </w:p>
              </w:tc>
              <w:tc>
                <w:tcPr>
                  <w:tcW w:w="1090" w:type="pct"/>
                  <w:vAlign w:val="center"/>
                </w:tcPr>
                <w:p w14:paraId="2FF9A119">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685EE1C1">
                  <w:pPr>
                    <w:jc w:val="center"/>
                    <w:rPr>
                      <w:color w:val="auto"/>
                      <w:sz w:val="18"/>
                      <w:szCs w:val="18"/>
                      <w:highlight w:val="none"/>
                    </w:rPr>
                  </w:pPr>
                  <w:r>
                    <w:rPr>
                      <w:rStyle w:val="40"/>
                      <w:color w:val="auto"/>
                      <w:sz w:val="18"/>
                      <w:szCs w:val="18"/>
                      <w:highlight w:val="none"/>
                    </w:rPr>
                    <w:t>1套</w:t>
                  </w:r>
                </w:p>
              </w:tc>
              <w:tc>
                <w:tcPr>
                  <w:tcW w:w="620" w:type="pct"/>
                  <w:vAlign w:val="center"/>
                </w:tcPr>
                <w:p w14:paraId="57C0AD3B">
                  <w:pPr>
                    <w:widowControl/>
                    <w:jc w:val="center"/>
                    <w:textAlignment w:val="center"/>
                    <w:rPr>
                      <w:color w:val="auto"/>
                      <w:sz w:val="18"/>
                      <w:szCs w:val="18"/>
                      <w:highlight w:val="none"/>
                    </w:rPr>
                  </w:pPr>
                  <w:r>
                    <w:rPr>
                      <w:color w:val="auto"/>
                      <w:kern w:val="0"/>
                      <w:sz w:val="18"/>
                      <w:szCs w:val="18"/>
                      <w:highlight w:val="none"/>
                    </w:rPr>
                    <w:t>/</w:t>
                  </w:r>
                </w:p>
              </w:tc>
            </w:tr>
            <w:tr w14:paraId="72747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65132A3E">
                  <w:pPr>
                    <w:widowControl/>
                    <w:jc w:val="center"/>
                    <w:textAlignment w:val="center"/>
                    <w:rPr>
                      <w:color w:val="auto"/>
                      <w:sz w:val="18"/>
                      <w:szCs w:val="18"/>
                      <w:highlight w:val="none"/>
                    </w:rPr>
                  </w:pPr>
                  <w:r>
                    <w:rPr>
                      <w:color w:val="auto"/>
                      <w:kern w:val="0"/>
                      <w:sz w:val="18"/>
                      <w:szCs w:val="18"/>
                      <w:highlight w:val="none"/>
                    </w:rPr>
                    <w:t>3</w:t>
                  </w:r>
                </w:p>
              </w:tc>
              <w:tc>
                <w:tcPr>
                  <w:tcW w:w="2021" w:type="pct"/>
                  <w:vAlign w:val="center"/>
                </w:tcPr>
                <w:p w14:paraId="57716F69">
                  <w:pPr>
                    <w:jc w:val="center"/>
                    <w:rPr>
                      <w:color w:val="auto"/>
                      <w:sz w:val="18"/>
                      <w:szCs w:val="18"/>
                      <w:highlight w:val="none"/>
                    </w:rPr>
                  </w:pPr>
                  <w:r>
                    <w:rPr>
                      <w:color w:val="auto"/>
                      <w:sz w:val="18"/>
                      <w:szCs w:val="18"/>
                      <w:highlight w:val="none"/>
                    </w:rPr>
                    <w:t>粉料供给系统</w:t>
                  </w:r>
                </w:p>
              </w:tc>
              <w:tc>
                <w:tcPr>
                  <w:tcW w:w="1090" w:type="pct"/>
                  <w:vAlign w:val="center"/>
                </w:tcPr>
                <w:p w14:paraId="1EF867FB">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4C4DF769">
                  <w:pPr>
                    <w:jc w:val="center"/>
                    <w:rPr>
                      <w:color w:val="auto"/>
                      <w:sz w:val="18"/>
                      <w:szCs w:val="18"/>
                      <w:highlight w:val="none"/>
                    </w:rPr>
                  </w:pPr>
                  <w:r>
                    <w:rPr>
                      <w:rStyle w:val="40"/>
                      <w:color w:val="auto"/>
                      <w:sz w:val="18"/>
                      <w:szCs w:val="18"/>
                      <w:highlight w:val="none"/>
                    </w:rPr>
                    <w:t>1套</w:t>
                  </w:r>
                </w:p>
              </w:tc>
              <w:tc>
                <w:tcPr>
                  <w:tcW w:w="620" w:type="pct"/>
                  <w:vAlign w:val="center"/>
                </w:tcPr>
                <w:p w14:paraId="30937AE8">
                  <w:pPr>
                    <w:widowControl/>
                    <w:jc w:val="center"/>
                    <w:textAlignment w:val="center"/>
                    <w:rPr>
                      <w:color w:val="auto"/>
                      <w:sz w:val="18"/>
                      <w:szCs w:val="18"/>
                      <w:highlight w:val="none"/>
                    </w:rPr>
                  </w:pPr>
                  <w:r>
                    <w:rPr>
                      <w:color w:val="auto"/>
                      <w:kern w:val="0"/>
                      <w:sz w:val="18"/>
                      <w:szCs w:val="18"/>
                      <w:highlight w:val="none"/>
                    </w:rPr>
                    <w:t>/</w:t>
                  </w:r>
                </w:p>
              </w:tc>
            </w:tr>
            <w:tr w14:paraId="1EF7A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636B2783">
                  <w:pPr>
                    <w:widowControl/>
                    <w:jc w:val="center"/>
                    <w:textAlignment w:val="center"/>
                    <w:rPr>
                      <w:color w:val="auto"/>
                      <w:sz w:val="18"/>
                      <w:szCs w:val="18"/>
                      <w:highlight w:val="none"/>
                    </w:rPr>
                  </w:pPr>
                  <w:r>
                    <w:rPr>
                      <w:color w:val="auto"/>
                      <w:kern w:val="0"/>
                      <w:sz w:val="18"/>
                      <w:szCs w:val="18"/>
                      <w:highlight w:val="none"/>
                    </w:rPr>
                    <w:t>4</w:t>
                  </w:r>
                </w:p>
              </w:tc>
              <w:tc>
                <w:tcPr>
                  <w:tcW w:w="2021" w:type="pct"/>
                  <w:vAlign w:val="center"/>
                </w:tcPr>
                <w:p w14:paraId="519EB4E2">
                  <w:pPr>
                    <w:widowControl/>
                    <w:jc w:val="center"/>
                    <w:rPr>
                      <w:color w:val="auto"/>
                      <w:sz w:val="18"/>
                      <w:szCs w:val="18"/>
                      <w:highlight w:val="none"/>
                    </w:rPr>
                  </w:pPr>
                  <w:r>
                    <w:rPr>
                      <w:color w:val="auto"/>
                      <w:sz w:val="18"/>
                      <w:szCs w:val="18"/>
                      <w:highlight w:val="none"/>
                    </w:rPr>
                    <w:t>操作室</w:t>
                  </w:r>
                </w:p>
              </w:tc>
              <w:tc>
                <w:tcPr>
                  <w:tcW w:w="1090" w:type="pct"/>
                  <w:vAlign w:val="center"/>
                </w:tcPr>
                <w:p w14:paraId="644A5726">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2C021765">
                  <w:pPr>
                    <w:jc w:val="center"/>
                    <w:rPr>
                      <w:color w:val="auto"/>
                      <w:sz w:val="18"/>
                      <w:szCs w:val="18"/>
                      <w:highlight w:val="none"/>
                    </w:rPr>
                  </w:pPr>
                  <w:r>
                    <w:rPr>
                      <w:rStyle w:val="40"/>
                      <w:color w:val="auto"/>
                      <w:sz w:val="18"/>
                      <w:szCs w:val="18"/>
                      <w:highlight w:val="none"/>
                    </w:rPr>
                    <w:t>1套</w:t>
                  </w:r>
                </w:p>
              </w:tc>
              <w:tc>
                <w:tcPr>
                  <w:tcW w:w="620" w:type="pct"/>
                  <w:vAlign w:val="center"/>
                </w:tcPr>
                <w:p w14:paraId="05345DF2">
                  <w:pPr>
                    <w:widowControl/>
                    <w:jc w:val="center"/>
                    <w:textAlignment w:val="center"/>
                    <w:rPr>
                      <w:color w:val="auto"/>
                      <w:sz w:val="18"/>
                      <w:szCs w:val="18"/>
                      <w:highlight w:val="none"/>
                    </w:rPr>
                  </w:pPr>
                  <w:r>
                    <w:rPr>
                      <w:color w:val="auto"/>
                      <w:kern w:val="0"/>
                      <w:sz w:val="18"/>
                      <w:szCs w:val="18"/>
                      <w:highlight w:val="none"/>
                    </w:rPr>
                    <w:t>/</w:t>
                  </w:r>
                </w:p>
              </w:tc>
            </w:tr>
            <w:tr w14:paraId="7B169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58B1EFC8">
                  <w:pPr>
                    <w:widowControl/>
                    <w:jc w:val="center"/>
                    <w:textAlignment w:val="center"/>
                    <w:rPr>
                      <w:color w:val="auto"/>
                      <w:sz w:val="18"/>
                      <w:szCs w:val="18"/>
                      <w:highlight w:val="none"/>
                    </w:rPr>
                  </w:pPr>
                  <w:r>
                    <w:rPr>
                      <w:color w:val="auto"/>
                      <w:kern w:val="0"/>
                      <w:sz w:val="18"/>
                      <w:szCs w:val="18"/>
                      <w:highlight w:val="none"/>
                    </w:rPr>
                    <w:t>5</w:t>
                  </w:r>
                </w:p>
              </w:tc>
              <w:tc>
                <w:tcPr>
                  <w:tcW w:w="2021" w:type="pct"/>
                  <w:vAlign w:val="center"/>
                </w:tcPr>
                <w:p w14:paraId="6A6DCF9F">
                  <w:pPr>
                    <w:widowControl/>
                    <w:jc w:val="center"/>
                    <w:rPr>
                      <w:color w:val="auto"/>
                      <w:sz w:val="18"/>
                      <w:szCs w:val="18"/>
                      <w:highlight w:val="none"/>
                    </w:rPr>
                  </w:pPr>
                  <w:r>
                    <w:rPr>
                      <w:color w:val="auto"/>
                      <w:sz w:val="18"/>
                      <w:szCs w:val="18"/>
                      <w:highlight w:val="none"/>
                    </w:rPr>
                    <w:t>供水系统</w:t>
                  </w:r>
                </w:p>
              </w:tc>
              <w:tc>
                <w:tcPr>
                  <w:tcW w:w="1090" w:type="pct"/>
                  <w:vAlign w:val="center"/>
                </w:tcPr>
                <w:p w14:paraId="010EE135">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2F521252">
                  <w:pPr>
                    <w:jc w:val="center"/>
                    <w:rPr>
                      <w:color w:val="auto"/>
                      <w:sz w:val="18"/>
                      <w:szCs w:val="18"/>
                      <w:highlight w:val="none"/>
                    </w:rPr>
                  </w:pPr>
                  <w:r>
                    <w:rPr>
                      <w:rStyle w:val="40"/>
                      <w:color w:val="auto"/>
                      <w:sz w:val="18"/>
                      <w:szCs w:val="18"/>
                      <w:highlight w:val="none"/>
                    </w:rPr>
                    <w:t>1套</w:t>
                  </w:r>
                </w:p>
              </w:tc>
              <w:tc>
                <w:tcPr>
                  <w:tcW w:w="620" w:type="pct"/>
                  <w:vAlign w:val="center"/>
                </w:tcPr>
                <w:p w14:paraId="494498B8">
                  <w:pPr>
                    <w:widowControl/>
                    <w:jc w:val="center"/>
                    <w:textAlignment w:val="center"/>
                    <w:rPr>
                      <w:color w:val="auto"/>
                      <w:sz w:val="18"/>
                      <w:szCs w:val="18"/>
                      <w:highlight w:val="none"/>
                    </w:rPr>
                  </w:pPr>
                  <w:r>
                    <w:rPr>
                      <w:color w:val="auto"/>
                      <w:kern w:val="0"/>
                      <w:sz w:val="18"/>
                      <w:szCs w:val="18"/>
                      <w:highlight w:val="none"/>
                    </w:rPr>
                    <w:t>/</w:t>
                  </w:r>
                </w:p>
              </w:tc>
            </w:tr>
            <w:tr w14:paraId="1AC36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645340F">
                  <w:pPr>
                    <w:widowControl/>
                    <w:jc w:val="center"/>
                    <w:textAlignment w:val="center"/>
                    <w:rPr>
                      <w:color w:val="auto"/>
                      <w:sz w:val="18"/>
                      <w:szCs w:val="18"/>
                      <w:highlight w:val="none"/>
                    </w:rPr>
                  </w:pPr>
                  <w:r>
                    <w:rPr>
                      <w:color w:val="auto"/>
                      <w:kern w:val="0"/>
                      <w:sz w:val="18"/>
                      <w:szCs w:val="18"/>
                      <w:highlight w:val="none"/>
                    </w:rPr>
                    <w:t>6</w:t>
                  </w:r>
                </w:p>
              </w:tc>
              <w:tc>
                <w:tcPr>
                  <w:tcW w:w="2021" w:type="pct"/>
                  <w:vAlign w:val="center"/>
                </w:tcPr>
                <w:p w14:paraId="0FB44F1F">
                  <w:pPr>
                    <w:widowControl/>
                    <w:jc w:val="center"/>
                    <w:rPr>
                      <w:color w:val="auto"/>
                      <w:sz w:val="18"/>
                      <w:szCs w:val="18"/>
                      <w:highlight w:val="none"/>
                    </w:rPr>
                  </w:pPr>
                  <w:r>
                    <w:rPr>
                      <w:color w:val="auto"/>
                      <w:sz w:val="18"/>
                      <w:szCs w:val="18"/>
                      <w:highlight w:val="none"/>
                    </w:rPr>
                    <w:t>搅拌装置</w:t>
                  </w:r>
                </w:p>
              </w:tc>
              <w:tc>
                <w:tcPr>
                  <w:tcW w:w="1090" w:type="pct"/>
                  <w:vAlign w:val="center"/>
                </w:tcPr>
                <w:p w14:paraId="45D3AD30">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7169E3FF">
                  <w:pPr>
                    <w:jc w:val="center"/>
                    <w:rPr>
                      <w:color w:val="auto"/>
                      <w:sz w:val="18"/>
                      <w:szCs w:val="18"/>
                      <w:highlight w:val="none"/>
                    </w:rPr>
                  </w:pPr>
                  <w:r>
                    <w:rPr>
                      <w:rStyle w:val="40"/>
                      <w:color w:val="auto"/>
                      <w:sz w:val="18"/>
                      <w:szCs w:val="18"/>
                      <w:highlight w:val="none"/>
                    </w:rPr>
                    <w:t>1套</w:t>
                  </w:r>
                </w:p>
              </w:tc>
              <w:tc>
                <w:tcPr>
                  <w:tcW w:w="620" w:type="pct"/>
                  <w:vAlign w:val="center"/>
                </w:tcPr>
                <w:p w14:paraId="02734FBE">
                  <w:pPr>
                    <w:widowControl/>
                    <w:jc w:val="center"/>
                    <w:textAlignment w:val="center"/>
                    <w:rPr>
                      <w:color w:val="auto"/>
                      <w:sz w:val="18"/>
                      <w:szCs w:val="18"/>
                      <w:highlight w:val="none"/>
                    </w:rPr>
                  </w:pPr>
                  <w:r>
                    <w:rPr>
                      <w:color w:val="auto"/>
                      <w:kern w:val="0"/>
                      <w:sz w:val="18"/>
                      <w:szCs w:val="18"/>
                      <w:highlight w:val="none"/>
                    </w:rPr>
                    <w:t>/</w:t>
                  </w:r>
                </w:p>
              </w:tc>
            </w:tr>
            <w:tr w14:paraId="69165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64A77B0A">
                  <w:pPr>
                    <w:widowControl/>
                    <w:jc w:val="center"/>
                    <w:textAlignment w:val="center"/>
                    <w:rPr>
                      <w:color w:val="auto"/>
                      <w:sz w:val="18"/>
                      <w:szCs w:val="18"/>
                      <w:highlight w:val="none"/>
                    </w:rPr>
                  </w:pPr>
                  <w:r>
                    <w:rPr>
                      <w:color w:val="auto"/>
                      <w:kern w:val="0"/>
                      <w:sz w:val="18"/>
                      <w:szCs w:val="18"/>
                      <w:highlight w:val="none"/>
                    </w:rPr>
                    <w:t>7</w:t>
                  </w:r>
                </w:p>
              </w:tc>
              <w:tc>
                <w:tcPr>
                  <w:tcW w:w="2021" w:type="pct"/>
                  <w:vAlign w:val="center"/>
                </w:tcPr>
                <w:p w14:paraId="64CB7F8A">
                  <w:pPr>
                    <w:widowControl/>
                    <w:jc w:val="center"/>
                    <w:rPr>
                      <w:color w:val="auto"/>
                      <w:sz w:val="18"/>
                      <w:szCs w:val="18"/>
                      <w:highlight w:val="none"/>
                    </w:rPr>
                  </w:pPr>
                  <w:r>
                    <w:rPr>
                      <w:color w:val="auto"/>
                      <w:sz w:val="18"/>
                      <w:szCs w:val="18"/>
                      <w:highlight w:val="none"/>
                    </w:rPr>
                    <w:t>储料装置</w:t>
                  </w:r>
                </w:p>
              </w:tc>
              <w:tc>
                <w:tcPr>
                  <w:tcW w:w="1090" w:type="pct"/>
                  <w:vAlign w:val="center"/>
                </w:tcPr>
                <w:p w14:paraId="0F39F25E">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76F564E0">
                  <w:pPr>
                    <w:jc w:val="center"/>
                    <w:rPr>
                      <w:color w:val="auto"/>
                      <w:sz w:val="18"/>
                      <w:szCs w:val="18"/>
                      <w:highlight w:val="none"/>
                    </w:rPr>
                  </w:pPr>
                  <w:r>
                    <w:rPr>
                      <w:rStyle w:val="40"/>
                      <w:color w:val="auto"/>
                      <w:sz w:val="18"/>
                      <w:szCs w:val="18"/>
                      <w:highlight w:val="none"/>
                    </w:rPr>
                    <w:t>1套</w:t>
                  </w:r>
                </w:p>
              </w:tc>
              <w:tc>
                <w:tcPr>
                  <w:tcW w:w="620" w:type="pct"/>
                  <w:vAlign w:val="center"/>
                </w:tcPr>
                <w:p w14:paraId="09267C95">
                  <w:pPr>
                    <w:widowControl/>
                    <w:jc w:val="center"/>
                    <w:textAlignment w:val="center"/>
                    <w:rPr>
                      <w:color w:val="auto"/>
                      <w:sz w:val="18"/>
                      <w:szCs w:val="18"/>
                      <w:highlight w:val="none"/>
                    </w:rPr>
                  </w:pPr>
                  <w:r>
                    <w:rPr>
                      <w:color w:val="auto"/>
                      <w:kern w:val="0"/>
                      <w:sz w:val="18"/>
                      <w:szCs w:val="18"/>
                      <w:highlight w:val="none"/>
                    </w:rPr>
                    <w:t>/</w:t>
                  </w:r>
                </w:p>
              </w:tc>
            </w:tr>
            <w:tr w14:paraId="22671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930C6AF">
                  <w:pPr>
                    <w:widowControl/>
                    <w:jc w:val="center"/>
                    <w:textAlignment w:val="center"/>
                    <w:rPr>
                      <w:color w:val="auto"/>
                      <w:sz w:val="18"/>
                      <w:szCs w:val="18"/>
                      <w:highlight w:val="none"/>
                    </w:rPr>
                  </w:pPr>
                  <w:r>
                    <w:rPr>
                      <w:color w:val="auto"/>
                      <w:kern w:val="0"/>
                      <w:sz w:val="18"/>
                      <w:szCs w:val="18"/>
                      <w:highlight w:val="none"/>
                    </w:rPr>
                    <w:t>8</w:t>
                  </w:r>
                </w:p>
              </w:tc>
              <w:tc>
                <w:tcPr>
                  <w:tcW w:w="2021" w:type="pct"/>
                  <w:vAlign w:val="center"/>
                </w:tcPr>
                <w:p w14:paraId="77B915C7">
                  <w:pPr>
                    <w:widowControl/>
                    <w:jc w:val="center"/>
                    <w:rPr>
                      <w:color w:val="auto"/>
                      <w:sz w:val="18"/>
                      <w:szCs w:val="18"/>
                      <w:highlight w:val="none"/>
                    </w:rPr>
                  </w:pPr>
                  <w:r>
                    <w:rPr>
                      <w:color w:val="auto"/>
                      <w:sz w:val="18"/>
                      <w:szCs w:val="18"/>
                      <w:highlight w:val="none"/>
                    </w:rPr>
                    <w:t>气路系统</w:t>
                  </w:r>
                </w:p>
              </w:tc>
              <w:tc>
                <w:tcPr>
                  <w:tcW w:w="1090" w:type="pct"/>
                  <w:vAlign w:val="center"/>
                </w:tcPr>
                <w:p w14:paraId="504940C5">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7384FD60">
                  <w:pPr>
                    <w:jc w:val="center"/>
                    <w:rPr>
                      <w:color w:val="auto"/>
                      <w:sz w:val="18"/>
                      <w:szCs w:val="18"/>
                      <w:highlight w:val="none"/>
                    </w:rPr>
                  </w:pPr>
                  <w:r>
                    <w:rPr>
                      <w:rStyle w:val="40"/>
                      <w:color w:val="auto"/>
                      <w:sz w:val="18"/>
                      <w:szCs w:val="18"/>
                      <w:highlight w:val="none"/>
                    </w:rPr>
                    <w:t>1套</w:t>
                  </w:r>
                </w:p>
              </w:tc>
              <w:tc>
                <w:tcPr>
                  <w:tcW w:w="620" w:type="pct"/>
                  <w:vAlign w:val="center"/>
                </w:tcPr>
                <w:p w14:paraId="7FB57A22">
                  <w:pPr>
                    <w:widowControl/>
                    <w:jc w:val="center"/>
                    <w:textAlignment w:val="center"/>
                    <w:rPr>
                      <w:color w:val="auto"/>
                      <w:sz w:val="18"/>
                      <w:szCs w:val="18"/>
                      <w:highlight w:val="none"/>
                    </w:rPr>
                  </w:pPr>
                  <w:r>
                    <w:rPr>
                      <w:color w:val="auto"/>
                      <w:kern w:val="0"/>
                      <w:sz w:val="18"/>
                      <w:szCs w:val="18"/>
                      <w:highlight w:val="none"/>
                    </w:rPr>
                    <w:t>/</w:t>
                  </w:r>
                </w:p>
              </w:tc>
            </w:tr>
            <w:tr w14:paraId="05151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6D92B56A">
                  <w:pPr>
                    <w:widowControl/>
                    <w:jc w:val="center"/>
                    <w:textAlignment w:val="center"/>
                    <w:rPr>
                      <w:color w:val="auto"/>
                      <w:sz w:val="18"/>
                      <w:szCs w:val="18"/>
                      <w:highlight w:val="none"/>
                    </w:rPr>
                  </w:pPr>
                  <w:r>
                    <w:rPr>
                      <w:color w:val="auto"/>
                      <w:kern w:val="0"/>
                      <w:sz w:val="18"/>
                      <w:szCs w:val="18"/>
                      <w:highlight w:val="none"/>
                    </w:rPr>
                    <w:t>9</w:t>
                  </w:r>
                </w:p>
              </w:tc>
              <w:tc>
                <w:tcPr>
                  <w:tcW w:w="2021" w:type="pct"/>
                  <w:vAlign w:val="center"/>
                </w:tcPr>
                <w:p w14:paraId="43DF7FA6">
                  <w:pPr>
                    <w:widowControl/>
                    <w:jc w:val="center"/>
                    <w:rPr>
                      <w:color w:val="auto"/>
                      <w:sz w:val="18"/>
                      <w:szCs w:val="18"/>
                      <w:highlight w:val="none"/>
                    </w:rPr>
                  </w:pPr>
                  <w:r>
                    <w:rPr>
                      <w:color w:val="auto"/>
                      <w:sz w:val="18"/>
                      <w:szCs w:val="18"/>
                      <w:highlight w:val="none"/>
                    </w:rPr>
                    <w:t>电控系统</w:t>
                  </w:r>
                </w:p>
              </w:tc>
              <w:tc>
                <w:tcPr>
                  <w:tcW w:w="1090" w:type="pct"/>
                  <w:vAlign w:val="center"/>
                </w:tcPr>
                <w:p w14:paraId="6B95573F">
                  <w:pPr>
                    <w:widowControl/>
                    <w:jc w:val="center"/>
                    <w:textAlignment w:val="center"/>
                    <w:rPr>
                      <w:color w:val="auto"/>
                      <w:sz w:val="18"/>
                      <w:szCs w:val="18"/>
                      <w:highlight w:val="none"/>
                    </w:rPr>
                  </w:pPr>
                  <w:r>
                    <w:rPr>
                      <w:color w:val="auto"/>
                      <w:kern w:val="0"/>
                      <w:sz w:val="18"/>
                      <w:szCs w:val="18"/>
                      <w:highlight w:val="none"/>
                    </w:rPr>
                    <w:t>/</w:t>
                  </w:r>
                </w:p>
              </w:tc>
              <w:tc>
                <w:tcPr>
                  <w:tcW w:w="755" w:type="pct"/>
                  <w:vAlign w:val="center"/>
                </w:tcPr>
                <w:p w14:paraId="25428B8C">
                  <w:pPr>
                    <w:jc w:val="center"/>
                    <w:rPr>
                      <w:color w:val="auto"/>
                      <w:sz w:val="18"/>
                      <w:szCs w:val="18"/>
                      <w:highlight w:val="none"/>
                    </w:rPr>
                  </w:pPr>
                  <w:r>
                    <w:rPr>
                      <w:rStyle w:val="40"/>
                      <w:color w:val="auto"/>
                      <w:sz w:val="18"/>
                      <w:szCs w:val="18"/>
                      <w:highlight w:val="none"/>
                    </w:rPr>
                    <w:t>1套</w:t>
                  </w:r>
                </w:p>
              </w:tc>
              <w:tc>
                <w:tcPr>
                  <w:tcW w:w="620" w:type="pct"/>
                  <w:vAlign w:val="center"/>
                </w:tcPr>
                <w:p w14:paraId="2A5E1C00">
                  <w:pPr>
                    <w:widowControl/>
                    <w:jc w:val="center"/>
                    <w:textAlignment w:val="center"/>
                    <w:rPr>
                      <w:color w:val="auto"/>
                      <w:sz w:val="18"/>
                      <w:szCs w:val="18"/>
                      <w:highlight w:val="none"/>
                    </w:rPr>
                  </w:pPr>
                  <w:r>
                    <w:rPr>
                      <w:color w:val="auto"/>
                      <w:kern w:val="0"/>
                      <w:sz w:val="18"/>
                      <w:szCs w:val="18"/>
                      <w:highlight w:val="none"/>
                    </w:rPr>
                    <w:t>/</w:t>
                  </w:r>
                </w:p>
              </w:tc>
            </w:tr>
            <w:tr w14:paraId="23E15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000" w:type="pct"/>
                  <w:gridSpan w:val="5"/>
                  <w:vAlign w:val="center"/>
                </w:tcPr>
                <w:p w14:paraId="714E7CE2">
                  <w:pPr>
                    <w:jc w:val="center"/>
                    <w:rPr>
                      <w:color w:val="auto"/>
                      <w:kern w:val="0"/>
                      <w:sz w:val="18"/>
                      <w:szCs w:val="18"/>
                      <w:highlight w:val="none"/>
                    </w:rPr>
                  </w:pPr>
                  <w:r>
                    <w:rPr>
                      <w:rFonts w:hint="eastAsia"/>
                      <w:color w:val="auto"/>
                      <w:sz w:val="18"/>
                      <w:szCs w:val="18"/>
                      <w:highlight w:val="none"/>
                    </w:rPr>
                    <w:t>秸秆粉碎生产线</w:t>
                  </w:r>
                </w:p>
              </w:tc>
            </w:tr>
            <w:tr w14:paraId="19BE4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55B72DE9">
                  <w:pPr>
                    <w:jc w:val="center"/>
                    <w:rPr>
                      <w:color w:val="auto"/>
                      <w:kern w:val="0"/>
                      <w:sz w:val="18"/>
                      <w:szCs w:val="18"/>
                      <w:highlight w:val="none"/>
                    </w:rPr>
                  </w:pPr>
                  <w:r>
                    <w:rPr>
                      <w:rFonts w:hint="eastAsia"/>
                      <w:color w:val="auto"/>
                      <w:sz w:val="18"/>
                      <w:szCs w:val="18"/>
                      <w:highlight w:val="none"/>
                    </w:rPr>
                    <w:t>1</w:t>
                  </w:r>
                </w:p>
              </w:tc>
              <w:tc>
                <w:tcPr>
                  <w:tcW w:w="2021" w:type="pct"/>
                  <w:vAlign w:val="center"/>
                </w:tcPr>
                <w:p w14:paraId="305472CA">
                  <w:pPr>
                    <w:jc w:val="center"/>
                    <w:rPr>
                      <w:color w:val="auto"/>
                      <w:sz w:val="18"/>
                      <w:szCs w:val="18"/>
                      <w:highlight w:val="none"/>
                    </w:rPr>
                  </w:pPr>
                  <w:r>
                    <w:rPr>
                      <w:rFonts w:hint="eastAsia"/>
                      <w:color w:val="auto"/>
                      <w:sz w:val="18"/>
                      <w:szCs w:val="18"/>
                      <w:highlight w:val="none"/>
                    </w:rPr>
                    <w:t>圆盘粉碎机</w:t>
                  </w:r>
                </w:p>
              </w:tc>
              <w:tc>
                <w:tcPr>
                  <w:tcW w:w="1090" w:type="pct"/>
                  <w:vAlign w:val="center"/>
                </w:tcPr>
                <w:p w14:paraId="73BBDE9E">
                  <w:pPr>
                    <w:jc w:val="center"/>
                    <w:rPr>
                      <w:color w:val="auto"/>
                      <w:kern w:val="0"/>
                      <w:sz w:val="18"/>
                      <w:szCs w:val="18"/>
                      <w:highlight w:val="none"/>
                    </w:rPr>
                  </w:pPr>
                  <w:r>
                    <w:rPr>
                      <w:rFonts w:hint="eastAsia"/>
                      <w:color w:val="auto"/>
                      <w:sz w:val="18"/>
                      <w:szCs w:val="18"/>
                      <w:highlight w:val="none"/>
                    </w:rPr>
                    <w:t>/</w:t>
                  </w:r>
                </w:p>
              </w:tc>
              <w:tc>
                <w:tcPr>
                  <w:tcW w:w="755" w:type="pct"/>
                  <w:vAlign w:val="center"/>
                </w:tcPr>
                <w:p w14:paraId="2059B0C2">
                  <w:pPr>
                    <w:jc w:val="center"/>
                    <w:rPr>
                      <w:rStyle w:val="40"/>
                      <w:color w:val="auto"/>
                      <w:sz w:val="18"/>
                      <w:szCs w:val="18"/>
                      <w:highlight w:val="none"/>
                    </w:rPr>
                  </w:pPr>
                  <w:r>
                    <w:rPr>
                      <w:rFonts w:hint="eastAsia"/>
                      <w:color w:val="auto"/>
                      <w:sz w:val="18"/>
                      <w:szCs w:val="18"/>
                      <w:highlight w:val="none"/>
                    </w:rPr>
                    <w:t>1台</w:t>
                  </w:r>
                </w:p>
              </w:tc>
              <w:tc>
                <w:tcPr>
                  <w:tcW w:w="620" w:type="pct"/>
                  <w:vAlign w:val="center"/>
                </w:tcPr>
                <w:p w14:paraId="08E005E2">
                  <w:pPr>
                    <w:adjustRightInd w:val="0"/>
                    <w:snapToGrid w:val="0"/>
                    <w:jc w:val="center"/>
                    <w:rPr>
                      <w:color w:val="auto"/>
                      <w:kern w:val="0"/>
                      <w:sz w:val="18"/>
                      <w:szCs w:val="18"/>
                      <w:highlight w:val="none"/>
                    </w:rPr>
                  </w:pPr>
                  <w:r>
                    <w:rPr>
                      <w:rFonts w:hint="eastAsia"/>
                      <w:color w:val="auto"/>
                      <w:sz w:val="18"/>
                      <w:szCs w:val="18"/>
                      <w:highlight w:val="none"/>
                    </w:rPr>
                    <w:t>用于秸秆粉碎，设置在破碎车间内</w:t>
                  </w:r>
                </w:p>
              </w:tc>
            </w:tr>
            <w:tr w14:paraId="1AE48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Align w:val="center"/>
                </w:tcPr>
                <w:p w14:paraId="77412F06">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2021" w:type="pct"/>
                  <w:vAlign w:val="center"/>
                </w:tcPr>
                <w:p w14:paraId="67A3021E">
                  <w:pPr>
                    <w:jc w:val="center"/>
                    <w:rPr>
                      <w:rFonts w:hint="eastAsia" w:eastAsia="宋体"/>
                      <w:color w:val="auto"/>
                      <w:sz w:val="18"/>
                      <w:szCs w:val="18"/>
                      <w:highlight w:val="none"/>
                      <w:lang w:eastAsia="zh-CN"/>
                    </w:rPr>
                  </w:pPr>
                  <w:r>
                    <w:rPr>
                      <w:rFonts w:hint="eastAsia"/>
                      <w:color w:val="auto"/>
                      <w:sz w:val="18"/>
                      <w:szCs w:val="18"/>
                      <w:highlight w:val="none"/>
                      <w:lang w:eastAsia="zh-CN"/>
                    </w:rPr>
                    <w:t>布袋除尘器</w:t>
                  </w:r>
                </w:p>
              </w:tc>
              <w:tc>
                <w:tcPr>
                  <w:tcW w:w="1090" w:type="pct"/>
                  <w:vAlign w:val="center"/>
                </w:tcPr>
                <w:p w14:paraId="33CFF00E">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w:t>
                  </w:r>
                </w:p>
              </w:tc>
              <w:tc>
                <w:tcPr>
                  <w:tcW w:w="755" w:type="pct"/>
                  <w:vAlign w:val="center"/>
                </w:tcPr>
                <w:p w14:paraId="514E9A1D">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1台</w:t>
                  </w:r>
                </w:p>
              </w:tc>
              <w:tc>
                <w:tcPr>
                  <w:tcW w:w="620" w:type="pct"/>
                  <w:vAlign w:val="center"/>
                </w:tcPr>
                <w:p w14:paraId="4F32CD16">
                  <w:pPr>
                    <w:adjustRightInd w:val="0"/>
                    <w:snapToGrid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r>
          </w:tbl>
          <w:p w14:paraId="13854423">
            <w:pPr>
              <w:adjustRightInd w:val="0"/>
              <w:snapToGrid w:val="0"/>
              <w:spacing w:line="360" w:lineRule="auto"/>
              <w:rPr>
                <w:b/>
                <w:bCs/>
                <w:color w:val="auto"/>
                <w:szCs w:val="21"/>
                <w:highlight w:val="none"/>
              </w:rPr>
            </w:pPr>
            <w:r>
              <w:rPr>
                <w:rFonts w:hint="eastAsia"/>
                <w:b/>
                <w:bCs/>
                <w:color w:val="auto"/>
                <w:szCs w:val="21"/>
                <w:highlight w:val="none"/>
              </w:rPr>
              <w:t>4、产品方案</w:t>
            </w:r>
          </w:p>
          <w:p w14:paraId="3BED745B">
            <w:pPr>
              <w:adjustRightInd w:val="0"/>
              <w:snapToGrid w:val="0"/>
              <w:spacing w:line="360" w:lineRule="auto"/>
              <w:ind w:firstLine="420" w:firstLineChars="200"/>
              <w:rPr>
                <w:color w:val="auto"/>
                <w:szCs w:val="21"/>
                <w:highlight w:val="none"/>
              </w:rPr>
            </w:pPr>
            <w:r>
              <w:rPr>
                <w:rFonts w:hint="eastAsia"/>
                <w:color w:val="auto"/>
                <w:szCs w:val="21"/>
                <w:highlight w:val="none"/>
              </w:rPr>
              <w:t>本项目产品方案见表2-3。</w:t>
            </w:r>
          </w:p>
          <w:p w14:paraId="2AA68CA2">
            <w:pPr>
              <w:adjustRightInd w:val="0"/>
              <w:snapToGrid w:val="0"/>
              <w:jc w:val="center"/>
              <w:rPr>
                <w:b/>
                <w:bCs/>
                <w:color w:val="auto"/>
                <w:szCs w:val="21"/>
                <w:highlight w:val="none"/>
              </w:rPr>
            </w:pPr>
            <w:r>
              <w:rPr>
                <w:rFonts w:hint="eastAsia"/>
                <w:b/>
                <w:bCs/>
                <w:color w:val="auto"/>
                <w:szCs w:val="21"/>
                <w:highlight w:val="none"/>
              </w:rPr>
              <w:t>表2-3产品方案一览表</w:t>
            </w:r>
          </w:p>
          <w:tbl>
            <w:tblPr>
              <w:tblStyle w:val="23"/>
              <w:tblW w:w="80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693"/>
              <w:gridCol w:w="1509"/>
              <w:gridCol w:w="1634"/>
              <w:gridCol w:w="1237"/>
              <w:gridCol w:w="1238"/>
            </w:tblGrid>
            <w:tr w14:paraId="744E7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87" w:type="dxa"/>
                  <w:vMerge w:val="restart"/>
                  <w:tcBorders>
                    <w:tl2br w:val="nil"/>
                    <w:tr2bl w:val="nil"/>
                  </w:tcBorders>
                  <w:vAlign w:val="center"/>
                </w:tcPr>
                <w:p w14:paraId="113A70EC">
                  <w:pPr>
                    <w:adjustRightInd w:val="0"/>
                    <w:snapToGrid w:val="0"/>
                    <w:jc w:val="center"/>
                    <w:rPr>
                      <w:color w:val="auto"/>
                      <w:sz w:val="18"/>
                      <w:szCs w:val="18"/>
                      <w:highlight w:val="none"/>
                    </w:rPr>
                  </w:pPr>
                  <w:r>
                    <w:rPr>
                      <w:rFonts w:hint="eastAsia"/>
                      <w:color w:val="auto"/>
                      <w:sz w:val="18"/>
                      <w:szCs w:val="18"/>
                      <w:highlight w:val="none"/>
                    </w:rPr>
                    <w:t>序号</w:t>
                  </w:r>
                </w:p>
              </w:tc>
              <w:tc>
                <w:tcPr>
                  <w:tcW w:w="1693" w:type="dxa"/>
                  <w:vMerge w:val="restart"/>
                  <w:tcBorders>
                    <w:tl2br w:val="nil"/>
                    <w:tr2bl w:val="nil"/>
                  </w:tcBorders>
                  <w:vAlign w:val="center"/>
                </w:tcPr>
                <w:p w14:paraId="562077EE">
                  <w:pPr>
                    <w:adjustRightInd w:val="0"/>
                    <w:snapToGrid w:val="0"/>
                    <w:jc w:val="center"/>
                    <w:rPr>
                      <w:color w:val="auto"/>
                      <w:sz w:val="18"/>
                      <w:szCs w:val="18"/>
                      <w:highlight w:val="none"/>
                    </w:rPr>
                  </w:pPr>
                  <w:r>
                    <w:rPr>
                      <w:rFonts w:hint="eastAsia"/>
                      <w:color w:val="auto"/>
                      <w:sz w:val="18"/>
                      <w:szCs w:val="18"/>
                      <w:highlight w:val="none"/>
                    </w:rPr>
                    <w:t>产品方案</w:t>
                  </w:r>
                </w:p>
              </w:tc>
              <w:tc>
                <w:tcPr>
                  <w:tcW w:w="1509" w:type="dxa"/>
                  <w:vMerge w:val="restart"/>
                  <w:tcBorders>
                    <w:tl2br w:val="nil"/>
                    <w:tr2bl w:val="nil"/>
                  </w:tcBorders>
                  <w:vAlign w:val="center"/>
                </w:tcPr>
                <w:p w14:paraId="40106B6C">
                  <w:pPr>
                    <w:adjustRightInd w:val="0"/>
                    <w:snapToGrid w:val="0"/>
                    <w:jc w:val="center"/>
                    <w:rPr>
                      <w:color w:val="auto"/>
                      <w:sz w:val="18"/>
                      <w:szCs w:val="18"/>
                      <w:highlight w:val="none"/>
                    </w:rPr>
                  </w:pPr>
                  <w:r>
                    <w:rPr>
                      <w:rFonts w:hint="eastAsia"/>
                      <w:color w:val="auto"/>
                      <w:sz w:val="18"/>
                      <w:szCs w:val="18"/>
                      <w:highlight w:val="none"/>
                    </w:rPr>
                    <w:t>规格（粒径/长*宽*高）</w:t>
                  </w:r>
                </w:p>
              </w:tc>
              <w:tc>
                <w:tcPr>
                  <w:tcW w:w="1634" w:type="dxa"/>
                  <w:tcBorders>
                    <w:tl2br w:val="nil"/>
                    <w:tr2bl w:val="nil"/>
                  </w:tcBorders>
                  <w:shd w:val="clear" w:color="auto" w:fill="auto"/>
                  <w:vAlign w:val="center"/>
                </w:tcPr>
                <w:p w14:paraId="3F90438D">
                  <w:pPr>
                    <w:adjustRightInd w:val="0"/>
                    <w:snapToGrid w:val="0"/>
                    <w:jc w:val="center"/>
                    <w:rPr>
                      <w:color w:val="auto"/>
                      <w:sz w:val="18"/>
                      <w:szCs w:val="18"/>
                      <w:highlight w:val="none"/>
                    </w:rPr>
                  </w:pPr>
                  <w:r>
                    <w:rPr>
                      <w:rFonts w:hint="eastAsia"/>
                      <w:color w:val="auto"/>
                      <w:sz w:val="18"/>
                      <w:szCs w:val="18"/>
                      <w:highlight w:val="none"/>
                    </w:rPr>
                    <w:t>原有年产量</w:t>
                  </w:r>
                </w:p>
              </w:tc>
              <w:tc>
                <w:tcPr>
                  <w:tcW w:w="1237" w:type="dxa"/>
                  <w:tcBorders>
                    <w:tl2br w:val="nil"/>
                    <w:tr2bl w:val="nil"/>
                  </w:tcBorders>
                  <w:vAlign w:val="center"/>
                </w:tcPr>
                <w:p w14:paraId="1A57A42D">
                  <w:pPr>
                    <w:adjustRightInd w:val="0"/>
                    <w:snapToGrid w:val="0"/>
                    <w:jc w:val="center"/>
                    <w:rPr>
                      <w:color w:val="auto"/>
                      <w:sz w:val="18"/>
                      <w:szCs w:val="18"/>
                      <w:highlight w:val="none"/>
                    </w:rPr>
                  </w:pPr>
                  <w:r>
                    <w:rPr>
                      <w:rFonts w:hint="eastAsia"/>
                      <w:color w:val="auto"/>
                      <w:sz w:val="18"/>
                      <w:szCs w:val="18"/>
                      <w:highlight w:val="none"/>
                    </w:rPr>
                    <w:t>新增年产量</w:t>
                  </w:r>
                </w:p>
              </w:tc>
              <w:tc>
                <w:tcPr>
                  <w:tcW w:w="1238" w:type="dxa"/>
                  <w:tcBorders>
                    <w:tl2br w:val="nil"/>
                    <w:tr2bl w:val="nil"/>
                  </w:tcBorders>
                  <w:vAlign w:val="center"/>
                </w:tcPr>
                <w:p w14:paraId="024959E8">
                  <w:pPr>
                    <w:adjustRightInd w:val="0"/>
                    <w:snapToGrid w:val="0"/>
                    <w:jc w:val="center"/>
                    <w:rPr>
                      <w:color w:val="auto"/>
                      <w:sz w:val="18"/>
                      <w:szCs w:val="18"/>
                      <w:highlight w:val="none"/>
                    </w:rPr>
                  </w:pPr>
                  <w:r>
                    <w:rPr>
                      <w:rFonts w:hint="eastAsia"/>
                      <w:color w:val="auto"/>
                      <w:sz w:val="18"/>
                      <w:szCs w:val="18"/>
                      <w:highlight w:val="none"/>
                    </w:rPr>
                    <w:t>扩建后总年产量</w:t>
                  </w:r>
                </w:p>
              </w:tc>
            </w:tr>
            <w:tr w14:paraId="19B2E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787" w:type="dxa"/>
                  <w:vMerge w:val="continue"/>
                  <w:tcBorders>
                    <w:tl2br w:val="nil"/>
                    <w:tr2bl w:val="nil"/>
                  </w:tcBorders>
                  <w:vAlign w:val="center"/>
                </w:tcPr>
                <w:p w14:paraId="3C44A9C8">
                  <w:pPr>
                    <w:adjustRightInd w:val="0"/>
                    <w:snapToGrid w:val="0"/>
                    <w:jc w:val="center"/>
                    <w:rPr>
                      <w:color w:val="auto"/>
                      <w:sz w:val="18"/>
                      <w:szCs w:val="18"/>
                      <w:highlight w:val="none"/>
                    </w:rPr>
                  </w:pPr>
                </w:p>
              </w:tc>
              <w:tc>
                <w:tcPr>
                  <w:tcW w:w="1693" w:type="dxa"/>
                  <w:vMerge w:val="continue"/>
                  <w:tcBorders>
                    <w:tl2br w:val="nil"/>
                    <w:tr2bl w:val="nil"/>
                  </w:tcBorders>
                  <w:vAlign w:val="center"/>
                </w:tcPr>
                <w:p w14:paraId="51B2DDC3">
                  <w:pPr>
                    <w:adjustRightInd w:val="0"/>
                    <w:snapToGrid w:val="0"/>
                    <w:jc w:val="center"/>
                    <w:rPr>
                      <w:color w:val="auto"/>
                      <w:sz w:val="18"/>
                      <w:szCs w:val="18"/>
                      <w:highlight w:val="none"/>
                    </w:rPr>
                  </w:pPr>
                </w:p>
              </w:tc>
              <w:tc>
                <w:tcPr>
                  <w:tcW w:w="1509" w:type="dxa"/>
                  <w:vMerge w:val="continue"/>
                  <w:tcBorders>
                    <w:tl2br w:val="nil"/>
                    <w:tr2bl w:val="nil"/>
                  </w:tcBorders>
                  <w:vAlign w:val="center"/>
                </w:tcPr>
                <w:p w14:paraId="05C24B14">
                  <w:pPr>
                    <w:adjustRightInd w:val="0"/>
                    <w:snapToGrid w:val="0"/>
                    <w:jc w:val="center"/>
                    <w:rPr>
                      <w:color w:val="auto"/>
                      <w:sz w:val="18"/>
                      <w:szCs w:val="18"/>
                      <w:highlight w:val="none"/>
                    </w:rPr>
                  </w:pPr>
                </w:p>
              </w:tc>
              <w:tc>
                <w:tcPr>
                  <w:tcW w:w="1634" w:type="dxa"/>
                  <w:tcBorders>
                    <w:tl2br w:val="nil"/>
                    <w:tr2bl w:val="nil"/>
                  </w:tcBorders>
                  <w:shd w:val="clear" w:color="auto" w:fill="auto"/>
                  <w:vAlign w:val="center"/>
                </w:tcPr>
                <w:p w14:paraId="59DE0147">
                  <w:pPr>
                    <w:adjustRightInd w:val="0"/>
                    <w:snapToGrid w:val="0"/>
                    <w:jc w:val="center"/>
                    <w:rPr>
                      <w:color w:val="auto"/>
                      <w:sz w:val="18"/>
                      <w:szCs w:val="18"/>
                      <w:highlight w:val="none"/>
                    </w:rPr>
                  </w:pPr>
                  <w:r>
                    <w:rPr>
                      <w:rFonts w:hint="eastAsia"/>
                      <w:color w:val="auto"/>
                      <w:sz w:val="18"/>
                      <w:szCs w:val="18"/>
                      <w:highlight w:val="none"/>
                    </w:rPr>
                    <w:t>万t</w:t>
                  </w:r>
                </w:p>
              </w:tc>
              <w:tc>
                <w:tcPr>
                  <w:tcW w:w="1237" w:type="dxa"/>
                  <w:tcBorders>
                    <w:tl2br w:val="nil"/>
                    <w:tr2bl w:val="nil"/>
                  </w:tcBorders>
                  <w:vAlign w:val="center"/>
                </w:tcPr>
                <w:p w14:paraId="45A728C6">
                  <w:pPr>
                    <w:adjustRightInd w:val="0"/>
                    <w:snapToGrid w:val="0"/>
                    <w:jc w:val="center"/>
                    <w:rPr>
                      <w:color w:val="auto"/>
                      <w:sz w:val="18"/>
                      <w:szCs w:val="18"/>
                      <w:highlight w:val="none"/>
                    </w:rPr>
                  </w:pPr>
                  <w:r>
                    <w:rPr>
                      <w:rFonts w:hint="eastAsia"/>
                      <w:color w:val="auto"/>
                      <w:sz w:val="18"/>
                      <w:szCs w:val="18"/>
                      <w:highlight w:val="none"/>
                    </w:rPr>
                    <w:t>万t</w:t>
                  </w:r>
                </w:p>
              </w:tc>
              <w:tc>
                <w:tcPr>
                  <w:tcW w:w="1238" w:type="dxa"/>
                  <w:tcBorders>
                    <w:tl2br w:val="nil"/>
                    <w:tr2bl w:val="nil"/>
                  </w:tcBorders>
                  <w:vAlign w:val="center"/>
                </w:tcPr>
                <w:p w14:paraId="3DFCC81C">
                  <w:pPr>
                    <w:adjustRightInd w:val="0"/>
                    <w:snapToGrid w:val="0"/>
                    <w:jc w:val="center"/>
                    <w:rPr>
                      <w:color w:val="auto"/>
                      <w:sz w:val="18"/>
                      <w:szCs w:val="18"/>
                      <w:highlight w:val="none"/>
                    </w:rPr>
                  </w:pPr>
                  <w:r>
                    <w:rPr>
                      <w:rFonts w:hint="eastAsia"/>
                      <w:color w:val="auto"/>
                      <w:sz w:val="18"/>
                      <w:szCs w:val="18"/>
                      <w:highlight w:val="none"/>
                    </w:rPr>
                    <w:t>万t</w:t>
                  </w:r>
                </w:p>
              </w:tc>
            </w:tr>
            <w:tr w14:paraId="7A6AA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87" w:type="dxa"/>
                  <w:tcBorders>
                    <w:tl2br w:val="nil"/>
                    <w:tr2bl w:val="nil"/>
                  </w:tcBorders>
                  <w:shd w:val="clear" w:color="auto" w:fill="auto"/>
                  <w:vAlign w:val="center"/>
                </w:tcPr>
                <w:p w14:paraId="34ACEB7F">
                  <w:pPr>
                    <w:adjustRightInd w:val="0"/>
                    <w:snapToGrid w:val="0"/>
                    <w:jc w:val="center"/>
                    <w:rPr>
                      <w:color w:val="auto"/>
                      <w:sz w:val="18"/>
                      <w:szCs w:val="18"/>
                      <w:highlight w:val="none"/>
                    </w:rPr>
                  </w:pPr>
                  <w:r>
                    <w:rPr>
                      <w:rFonts w:hint="eastAsia"/>
                      <w:color w:val="auto"/>
                      <w:sz w:val="18"/>
                      <w:szCs w:val="18"/>
                      <w:highlight w:val="none"/>
                    </w:rPr>
                    <w:t>1</w:t>
                  </w:r>
                </w:p>
              </w:tc>
              <w:tc>
                <w:tcPr>
                  <w:tcW w:w="1693" w:type="dxa"/>
                  <w:tcBorders>
                    <w:tl2br w:val="nil"/>
                    <w:tr2bl w:val="nil"/>
                  </w:tcBorders>
                  <w:shd w:val="clear" w:color="auto" w:fill="auto"/>
                  <w:vAlign w:val="center"/>
                </w:tcPr>
                <w:p w14:paraId="426B0BA2">
                  <w:pPr>
                    <w:adjustRightInd w:val="0"/>
                    <w:snapToGrid w:val="0"/>
                    <w:jc w:val="center"/>
                    <w:rPr>
                      <w:color w:val="auto"/>
                      <w:sz w:val="18"/>
                      <w:szCs w:val="18"/>
                      <w:highlight w:val="none"/>
                    </w:rPr>
                  </w:pPr>
                  <w:r>
                    <w:rPr>
                      <w:rFonts w:hint="eastAsia"/>
                      <w:color w:val="auto"/>
                      <w:sz w:val="18"/>
                      <w:szCs w:val="18"/>
                      <w:highlight w:val="none"/>
                    </w:rPr>
                    <w:t>优质矸石</w:t>
                  </w:r>
                </w:p>
              </w:tc>
              <w:tc>
                <w:tcPr>
                  <w:tcW w:w="1509" w:type="dxa"/>
                  <w:tcBorders>
                    <w:tl2br w:val="nil"/>
                    <w:tr2bl w:val="nil"/>
                  </w:tcBorders>
                  <w:shd w:val="clear" w:color="auto" w:fill="auto"/>
                  <w:vAlign w:val="center"/>
                </w:tcPr>
                <w:p w14:paraId="3E661FF4">
                  <w:pPr>
                    <w:adjustRightInd w:val="0"/>
                    <w:snapToGrid w:val="0"/>
                    <w:jc w:val="center"/>
                    <w:rPr>
                      <w:color w:val="auto"/>
                      <w:sz w:val="18"/>
                      <w:szCs w:val="18"/>
                      <w:highlight w:val="none"/>
                    </w:rPr>
                  </w:pPr>
                  <w:r>
                    <w:rPr>
                      <w:rFonts w:hint="eastAsia"/>
                      <w:color w:val="auto"/>
                      <w:sz w:val="18"/>
                      <w:szCs w:val="18"/>
                      <w:highlight w:val="none"/>
                    </w:rPr>
                    <w:t>/</w:t>
                  </w:r>
                </w:p>
              </w:tc>
              <w:tc>
                <w:tcPr>
                  <w:tcW w:w="1634" w:type="dxa"/>
                  <w:tcBorders>
                    <w:tl2br w:val="nil"/>
                    <w:tr2bl w:val="nil"/>
                  </w:tcBorders>
                  <w:shd w:val="clear" w:color="auto" w:fill="auto"/>
                  <w:vAlign w:val="center"/>
                </w:tcPr>
                <w:p w14:paraId="3AC2B37A">
                  <w:pPr>
                    <w:adjustRightInd w:val="0"/>
                    <w:snapToGrid w:val="0"/>
                    <w:jc w:val="center"/>
                    <w:rPr>
                      <w:color w:val="auto"/>
                      <w:sz w:val="18"/>
                      <w:szCs w:val="18"/>
                      <w:highlight w:val="none"/>
                    </w:rPr>
                  </w:pPr>
                  <w:r>
                    <w:rPr>
                      <w:rFonts w:hint="eastAsia"/>
                      <w:color w:val="auto"/>
                      <w:sz w:val="18"/>
                      <w:szCs w:val="18"/>
                      <w:highlight w:val="none"/>
                    </w:rPr>
                    <w:t>6</w:t>
                  </w:r>
                </w:p>
              </w:tc>
              <w:tc>
                <w:tcPr>
                  <w:tcW w:w="1237" w:type="dxa"/>
                  <w:tcBorders>
                    <w:tl2br w:val="nil"/>
                    <w:tr2bl w:val="nil"/>
                  </w:tcBorders>
                  <w:shd w:val="clear" w:color="auto" w:fill="auto"/>
                  <w:vAlign w:val="center"/>
                </w:tcPr>
                <w:p w14:paraId="0AA2F8DF">
                  <w:pPr>
                    <w:adjustRightInd w:val="0"/>
                    <w:snapToGrid w:val="0"/>
                    <w:jc w:val="center"/>
                    <w:rPr>
                      <w:color w:val="auto"/>
                      <w:sz w:val="18"/>
                      <w:szCs w:val="18"/>
                      <w:highlight w:val="none"/>
                    </w:rPr>
                  </w:pPr>
                  <w:r>
                    <w:rPr>
                      <w:rFonts w:hint="eastAsia"/>
                      <w:color w:val="auto"/>
                      <w:sz w:val="18"/>
                      <w:szCs w:val="18"/>
                      <w:highlight w:val="none"/>
                    </w:rPr>
                    <w:t>-6</w:t>
                  </w:r>
                </w:p>
              </w:tc>
              <w:tc>
                <w:tcPr>
                  <w:tcW w:w="1238" w:type="dxa"/>
                  <w:tcBorders>
                    <w:tl2br w:val="nil"/>
                    <w:tr2bl w:val="nil"/>
                  </w:tcBorders>
                  <w:shd w:val="clear" w:color="auto" w:fill="auto"/>
                  <w:vAlign w:val="center"/>
                </w:tcPr>
                <w:p w14:paraId="37651064">
                  <w:pPr>
                    <w:adjustRightInd w:val="0"/>
                    <w:snapToGrid w:val="0"/>
                    <w:jc w:val="center"/>
                    <w:rPr>
                      <w:color w:val="auto"/>
                      <w:sz w:val="18"/>
                      <w:szCs w:val="18"/>
                      <w:highlight w:val="none"/>
                    </w:rPr>
                  </w:pPr>
                  <w:r>
                    <w:rPr>
                      <w:rFonts w:hint="eastAsia"/>
                      <w:color w:val="auto"/>
                      <w:sz w:val="18"/>
                      <w:szCs w:val="18"/>
                      <w:highlight w:val="none"/>
                    </w:rPr>
                    <w:t>0</w:t>
                  </w:r>
                </w:p>
              </w:tc>
            </w:tr>
            <w:tr w14:paraId="6C22B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87" w:type="dxa"/>
                  <w:tcBorders>
                    <w:tl2br w:val="nil"/>
                    <w:tr2bl w:val="nil"/>
                  </w:tcBorders>
                  <w:shd w:val="clear" w:color="auto" w:fill="auto"/>
                  <w:vAlign w:val="center"/>
                </w:tcPr>
                <w:p w14:paraId="53C25650">
                  <w:pPr>
                    <w:adjustRightInd w:val="0"/>
                    <w:snapToGrid w:val="0"/>
                    <w:jc w:val="center"/>
                    <w:rPr>
                      <w:color w:val="auto"/>
                      <w:sz w:val="18"/>
                      <w:szCs w:val="18"/>
                      <w:highlight w:val="none"/>
                    </w:rPr>
                  </w:pPr>
                  <w:r>
                    <w:rPr>
                      <w:rFonts w:hint="eastAsia"/>
                      <w:color w:val="auto"/>
                      <w:sz w:val="18"/>
                      <w:szCs w:val="18"/>
                      <w:highlight w:val="none"/>
                    </w:rPr>
                    <w:t>2</w:t>
                  </w:r>
                </w:p>
              </w:tc>
              <w:tc>
                <w:tcPr>
                  <w:tcW w:w="1693" w:type="dxa"/>
                  <w:tcBorders>
                    <w:tl2br w:val="nil"/>
                    <w:tr2bl w:val="nil"/>
                  </w:tcBorders>
                  <w:shd w:val="clear" w:color="auto" w:fill="auto"/>
                  <w:vAlign w:val="center"/>
                </w:tcPr>
                <w:p w14:paraId="2A93A0BB">
                  <w:pPr>
                    <w:adjustRightInd w:val="0"/>
                    <w:snapToGrid w:val="0"/>
                    <w:jc w:val="center"/>
                    <w:rPr>
                      <w:color w:val="auto"/>
                      <w:sz w:val="18"/>
                      <w:szCs w:val="18"/>
                      <w:highlight w:val="none"/>
                    </w:rPr>
                  </w:pPr>
                  <w:r>
                    <w:rPr>
                      <w:rFonts w:hint="eastAsia"/>
                      <w:color w:val="auto"/>
                      <w:sz w:val="18"/>
                      <w:szCs w:val="18"/>
                      <w:highlight w:val="none"/>
                    </w:rPr>
                    <w:t>劣质矸石</w:t>
                  </w:r>
                </w:p>
              </w:tc>
              <w:tc>
                <w:tcPr>
                  <w:tcW w:w="1509" w:type="dxa"/>
                  <w:tcBorders>
                    <w:tl2br w:val="nil"/>
                    <w:tr2bl w:val="nil"/>
                  </w:tcBorders>
                  <w:shd w:val="clear" w:color="auto" w:fill="auto"/>
                  <w:vAlign w:val="center"/>
                </w:tcPr>
                <w:p w14:paraId="1AFF55B3">
                  <w:pPr>
                    <w:adjustRightInd w:val="0"/>
                    <w:snapToGrid w:val="0"/>
                    <w:jc w:val="center"/>
                    <w:rPr>
                      <w:color w:val="auto"/>
                      <w:sz w:val="18"/>
                      <w:szCs w:val="18"/>
                      <w:highlight w:val="none"/>
                    </w:rPr>
                  </w:pPr>
                  <w:r>
                    <w:rPr>
                      <w:rFonts w:hint="eastAsia"/>
                      <w:color w:val="auto"/>
                      <w:sz w:val="18"/>
                      <w:szCs w:val="18"/>
                      <w:highlight w:val="none"/>
                    </w:rPr>
                    <w:t>/</w:t>
                  </w:r>
                </w:p>
              </w:tc>
              <w:tc>
                <w:tcPr>
                  <w:tcW w:w="1634" w:type="dxa"/>
                  <w:tcBorders>
                    <w:tl2br w:val="nil"/>
                    <w:tr2bl w:val="nil"/>
                  </w:tcBorders>
                  <w:shd w:val="clear" w:color="auto" w:fill="auto"/>
                  <w:vAlign w:val="center"/>
                </w:tcPr>
                <w:p w14:paraId="444B4BA6">
                  <w:pPr>
                    <w:adjustRightInd w:val="0"/>
                    <w:snapToGrid w:val="0"/>
                    <w:jc w:val="center"/>
                    <w:rPr>
                      <w:color w:val="auto"/>
                      <w:sz w:val="18"/>
                      <w:szCs w:val="18"/>
                      <w:highlight w:val="none"/>
                    </w:rPr>
                  </w:pPr>
                  <w:r>
                    <w:rPr>
                      <w:rFonts w:hint="eastAsia"/>
                      <w:color w:val="auto"/>
                      <w:sz w:val="18"/>
                      <w:szCs w:val="18"/>
                      <w:highlight w:val="none"/>
                    </w:rPr>
                    <w:t>23.4</w:t>
                  </w:r>
                </w:p>
              </w:tc>
              <w:tc>
                <w:tcPr>
                  <w:tcW w:w="1237" w:type="dxa"/>
                  <w:tcBorders>
                    <w:tl2br w:val="nil"/>
                    <w:tr2bl w:val="nil"/>
                  </w:tcBorders>
                  <w:shd w:val="clear" w:color="auto" w:fill="auto"/>
                  <w:vAlign w:val="center"/>
                </w:tcPr>
                <w:p w14:paraId="072283BE">
                  <w:pPr>
                    <w:adjustRightInd w:val="0"/>
                    <w:snapToGrid w:val="0"/>
                    <w:jc w:val="center"/>
                    <w:rPr>
                      <w:color w:val="auto"/>
                      <w:sz w:val="18"/>
                      <w:szCs w:val="18"/>
                      <w:highlight w:val="none"/>
                    </w:rPr>
                  </w:pPr>
                  <w:r>
                    <w:rPr>
                      <w:rFonts w:hint="eastAsia"/>
                      <w:color w:val="auto"/>
                      <w:sz w:val="18"/>
                      <w:szCs w:val="18"/>
                      <w:highlight w:val="none"/>
                    </w:rPr>
                    <w:t>-23.4</w:t>
                  </w:r>
                </w:p>
              </w:tc>
              <w:tc>
                <w:tcPr>
                  <w:tcW w:w="1238" w:type="dxa"/>
                  <w:tcBorders>
                    <w:tl2br w:val="nil"/>
                    <w:tr2bl w:val="nil"/>
                  </w:tcBorders>
                  <w:shd w:val="clear" w:color="auto" w:fill="auto"/>
                  <w:vAlign w:val="center"/>
                </w:tcPr>
                <w:p w14:paraId="63C2BD6E">
                  <w:pPr>
                    <w:adjustRightInd w:val="0"/>
                    <w:snapToGrid w:val="0"/>
                    <w:jc w:val="center"/>
                    <w:rPr>
                      <w:color w:val="auto"/>
                      <w:sz w:val="18"/>
                      <w:szCs w:val="18"/>
                      <w:highlight w:val="none"/>
                    </w:rPr>
                  </w:pPr>
                  <w:r>
                    <w:rPr>
                      <w:rFonts w:hint="eastAsia"/>
                      <w:color w:val="auto"/>
                      <w:sz w:val="18"/>
                      <w:szCs w:val="18"/>
                      <w:highlight w:val="none"/>
                    </w:rPr>
                    <w:t>0</w:t>
                  </w:r>
                </w:p>
              </w:tc>
            </w:tr>
            <w:tr w14:paraId="44C8F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87" w:type="dxa"/>
                  <w:tcBorders>
                    <w:tl2br w:val="nil"/>
                    <w:tr2bl w:val="nil"/>
                  </w:tcBorders>
                  <w:shd w:val="clear" w:color="auto" w:fill="auto"/>
                  <w:vAlign w:val="center"/>
                </w:tcPr>
                <w:p w14:paraId="08B62611">
                  <w:pPr>
                    <w:adjustRightInd w:val="0"/>
                    <w:snapToGrid w:val="0"/>
                    <w:jc w:val="center"/>
                    <w:rPr>
                      <w:color w:val="auto"/>
                      <w:sz w:val="18"/>
                      <w:szCs w:val="18"/>
                      <w:highlight w:val="none"/>
                    </w:rPr>
                  </w:pPr>
                  <w:r>
                    <w:rPr>
                      <w:rFonts w:hint="eastAsia"/>
                      <w:color w:val="auto"/>
                      <w:sz w:val="18"/>
                      <w:szCs w:val="18"/>
                      <w:highlight w:val="none"/>
                    </w:rPr>
                    <w:t>3</w:t>
                  </w:r>
                </w:p>
              </w:tc>
              <w:tc>
                <w:tcPr>
                  <w:tcW w:w="1693" w:type="dxa"/>
                  <w:tcBorders>
                    <w:tl2br w:val="nil"/>
                    <w:tr2bl w:val="nil"/>
                  </w:tcBorders>
                  <w:shd w:val="clear" w:color="auto" w:fill="auto"/>
                  <w:vAlign w:val="center"/>
                </w:tcPr>
                <w:p w14:paraId="1949A6A0">
                  <w:pPr>
                    <w:adjustRightInd w:val="0"/>
                    <w:snapToGrid w:val="0"/>
                    <w:jc w:val="center"/>
                    <w:rPr>
                      <w:color w:val="auto"/>
                      <w:sz w:val="18"/>
                      <w:szCs w:val="18"/>
                      <w:highlight w:val="none"/>
                    </w:rPr>
                  </w:pPr>
                  <w:r>
                    <w:rPr>
                      <w:rFonts w:hint="eastAsia"/>
                      <w:color w:val="auto"/>
                      <w:sz w:val="18"/>
                      <w:szCs w:val="18"/>
                      <w:highlight w:val="none"/>
                    </w:rPr>
                    <w:t>精煤</w:t>
                  </w:r>
                </w:p>
              </w:tc>
              <w:tc>
                <w:tcPr>
                  <w:tcW w:w="1509" w:type="dxa"/>
                  <w:tcBorders>
                    <w:tl2br w:val="nil"/>
                    <w:tr2bl w:val="nil"/>
                  </w:tcBorders>
                  <w:shd w:val="clear" w:color="auto" w:fill="auto"/>
                  <w:vAlign w:val="center"/>
                </w:tcPr>
                <w:p w14:paraId="76DC6421">
                  <w:pPr>
                    <w:adjustRightInd w:val="0"/>
                    <w:snapToGrid w:val="0"/>
                    <w:jc w:val="center"/>
                    <w:rPr>
                      <w:color w:val="auto"/>
                      <w:sz w:val="18"/>
                      <w:szCs w:val="18"/>
                      <w:highlight w:val="none"/>
                    </w:rPr>
                  </w:pPr>
                  <w:r>
                    <w:rPr>
                      <w:rFonts w:hint="eastAsia"/>
                      <w:color w:val="auto"/>
                      <w:sz w:val="18"/>
                      <w:szCs w:val="18"/>
                      <w:highlight w:val="none"/>
                    </w:rPr>
                    <w:t>1-3mm</w:t>
                  </w:r>
                </w:p>
              </w:tc>
              <w:tc>
                <w:tcPr>
                  <w:tcW w:w="1634" w:type="dxa"/>
                  <w:tcBorders>
                    <w:tl2br w:val="nil"/>
                    <w:tr2bl w:val="nil"/>
                  </w:tcBorders>
                  <w:shd w:val="clear" w:color="auto" w:fill="auto"/>
                  <w:vAlign w:val="center"/>
                </w:tcPr>
                <w:p w14:paraId="11351FB8">
                  <w:pPr>
                    <w:adjustRightInd w:val="0"/>
                    <w:snapToGrid w:val="0"/>
                    <w:jc w:val="center"/>
                    <w:rPr>
                      <w:color w:val="auto"/>
                      <w:sz w:val="18"/>
                      <w:szCs w:val="18"/>
                      <w:highlight w:val="none"/>
                    </w:rPr>
                  </w:pPr>
                  <w:r>
                    <w:rPr>
                      <w:rFonts w:hint="eastAsia"/>
                      <w:color w:val="auto"/>
                      <w:sz w:val="18"/>
                      <w:szCs w:val="18"/>
                      <w:highlight w:val="none"/>
                    </w:rPr>
                    <w:t>0</w:t>
                  </w:r>
                </w:p>
              </w:tc>
              <w:tc>
                <w:tcPr>
                  <w:tcW w:w="1237" w:type="dxa"/>
                  <w:tcBorders>
                    <w:tl2br w:val="nil"/>
                    <w:tr2bl w:val="nil"/>
                  </w:tcBorders>
                  <w:shd w:val="clear" w:color="auto" w:fill="auto"/>
                  <w:vAlign w:val="center"/>
                </w:tcPr>
                <w:p w14:paraId="41FD1336">
                  <w:pPr>
                    <w:adjustRightInd w:val="0"/>
                    <w:snapToGrid w:val="0"/>
                    <w:jc w:val="center"/>
                    <w:rPr>
                      <w:color w:val="auto"/>
                      <w:sz w:val="18"/>
                      <w:szCs w:val="18"/>
                      <w:highlight w:val="none"/>
                    </w:rPr>
                  </w:pPr>
                  <w:r>
                    <w:rPr>
                      <w:rFonts w:hint="eastAsia"/>
                      <w:color w:val="auto"/>
                      <w:sz w:val="18"/>
                      <w:szCs w:val="18"/>
                      <w:highlight w:val="none"/>
                    </w:rPr>
                    <w:t>+1.5</w:t>
                  </w:r>
                </w:p>
              </w:tc>
              <w:tc>
                <w:tcPr>
                  <w:tcW w:w="1238" w:type="dxa"/>
                  <w:tcBorders>
                    <w:tl2br w:val="nil"/>
                    <w:tr2bl w:val="nil"/>
                  </w:tcBorders>
                  <w:shd w:val="clear" w:color="auto" w:fill="auto"/>
                  <w:vAlign w:val="center"/>
                </w:tcPr>
                <w:p w14:paraId="457FBF13">
                  <w:pPr>
                    <w:adjustRightInd w:val="0"/>
                    <w:snapToGrid w:val="0"/>
                    <w:jc w:val="center"/>
                    <w:rPr>
                      <w:color w:val="auto"/>
                      <w:sz w:val="18"/>
                      <w:szCs w:val="18"/>
                      <w:highlight w:val="none"/>
                    </w:rPr>
                  </w:pPr>
                  <w:r>
                    <w:rPr>
                      <w:rFonts w:hint="eastAsia"/>
                      <w:color w:val="auto"/>
                      <w:sz w:val="18"/>
                      <w:szCs w:val="18"/>
                      <w:highlight w:val="none"/>
                    </w:rPr>
                    <w:t>1.5</w:t>
                  </w:r>
                </w:p>
              </w:tc>
            </w:tr>
            <w:tr w14:paraId="10071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87" w:type="dxa"/>
                  <w:tcBorders>
                    <w:tl2br w:val="nil"/>
                    <w:tr2bl w:val="nil"/>
                  </w:tcBorders>
                  <w:shd w:val="clear" w:color="auto" w:fill="auto"/>
                  <w:vAlign w:val="center"/>
                </w:tcPr>
                <w:p w14:paraId="45B998F7">
                  <w:pPr>
                    <w:adjustRightInd w:val="0"/>
                    <w:snapToGrid w:val="0"/>
                    <w:jc w:val="center"/>
                    <w:rPr>
                      <w:color w:val="auto"/>
                      <w:sz w:val="18"/>
                      <w:szCs w:val="18"/>
                      <w:highlight w:val="none"/>
                    </w:rPr>
                  </w:pPr>
                  <w:r>
                    <w:rPr>
                      <w:rFonts w:hint="eastAsia"/>
                      <w:color w:val="auto"/>
                      <w:sz w:val="18"/>
                      <w:szCs w:val="18"/>
                      <w:highlight w:val="none"/>
                    </w:rPr>
                    <w:t>4</w:t>
                  </w:r>
                </w:p>
              </w:tc>
              <w:tc>
                <w:tcPr>
                  <w:tcW w:w="1693" w:type="dxa"/>
                  <w:tcBorders>
                    <w:tl2br w:val="nil"/>
                    <w:tr2bl w:val="nil"/>
                  </w:tcBorders>
                  <w:shd w:val="clear" w:color="auto" w:fill="auto"/>
                  <w:vAlign w:val="center"/>
                </w:tcPr>
                <w:p w14:paraId="4ACA1F78">
                  <w:pPr>
                    <w:adjustRightInd w:val="0"/>
                    <w:snapToGrid w:val="0"/>
                    <w:jc w:val="center"/>
                    <w:rPr>
                      <w:color w:val="auto"/>
                      <w:sz w:val="18"/>
                      <w:szCs w:val="18"/>
                      <w:highlight w:val="none"/>
                    </w:rPr>
                  </w:pPr>
                  <w:r>
                    <w:rPr>
                      <w:rFonts w:hint="eastAsia"/>
                      <w:color w:val="auto"/>
                      <w:sz w:val="18"/>
                      <w:szCs w:val="18"/>
                      <w:highlight w:val="none"/>
                    </w:rPr>
                    <w:t>中煤</w:t>
                  </w:r>
                </w:p>
              </w:tc>
              <w:tc>
                <w:tcPr>
                  <w:tcW w:w="1509" w:type="dxa"/>
                  <w:tcBorders>
                    <w:tl2br w:val="nil"/>
                    <w:tr2bl w:val="nil"/>
                  </w:tcBorders>
                  <w:shd w:val="clear" w:color="auto" w:fill="auto"/>
                  <w:vAlign w:val="center"/>
                </w:tcPr>
                <w:p w14:paraId="060F9229">
                  <w:pPr>
                    <w:adjustRightInd w:val="0"/>
                    <w:snapToGrid w:val="0"/>
                    <w:jc w:val="center"/>
                    <w:rPr>
                      <w:color w:val="auto"/>
                      <w:sz w:val="18"/>
                      <w:szCs w:val="18"/>
                      <w:highlight w:val="none"/>
                    </w:rPr>
                  </w:pPr>
                  <w:r>
                    <w:rPr>
                      <w:rFonts w:hint="eastAsia"/>
                      <w:color w:val="auto"/>
                      <w:sz w:val="18"/>
                      <w:szCs w:val="18"/>
                      <w:highlight w:val="none"/>
                    </w:rPr>
                    <w:t>1-3mm</w:t>
                  </w:r>
                </w:p>
              </w:tc>
              <w:tc>
                <w:tcPr>
                  <w:tcW w:w="1634" w:type="dxa"/>
                  <w:tcBorders>
                    <w:tl2br w:val="nil"/>
                    <w:tr2bl w:val="nil"/>
                  </w:tcBorders>
                  <w:shd w:val="clear" w:color="auto" w:fill="auto"/>
                  <w:vAlign w:val="center"/>
                </w:tcPr>
                <w:p w14:paraId="74788047">
                  <w:pPr>
                    <w:adjustRightInd w:val="0"/>
                    <w:snapToGrid w:val="0"/>
                    <w:jc w:val="center"/>
                    <w:rPr>
                      <w:color w:val="auto"/>
                      <w:sz w:val="18"/>
                      <w:szCs w:val="18"/>
                      <w:highlight w:val="none"/>
                    </w:rPr>
                  </w:pPr>
                  <w:r>
                    <w:rPr>
                      <w:rFonts w:hint="eastAsia"/>
                      <w:color w:val="auto"/>
                      <w:sz w:val="18"/>
                      <w:szCs w:val="18"/>
                      <w:highlight w:val="none"/>
                    </w:rPr>
                    <w:t>0</w:t>
                  </w:r>
                </w:p>
              </w:tc>
              <w:tc>
                <w:tcPr>
                  <w:tcW w:w="1237" w:type="dxa"/>
                  <w:tcBorders>
                    <w:tl2br w:val="nil"/>
                    <w:tr2bl w:val="nil"/>
                  </w:tcBorders>
                  <w:shd w:val="clear" w:color="auto" w:fill="auto"/>
                  <w:vAlign w:val="center"/>
                </w:tcPr>
                <w:p w14:paraId="4EDF8AD8">
                  <w:pPr>
                    <w:adjustRightInd w:val="0"/>
                    <w:snapToGrid w:val="0"/>
                    <w:jc w:val="center"/>
                    <w:rPr>
                      <w:color w:val="auto"/>
                      <w:sz w:val="18"/>
                      <w:szCs w:val="18"/>
                      <w:highlight w:val="none"/>
                    </w:rPr>
                  </w:pPr>
                  <w:r>
                    <w:rPr>
                      <w:rFonts w:hint="eastAsia"/>
                      <w:color w:val="auto"/>
                      <w:sz w:val="18"/>
                      <w:szCs w:val="18"/>
                      <w:highlight w:val="none"/>
                    </w:rPr>
                    <w:t>+0.7</w:t>
                  </w:r>
                </w:p>
              </w:tc>
              <w:tc>
                <w:tcPr>
                  <w:tcW w:w="1238" w:type="dxa"/>
                  <w:tcBorders>
                    <w:tl2br w:val="nil"/>
                    <w:tr2bl w:val="nil"/>
                  </w:tcBorders>
                  <w:shd w:val="clear" w:color="auto" w:fill="auto"/>
                  <w:vAlign w:val="center"/>
                </w:tcPr>
                <w:p w14:paraId="29253426">
                  <w:pPr>
                    <w:adjustRightInd w:val="0"/>
                    <w:snapToGrid w:val="0"/>
                    <w:jc w:val="center"/>
                    <w:rPr>
                      <w:color w:val="auto"/>
                      <w:sz w:val="18"/>
                      <w:szCs w:val="18"/>
                      <w:highlight w:val="none"/>
                    </w:rPr>
                  </w:pPr>
                  <w:r>
                    <w:rPr>
                      <w:rFonts w:hint="eastAsia"/>
                      <w:color w:val="auto"/>
                      <w:sz w:val="18"/>
                      <w:szCs w:val="18"/>
                      <w:highlight w:val="none"/>
                    </w:rPr>
                    <w:t>0.7</w:t>
                  </w:r>
                </w:p>
              </w:tc>
            </w:tr>
            <w:tr w14:paraId="5C511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87" w:type="dxa"/>
                  <w:tcBorders>
                    <w:tl2br w:val="nil"/>
                    <w:tr2bl w:val="nil"/>
                  </w:tcBorders>
                  <w:shd w:val="clear" w:color="auto" w:fill="auto"/>
                  <w:vAlign w:val="center"/>
                </w:tcPr>
                <w:p w14:paraId="4975A49A">
                  <w:pPr>
                    <w:adjustRightInd w:val="0"/>
                    <w:snapToGrid w:val="0"/>
                    <w:jc w:val="center"/>
                    <w:rPr>
                      <w:color w:val="auto"/>
                      <w:sz w:val="18"/>
                      <w:szCs w:val="18"/>
                      <w:highlight w:val="none"/>
                    </w:rPr>
                  </w:pPr>
                  <w:r>
                    <w:rPr>
                      <w:rFonts w:hint="eastAsia"/>
                      <w:color w:val="auto"/>
                      <w:sz w:val="18"/>
                      <w:szCs w:val="18"/>
                      <w:highlight w:val="none"/>
                    </w:rPr>
                    <w:t>5</w:t>
                  </w:r>
                </w:p>
              </w:tc>
              <w:tc>
                <w:tcPr>
                  <w:tcW w:w="1693" w:type="dxa"/>
                  <w:tcBorders>
                    <w:tl2br w:val="nil"/>
                    <w:tr2bl w:val="nil"/>
                  </w:tcBorders>
                  <w:shd w:val="clear" w:color="auto" w:fill="auto"/>
                  <w:vAlign w:val="center"/>
                </w:tcPr>
                <w:p w14:paraId="68393713">
                  <w:pPr>
                    <w:adjustRightInd w:val="0"/>
                    <w:snapToGrid w:val="0"/>
                    <w:jc w:val="center"/>
                    <w:rPr>
                      <w:color w:val="auto"/>
                      <w:sz w:val="18"/>
                      <w:szCs w:val="18"/>
                      <w:highlight w:val="none"/>
                    </w:rPr>
                  </w:pPr>
                  <w:r>
                    <w:rPr>
                      <w:rFonts w:hint="eastAsia"/>
                      <w:color w:val="auto"/>
                      <w:sz w:val="18"/>
                      <w:szCs w:val="18"/>
                      <w:highlight w:val="none"/>
                    </w:rPr>
                    <w:t>人造土壤基质</w:t>
                  </w:r>
                </w:p>
              </w:tc>
              <w:tc>
                <w:tcPr>
                  <w:tcW w:w="1509" w:type="dxa"/>
                  <w:tcBorders>
                    <w:tl2br w:val="nil"/>
                    <w:tr2bl w:val="nil"/>
                  </w:tcBorders>
                  <w:shd w:val="clear" w:color="auto" w:fill="auto"/>
                  <w:vAlign w:val="center"/>
                </w:tcPr>
                <w:p w14:paraId="311DE17D">
                  <w:pPr>
                    <w:adjustRightInd w:val="0"/>
                    <w:snapToGrid w:val="0"/>
                    <w:jc w:val="center"/>
                    <w:rPr>
                      <w:color w:val="auto"/>
                      <w:sz w:val="18"/>
                      <w:szCs w:val="18"/>
                      <w:highlight w:val="none"/>
                    </w:rPr>
                  </w:pPr>
                  <w:r>
                    <w:rPr>
                      <w:rFonts w:hint="eastAsia"/>
                      <w:color w:val="auto"/>
                      <w:sz w:val="18"/>
                      <w:szCs w:val="18"/>
                      <w:highlight w:val="none"/>
                    </w:rPr>
                    <w:t>/</w:t>
                  </w:r>
                </w:p>
              </w:tc>
              <w:tc>
                <w:tcPr>
                  <w:tcW w:w="1634" w:type="dxa"/>
                  <w:tcBorders>
                    <w:tl2br w:val="nil"/>
                    <w:tr2bl w:val="nil"/>
                  </w:tcBorders>
                  <w:shd w:val="clear" w:color="auto" w:fill="auto"/>
                  <w:vAlign w:val="center"/>
                </w:tcPr>
                <w:p w14:paraId="72D6692D">
                  <w:pPr>
                    <w:adjustRightInd w:val="0"/>
                    <w:snapToGrid w:val="0"/>
                    <w:jc w:val="center"/>
                    <w:rPr>
                      <w:color w:val="auto"/>
                      <w:sz w:val="18"/>
                      <w:szCs w:val="18"/>
                      <w:highlight w:val="none"/>
                    </w:rPr>
                  </w:pPr>
                  <w:r>
                    <w:rPr>
                      <w:rFonts w:hint="eastAsia"/>
                      <w:color w:val="auto"/>
                      <w:sz w:val="18"/>
                      <w:szCs w:val="18"/>
                      <w:highlight w:val="none"/>
                    </w:rPr>
                    <w:t>0</w:t>
                  </w:r>
                </w:p>
              </w:tc>
              <w:tc>
                <w:tcPr>
                  <w:tcW w:w="1237" w:type="dxa"/>
                  <w:tcBorders>
                    <w:tl2br w:val="nil"/>
                    <w:tr2bl w:val="nil"/>
                  </w:tcBorders>
                  <w:shd w:val="clear" w:color="auto" w:fill="auto"/>
                  <w:vAlign w:val="center"/>
                </w:tcPr>
                <w:p w14:paraId="0892149F">
                  <w:pPr>
                    <w:adjustRightInd w:val="0"/>
                    <w:snapToGrid w:val="0"/>
                    <w:jc w:val="center"/>
                    <w:rPr>
                      <w:color w:val="auto"/>
                      <w:sz w:val="18"/>
                      <w:szCs w:val="18"/>
                      <w:highlight w:val="none"/>
                    </w:rPr>
                  </w:pPr>
                  <w:r>
                    <w:rPr>
                      <w:rFonts w:hint="eastAsia"/>
                      <w:color w:val="auto"/>
                      <w:sz w:val="18"/>
                      <w:szCs w:val="18"/>
                      <w:highlight w:val="none"/>
                    </w:rPr>
                    <w:t>+30.38</w:t>
                  </w:r>
                </w:p>
              </w:tc>
              <w:tc>
                <w:tcPr>
                  <w:tcW w:w="1238" w:type="dxa"/>
                  <w:tcBorders>
                    <w:tl2br w:val="nil"/>
                    <w:tr2bl w:val="nil"/>
                  </w:tcBorders>
                  <w:shd w:val="clear" w:color="auto" w:fill="auto"/>
                  <w:vAlign w:val="center"/>
                </w:tcPr>
                <w:p w14:paraId="76448E1E">
                  <w:pPr>
                    <w:adjustRightInd w:val="0"/>
                    <w:snapToGrid w:val="0"/>
                    <w:jc w:val="center"/>
                    <w:rPr>
                      <w:color w:val="auto"/>
                      <w:sz w:val="18"/>
                      <w:szCs w:val="18"/>
                      <w:highlight w:val="none"/>
                    </w:rPr>
                  </w:pPr>
                  <w:r>
                    <w:rPr>
                      <w:rFonts w:hint="eastAsia"/>
                      <w:color w:val="auto"/>
                      <w:sz w:val="18"/>
                      <w:szCs w:val="18"/>
                      <w:highlight w:val="none"/>
                    </w:rPr>
                    <w:t>30.38</w:t>
                  </w:r>
                </w:p>
              </w:tc>
            </w:tr>
          </w:tbl>
          <w:p w14:paraId="433CD97D">
            <w:pPr>
              <w:adjustRightInd w:val="0"/>
              <w:snapToGrid w:val="0"/>
              <w:jc w:val="center"/>
              <w:rPr>
                <w:b/>
                <w:bCs/>
                <w:color w:val="auto"/>
                <w:szCs w:val="21"/>
                <w:highlight w:val="none"/>
              </w:rPr>
            </w:pPr>
            <w:r>
              <w:rPr>
                <w:rFonts w:hint="eastAsia"/>
                <w:b/>
                <w:bCs/>
                <w:color w:val="auto"/>
                <w:szCs w:val="21"/>
                <w:highlight w:val="none"/>
              </w:rPr>
              <w:t>表2-4精煤、 中煤指标一览表</w:t>
            </w:r>
          </w:p>
          <w:tbl>
            <w:tblPr>
              <w:tblStyle w:val="23"/>
              <w:tblW w:w="807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0"/>
              <w:gridCol w:w="3120"/>
              <w:gridCol w:w="1971"/>
              <w:gridCol w:w="1083"/>
              <w:gridCol w:w="1083"/>
            </w:tblGrid>
            <w:tr w14:paraId="36958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820" w:type="dxa"/>
                  <w:tcBorders>
                    <w:tl2br w:val="nil"/>
                    <w:tr2bl w:val="nil"/>
                  </w:tcBorders>
                  <w:vAlign w:val="center"/>
                </w:tcPr>
                <w:p w14:paraId="4547BEA1">
                  <w:pPr>
                    <w:adjustRightInd w:val="0"/>
                    <w:snapToGrid w:val="0"/>
                    <w:jc w:val="center"/>
                    <w:rPr>
                      <w:color w:val="auto"/>
                      <w:sz w:val="18"/>
                      <w:szCs w:val="18"/>
                      <w:highlight w:val="none"/>
                    </w:rPr>
                  </w:pPr>
                  <w:r>
                    <w:rPr>
                      <w:rFonts w:hint="eastAsia"/>
                      <w:color w:val="auto"/>
                      <w:sz w:val="18"/>
                      <w:szCs w:val="18"/>
                      <w:highlight w:val="none"/>
                    </w:rPr>
                    <w:t>序号</w:t>
                  </w:r>
                </w:p>
              </w:tc>
              <w:tc>
                <w:tcPr>
                  <w:tcW w:w="3120" w:type="dxa"/>
                  <w:tcBorders>
                    <w:tl2br w:val="nil"/>
                    <w:tr2bl w:val="nil"/>
                  </w:tcBorders>
                  <w:vAlign w:val="center"/>
                </w:tcPr>
                <w:p w14:paraId="1B7E45DA">
                  <w:pPr>
                    <w:adjustRightInd w:val="0"/>
                    <w:snapToGrid w:val="0"/>
                    <w:jc w:val="center"/>
                    <w:rPr>
                      <w:color w:val="auto"/>
                      <w:sz w:val="18"/>
                      <w:szCs w:val="18"/>
                      <w:highlight w:val="none"/>
                    </w:rPr>
                  </w:pPr>
                  <w:r>
                    <w:rPr>
                      <w:rFonts w:hint="eastAsia"/>
                      <w:color w:val="auto"/>
                      <w:sz w:val="18"/>
                      <w:szCs w:val="18"/>
                      <w:highlight w:val="none"/>
                    </w:rPr>
                    <w:t>项目</w:t>
                  </w:r>
                </w:p>
              </w:tc>
              <w:tc>
                <w:tcPr>
                  <w:tcW w:w="1971" w:type="dxa"/>
                  <w:tcBorders>
                    <w:tl2br w:val="nil"/>
                    <w:tr2bl w:val="nil"/>
                  </w:tcBorders>
                  <w:vAlign w:val="center"/>
                </w:tcPr>
                <w:p w14:paraId="31523C4A">
                  <w:pPr>
                    <w:adjustRightInd w:val="0"/>
                    <w:snapToGrid w:val="0"/>
                    <w:jc w:val="center"/>
                    <w:rPr>
                      <w:color w:val="auto"/>
                      <w:sz w:val="18"/>
                      <w:szCs w:val="18"/>
                      <w:highlight w:val="none"/>
                    </w:rPr>
                  </w:pPr>
                  <w:r>
                    <w:rPr>
                      <w:rFonts w:hint="eastAsia"/>
                      <w:color w:val="auto"/>
                      <w:sz w:val="18"/>
                      <w:szCs w:val="18"/>
                      <w:highlight w:val="none"/>
                    </w:rPr>
                    <w:t>精煤</w:t>
                  </w:r>
                </w:p>
              </w:tc>
              <w:tc>
                <w:tcPr>
                  <w:tcW w:w="1083" w:type="dxa"/>
                  <w:tcBorders>
                    <w:tl2br w:val="nil"/>
                    <w:tr2bl w:val="nil"/>
                  </w:tcBorders>
                  <w:vAlign w:val="center"/>
                </w:tcPr>
                <w:p w14:paraId="3FDC501E">
                  <w:pPr>
                    <w:adjustRightInd w:val="0"/>
                    <w:snapToGrid w:val="0"/>
                    <w:jc w:val="center"/>
                    <w:rPr>
                      <w:color w:val="auto"/>
                      <w:sz w:val="18"/>
                      <w:szCs w:val="18"/>
                      <w:highlight w:val="none"/>
                    </w:rPr>
                  </w:pPr>
                  <w:r>
                    <w:rPr>
                      <w:rFonts w:hint="eastAsia"/>
                      <w:color w:val="auto"/>
                      <w:sz w:val="18"/>
                      <w:szCs w:val="18"/>
                      <w:highlight w:val="none"/>
                    </w:rPr>
                    <w:t>中煤</w:t>
                  </w:r>
                </w:p>
              </w:tc>
              <w:tc>
                <w:tcPr>
                  <w:tcW w:w="1083" w:type="dxa"/>
                  <w:tcBorders>
                    <w:tl2br w:val="nil"/>
                    <w:tr2bl w:val="nil"/>
                  </w:tcBorders>
                  <w:vAlign w:val="center"/>
                </w:tcPr>
                <w:p w14:paraId="6FAA495A">
                  <w:pPr>
                    <w:adjustRightInd w:val="0"/>
                    <w:snapToGrid w:val="0"/>
                    <w:jc w:val="center"/>
                    <w:rPr>
                      <w:color w:val="auto"/>
                      <w:sz w:val="18"/>
                      <w:szCs w:val="18"/>
                      <w:highlight w:val="none"/>
                    </w:rPr>
                  </w:pPr>
                  <w:r>
                    <w:rPr>
                      <w:rFonts w:hint="eastAsia"/>
                      <w:color w:val="auto"/>
                      <w:sz w:val="18"/>
                      <w:szCs w:val="18"/>
                      <w:highlight w:val="none"/>
                    </w:rPr>
                    <w:t>备注</w:t>
                  </w:r>
                </w:p>
              </w:tc>
            </w:tr>
            <w:tr w14:paraId="534B7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177CA43B">
                  <w:pPr>
                    <w:adjustRightInd w:val="0"/>
                    <w:snapToGrid w:val="0"/>
                    <w:jc w:val="center"/>
                    <w:rPr>
                      <w:color w:val="auto"/>
                      <w:sz w:val="18"/>
                      <w:szCs w:val="18"/>
                      <w:highlight w:val="none"/>
                    </w:rPr>
                  </w:pPr>
                  <w:r>
                    <w:rPr>
                      <w:rFonts w:hint="eastAsia"/>
                      <w:color w:val="auto"/>
                      <w:sz w:val="18"/>
                      <w:szCs w:val="18"/>
                      <w:highlight w:val="none"/>
                    </w:rPr>
                    <w:t>1</w:t>
                  </w:r>
                </w:p>
              </w:tc>
              <w:tc>
                <w:tcPr>
                  <w:tcW w:w="3120" w:type="dxa"/>
                  <w:tcBorders>
                    <w:tl2br w:val="nil"/>
                    <w:tr2bl w:val="nil"/>
                  </w:tcBorders>
                  <w:shd w:val="clear" w:color="auto" w:fill="auto"/>
                  <w:vAlign w:val="center"/>
                </w:tcPr>
                <w:p w14:paraId="2F307D71">
                  <w:pPr>
                    <w:adjustRightInd w:val="0"/>
                    <w:snapToGrid w:val="0"/>
                    <w:jc w:val="center"/>
                    <w:rPr>
                      <w:color w:val="auto"/>
                      <w:sz w:val="18"/>
                      <w:szCs w:val="18"/>
                      <w:highlight w:val="none"/>
                    </w:rPr>
                  </w:pPr>
                  <w:r>
                    <w:rPr>
                      <w:rFonts w:hint="eastAsia"/>
                      <w:color w:val="auto"/>
                      <w:sz w:val="18"/>
                      <w:szCs w:val="18"/>
                      <w:highlight w:val="none"/>
                    </w:rPr>
                    <w:t>全水份Mt%</w:t>
                  </w:r>
                </w:p>
              </w:tc>
              <w:tc>
                <w:tcPr>
                  <w:tcW w:w="1971" w:type="dxa"/>
                  <w:tcBorders>
                    <w:tl2br w:val="nil"/>
                    <w:tr2bl w:val="nil"/>
                  </w:tcBorders>
                  <w:vAlign w:val="center"/>
                </w:tcPr>
                <w:p w14:paraId="599EAF31">
                  <w:pPr>
                    <w:adjustRightInd w:val="0"/>
                    <w:snapToGrid w:val="0"/>
                    <w:jc w:val="center"/>
                    <w:rPr>
                      <w:color w:val="auto"/>
                      <w:sz w:val="18"/>
                      <w:szCs w:val="18"/>
                      <w:highlight w:val="none"/>
                    </w:rPr>
                  </w:pPr>
                  <w:r>
                    <w:rPr>
                      <w:rFonts w:hint="eastAsia"/>
                      <w:color w:val="auto"/>
                      <w:sz w:val="18"/>
                      <w:szCs w:val="18"/>
                      <w:highlight w:val="none"/>
                    </w:rPr>
                    <w:t>29.4</w:t>
                  </w:r>
                </w:p>
              </w:tc>
              <w:tc>
                <w:tcPr>
                  <w:tcW w:w="1083" w:type="dxa"/>
                  <w:tcBorders>
                    <w:tl2br w:val="nil"/>
                    <w:tr2bl w:val="nil"/>
                  </w:tcBorders>
                  <w:vAlign w:val="center"/>
                </w:tcPr>
                <w:p w14:paraId="72BBE934">
                  <w:pPr>
                    <w:adjustRightInd w:val="0"/>
                    <w:snapToGrid w:val="0"/>
                    <w:jc w:val="center"/>
                    <w:rPr>
                      <w:color w:val="auto"/>
                      <w:sz w:val="18"/>
                      <w:szCs w:val="18"/>
                      <w:highlight w:val="none"/>
                    </w:rPr>
                  </w:pPr>
                  <w:r>
                    <w:rPr>
                      <w:rFonts w:hint="eastAsia"/>
                      <w:color w:val="auto"/>
                      <w:sz w:val="18"/>
                      <w:szCs w:val="18"/>
                      <w:highlight w:val="none"/>
                    </w:rPr>
                    <w:t>29.5</w:t>
                  </w:r>
                </w:p>
              </w:tc>
              <w:tc>
                <w:tcPr>
                  <w:tcW w:w="1083" w:type="dxa"/>
                  <w:tcBorders>
                    <w:tl2br w:val="nil"/>
                    <w:tr2bl w:val="nil"/>
                  </w:tcBorders>
                  <w:vAlign w:val="center"/>
                </w:tcPr>
                <w:p w14:paraId="1945017B">
                  <w:pPr>
                    <w:adjustRightInd w:val="0"/>
                    <w:snapToGrid w:val="0"/>
                    <w:jc w:val="center"/>
                    <w:rPr>
                      <w:color w:val="auto"/>
                      <w:sz w:val="18"/>
                      <w:szCs w:val="18"/>
                      <w:highlight w:val="none"/>
                    </w:rPr>
                  </w:pPr>
                  <w:r>
                    <w:rPr>
                      <w:rFonts w:hint="eastAsia"/>
                      <w:color w:val="auto"/>
                      <w:sz w:val="18"/>
                      <w:szCs w:val="18"/>
                      <w:highlight w:val="none"/>
                    </w:rPr>
                    <w:t>/</w:t>
                  </w:r>
                </w:p>
              </w:tc>
            </w:tr>
            <w:tr w14:paraId="4FA30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52E0ACE4">
                  <w:pPr>
                    <w:adjustRightInd w:val="0"/>
                    <w:snapToGrid w:val="0"/>
                    <w:jc w:val="center"/>
                    <w:rPr>
                      <w:color w:val="auto"/>
                      <w:sz w:val="18"/>
                      <w:szCs w:val="18"/>
                      <w:highlight w:val="none"/>
                    </w:rPr>
                  </w:pPr>
                  <w:r>
                    <w:rPr>
                      <w:rFonts w:hint="eastAsia"/>
                      <w:color w:val="auto"/>
                      <w:sz w:val="18"/>
                      <w:szCs w:val="18"/>
                      <w:highlight w:val="none"/>
                    </w:rPr>
                    <w:t>2</w:t>
                  </w:r>
                </w:p>
              </w:tc>
              <w:tc>
                <w:tcPr>
                  <w:tcW w:w="3120" w:type="dxa"/>
                  <w:tcBorders>
                    <w:tl2br w:val="nil"/>
                    <w:tr2bl w:val="nil"/>
                  </w:tcBorders>
                  <w:shd w:val="clear" w:color="auto" w:fill="auto"/>
                  <w:vAlign w:val="center"/>
                </w:tcPr>
                <w:p w14:paraId="33397374">
                  <w:pPr>
                    <w:adjustRightInd w:val="0"/>
                    <w:snapToGrid w:val="0"/>
                    <w:jc w:val="center"/>
                    <w:rPr>
                      <w:color w:val="auto"/>
                      <w:sz w:val="18"/>
                      <w:szCs w:val="18"/>
                      <w:highlight w:val="none"/>
                    </w:rPr>
                  </w:pPr>
                  <w:r>
                    <w:rPr>
                      <w:rFonts w:hint="eastAsia"/>
                      <w:color w:val="auto"/>
                      <w:sz w:val="18"/>
                      <w:szCs w:val="18"/>
                      <w:highlight w:val="none"/>
                    </w:rPr>
                    <w:t>全硫（</w:t>
                  </w:r>
                  <w:r>
                    <w:rPr>
                      <w:color w:val="auto"/>
                      <w:sz w:val="18"/>
                      <w:szCs w:val="18"/>
                      <w:highlight w:val="none"/>
                    </w:rPr>
                    <w:t>Star，%）</w:t>
                  </w:r>
                </w:p>
              </w:tc>
              <w:tc>
                <w:tcPr>
                  <w:tcW w:w="1971" w:type="dxa"/>
                  <w:tcBorders>
                    <w:tl2br w:val="nil"/>
                    <w:tr2bl w:val="nil"/>
                  </w:tcBorders>
                  <w:vAlign w:val="center"/>
                </w:tcPr>
                <w:p w14:paraId="1961549D">
                  <w:pPr>
                    <w:adjustRightInd w:val="0"/>
                    <w:snapToGrid w:val="0"/>
                    <w:jc w:val="center"/>
                    <w:rPr>
                      <w:color w:val="auto"/>
                      <w:sz w:val="18"/>
                      <w:szCs w:val="18"/>
                      <w:highlight w:val="none"/>
                    </w:rPr>
                  </w:pPr>
                  <w:r>
                    <w:rPr>
                      <w:rFonts w:hint="eastAsia"/>
                      <w:color w:val="auto"/>
                      <w:sz w:val="18"/>
                      <w:szCs w:val="18"/>
                      <w:highlight w:val="none"/>
                    </w:rPr>
                    <w:t>0.61</w:t>
                  </w:r>
                </w:p>
              </w:tc>
              <w:tc>
                <w:tcPr>
                  <w:tcW w:w="1083" w:type="dxa"/>
                  <w:tcBorders>
                    <w:tl2br w:val="nil"/>
                    <w:tr2bl w:val="nil"/>
                  </w:tcBorders>
                  <w:vAlign w:val="center"/>
                </w:tcPr>
                <w:p w14:paraId="49A50305">
                  <w:pPr>
                    <w:adjustRightInd w:val="0"/>
                    <w:snapToGrid w:val="0"/>
                    <w:jc w:val="center"/>
                    <w:rPr>
                      <w:color w:val="auto"/>
                      <w:sz w:val="18"/>
                      <w:szCs w:val="18"/>
                      <w:highlight w:val="none"/>
                    </w:rPr>
                  </w:pPr>
                  <w:r>
                    <w:rPr>
                      <w:rFonts w:hint="eastAsia"/>
                      <w:color w:val="auto"/>
                      <w:sz w:val="18"/>
                      <w:szCs w:val="18"/>
                      <w:highlight w:val="none"/>
                    </w:rPr>
                    <w:t>0.38</w:t>
                  </w:r>
                </w:p>
              </w:tc>
              <w:tc>
                <w:tcPr>
                  <w:tcW w:w="1083" w:type="dxa"/>
                  <w:tcBorders>
                    <w:tl2br w:val="nil"/>
                    <w:tr2bl w:val="nil"/>
                  </w:tcBorders>
                  <w:vAlign w:val="center"/>
                </w:tcPr>
                <w:p w14:paraId="53139495">
                  <w:pPr>
                    <w:adjustRightInd w:val="0"/>
                    <w:snapToGrid w:val="0"/>
                    <w:jc w:val="center"/>
                    <w:rPr>
                      <w:color w:val="auto"/>
                      <w:sz w:val="18"/>
                      <w:szCs w:val="18"/>
                      <w:highlight w:val="none"/>
                    </w:rPr>
                  </w:pPr>
                  <w:r>
                    <w:rPr>
                      <w:rFonts w:hint="eastAsia"/>
                      <w:color w:val="auto"/>
                      <w:sz w:val="18"/>
                      <w:szCs w:val="18"/>
                      <w:highlight w:val="none"/>
                    </w:rPr>
                    <w:t>/</w:t>
                  </w:r>
                </w:p>
              </w:tc>
            </w:tr>
            <w:tr w14:paraId="0BD97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20" w:type="dxa"/>
                  <w:tcBorders>
                    <w:tl2br w:val="nil"/>
                    <w:tr2bl w:val="nil"/>
                  </w:tcBorders>
                  <w:vAlign w:val="center"/>
                </w:tcPr>
                <w:p w14:paraId="46BD62C5">
                  <w:pPr>
                    <w:adjustRightInd w:val="0"/>
                    <w:snapToGrid w:val="0"/>
                    <w:jc w:val="center"/>
                    <w:rPr>
                      <w:color w:val="auto"/>
                      <w:sz w:val="18"/>
                      <w:szCs w:val="18"/>
                      <w:highlight w:val="none"/>
                    </w:rPr>
                  </w:pPr>
                  <w:r>
                    <w:rPr>
                      <w:rFonts w:hint="eastAsia"/>
                      <w:color w:val="auto"/>
                      <w:sz w:val="18"/>
                      <w:szCs w:val="18"/>
                      <w:highlight w:val="none"/>
                    </w:rPr>
                    <w:t>3</w:t>
                  </w:r>
                </w:p>
              </w:tc>
              <w:tc>
                <w:tcPr>
                  <w:tcW w:w="3120" w:type="dxa"/>
                  <w:tcBorders>
                    <w:tl2br w:val="nil"/>
                    <w:tr2bl w:val="nil"/>
                  </w:tcBorders>
                  <w:shd w:val="clear" w:color="auto" w:fill="auto"/>
                  <w:vAlign w:val="center"/>
                </w:tcPr>
                <w:p w14:paraId="54A178A1">
                  <w:pPr>
                    <w:adjustRightInd w:val="0"/>
                    <w:snapToGrid w:val="0"/>
                    <w:jc w:val="center"/>
                    <w:rPr>
                      <w:color w:val="auto"/>
                      <w:sz w:val="18"/>
                      <w:szCs w:val="18"/>
                      <w:highlight w:val="none"/>
                    </w:rPr>
                  </w:pPr>
                  <w:r>
                    <w:rPr>
                      <w:rFonts w:hint="eastAsia"/>
                      <w:color w:val="auto"/>
                      <w:sz w:val="18"/>
                      <w:szCs w:val="18"/>
                      <w:highlight w:val="none"/>
                    </w:rPr>
                    <w:t>灰分（</w:t>
                  </w:r>
                  <w:r>
                    <w:rPr>
                      <w:color w:val="auto"/>
                      <w:sz w:val="18"/>
                      <w:szCs w:val="18"/>
                      <w:highlight w:val="none"/>
                    </w:rPr>
                    <w:t>Aar，%</w:t>
                  </w:r>
                  <w:r>
                    <w:rPr>
                      <w:rFonts w:hint="eastAsia"/>
                      <w:color w:val="auto"/>
                      <w:sz w:val="18"/>
                      <w:szCs w:val="18"/>
                      <w:highlight w:val="none"/>
                    </w:rPr>
                    <w:t>）</w:t>
                  </w:r>
                </w:p>
              </w:tc>
              <w:tc>
                <w:tcPr>
                  <w:tcW w:w="1971" w:type="dxa"/>
                  <w:tcBorders>
                    <w:tl2br w:val="nil"/>
                    <w:tr2bl w:val="nil"/>
                  </w:tcBorders>
                  <w:vAlign w:val="center"/>
                </w:tcPr>
                <w:p w14:paraId="33F5C98C">
                  <w:pPr>
                    <w:adjustRightInd w:val="0"/>
                    <w:snapToGrid w:val="0"/>
                    <w:jc w:val="center"/>
                    <w:rPr>
                      <w:color w:val="auto"/>
                      <w:sz w:val="18"/>
                      <w:szCs w:val="18"/>
                      <w:highlight w:val="none"/>
                    </w:rPr>
                  </w:pPr>
                  <w:r>
                    <w:rPr>
                      <w:rFonts w:hint="eastAsia"/>
                      <w:color w:val="auto"/>
                      <w:sz w:val="18"/>
                      <w:szCs w:val="18"/>
                      <w:highlight w:val="none"/>
                    </w:rPr>
                    <w:t>10.44</w:t>
                  </w:r>
                </w:p>
              </w:tc>
              <w:tc>
                <w:tcPr>
                  <w:tcW w:w="1083" w:type="dxa"/>
                  <w:tcBorders>
                    <w:tl2br w:val="nil"/>
                    <w:tr2bl w:val="nil"/>
                  </w:tcBorders>
                  <w:vAlign w:val="center"/>
                </w:tcPr>
                <w:p w14:paraId="07DC8AAD">
                  <w:pPr>
                    <w:adjustRightInd w:val="0"/>
                    <w:snapToGrid w:val="0"/>
                    <w:jc w:val="center"/>
                    <w:rPr>
                      <w:color w:val="auto"/>
                      <w:sz w:val="18"/>
                      <w:szCs w:val="18"/>
                      <w:highlight w:val="none"/>
                    </w:rPr>
                  </w:pPr>
                  <w:r>
                    <w:rPr>
                      <w:rFonts w:hint="eastAsia"/>
                      <w:color w:val="auto"/>
                      <w:sz w:val="18"/>
                      <w:szCs w:val="18"/>
                      <w:highlight w:val="none"/>
                    </w:rPr>
                    <w:t>54.15</w:t>
                  </w:r>
                </w:p>
              </w:tc>
              <w:tc>
                <w:tcPr>
                  <w:tcW w:w="1083" w:type="dxa"/>
                  <w:tcBorders>
                    <w:tl2br w:val="nil"/>
                    <w:tr2bl w:val="nil"/>
                  </w:tcBorders>
                  <w:vAlign w:val="center"/>
                </w:tcPr>
                <w:p w14:paraId="64BA77F7">
                  <w:pPr>
                    <w:adjustRightInd w:val="0"/>
                    <w:snapToGrid w:val="0"/>
                    <w:jc w:val="center"/>
                    <w:rPr>
                      <w:color w:val="auto"/>
                      <w:sz w:val="18"/>
                      <w:szCs w:val="18"/>
                      <w:highlight w:val="none"/>
                    </w:rPr>
                  </w:pPr>
                  <w:r>
                    <w:rPr>
                      <w:rFonts w:hint="eastAsia"/>
                      <w:color w:val="auto"/>
                      <w:sz w:val="18"/>
                      <w:szCs w:val="18"/>
                      <w:highlight w:val="none"/>
                    </w:rPr>
                    <w:t>/</w:t>
                  </w:r>
                </w:p>
              </w:tc>
            </w:tr>
            <w:tr w14:paraId="10D5C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20" w:type="dxa"/>
                  <w:tcBorders>
                    <w:tl2br w:val="nil"/>
                    <w:tr2bl w:val="nil"/>
                  </w:tcBorders>
                  <w:vAlign w:val="center"/>
                </w:tcPr>
                <w:p w14:paraId="0B360779">
                  <w:pPr>
                    <w:adjustRightInd w:val="0"/>
                    <w:snapToGrid w:val="0"/>
                    <w:jc w:val="center"/>
                    <w:rPr>
                      <w:color w:val="auto"/>
                      <w:sz w:val="18"/>
                      <w:szCs w:val="18"/>
                      <w:highlight w:val="none"/>
                    </w:rPr>
                  </w:pPr>
                  <w:r>
                    <w:rPr>
                      <w:rFonts w:hint="eastAsia"/>
                      <w:color w:val="auto"/>
                      <w:sz w:val="18"/>
                      <w:szCs w:val="18"/>
                      <w:highlight w:val="none"/>
                    </w:rPr>
                    <w:t>4</w:t>
                  </w:r>
                </w:p>
              </w:tc>
              <w:tc>
                <w:tcPr>
                  <w:tcW w:w="3120" w:type="dxa"/>
                  <w:tcBorders>
                    <w:tl2br w:val="nil"/>
                    <w:tr2bl w:val="nil"/>
                  </w:tcBorders>
                  <w:shd w:val="clear" w:color="auto" w:fill="auto"/>
                  <w:vAlign w:val="center"/>
                </w:tcPr>
                <w:p w14:paraId="1F8EB60E">
                  <w:pPr>
                    <w:adjustRightInd w:val="0"/>
                    <w:snapToGrid w:val="0"/>
                    <w:jc w:val="center"/>
                    <w:rPr>
                      <w:color w:val="auto"/>
                      <w:sz w:val="18"/>
                      <w:szCs w:val="18"/>
                      <w:highlight w:val="none"/>
                    </w:rPr>
                  </w:pPr>
                  <w:r>
                    <w:rPr>
                      <w:rFonts w:hint="eastAsia"/>
                      <w:color w:val="auto"/>
                      <w:sz w:val="18"/>
                      <w:szCs w:val="18"/>
                      <w:highlight w:val="none"/>
                    </w:rPr>
                    <w:t>干燥无灰基挥发分Vdaf%</w:t>
                  </w:r>
                </w:p>
              </w:tc>
              <w:tc>
                <w:tcPr>
                  <w:tcW w:w="1971" w:type="dxa"/>
                  <w:tcBorders>
                    <w:tl2br w:val="nil"/>
                    <w:tr2bl w:val="nil"/>
                  </w:tcBorders>
                  <w:vAlign w:val="center"/>
                </w:tcPr>
                <w:p w14:paraId="235A23B1">
                  <w:pPr>
                    <w:adjustRightInd w:val="0"/>
                    <w:snapToGrid w:val="0"/>
                    <w:jc w:val="center"/>
                    <w:rPr>
                      <w:color w:val="auto"/>
                      <w:sz w:val="18"/>
                      <w:szCs w:val="18"/>
                      <w:highlight w:val="none"/>
                    </w:rPr>
                  </w:pPr>
                  <w:r>
                    <w:rPr>
                      <w:rFonts w:hint="eastAsia"/>
                      <w:color w:val="auto"/>
                      <w:sz w:val="18"/>
                      <w:szCs w:val="18"/>
                      <w:highlight w:val="none"/>
                    </w:rPr>
                    <w:t>31.06</w:t>
                  </w:r>
                </w:p>
              </w:tc>
              <w:tc>
                <w:tcPr>
                  <w:tcW w:w="1083" w:type="dxa"/>
                  <w:tcBorders>
                    <w:tl2br w:val="nil"/>
                    <w:tr2bl w:val="nil"/>
                  </w:tcBorders>
                  <w:vAlign w:val="center"/>
                </w:tcPr>
                <w:p w14:paraId="39163B01">
                  <w:pPr>
                    <w:adjustRightInd w:val="0"/>
                    <w:snapToGrid w:val="0"/>
                    <w:jc w:val="center"/>
                    <w:rPr>
                      <w:color w:val="auto"/>
                      <w:sz w:val="18"/>
                      <w:szCs w:val="18"/>
                      <w:highlight w:val="none"/>
                    </w:rPr>
                  </w:pPr>
                  <w:r>
                    <w:rPr>
                      <w:rFonts w:hint="eastAsia"/>
                      <w:color w:val="auto"/>
                      <w:sz w:val="18"/>
                      <w:szCs w:val="18"/>
                      <w:highlight w:val="none"/>
                    </w:rPr>
                    <w:t>37.18</w:t>
                  </w:r>
                </w:p>
              </w:tc>
              <w:tc>
                <w:tcPr>
                  <w:tcW w:w="1083" w:type="dxa"/>
                  <w:tcBorders>
                    <w:tl2br w:val="nil"/>
                    <w:tr2bl w:val="nil"/>
                  </w:tcBorders>
                  <w:vAlign w:val="center"/>
                </w:tcPr>
                <w:p w14:paraId="34E5BCF7">
                  <w:pPr>
                    <w:adjustRightInd w:val="0"/>
                    <w:snapToGrid w:val="0"/>
                    <w:jc w:val="center"/>
                    <w:rPr>
                      <w:color w:val="auto"/>
                      <w:sz w:val="18"/>
                      <w:szCs w:val="18"/>
                      <w:highlight w:val="none"/>
                    </w:rPr>
                  </w:pPr>
                  <w:r>
                    <w:rPr>
                      <w:rFonts w:hint="eastAsia"/>
                      <w:color w:val="auto"/>
                      <w:sz w:val="18"/>
                      <w:szCs w:val="18"/>
                      <w:highlight w:val="none"/>
                    </w:rPr>
                    <w:t>/</w:t>
                  </w:r>
                </w:p>
              </w:tc>
            </w:tr>
            <w:tr w14:paraId="70DEF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20" w:type="dxa"/>
                  <w:tcBorders>
                    <w:tl2br w:val="nil"/>
                    <w:tr2bl w:val="nil"/>
                  </w:tcBorders>
                  <w:vAlign w:val="center"/>
                </w:tcPr>
                <w:p w14:paraId="4AE1B6E3">
                  <w:pPr>
                    <w:adjustRightInd w:val="0"/>
                    <w:snapToGrid w:val="0"/>
                    <w:jc w:val="center"/>
                    <w:rPr>
                      <w:color w:val="auto"/>
                      <w:sz w:val="18"/>
                      <w:szCs w:val="18"/>
                      <w:highlight w:val="none"/>
                    </w:rPr>
                  </w:pPr>
                  <w:r>
                    <w:rPr>
                      <w:rFonts w:hint="eastAsia"/>
                      <w:color w:val="auto"/>
                      <w:sz w:val="18"/>
                      <w:szCs w:val="18"/>
                      <w:highlight w:val="none"/>
                    </w:rPr>
                    <w:t>6</w:t>
                  </w:r>
                </w:p>
              </w:tc>
              <w:tc>
                <w:tcPr>
                  <w:tcW w:w="3120" w:type="dxa"/>
                  <w:tcBorders>
                    <w:tl2br w:val="nil"/>
                    <w:tr2bl w:val="nil"/>
                  </w:tcBorders>
                  <w:shd w:val="clear" w:color="auto" w:fill="auto"/>
                  <w:vAlign w:val="center"/>
                </w:tcPr>
                <w:p w14:paraId="0279A4DB">
                  <w:pPr>
                    <w:adjustRightInd w:val="0"/>
                    <w:snapToGrid w:val="0"/>
                    <w:jc w:val="center"/>
                    <w:rPr>
                      <w:color w:val="auto"/>
                      <w:sz w:val="18"/>
                      <w:szCs w:val="18"/>
                      <w:highlight w:val="none"/>
                    </w:rPr>
                  </w:pPr>
                  <w:r>
                    <w:rPr>
                      <w:rFonts w:hint="eastAsia"/>
                      <w:color w:val="auto"/>
                      <w:sz w:val="18"/>
                      <w:szCs w:val="18"/>
                      <w:highlight w:val="none"/>
                    </w:rPr>
                    <w:t>空干基高位发热量Qgr,d、kcal/kg</w:t>
                  </w:r>
                </w:p>
              </w:tc>
              <w:tc>
                <w:tcPr>
                  <w:tcW w:w="1971" w:type="dxa"/>
                  <w:tcBorders>
                    <w:tl2br w:val="nil"/>
                    <w:tr2bl w:val="nil"/>
                  </w:tcBorders>
                  <w:vAlign w:val="center"/>
                </w:tcPr>
                <w:p w14:paraId="74CDDCAD">
                  <w:pPr>
                    <w:adjustRightInd w:val="0"/>
                    <w:snapToGrid w:val="0"/>
                    <w:jc w:val="center"/>
                    <w:rPr>
                      <w:color w:val="auto"/>
                      <w:sz w:val="18"/>
                      <w:szCs w:val="18"/>
                      <w:highlight w:val="none"/>
                    </w:rPr>
                  </w:pPr>
                  <w:r>
                    <w:rPr>
                      <w:rFonts w:hint="eastAsia"/>
                      <w:color w:val="auto"/>
                      <w:sz w:val="18"/>
                      <w:szCs w:val="18"/>
                      <w:highlight w:val="none"/>
                    </w:rPr>
                    <w:t>7518</w:t>
                  </w:r>
                </w:p>
              </w:tc>
              <w:tc>
                <w:tcPr>
                  <w:tcW w:w="1083" w:type="dxa"/>
                  <w:tcBorders>
                    <w:tl2br w:val="nil"/>
                    <w:tr2bl w:val="nil"/>
                  </w:tcBorders>
                  <w:vAlign w:val="center"/>
                </w:tcPr>
                <w:p w14:paraId="5A34E4E9">
                  <w:pPr>
                    <w:adjustRightInd w:val="0"/>
                    <w:snapToGrid w:val="0"/>
                    <w:jc w:val="center"/>
                    <w:rPr>
                      <w:color w:val="auto"/>
                      <w:sz w:val="18"/>
                      <w:szCs w:val="18"/>
                      <w:highlight w:val="none"/>
                    </w:rPr>
                  </w:pPr>
                  <w:r>
                    <w:rPr>
                      <w:rFonts w:hint="eastAsia"/>
                      <w:color w:val="auto"/>
                      <w:sz w:val="18"/>
                      <w:szCs w:val="18"/>
                      <w:highlight w:val="none"/>
                    </w:rPr>
                    <w:t>3617</w:t>
                  </w:r>
                </w:p>
              </w:tc>
              <w:tc>
                <w:tcPr>
                  <w:tcW w:w="1083" w:type="dxa"/>
                  <w:tcBorders>
                    <w:tl2br w:val="nil"/>
                    <w:tr2bl w:val="nil"/>
                  </w:tcBorders>
                  <w:vAlign w:val="center"/>
                </w:tcPr>
                <w:p w14:paraId="771ECF86">
                  <w:pPr>
                    <w:adjustRightInd w:val="0"/>
                    <w:snapToGrid w:val="0"/>
                    <w:jc w:val="center"/>
                    <w:rPr>
                      <w:color w:val="auto"/>
                      <w:sz w:val="18"/>
                      <w:szCs w:val="18"/>
                      <w:highlight w:val="none"/>
                    </w:rPr>
                  </w:pPr>
                  <w:r>
                    <w:rPr>
                      <w:rFonts w:hint="eastAsia"/>
                      <w:color w:val="auto"/>
                      <w:sz w:val="18"/>
                      <w:szCs w:val="18"/>
                      <w:highlight w:val="none"/>
                    </w:rPr>
                    <w:t>/</w:t>
                  </w:r>
                </w:p>
              </w:tc>
            </w:tr>
            <w:tr w14:paraId="382B8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820" w:type="dxa"/>
                  <w:tcBorders>
                    <w:tl2br w:val="nil"/>
                    <w:tr2bl w:val="nil"/>
                  </w:tcBorders>
                  <w:vAlign w:val="center"/>
                </w:tcPr>
                <w:p w14:paraId="06EA185E">
                  <w:pPr>
                    <w:adjustRightInd w:val="0"/>
                    <w:snapToGrid w:val="0"/>
                    <w:jc w:val="center"/>
                    <w:rPr>
                      <w:color w:val="auto"/>
                      <w:sz w:val="18"/>
                      <w:szCs w:val="18"/>
                      <w:highlight w:val="none"/>
                    </w:rPr>
                  </w:pPr>
                  <w:r>
                    <w:rPr>
                      <w:rFonts w:hint="eastAsia"/>
                      <w:color w:val="auto"/>
                      <w:sz w:val="18"/>
                      <w:szCs w:val="18"/>
                      <w:highlight w:val="none"/>
                    </w:rPr>
                    <w:t>7</w:t>
                  </w:r>
                </w:p>
              </w:tc>
              <w:tc>
                <w:tcPr>
                  <w:tcW w:w="3120" w:type="dxa"/>
                  <w:tcBorders>
                    <w:tl2br w:val="nil"/>
                    <w:tr2bl w:val="nil"/>
                  </w:tcBorders>
                  <w:shd w:val="clear" w:color="auto" w:fill="auto"/>
                  <w:vAlign w:val="center"/>
                </w:tcPr>
                <w:p w14:paraId="15D1CFC8">
                  <w:pPr>
                    <w:adjustRightInd w:val="0"/>
                    <w:snapToGrid w:val="0"/>
                    <w:jc w:val="center"/>
                    <w:rPr>
                      <w:color w:val="auto"/>
                      <w:sz w:val="18"/>
                      <w:szCs w:val="18"/>
                      <w:highlight w:val="none"/>
                    </w:rPr>
                  </w:pPr>
                  <w:r>
                    <w:rPr>
                      <w:rFonts w:hint="eastAsia"/>
                      <w:color w:val="auto"/>
                      <w:sz w:val="18"/>
                      <w:szCs w:val="18"/>
                      <w:highlight w:val="none"/>
                    </w:rPr>
                    <w:t>收到基低位发热量Qnet,ar、kcal/kg</w:t>
                  </w:r>
                </w:p>
              </w:tc>
              <w:tc>
                <w:tcPr>
                  <w:tcW w:w="1971" w:type="dxa"/>
                  <w:tcBorders>
                    <w:tl2br w:val="nil"/>
                    <w:tr2bl w:val="nil"/>
                  </w:tcBorders>
                  <w:vAlign w:val="center"/>
                </w:tcPr>
                <w:p w14:paraId="5A6E044C">
                  <w:pPr>
                    <w:adjustRightInd w:val="0"/>
                    <w:snapToGrid w:val="0"/>
                    <w:jc w:val="center"/>
                    <w:rPr>
                      <w:color w:val="auto"/>
                      <w:sz w:val="18"/>
                      <w:szCs w:val="18"/>
                      <w:highlight w:val="none"/>
                    </w:rPr>
                  </w:pPr>
                  <w:r>
                    <w:rPr>
                      <w:rFonts w:hint="eastAsia"/>
                      <w:color w:val="auto"/>
                      <w:sz w:val="18"/>
                      <w:szCs w:val="18"/>
                      <w:highlight w:val="none"/>
                    </w:rPr>
                    <w:t>5823</w:t>
                  </w:r>
                </w:p>
              </w:tc>
              <w:tc>
                <w:tcPr>
                  <w:tcW w:w="1083" w:type="dxa"/>
                  <w:tcBorders>
                    <w:tl2br w:val="nil"/>
                    <w:tr2bl w:val="nil"/>
                  </w:tcBorders>
                  <w:vAlign w:val="center"/>
                </w:tcPr>
                <w:p w14:paraId="2AC637D8">
                  <w:pPr>
                    <w:adjustRightInd w:val="0"/>
                    <w:snapToGrid w:val="0"/>
                    <w:jc w:val="center"/>
                    <w:rPr>
                      <w:color w:val="auto"/>
                      <w:sz w:val="18"/>
                      <w:szCs w:val="18"/>
                      <w:highlight w:val="none"/>
                    </w:rPr>
                  </w:pPr>
                  <w:r>
                    <w:rPr>
                      <w:rFonts w:hint="eastAsia"/>
                      <w:color w:val="auto"/>
                      <w:sz w:val="18"/>
                      <w:szCs w:val="18"/>
                      <w:highlight w:val="none"/>
                    </w:rPr>
                    <w:t>2460</w:t>
                  </w:r>
                </w:p>
              </w:tc>
              <w:tc>
                <w:tcPr>
                  <w:tcW w:w="1083" w:type="dxa"/>
                  <w:tcBorders>
                    <w:tl2br w:val="nil"/>
                    <w:tr2bl w:val="nil"/>
                  </w:tcBorders>
                  <w:vAlign w:val="center"/>
                </w:tcPr>
                <w:p w14:paraId="67C45768">
                  <w:pPr>
                    <w:adjustRightInd w:val="0"/>
                    <w:snapToGrid w:val="0"/>
                    <w:jc w:val="center"/>
                    <w:rPr>
                      <w:color w:val="auto"/>
                      <w:sz w:val="18"/>
                      <w:szCs w:val="18"/>
                      <w:highlight w:val="none"/>
                    </w:rPr>
                  </w:pPr>
                  <w:r>
                    <w:rPr>
                      <w:rFonts w:hint="eastAsia"/>
                      <w:color w:val="auto"/>
                      <w:sz w:val="18"/>
                      <w:szCs w:val="18"/>
                      <w:highlight w:val="none"/>
                    </w:rPr>
                    <w:t>/</w:t>
                  </w:r>
                </w:p>
              </w:tc>
            </w:tr>
          </w:tbl>
          <w:p w14:paraId="15C4CEE3">
            <w:pPr>
              <w:adjustRightInd w:val="0"/>
              <w:snapToGrid w:val="0"/>
              <w:jc w:val="center"/>
              <w:rPr>
                <w:b/>
                <w:bCs/>
                <w:color w:val="auto"/>
                <w:szCs w:val="21"/>
                <w:highlight w:val="none"/>
              </w:rPr>
            </w:pPr>
            <w:r>
              <w:rPr>
                <w:rFonts w:hint="eastAsia"/>
                <w:b/>
                <w:bCs/>
                <w:color w:val="auto"/>
                <w:szCs w:val="21"/>
                <w:highlight w:val="none"/>
              </w:rPr>
              <w:t>2-5人造土壤基质产品指标一览表</w:t>
            </w:r>
          </w:p>
          <w:tbl>
            <w:tblPr>
              <w:tblStyle w:val="23"/>
              <w:tblW w:w="81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2803"/>
              <w:gridCol w:w="3674"/>
            </w:tblGrid>
            <w:tr w14:paraId="656C3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119" w:type="dxa"/>
                  <w:gridSpan w:val="3"/>
                  <w:tcBorders>
                    <w:tl2br w:val="nil"/>
                    <w:tr2bl w:val="nil"/>
                  </w:tcBorders>
                  <w:shd w:val="clear" w:color="auto" w:fill="auto"/>
                  <w:vAlign w:val="center"/>
                </w:tcPr>
                <w:p w14:paraId="42CBD2D0">
                  <w:pPr>
                    <w:adjustRightInd w:val="0"/>
                    <w:snapToGrid w:val="0"/>
                    <w:jc w:val="center"/>
                    <w:rPr>
                      <w:color w:val="auto"/>
                      <w:sz w:val="18"/>
                      <w:szCs w:val="18"/>
                      <w:highlight w:val="none"/>
                    </w:rPr>
                  </w:pPr>
                  <w:r>
                    <w:rPr>
                      <w:rFonts w:hint="eastAsia"/>
                      <w:color w:val="auto"/>
                      <w:sz w:val="18"/>
                      <w:szCs w:val="18"/>
                      <w:highlight w:val="none"/>
                    </w:rPr>
                    <w:t>《煤矸石基人造土壤基质》（T/CCEMA 0006-2024）</w:t>
                  </w:r>
                </w:p>
              </w:tc>
            </w:tr>
            <w:tr w14:paraId="0EE01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28585281">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感官指标</w:t>
                  </w:r>
                </w:p>
              </w:tc>
              <w:tc>
                <w:tcPr>
                  <w:tcW w:w="2803" w:type="dxa"/>
                  <w:tcBorders>
                    <w:tl2br w:val="nil"/>
                    <w:tr2bl w:val="nil"/>
                  </w:tcBorders>
                  <w:vAlign w:val="center"/>
                </w:tcPr>
                <w:p w14:paraId="2F94AAE7">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外包装</w:t>
                  </w:r>
                </w:p>
              </w:tc>
              <w:tc>
                <w:tcPr>
                  <w:tcW w:w="3674" w:type="dxa"/>
                  <w:tcBorders>
                    <w:tl2br w:val="nil"/>
                    <w:tr2bl w:val="nil"/>
                  </w:tcBorders>
                  <w:shd w:val="clear" w:color="auto" w:fill="auto"/>
                  <w:vAlign w:val="center"/>
                </w:tcPr>
                <w:p w14:paraId="1E6BE559">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洁净、无破损</w:t>
                  </w:r>
                </w:p>
              </w:tc>
            </w:tr>
            <w:tr w14:paraId="519F5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8F6FB4F">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7CE03897">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性状</w:t>
                  </w:r>
                </w:p>
              </w:tc>
              <w:tc>
                <w:tcPr>
                  <w:tcW w:w="3674" w:type="dxa"/>
                  <w:tcBorders>
                    <w:tl2br w:val="nil"/>
                    <w:tr2bl w:val="nil"/>
                  </w:tcBorders>
                  <w:vAlign w:val="center"/>
                </w:tcPr>
                <w:p w14:paraId="5A8462B7">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呈不规则颗粒状，最大粒径不超过5.0mm</w:t>
                  </w:r>
                </w:p>
              </w:tc>
            </w:tr>
            <w:tr w14:paraId="5DDB1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E7D55E3">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4FBC3E7C">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色泽</w:t>
                  </w:r>
                </w:p>
              </w:tc>
              <w:tc>
                <w:tcPr>
                  <w:tcW w:w="3674" w:type="dxa"/>
                  <w:tcBorders>
                    <w:tl2br w:val="nil"/>
                    <w:tr2bl w:val="nil"/>
                  </w:tcBorders>
                  <w:vAlign w:val="center"/>
                </w:tcPr>
                <w:p w14:paraId="06AB07CF">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呈规定颜色（整体灰黑色）</w:t>
                  </w:r>
                </w:p>
              </w:tc>
            </w:tr>
            <w:tr w14:paraId="070D2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8C5728C">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294B7D5D">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气味</w:t>
                  </w:r>
                </w:p>
              </w:tc>
              <w:tc>
                <w:tcPr>
                  <w:tcW w:w="3674" w:type="dxa"/>
                  <w:tcBorders>
                    <w:tl2br w:val="nil"/>
                    <w:tr2bl w:val="nil"/>
                  </w:tcBorders>
                  <w:vAlign w:val="center"/>
                </w:tcPr>
                <w:p w14:paraId="333E4C34">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无刺激性气味</w:t>
                  </w:r>
                </w:p>
              </w:tc>
            </w:tr>
            <w:tr w14:paraId="1CFB1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1F3E42D9">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技术指标</w:t>
                  </w:r>
                </w:p>
              </w:tc>
              <w:tc>
                <w:tcPr>
                  <w:tcW w:w="2803" w:type="dxa"/>
                  <w:tcBorders>
                    <w:tl2br w:val="nil"/>
                    <w:tr2bl w:val="nil"/>
                  </w:tcBorders>
                  <w:vAlign w:val="center"/>
                </w:tcPr>
                <w:p w14:paraId="0D88A3F4">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有机质含量（以烘干基计），g/kg</w:t>
                  </w:r>
                </w:p>
              </w:tc>
              <w:tc>
                <w:tcPr>
                  <w:tcW w:w="3674" w:type="dxa"/>
                  <w:tcBorders>
                    <w:tl2br w:val="nil"/>
                    <w:tr2bl w:val="nil"/>
                  </w:tcBorders>
                  <w:vAlign w:val="center"/>
                </w:tcPr>
                <w:p w14:paraId="603ED22D">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30</w:t>
                  </w:r>
                </w:p>
              </w:tc>
            </w:tr>
            <w:tr w14:paraId="32F5E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28AC9875">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7F8AC977">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lang w:val="en-US" w:eastAsia="zh-CN"/>
                    </w:rPr>
                    <w:t>p</w:t>
                  </w:r>
                  <w:r>
                    <w:rPr>
                      <w:rFonts w:ascii="Times New Roman" w:hAnsi="Times New Roman"/>
                      <w:color w:val="auto"/>
                      <w:sz w:val="18"/>
                      <w:szCs w:val="18"/>
                      <w:highlight w:val="none"/>
                    </w:rPr>
                    <w:t>H</w:t>
                  </w:r>
                </w:p>
              </w:tc>
              <w:tc>
                <w:tcPr>
                  <w:tcW w:w="3674" w:type="dxa"/>
                  <w:tcBorders>
                    <w:tl2br w:val="nil"/>
                    <w:tr2bl w:val="nil"/>
                  </w:tcBorders>
                  <w:vAlign w:val="center"/>
                </w:tcPr>
                <w:p w14:paraId="5683085D">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5.0-8.0</w:t>
                  </w:r>
                </w:p>
              </w:tc>
            </w:tr>
            <w:tr w14:paraId="49999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E330C0A">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0AFB2205">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粒度（0-3.0mm），%</w:t>
                  </w:r>
                </w:p>
              </w:tc>
              <w:tc>
                <w:tcPr>
                  <w:tcW w:w="3674" w:type="dxa"/>
                  <w:tcBorders>
                    <w:tl2br w:val="nil"/>
                    <w:tr2bl w:val="nil"/>
                  </w:tcBorders>
                  <w:vAlign w:val="center"/>
                </w:tcPr>
                <w:p w14:paraId="0393F31A">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90</w:t>
                  </w:r>
                </w:p>
              </w:tc>
            </w:tr>
            <w:tr w14:paraId="72446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6311AD64">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5C8611E8">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容重，g/cm</w:t>
                  </w:r>
                  <w:r>
                    <w:rPr>
                      <w:rFonts w:hint="eastAsia" w:ascii="Times New Roman" w:hAnsi="Times New Roman"/>
                      <w:color w:val="auto"/>
                      <w:sz w:val="18"/>
                      <w:szCs w:val="18"/>
                      <w:highlight w:val="none"/>
                      <w:vertAlign w:val="superscript"/>
                    </w:rPr>
                    <w:t>3</w:t>
                  </w:r>
                </w:p>
              </w:tc>
              <w:tc>
                <w:tcPr>
                  <w:tcW w:w="3674" w:type="dxa"/>
                  <w:tcBorders>
                    <w:tl2br w:val="nil"/>
                    <w:tr2bl w:val="nil"/>
                  </w:tcBorders>
                  <w:vAlign w:val="center"/>
                </w:tcPr>
                <w:p w14:paraId="5E4DBA58">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1.4</w:t>
                  </w:r>
                </w:p>
              </w:tc>
            </w:tr>
            <w:tr w14:paraId="6BF54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66CC4058">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7F41D4CF">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容重g/cm</w:t>
                  </w:r>
                  <w:r>
                    <w:rPr>
                      <w:rFonts w:ascii="Times New Roman" w:hAnsi="Times New Roman"/>
                      <w:color w:val="auto"/>
                      <w:sz w:val="18"/>
                      <w:szCs w:val="18"/>
                      <w:highlight w:val="none"/>
                      <w:vertAlign w:val="superscript"/>
                    </w:rPr>
                    <w:t>3</w:t>
                  </w:r>
                </w:p>
              </w:tc>
              <w:tc>
                <w:tcPr>
                  <w:tcW w:w="3674" w:type="dxa"/>
                  <w:tcBorders>
                    <w:tl2br w:val="nil"/>
                    <w:tr2bl w:val="nil"/>
                  </w:tcBorders>
                  <w:vAlign w:val="center"/>
                </w:tcPr>
                <w:p w14:paraId="28913408">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1.1-1.4</w:t>
                  </w:r>
                </w:p>
              </w:tc>
            </w:tr>
            <w:tr w14:paraId="7841A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4C49D38C">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生态指标</w:t>
                  </w:r>
                </w:p>
              </w:tc>
              <w:tc>
                <w:tcPr>
                  <w:tcW w:w="2803" w:type="dxa"/>
                  <w:tcBorders>
                    <w:tl2br w:val="nil"/>
                    <w:tr2bl w:val="nil"/>
                  </w:tcBorders>
                  <w:vAlign w:val="center"/>
                </w:tcPr>
                <w:p w14:paraId="66AAD31D">
                  <w:pPr>
                    <w:widowControl/>
                    <w:jc w:val="left"/>
                    <w:rPr>
                      <w:color w:val="auto"/>
                      <w:sz w:val="18"/>
                      <w:szCs w:val="18"/>
                      <w:highlight w:val="none"/>
                    </w:rPr>
                  </w:pPr>
                  <w:r>
                    <w:rPr>
                      <w:color w:val="auto"/>
                      <w:kern w:val="0"/>
                      <w:sz w:val="18"/>
                      <w:szCs w:val="18"/>
                      <w:highlight w:val="none"/>
                    </w:rPr>
                    <w:t>砷及其化合物（以As计），mg/kg</w:t>
                  </w:r>
                </w:p>
              </w:tc>
              <w:tc>
                <w:tcPr>
                  <w:tcW w:w="3674" w:type="dxa"/>
                  <w:tcBorders>
                    <w:tl2br w:val="nil"/>
                    <w:tr2bl w:val="nil"/>
                  </w:tcBorders>
                  <w:vAlign w:val="center"/>
                </w:tcPr>
                <w:p w14:paraId="3FC7A3A1">
                  <w:pPr>
                    <w:widowControl/>
                    <w:jc w:val="center"/>
                    <w:rPr>
                      <w:color w:val="auto"/>
                      <w:sz w:val="18"/>
                      <w:szCs w:val="18"/>
                      <w:highlight w:val="none"/>
                    </w:rPr>
                  </w:pPr>
                  <w:r>
                    <w:rPr>
                      <w:color w:val="auto"/>
                      <w:sz w:val="18"/>
                      <w:szCs w:val="18"/>
                      <w:highlight w:val="none"/>
                    </w:rPr>
                    <w:t>≤</w:t>
                  </w:r>
                  <w:r>
                    <w:rPr>
                      <w:rFonts w:hint="eastAsia"/>
                      <w:color w:val="auto"/>
                      <w:sz w:val="18"/>
                      <w:szCs w:val="18"/>
                      <w:highlight w:val="none"/>
                    </w:rPr>
                    <w:t>4</w:t>
                  </w:r>
                  <w:r>
                    <w:rPr>
                      <w:color w:val="auto"/>
                      <w:kern w:val="0"/>
                      <w:sz w:val="18"/>
                      <w:szCs w:val="18"/>
                      <w:highlight w:val="none"/>
                    </w:rPr>
                    <w:t>0</w:t>
                  </w:r>
                </w:p>
              </w:tc>
            </w:tr>
            <w:tr w14:paraId="62E10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043D45B7">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4E7EE87D">
                  <w:pPr>
                    <w:pStyle w:val="31"/>
                    <w:jc w:val="center"/>
                    <w:rPr>
                      <w:rFonts w:ascii="Times New Roman" w:hAnsi="Times New Roman"/>
                      <w:color w:val="auto"/>
                      <w:sz w:val="18"/>
                      <w:szCs w:val="18"/>
                      <w:highlight w:val="none"/>
                    </w:rPr>
                  </w:pPr>
                  <w:r>
                    <w:rPr>
                      <w:rFonts w:hint="eastAsia" w:ascii="Times New Roman" w:hAnsi="Times New Roman"/>
                      <w:color w:val="auto"/>
                      <w:kern w:val="0"/>
                      <w:sz w:val="18"/>
                      <w:szCs w:val="18"/>
                      <w:highlight w:val="none"/>
                    </w:rPr>
                    <w:t>镉</w:t>
                  </w:r>
                  <w:r>
                    <w:rPr>
                      <w:rFonts w:ascii="Times New Roman" w:hAnsi="Times New Roman"/>
                      <w:color w:val="auto"/>
                      <w:kern w:val="0"/>
                      <w:sz w:val="18"/>
                      <w:szCs w:val="18"/>
                      <w:highlight w:val="none"/>
                    </w:rPr>
                    <w:t>及其化合物（以</w:t>
                  </w:r>
                  <w:r>
                    <w:rPr>
                      <w:rFonts w:hint="eastAsia" w:ascii="Times New Roman" w:hAnsi="Times New Roman"/>
                      <w:color w:val="auto"/>
                      <w:kern w:val="0"/>
                      <w:sz w:val="18"/>
                      <w:szCs w:val="18"/>
                      <w:highlight w:val="none"/>
                    </w:rPr>
                    <w:t>Cd</w:t>
                  </w:r>
                  <w:r>
                    <w:rPr>
                      <w:rFonts w:ascii="Times New Roman" w:hAnsi="Times New Roman"/>
                      <w:color w:val="auto"/>
                      <w:kern w:val="0"/>
                      <w:sz w:val="18"/>
                      <w:szCs w:val="18"/>
                      <w:highlight w:val="none"/>
                    </w:rPr>
                    <w:t>计），mg/kg</w:t>
                  </w:r>
                </w:p>
              </w:tc>
              <w:tc>
                <w:tcPr>
                  <w:tcW w:w="3674" w:type="dxa"/>
                  <w:tcBorders>
                    <w:tl2br w:val="nil"/>
                    <w:tr2bl w:val="nil"/>
                  </w:tcBorders>
                  <w:vAlign w:val="center"/>
                </w:tcPr>
                <w:p w14:paraId="2B8AF452">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0.6</w:t>
                  </w:r>
                </w:p>
              </w:tc>
            </w:tr>
            <w:tr w14:paraId="6AFC0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FB81D81">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21869D53">
                  <w:pPr>
                    <w:pStyle w:val="31"/>
                    <w:jc w:val="center"/>
                    <w:rPr>
                      <w:rFonts w:ascii="Times New Roman" w:hAnsi="Times New Roman"/>
                      <w:color w:val="auto"/>
                      <w:sz w:val="18"/>
                      <w:szCs w:val="18"/>
                      <w:highlight w:val="none"/>
                    </w:rPr>
                  </w:pPr>
                  <w:r>
                    <w:rPr>
                      <w:rFonts w:hint="eastAsia" w:ascii="Times New Roman" w:hAnsi="Times New Roman"/>
                      <w:color w:val="auto"/>
                      <w:kern w:val="0"/>
                      <w:sz w:val="18"/>
                      <w:szCs w:val="18"/>
                      <w:highlight w:val="none"/>
                    </w:rPr>
                    <w:t>铅</w:t>
                  </w:r>
                  <w:r>
                    <w:rPr>
                      <w:rFonts w:ascii="Times New Roman" w:hAnsi="Times New Roman"/>
                      <w:color w:val="auto"/>
                      <w:kern w:val="0"/>
                      <w:sz w:val="18"/>
                      <w:szCs w:val="18"/>
                      <w:highlight w:val="none"/>
                    </w:rPr>
                    <w:t>及其化合物（以</w:t>
                  </w:r>
                  <w:r>
                    <w:rPr>
                      <w:rFonts w:hint="eastAsia" w:ascii="Times New Roman" w:hAnsi="Times New Roman"/>
                      <w:color w:val="auto"/>
                      <w:kern w:val="0"/>
                      <w:sz w:val="18"/>
                      <w:szCs w:val="18"/>
                      <w:highlight w:val="none"/>
                    </w:rPr>
                    <w:t>Pb</w:t>
                  </w:r>
                  <w:r>
                    <w:rPr>
                      <w:rFonts w:ascii="Times New Roman" w:hAnsi="Times New Roman"/>
                      <w:color w:val="auto"/>
                      <w:kern w:val="0"/>
                      <w:sz w:val="18"/>
                      <w:szCs w:val="18"/>
                      <w:highlight w:val="none"/>
                    </w:rPr>
                    <w:t>计），mg/kg</w:t>
                  </w:r>
                </w:p>
              </w:tc>
              <w:tc>
                <w:tcPr>
                  <w:tcW w:w="3674" w:type="dxa"/>
                  <w:tcBorders>
                    <w:tl2br w:val="nil"/>
                    <w:tr2bl w:val="nil"/>
                  </w:tcBorders>
                  <w:vAlign w:val="center"/>
                </w:tcPr>
                <w:p w14:paraId="74D51A5B">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70</w:t>
                  </w:r>
                </w:p>
              </w:tc>
            </w:tr>
            <w:tr w14:paraId="3C2E0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17728EB">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2499DACB">
                  <w:pPr>
                    <w:pStyle w:val="31"/>
                    <w:jc w:val="center"/>
                    <w:rPr>
                      <w:rFonts w:ascii="Times New Roman" w:hAnsi="Times New Roman"/>
                      <w:color w:val="auto"/>
                      <w:sz w:val="18"/>
                      <w:szCs w:val="18"/>
                      <w:highlight w:val="none"/>
                    </w:rPr>
                  </w:pPr>
                  <w:r>
                    <w:rPr>
                      <w:rFonts w:hint="eastAsia" w:ascii="Times New Roman" w:hAnsi="Times New Roman"/>
                      <w:color w:val="auto"/>
                      <w:kern w:val="0"/>
                      <w:sz w:val="18"/>
                      <w:szCs w:val="18"/>
                      <w:highlight w:val="none"/>
                    </w:rPr>
                    <w:t>铬</w:t>
                  </w:r>
                  <w:r>
                    <w:rPr>
                      <w:rFonts w:ascii="Times New Roman" w:hAnsi="Times New Roman"/>
                      <w:color w:val="auto"/>
                      <w:kern w:val="0"/>
                      <w:sz w:val="18"/>
                      <w:szCs w:val="18"/>
                      <w:highlight w:val="none"/>
                    </w:rPr>
                    <w:t>及其化合物（以</w:t>
                  </w:r>
                  <w:r>
                    <w:rPr>
                      <w:rFonts w:hint="eastAsia" w:ascii="Times New Roman" w:hAnsi="Times New Roman"/>
                      <w:color w:val="auto"/>
                      <w:kern w:val="0"/>
                      <w:sz w:val="18"/>
                      <w:szCs w:val="18"/>
                      <w:highlight w:val="none"/>
                    </w:rPr>
                    <w:t>Cr</w:t>
                  </w:r>
                  <w:r>
                    <w:rPr>
                      <w:rFonts w:ascii="Times New Roman" w:hAnsi="Times New Roman"/>
                      <w:color w:val="auto"/>
                      <w:kern w:val="0"/>
                      <w:sz w:val="18"/>
                      <w:szCs w:val="18"/>
                      <w:highlight w:val="none"/>
                    </w:rPr>
                    <w:t>计），mg/kg</w:t>
                  </w:r>
                </w:p>
              </w:tc>
              <w:tc>
                <w:tcPr>
                  <w:tcW w:w="3674" w:type="dxa"/>
                  <w:tcBorders>
                    <w:tl2br w:val="nil"/>
                    <w:tr2bl w:val="nil"/>
                  </w:tcBorders>
                  <w:vAlign w:val="center"/>
                </w:tcPr>
                <w:p w14:paraId="37223D8F">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250</w:t>
                  </w:r>
                </w:p>
              </w:tc>
            </w:tr>
            <w:tr w14:paraId="19DCFD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EDA9E21">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5B9624BE">
                  <w:pPr>
                    <w:pStyle w:val="31"/>
                    <w:jc w:val="center"/>
                    <w:rPr>
                      <w:rFonts w:ascii="Times New Roman" w:hAnsi="Times New Roman"/>
                      <w:color w:val="auto"/>
                      <w:sz w:val="18"/>
                      <w:szCs w:val="18"/>
                      <w:highlight w:val="none"/>
                    </w:rPr>
                  </w:pPr>
                  <w:r>
                    <w:rPr>
                      <w:rFonts w:hint="eastAsia" w:ascii="Times New Roman" w:hAnsi="Times New Roman"/>
                      <w:color w:val="auto"/>
                      <w:kern w:val="0"/>
                      <w:sz w:val="18"/>
                      <w:szCs w:val="18"/>
                      <w:highlight w:val="none"/>
                    </w:rPr>
                    <w:t>汞</w:t>
                  </w:r>
                  <w:r>
                    <w:rPr>
                      <w:rFonts w:ascii="Times New Roman" w:hAnsi="Times New Roman"/>
                      <w:color w:val="auto"/>
                      <w:kern w:val="0"/>
                      <w:sz w:val="18"/>
                      <w:szCs w:val="18"/>
                      <w:highlight w:val="none"/>
                    </w:rPr>
                    <w:t>及其化合物（以</w:t>
                  </w:r>
                  <w:r>
                    <w:rPr>
                      <w:rFonts w:hint="eastAsia" w:ascii="Times New Roman" w:hAnsi="Times New Roman"/>
                      <w:color w:val="auto"/>
                      <w:kern w:val="0"/>
                      <w:sz w:val="18"/>
                      <w:szCs w:val="18"/>
                      <w:highlight w:val="none"/>
                    </w:rPr>
                    <w:t>Hg</w:t>
                  </w:r>
                  <w:r>
                    <w:rPr>
                      <w:rFonts w:ascii="Times New Roman" w:hAnsi="Times New Roman"/>
                      <w:color w:val="auto"/>
                      <w:kern w:val="0"/>
                      <w:sz w:val="18"/>
                      <w:szCs w:val="18"/>
                      <w:highlight w:val="none"/>
                    </w:rPr>
                    <w:t>计），mg/kg</w:t>
                  </w:r>
                </w:p>
              </w:tc>
              <w:tc>
                <w:tcPr>
                  <w:tcW w:w="3674" w:type="dxa"/>
                  <w:tcBorders>
                    <w:tl2br w:val="nil"/>
                    <w:tr2bl w:val="nil"/>
                  </w:tcBorders>
                  <w:vAlign w:val="center"/>
                </w:tcPr>
                <w:p w14:paraId="32B48580">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w:t>
                  </w:r>
                  <w:r>
                    <w:rPr>
                      <w:rFonts w:hint="eastAsia" w:ascii="Times New Roman" w:hAnsi="Times New Roman"/>
                      <w:color w:val="auto"/>
                      <w:sz w:val="18"/>
                      <w:szCs w:val="18"/>
                      <w:highlight w:val="none"/>
                    </w:rPr>
                    <w:t>1.8</w:t>
                  </w:r>
                </w:p>
              </w:tc>
            </w:tr>
            <w:tr w14:paraId="169E3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restart"/>
                  <w:tcBorders>
                    <w:tl2br w:val="nil"/>
                    <w:tr2bl w:val="nil"/>
                  </w:tcBorders>
                  <w:vAlign w:val="center"/>
                </w:tcPr>
                <w:p w14:paraId="18608CF4">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人造土壤基质各原料用途</w:t>
                  </w:r>
                </w:p>
              </w:tc>
              <w:tc>
                <w:tcPr>
                  <w:tcW w:w="2803" w:type="dxa"/>
                  <w:tcBorders>
                    <w:tl2br w:val="nil"/>
                    <w:tr2bl w:val="nil"/>
                  </w:tcBorders>
                  <w:vAlign w:val="center"/>
                </w:tcPr>
                <w:p w14:paraId="26F97516">
                  <w:pPr>
                    <w:adjustRightInd w:val="0"/>
                    <w:snapToGrid w:val="0"/>
                    <w:jc w:val="center"/>
                    <w:rPr>
                      <w:color w:val="auto"/>
                      <w:sz w:val="18"/>
                      <w:szCs w:val="18"/>
                      <w:highlight w:val="none"/>
                    </w:rPr>
                  </w:pPr>
                  <w:r>
                    <w:rPr>
                      <w:rFonts w:hint="eastAsia"/>
                      <w:color w:val="auto"/>
                      <w:sz w:val="18"/>
                      <w:szCs w:val="18"/>
                      <w:highlight w:val="none"/>
                    </w:rPr>
                    <w:t>粉煤灰</w:t>
                  </w:r>
                </w:p>
              </w:tc>
              <w:tc>
                <w:tcPr>
                  <w:tcW w:w="3674" w:type="dxa"/>
                  <w:tcBorders>
                    <w:tl2br w:val="nil"/>
                    <w:tr2bl w:val="nil"/>
                  </w:tcBorders>
                  <w:vAlign w:val="center"/>
                </w:tcPr>
                <w:p w14:paraId="0F26DACC">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作为良好的矿物添加剂，改善土壤的物理性质和化学性质</w:t>
                  </w:r>
                </w:p>
              </w:tc>
            </w:tr>
            <w:tr w14:paraId="0F5B7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4879CE67">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661064C3">
                  <w:pPr>
                    <w:adjustRightInd w:val="0"/>
                    <w:snapToGrid w:val="0"/>
                    <w:jc w:val="center"/>
                    <w:rPr>
                      <w:color w:val="auto"/>
                      <w:sz w:val="18"/>
                      <w:szCs w:val="18"/>
                      <w:highlight w:val="none"/>
                    </w:rPr>
                  </w:pPr>
                  <w:r>
                    <w:rPr>
                      <w:rFonts w:hint="eastAsia"/>
                      <w:color w:val="auto"/>
                      <w:sz w:val="18"/>
                      <w:szCs w:val="18"/>
                      <w:highlight w:val="none"/>
                    </w:rPr>
                    <w:t>炉渣</w:t>
                  </w:r>
                </w:p>
              </w:tc>
              <w:tc>
                <w:tcPr>
                  <w:tcW w:w="3674" w:type="dxa"/>
                  <w:tcBorders>
                    <w:tl2br w:val="nil"/>
                    <w:tr2bl w:val="nil"/>
                  </w:tcBorders>
                  <w:shd w:val="clear" w:color="auto" w:fill="auto"/>
                  <w:vAlign w:val="center"/>
                </w:tcPr>
                <w:p w14:paraId="51E8CEB3">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改善土壤结构，增加土壤通透性和保水性,有利于植物的根系生长和发育</w:t>
                  </w:r>
                  <w:r>
                    <w:rPr>
                      <w:rFonts w:ascii="Times New Roman" w:hAnsi="Times New Roman"/>
                      <w:color w:val="auto"/>
                      <w:sz w:val="18"/>
                      <w:szCs w:val="18"/>
                      <w:highlight w:val="none"/>
                    </w:rPr>
                    <w:t>。</w:t>
                  </w:r>
                </w:p>
              </w:tc>
            </w:tr>
            <w:tr w14:paraId="516512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42F0E57">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0986C15C">
                  <w:pPr>
                    <w:adjustRightInd w:val="0"/>
                    <w:snapToGrid w:val="0"/>
                    <w:jc w:val="center"/>
                    <w:rPr>
                      <w:color w:val="auto"/>
                      <w:sz w:val="18"/>
                      <w:szCs w:val="18"/>
                      <w:highlight w:val="none"/>
                    </w:rPr>
                  </w:pPr>
                  <w:r>
                    <w:rPr>
                      <w:rFonts w:hint="eastAsia"/>
                      <w:color w:val="auto"/>
                      <w:sz w:val="18"/>
                      <w:szCs w:val="18"/>
                      <w:highlight w:val="none"/>
                    </w:rPr>
                    <w:t>脱硫石膏</w:t>
                  </w:r>
                </w:p>
              </w:tc>
              <w:tc>
                <w:tcPr>
                  <w:tcW w:w="3674" w:type="dxa"/>
                  <w:tcBorders>
                    <w:tl2br w:val="nil"/>
                    <w:tr2bl w:val="nil"/>
                  </w:tcBorders>
                  <w:vAlign w:val="center"/>
                </w:tcPr>
                <w:p w14:paraId="4B1FEC85">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脱硫石膏含钙、铁、锌、锰等微量元素，可补充缺乏这些元素的土壤，促进植物生长</w:t>
                  </w:r>
                  <w:r>
                    <w:rPr>
                      <w:rFonts w:ascii="Times New Roman" w:hAnsi="Times New Roman"/>
                      <w:color w:val="auto"/>
                      <w:sz w:val="18"/>
                      <w:szCs w:val="18"/>
                      <w:highlight w:val="none"/>
                    </w:rPr>
                    <w:t> </w:t>
                  </w:r>
                </w:p>
              </w:tc>
            </w:tr>
            <w:tr w14:paraId="09384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72E7D3D9">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60EC0AD4">
                  <w:pPr>
                    <w:adjustRightInd w:val="0"/>
                    <w:snapToGrid w:val="0"/>
                    <w:jc w:val="center"/>
                    <w:rPr>
                      <w:color w:val="auto"/>
                      <w:sz w:val="18"/>
                      <w:szCs w:val="18"/>
                      <w:highlight w:val="none"/>
                    </w:rPr>
                  </w:pPr>
                  <w:r>
                    <w:rPr>
                      <w:rFonts w:hint="eastAsia"/>
                      <w:color w:val="auto"/>
                      <w:sz w:val="18"/>
                      <w:szCs w:val="18"/>
                      <w:highlight w:val="none"/>
                    </w:rPr>
                    <w:t>水处理污泥</w:t>
                  </w:r>
                </w:p>
              </w:tc>
              <w:tc>
                <w:tcPr>
                  <w:tcW w:w="3674" w:type="dxa"/>
                  <w:vMerge w:val="restart"/>
                  <w:tcBorders>
                    <w:tl2br w:val="nil"/>
                    <w:tr2bl w:val="nil"/>
                  </w:tcBorders>
                  <w:vAlign w:val="center"/>
                </w:tcPr>
                <w:p w14:paraId="6288E721">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提高土壤中的有机质含量，改善土壤化学性质</w:t>
                  </w:r>
                </w:p>
              </w:tc>
            </w:tr>
            <w:tr w14:paraId="469B9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5BD401A2">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45ACE92B">
                  <w:pPr>
                    <w:adjustRightInd w:val="0"/>
                    <w:snapToGrid w:val="0"/>
                    <w:jc w:val="center"/>
                    <w:rPr>
                      <w:color w:val="auto"/>
                      <w:sz w:val="18"/>
                      <w:szCs w:val="18"/>
                      <w:highlight w:val="none"/>
                    </w:rPr>
                  </w:pPr>
                  <w:r>
                    <w:rPr>
                      <w:rFonts w:hint="eastAsia"/>
                      <w:color w:val="auto"/>
                      <w:sz w:val="18"/>
                      <w:szCs w:val="18"/>
                      <w:highlight w:val="none"/>
                    </w:rPr>
                    <w:t>有机肥</w:t>
                  </w:r>
                </w:p>
              </w:tc>
              <w:tc>
                <w:tcPr>
                  <w:tcW w:w="3674" w:type="dxa"/>
                  <w:vMerge w:val="continue"/>
                  <w:tcBorders>
                    <w:tl2br w:val="nil"/>
                    <w:tr2bl w:val="nil"/>
                  </w:tcBorders>
                  <w:vAlign w:val="center"/>
                </w:tcPr>
                <w:p w14:paraId="0CC4BC32">
                  <w:pPr>
                    <w:pStyle w:val="31"/>
                    <w:jc w:val="center"/>
                    <w:rPr>
                      <w:rFonts w:ascii="Times New Roman" w:hAnsi="Times New Roman"/>
                      <w:color w:val="auto"/>
                      <w:sz w:val="18"/>
                      <w:szCs w:val="18"/>
                      <w:highlight w:val="none"/>
                    </w:rPr>
                  </w:pPr>
                </w:p>
              </w:tc>
            </w:tr>
            <w:tr w14:paraId="27FC9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019CB3B4">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6B9487A8">
                  <w:pPr>
                    <w:adjustRightInd w:val="0"/>
                    <w:snapToGrid w:val="0"/>
                    <w:jc w:val="center"/>
                    <w:rPr>
                      <w:color w:val="auto"/>
                      <w:sz w:val="18"/>
                      <w:szCs w:val="18"/>
                      <w:highlight w:val="none"/>
                    </w:rPr>
                  </w:pPr>
                  <w:r>
                    <w:rPr>
                      <w:rFonts w:hint="eastAsia"/>
                      <w:color w:val="auto"/>
                      <w:sz w:val="18"/>
                      <w:szCs w:val="18"/>
                      <w:highlight w:val="none"/>
                    </w:rPr>
                    <w:t>秸秆</w:t>
                  </w:r>
                </w:p>
              </w:tc>
              <w:tc>
                <w:tcPr>
                  <w:tcW w:w="3674" w:type="dxa"/>
                  <w:vMerge w:val="continue"/>
                  <w:tcBorders>
                    <w:tl2br w:val="nil"/>
                    <w:tr2bl w:val="nil"/>
                  </w:tcBorders>
                  <w:vAlign w:val="center"/>
                </w:tcPr>
                <w:p w14:paraId="7F28BA69">
                  <w:pPr>
                    <w:pStyle w:val="31"/>
                    <w:jc w:val="center"/>
                    <w:rPr>
                      <w:rFonts w:ascii="Times New Roman" w:hAnsi="Times New Roman"/>
                      <w:color w:val="auto"/>
                      <w:sz w:val="18"/>
                      <w:szCs w:val="18"/>
                      <w:highlight w:val="none"/>
                    </w:rPr>
                  </w:pPr>
                </w:p>
              </w:tc>
            </w:tr>
            <w:tr w14:paraId="745E5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24EB8BC7">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788FB89C">
                  <w:pPr>
                    <w:adjustRightInd w:val="0"/>
                    <w:snapToGrid w:val="0"/>
                    <w:jc w:val="center"/>
                    <w:rPr>
                      <w:color w:val="auto"/>
                      <w:sz w:val="18"/>
                      <w:szCs w:val="18"/>
                      <w:highlight w:val="none"/>
                    </w:rPr>
                  </w:pPr>
                  <w:r>
                    <w:rPr>
                      <w:rFonts w:hint="eastAsia"/>
                      <w:color w:val="auto"/>
                      <w:sz w:val="18"/>
                      <w:szCs w:val="18"/>
                      <w:highlight w:val="none"/>
                    </w:rPr>
                    <w:t>尾煤泥</w:t>
                  </w:r>
                </w:p>
              </w:tc>
              <w:tc>
                <w:tcPr>
                  <w:tcW w:w="3674" w:type="dxa"/>
                  <w:tcBorders>
                    <w:tl2br w:val="nil"/>
                    <w:tr2bl w:val="nil"/>
                  </w:tcBorders>
                  <w:vAlign w:val="center"/>
                </w:tcPr>
                <w:p w14:paraId="4D768ACF">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煤泥基质具有多孔性和疏松特性，可打破黏性土壤板结，提升透气性与透水性</w:t>
                  </w:r>
                </w:p>
              </w:tc>
            </w:tr>
            <w:tr w14:paraId="15DD7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642" w:type="dxa"/>
                  <w:vMerge w:val="continue"/>
                  <w:tcBorders>
                    <w:tl2br w:val="nil"/>
                    <w:tr2bl w:val="nil"/>
                  </w:tcBorders>
                  <w:vAlign w:val="center"/>
                </w:tcPr>
                <w:p w14:paraId="0FE4B43E">
                  <w:pPr>
                    <w:pStyle w:val="31"/>
                    <w:jc w:val="center"/>
                    <w:rPr>
                      <w:rFonts w:ascii="Times New Roman" w:hAnsi="Times New Roman"/>
                      <w:color w:val="auto"/>
                      <w:sz w:val="18"/>
                      <w:szCs w:val="18"/>
                      <w:highlight w:val="none"/>
                    </w:rPr>
                  </w:pPr>
                </w:p>
              </w:tc>
              <w:tc>
                <w:tcPr>
                  <w:tcW w:w="2803" w:type="dxa"/>
                  <w:tcBorders>
                    <w:tl2br w:val="nil"/>
                    <w:tr2bl w:val="nil"/>
                  </w:tcBorders>
                  <w:vAlign w:val="center"/>
                </w:tcPr>
                <w:p w14:paraId="0A26CE17">
                  <w:pPr>
                    <w:adjustRightInd w:val="0"/>
                    <w:snapToGrid w:val="0"/>
                    <w:jc w:val="center"/>
                    <w:rPr>
                      <w:color w:val="auto"/>
                      <w:sz w:val="18"/>
                      <w:szCs w:val="18"/>
                      <w:highlight w:val="none"/>
                    </w:rPr>
                  </w:pPr>
                  <w:r>
                    <w:rPr>
                      <w:rFonts w:hint="eastAsia"/>
                      <w:color w:val="auto"/>
                      <w:sz w:val="18"/>
                      <w:szCs w:val="18"/>
                      <w:highlight w:val="none"/>
                    </w:rPr>
                    <w:t>骨料</w:t>
                  </w:r>
                </w:p>
              </w:tc>
              <w:tc>
                <w:tcPr>
                  <w:tcW w:w="3674" w:type="dxa"/>
                  <w:tcBorders>
                    <w:tl2br w:val="nil"/>
                    <w:tr2bl w:val="nil"/>
                  </w:tcBorders>
                  <w:vAlign w:val="center"/>
                </w:tcPr>
                <w:p w14:paraId="4057829C">
                  <w:pPr>
                    <w:pStyle w:val="31"/>
                    <w:jc w:val="center"/>
                    <w:rPr>
                      <w:rFonts w:ascii="Times New Roman" w:hAnsi="Times New Roman"/>
                      <w:color w:val="auto"/>
                      <w:sz w:val="18"/>
                      <w:szCs w:val="18"/>
                      <w:highlight w:val="none"/>
                    </w:rPr>
                  </w:pPr>
                  <w:r>
                    <w:rPr>
                      <w:rFonts w:hint="eastAsia" w:ascii="Times New Roman" w:hAnsi="Times New Roman"/>
                      <w:color w:val="auto"/>
                      <w:sz w:val="18"/>
                      <w:szCs w:val="18"/>
                      <w:highlight w:val="none"/>
                    </w:rPr>
                    <w:t>改善土壤结构，增加土壤通透性和保水性</w:t>
                  </w:r>
                </w:p>
              </w:tc>
            </w:tr>
          </w:tbl>
          <w:p w14:paraId="64AB9F86">
            <w:pPr>
              <w:adjustRightInd w:val="0"/>
              <w:spacing w:line="360" w:lineRule="auto"/>
              <w:rPr>
                <w:b/>
                <w:bCs/>
                <w:color w:val="auto"/>
                <w:szCs w:val="21"/>
                <w:highlight w:val="none"/>
              </w:rPr>
            </w:pPr>
            <w:r>
              <w:rPr>
                <w:rFonts w:hint="eastAsia"/>
                <w:b/>
                <w:bCs/>
                <w:color w:val="auto"/>
                <w:szCs w:val="21"/>
                <w:highlight w:val="none"/>
              </w:rPr>
              <w:t>5、主要原辅材料</w:t>
            </w:r>
          </w:p>
          <w:p w14:paraId="75933B88">
            <w:pPr>
              <w:adjustRightInd w:val="0"/>
              <w:spacing w:line="360" w:lineRule="auto"/>
              <w:ind w:firstLine="420" w:firstLineChars="200"/>
              <w:rPr>
                <w:color w:val="auto"/>
                <w:szCs w:val="21"/>
                <w:highlight w:val="none"/>
              </w:rPr>
            </w:pPr>
            <w:r>
              <w:rPr>
                <w:rFonts w:hint="eastAsia"/>
                <w:color w:val="auto"/>
                <w:szCs w:val="21"/>
                <w:highlight w:val="none"/>
              </w:rPr>
              <w:t>本项目主要原辅材料消耗情况见表2-6。</w:t>
            </w:r>
          </w:p>
          <w:p w14:paraId="2A5E4AB1">
            <w:pPr>
              <w:adjustRightInd w:val="0"/>
              <w:snapToGrid w:val="0"/>
              <w:jc w:val="center"/>
              <w:rPr>
                <w:color w:val="auto"/>
                <w:szCs w:val="21"/>
                <w:highlight w:val="none"/>
              </w:rPr>
            </w:pPr>
            <w:r>
              <w:rPr>
                <w:rFonts w:hint="eastAsia"/>
                <w:b/>
                <w:bCs/>
                <w:color w:val="auto"/>
                <w:szCs w:val="21"/>
                <w:highlight w:val="none"/>
              </w:rPr>
              <w:t>表2-6本项目原辅材料一览表</w:t>
            </w:r>
          </w:p>
          <w:tbl>
            <w:tblPr>
              <w:tblStyle w:val="23"/>
              <w:tblW w:w="809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9"/>
              <w:gridCol w:w="1190"/>
              <w:gridCol w:w="1098"/>
              <w:gridCol w:w="1640"/>
              <w:gridCol w:w="1512"/>
              <w:gridCol w:w="1807"/>
            </w:tblGrid>
            <w:tr w14:paraId="716DD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49" w:type="dxa"/>
                  <w:tcBorders>
                    <w:tl2br w:val="nil"/>
                    <w:tr2bl w:val="nil"/>
                  </w:tcBorders>
                  <w:vAlign w:val="center"/>
                </w:tcPr>
                <w:p w14:paraId="74651965">
                  <w:pPr>
                    <w:adjustRightInd w:val="0"/>
                    <w:snapToGrid w:val="0"/>
                    <w:jc w:val="center"/>
                    <w:rPr>
                      <w:color w:val="auto"/>
                      <w:sz w:val="18"/>
                      <w:szCs w:val="18"/>
                      <w:highlight w:val="none"/>
                    </w:rPr>
                  </w:pPr>
                  <w:r>
                    <w:rPr>
                      <w:rFonts w:hint="eastAsia"/>
                      <w:color w:val="auto"/>
                      <w:sz w:val="18"/>
                      <w:szCs w:val="18"/>
                      <w:highlight w:val="none"/>
                    </w:rPr>
                    <w:t>序号</w:t>
                  </w:r>
                </w:p>
              </w:tc>
              <w:tc>
                <w:tcPr>
                  <w:tcW w:w="1190" w:type="dxa"/>
                  <w:tcBorders>
                    <w:tl2br w:val="nil"/>
                    <w:tr2bl w:val="nil"/>
                  </w:tcBorders>
                  <w:vAlign w:val="center"/>
                </w:tcPr>
                <w:p w14:paraId="7CD31CA0">
                  <w:pPr>
                    <w:adjustRightInd w:val="0"/>
                    <w:snapToGrid w:val="0"/>
                    <w:jc w:val="center"/>
                    <w:rPr>
                      <w:color w:val="auto"/>
                      <w:sz w:val="18"/>
                      <w:szCs w:val="18"/>
                      <w:highlight w:val="none"/>
                    </w:rPr>
                  </w:pPr>
                  <w:r>
                    <w:rPr>
                      <w:rFonts w:hint="eastAsia"/>
                      <w:color w:val="auto"/>
                      <w:sz w:val="18"/>
                      <w:szCs w:val="18"/>
                      <w:highlight w:val="none"/>
                    </w:rPr>
                    <w:t>原料名称</w:t>
                  </w:r>
                </w:p>
              </w:tc>
              <w:tc>
                <w:tcPr>
                  <w:tcW w:w="1098" w:type="dxa"/>
                  <w:tcBorders>
                    <w:tl2br w:val="nil"/>
                    <w:tr2bl w:val="nil"/>
                  </w:tcBorders>
                  <w:vAlign w:val="center"/>
                </w:tcPr>
                <w:p w14:paraId="281E7227">
                  <w:pPr>
                    <w:adjustRightInd w:val="0"/>
                    <w:snapToGrid w:val="0"/>
                    <w:jc w:val="center"/>
                    <w:rPr>
                      <w:color w:val="auto"/>
                      <w:sz w:val="18"/>
                      <w:szCs w:val="18"/>
                      <w:highlight w:val="none"/>
                    </w:rPr>
                  </w:pPr>
                  <w:r>
                    <w:rPr>
                      <w:rFonts w:hint="eastAsia"/>
                      <w:color w:val="auto"/>
                      <w:sz w:val="18"/>
                      <w:szCs w:val="18"/>
                      <w:highlight w:val="none"/>
                    </w:rPr>
                    <w:t>原料用量</w:t>
                  </w:r>
                </w:p>
                <w:p w14:paraId="7D7A7593">
                  <w:pPr>
                    <w:adjustRightInd w:val="0"/>
                    <w:snapToGrid w:val="0"/>
                    <w:jc w:val="center"/>
                    <w:rPr>
                      <w:color w:val="auto"/>
                      <w:sz w:val="18"/>
                      <w:szCs w:val="18"/>
                      <w:highlight w:val="none"/>
                    </w:rPr>
                  </w:pPr>
                  <w:r>
                    <w:rPr>
                      <w:rFonts w:hint="eastAsia"/>
                      <w:color w:val="auto"/>
                      <w:sz w:val="18"/>
                      <w:szCs w:val="18"/>
                      <w:highlight w:val="none"/>
                    </w:rPr>
                    <w:t>t/a</w:t>
                  </w:r>
                </w:p>
              </w:tc>
              <w:tc>
                <w:tcPr>
                  <w:tcW w:w="1640" w:type="dxa"/>
                  <w:tcBorders>
                    <w:tl2br w:val="nil"/>
                    <w:tr2bl w:val="nil"/>
                  </w:tcBorders>
                  <w:vAlign w:val="center"/>
                </w:tcPr>
                <w:p w14:paraId="2BA7BA0A">
                  <w:pPr>
                    <w:adjustRightInd w:val="0"/>
                    <w:snapToGrid w:val="0"/>
                    <w:jc w:val="center"/>
                    <w:rPr>
                      <w:color w:val="auto"/>
                      <w:sz w:val="18"/>
                      <w:szCs w:val="18"/>
                      <w:highlight w:val="none"/>
                    </w:rPr>
                  </w:pPr>
                  <w:r>
                    <w:rPr>
                      <w:rFonts w:hint="eastAsia"/>
                      <w:color w:val="auto"/>
                      <w:sz w:val="18"/>
                      <w:szCs w:val="18"/>
                      <w:highlight w:val="none"/>
                    </w:rPr>
                    <w:t>储存位置</w:t>
                  </w:r>
                </w:p>
              </w:tc>
              <w:tc>
                <w:tcPr>
                  <w:tcW w:w="1512" w:type="dxa"/>
                  <w:tcBorders>
                    <w:tl2br w:val="nil"/>
                    <w:tr2bl w:val="nil"/>
                  </w:tcBorders>
                  <w:vAlign w:val="center"/>
                </w:tcPr>
                <w:p w14:paraId="548315EC">
                  <w:pPr>
                    <w:adjustRightInd w:val="0"/>
                    <w:snapToGrid w:val="0"/>
                    <w:jc w:val="center"/>
                    <w:rPr>
                      <w:color w:val="auto"/>
                      <w:sz w:val="18"/>
                      <w:szCs w:val="18"/>
                      <w:highlight w:val="none"/>
                    </w:rPr>
                  </w:pPr>
                  <w:r>
                    <w:rPr>
                      <w:rFonts w:hint="eastAsia"/>
                      <w:color w:val="auto"/>
                      <w:sz w:val="18"/>
                      <w:szCs w:val="18"/>
                      <w:highlight w:val="none"/>
                    </w:rPr>
                    <w:t>来源</w:t>
                  </w:r>
                </w:p>
              </w:tc>
              <w:tc>
                <w:tcPr>
                  <w:tcW w:w="1807" w:type="dxa"/>
                  <w:tcBorders>
                    <w:tl2br w:val="nil"/>
                    <w:tr2bl w:val="nil"/>
                  </w:tcBorders>
                  <w:vAlign w:val="center"/>
                </w:tcPr>
                <w:p w14:paraId="1683E896">
                  <w:pPr>
                    <w:adjustRightInd w:val="0"/>
                    <w:snapToGrid w:val="0"/>
                    <w:jc w:val="center"/>
                    <w:rPr>
                      <w:color w:val="auto"/>
                      <w:sz w:val="18"/>
                      <w:szCs w:val="18"/>
                      <w:highlight w:val="none"/>
                    </w:rPr>
                  </w:pPr>
                  <w:r>
                    <w:rPr>
                      <w:rFonts w:hint="eastAsia"/>
                      <w:color w:val="auto"/>
                      <w:sz w:val="18"/>
                      <w:szCs w:val="18"/>
                      <w:highlight w:val="none"/>
                    </w:rPr>
                    <w:t>备注</w:t>
                  </w:r>
                </w:p>
              </w:tc>
            </w:tr>
            <w:tr w14:paraId="1ECBD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567D0FC3">
                  <w:pPr>
                    <w:adjustRightInd w:val="0"/>
                    <w:snapToGrid w:val="0"/>
                    <w:jc w:val="center"/>
                    <w:rPr>
                      <w:color w:val="auto"/>
                      <w:sz w:val="18"/>
                      <w:szCs w:val="18"/>
                      <w:highlight w:val="none"/>
                    </w:rPr>
                  </w:pPr>
                  <w:r>
                    <w:rPr>
                      <w:rFonts w:hint="eastAsia"/>
                      <w:color w:val="auto"/>
                      <w:sz w:val="18"/>
                      <w:szCs w:val="18"/>
                      <w:highlight w:val="none"/>
                    </w:rPr>
                    <w:t>1</w:t>
                  </w:r>
                </w:p>
              </w:tc>
              <w:tc>
                <w:tcPr>
                  <w:tcW w:w="1190" w:type="dxa"/>
                  <w:tcBorders>
                    <w:tl2br w:val="nil"/>
                    <w:tr2bl w:val="nil"/>
                  </w:tcBorders>
                  <w:vAlign w:val="center"/>
                </w:tcPr>
                <w:p w14:paraId="05C7A6A6">
                  <w:pPr>
                    <w:adjustRightInd w:val="0"/>
                    <w:snapToGrid w:val="0"/>
                    <w:jc w:val="center"/>
                    <w:rPr>
                      <w:color w:val="auto"/>
                      <w:sz w:val="18"/>
                      <w:szCs w:val="18"/>
                      <w:highlight w:val="none"/>
                    </w:rPr>
                  </w:pPr>
                  <w:r>
                    <w:rPr>
                      <w:rFonts w:hint="eastAsia"/>
                      <w:color w:val="auto"/>
                      <w:sz w:val="18"/>
                      <w:szCs w:val="18"/>
                      <w:highlight w:val="none"/>
                    </w:rPr>
                    <w:t>煤泥</w:t>
                  </w:r>
                </w:p>
              </w:tc>
              <w:tc>
                <w:tcPr>
                  <w:tcW w:w="1098" w:type="dxa"/>
                  <w:tcBorders>
                    <w:tl2br w:val="nil"/>
                    <w:tr2bl w:val="nil"/>
                  </w:tcBorders>
                  <w:vAlign w:val="center"/>
                </w:tcPr>
                <w:p w14:paraId="2B9C7A15">
                  <w:pPr>
                    <w:adjustRightInd w:val="0"/>
                    <w:snapToGrid w:val="0"/>
                    <w:jc w:val="center"/>
                    <w:rPr>
                      <w:color w:val="auto"/>
                      <w:sz w:val="18"/>
                      <w:szCs w:val="18"/>
                      <w:highlight w:val="none"/>
                    </w:rPr>
                  </w:pPr>
                  <w:r>
                    <w:rPr>
                      <w:rFonts w:hint="eastAsia"/>
                      <w:color w:val="auto"/>
                      <w:sz w:val="18"/>
                      <w:szCs w:val="18"/>
                      <w:highlight w:val="none"/>
                    </w:rPr>
                    <w:t>200000</w:t>
                  </w:r>
                </w:p>
              </w:tc>
              <w:tc>
                <w:tcPr>
                  <w:tcW w:w="1640" w:type="dxa"/>
                  <w:tcBorders>
                    <w:tl2br w:val="nil"/>
                    <w:tr2bl w:val="nil"/>
                  </w:tcBorders>
                  <w:vAlign w:val="center"/>
                </w:tcPr>
                <w:p w14:paraId="5EAD04E8">
                  <w:pPr>
                    <w:adjustRightInd w:val="0"/>
                    <w:snapToGrid w:val="0"/>
                    <w:jc w:val="center"/>
                    <w:rPr>
                      <w:color w:val="auto"/>
                      <w:sz w:val="18"/>
                      <w:szCs w:val="18"/>
                      <w:highlight w:val="none"/>
                    </w:rPr>
                  </w:pPr>
                  <w:r>
                    <w:rPr>
                      <w:rFonts w:hint="eastAsia"/>
                      <w:color w:val="auto"/>
                      <w:sz w:val="18"/>
                      <w:szCs w:val="18"/>
                      <w:highlight w:val="none"/>
                    </w:rPr>
                    <w:t>煤泥堆场</w:t>
                  </w:r>
                </w:p>
              </w:tc>
              <w:tc>
                <w:tcPr>
                  <w:tcW w:w="1512" w:type="dxa"/>
                  <w:tcBorders>
                    <w:tl2br w:val="nil"/>
                    <w:tr2bl w:val="nil"/>
                  </w:tcBorders>
                  <w:vAlign w:val="center"/>
                </w:tcPr>
                <w:p w14:paraId="5C408088">
                  <w:pPr>
                    <w:adjustRightInd w:val="0"/>
                    <w:snapToGrid w:val="0"/>
                    <w:jc w:val="center"/>
                    <w:rPr>
                      <w:color w:val="auto"/>
                      <w:sz w:val="18"/>
                      <w:szCs w:val="18"/>
                      <w:highlight w:val="none"/>
                    </w:rPr>
                  </w:pPr>
                  <w:r>
                    <w:rPr>
                      <w:rFonts w:hint="eastAsia"/>
                      <w:color w:val="auto"/>
                      <w:sz w:val="18"/>
                      <w:szCs w:val="18"/>
                      <w:highlight w:val="none"/>
                    </w:rPr>
                    <w:t>周边洗煤厂</w:t>
                  </w:r>
                </w:p>
              </w:tc>
              <w:tc>
                <w:tcPr>
                  <w:tcW w:w="1807" w:type="dxa"/>
                  <w:tcBorders>
                    <w:tl2br w:val="nil"/>
                    <w:tr2bl w:val="nil"/>
                  </w:tcBorders>
                  <w:vAlign w:val="center"/>
                </w:tcPr>
                <w:p w14:paraId="1891186E">
                  <w:pPr>
                    <w:adjustRightInd w:val="0"/>
                    <w:snapToGrid w:val="0"/>
                    <w:jc w:val="center"/>
                    <w:rPr>
                      <w:color w:val="auto"/>
                      <w:sz w:val="18"/>
                      <w:szCs w:val="18"/>
                      <w:highlight w:val="none"/>
                    </w:rPr>
                  </w:pPr>
                  <w:r>
                    <w:rPr>
                      <w:rFonts w:hint="eastAsia"/>
                      <w:color w:val="auto"/>
                      <w:sz w:val="18"/>
                      <w:szCs w:val="18"/>
                      <w:highlight w:val="none"/>
                    </w:rPr>
                    <w:t>/</w:t>
                  </w:r>
                </w:p>
              </w:tc>
            </w:tr>
            <w:tr w14:paraId="21105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156C1810">
                  <w:pPr>
                    <w:adjustRightInd w:val="0"/>
                    <w:snapToGrid w:val="0"/>
                    <w:jc w:val="center"/>
                    <w:rPr>
                      <w:color w:val="auto"/>
                      <w:sz w:val="18"/>
                      <w:szCs w:val="18"/>
                      <w:highlight w:val="none"/>
                    </w:rPr>
                  </w:pPr>
                  <w:r>
                    <w:rPr>
                      <w:rFonts w:hint="eastAsia"/>
                      <w:color w:val="auto"/>
                      <w:sz w:val="18"/>
                      <w:szCs w:val="18"/>
                      <w:highlight w:val="none"/>
                    </w:rPr>
                    <w:t>2</w:t>
                  </w:r>
                </w:p>
              </w:tc>
              <w:tc>
                <w:tcPr>
                  <w:tcW w:w="1190" w:type="dxa"/>
                  <w:tcBorders>
                    <w:tl2br w:val="nil"/>
                    <w:tr2bl w:val="nil"/>
                  </w:tcBorders>
                  <w:vAlign w:val="center"/>
                </w:tcPr>
                <w:p w14:paraId="5C6BA0FC">
                  <w:pPr>
                    <w:adjustRightInd w:val="0"/>
                    <w:snapToGrid w:val="0"/>
                    <w:jc w:val="center"/>
                    <w:rPr>
                      <w:color w:val="auto"/>
                      <w:sz w:val="18"/>
                      <w:szCs w:val="18"/>
                      <w:highlight w:val="none"/>
                    </w:rPr>
                  </w:pPr>
                  <w:r>
                    <w:rPr>
                      <w:rFonts w:hint="eastAsia"/>
                      <w:color w:val="auto"/>
                      <w:sz w:val="18"/>
                      <w:szCs w:val="18"/>
                      <w:highlight w:val="none"/>
                    </w:rPr>
                    <w:t>粉煤灰</w:t>
                  </w:r>
                </w:p>
              </w:tc>
              <w:tc>
                <w:tcPr>
                  <w:tcW w:w="1098" w:type="dxa"/>
                  <w:tcBorders>
                    <w:tl2br w:val="nil"/>
                    <w:tr2bl w:val="nil"/>
                  </w:tcBorders>
                  <w:vAlign w:val="center"/>
                </w:tcPr>
                <w:p w14:paraId="2015134B">
                  <w:pPr>
                    <w:adjustRightInd w:val="0"/>
                    <w:snapToGrid w:val="0"/>
                    <w:jc w:val="center"/>
                    <w:rPr>
                      <w:color w:val="auto"/>
                      <w:sz w:val="18"/>
                      <w:szCs w:val="18"/>
                      <w:highlight w:val="none"/>
                    </w:rPr>
                  </w:pPr>
                  <w:r>
                    <w:rPr>
                      <w:rFonts w:hint="eastAsia"/>
                      <w:color w:val="auto"/>
                      <w:sz w:val="18"/>
                      <w:szCs w:val="18"/>
                      <w:highlight w:val="none"/>
                    </w:rPr>
                    <w:t>7000</w:t>
                  </w:r>
                </w:p>
              </w:tc>
              <w:tc>
                <w:tcPr>
                  <w:tcW w:w="1640" w:type="dxa"/>
                  <w:tcBorders>
                    <w:tl2br w:val="nil"/>
                    <w:tr2bl w:val="nil"/>
                  </w:tcBorders>
                  <w:vAlign w:val="center"/>
                </w:tcPr>
                <w:p w14:paraId="3F9AEEC6">
                  <w:pPr>
                    <w:adjustRightInd w:val="0"/>
                    <w:snapToGrid w:val="0"/>
                    <w:jc w:val="center"/>
                    <w:rPr>
                      <w:color w:val="auto"/>
                      <w:sz w:val="18"/>
                      <w:szCs w:val="18"/>
                      <w:highlight w:val="none"/>
                    </w:rPr>
                  </w:pPr>
                  <w:r>
                    <w:rPr>
                      <w:rFonts w:hint="eastAsia"/>
                      <w:color w:val="auto"/>
                      <w:sz w:val="18"/>
                      <w:szCs w:val="18"/>
                      <w:highlight w:val="none"/>
                    </w:rPr>
                    <w:t>筒仓</w:t>
                  </w:r>
                </w:p>
              </w:tc>
              <w:tc>
                <w:tcPr>
                  <w:tcW w:w="1512" w:type="dxa"/>
                  <w:tcBorders>
                    <w:tl2br w:val="nil"/>
                    <w:tr2bl w:val="nil"/>
                  </w:tcBorders>
                  <w:vAlign w:val="center"/>
                </w:tcPr>
                <w:p w14:paraId="5C3D9BBA">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restart"/>
                  <w:tcBorders>
                    <w:tl2br w:val="nil"/>
                    <w:tr2bl w:val="nil"/>
                  </w:tcBorders>
                  <w:vAlign w:val="center"/>
                </w:tcPr>
                <w:p w14:paraId="3AA89268">
                  <w:pPr>
                    <w:adjustRightInd w:val="0"/>
                    <w:snapToGrid w:val="0"/>
                    <w:jc w:val="center"/>
                    <w:rPr>
                      <w:color w:val="auto"/>
                      <w:sz w:val="18"/>
                      <w:szCs w:val="18"/>
                      <w:highlight w:val="none"/>
                    </w:rPr>
                  </w:pPr>
                  <w:r>
                    <w:rPr>
                      <w:rFonts w:hint="eastAsia"/>
                      <w:color w:val="auto"/>
                      <w:sz w:val="18"/>
                      <w:szCs w:val="18"/>
                      <w:highlight w:val="none"/>
                    </w:rPr>
                    <w:t>用于人造土壤基质</w:t>
                  </w:r>
                </w:p>
              </w:tc>
            </w:tr>
            <w:tr w14:paraId="3C936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41DE62E1">
                  <w:pPr>
                    <w:adjustRightInd w:val="0"/>
                    <w:snapToGrid w:val="0"/>
                    <w:jc w:val="center"/>
                    <w:rPr>
                      <w:color w:val="auto"/>
                      <w:sz w:val="18"/>
                      <w:szCs w:val="18"/>
                      <w:highlight w:val="none"/>
                    </w:rPr>
                  </w:pPr>
                  <w:r>
                    <w:rPr>
                      <w:rFonts w:hint="eastAsia"/>
                      <w:color w:val="auto"/>
                      <w:sz w:val="18"/>
                      <w:szCs w:val="18"/>
                      <w:highlight w:val="none"/>
                    </w:rPr>
                    <w:t>3</w:t>
                  </w:r>
                </w:p>
              </w:tc>
              <w:tc>
                <w:tcPr>
                  <w:tcW w:w="1190" w:type="dxa"/>
                  <w:tcBorders>
                    <w:tl2br w:val="nil"/>
                    <w:tr2bl w:val="nil"/>
                  </w:tcBorders>
                  <w:vAlign w:val="center"/>
                </w:tcPr>
                <w:p w14:paraId="1E72E746">
                  <w:pPr>
                    <w:adjustRightInd w:val="0"/>
                    <w:snapToGrid w:val="0"/>
                    <w:jc w:val="center"/>
                    <w:rPr>
                      <w:color w:val="auto"/>
                      <w:sz w:val="18"/>
                      <w:szCs w:val="18"/>
                      <w:highlight w:val="none"/>
                    </w:rPr>
                  </w:pPr>
                  <w:r>
                    <w:rPr>
                      <w:rFonts w:hint="eastAsia"/>
                      <w:color w:val="auto"/>
                      <w:sz w:val="18"/>
                      <w:szCs w:val="18"/>
                      <w:highlight w:val="none"/>
                    </w:rPr>
                    <w:t>炉渣</w:t>
                  </w:r>
                </w:p>
              </w:tc>
              <w:tc>
                <w:tcPr>
                  <w:tcW w:w="1098" w:type="dxa"/>
                  <w:tcBorders>
                    <w:tl2br w:val="nil"/>
                    <w:tr2bl w:val="nil"/>
                  </w:tcBorders>
                  <w:vAlign w:val="center"/>
                </w:tcPr>
                <w:p w14:paraId="0CD686D9">
                  <w:pPr>
                    <w:adjustRightInd w:val="0"/>
                    <w:snapToGrid w:val="0"/>
                    <w:jc w:val="center"/>
                    <w:rPr>
                      <w:color w:val="auto"/>
                      <w:sz w:val="18"/>
                      <w:szCs w:val="18"/>
                      <w:highlight w:val="none"/>
                    </w:rPr>
                  </w:pPr>
                  <w:r>
                    <w:rPr>
                      <w:rFonts w:hint="eastAsia"/>
                      <w:color w:val="auto"/>
                      <w:sz w:val="18"/>
                      <w:szCs w:val="18"/>
                      <w:highlight w:val="none"/>
                    </w:rPr>
                    <w:t>7000</w:t>
                  </w:r>
                </w:p>
              </w:tc>
              <w:tc>
                <w:tcPr>
                  <w:tcW w:w="1640" w:type="dxa"/>
                  <w:tcBorders>
                    <w:tl2br w:val="nil"/>
                    <w:tr2bl w:val="nil"/>
                  </w:tcBorders>
                  <w:vAlign w:val="center"/>
                </w:tcPr>
                <w:p w14:paraId="6554B32E">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7899B4A0">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15C01BF1">
                  <w:pPr>
                    <w:adjustRightInd w:val="0"/>
                    <w:snapToGrid w:val="0"/>
                    <w:jc w:val="center"/>
                    <w:rPr>
                      <w:color w:val="auto"/>
                      <w:sz w:val="18"/>
                      <w:szCs w:val="18"/>
                      <w:highlight w:val="none"/>
                    </w:rPr>
                  </w:pPr>
                </w:p>
              </w:tc>
            </w:tr>
            <w:tr w14:paraId="0BB34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1841D59B">
                  <w:pPr>
                    <w:adjustRightInd w:val="0"/>
                    <w:snapToGrid w:val="0"/>
                    <w:jc w:val="center"/>
                    <w:rPr>
                      <w:color w:val="auto"/>
                      <w:sz w:val="18"/>
                      <w:szCs w:val="18"/>
                      <w:highlight w:val="none"/>
                    </w:rPr>
                  </w:pPr>
                  <w:r>
                    <w:rPr>
                      <w:rFonts w:hint="eastAsia"/>
                      <w:color w:val="auto"/>
                      <w:sz w:val="18"/>
                      <w:szCs w:val="18"/>
                      <w:highlight w:val="none"/>
                    </w:rPr>
                    <w:t>4</w:t>
                  </w:r>
                </w:p>
              </w:tc>
              <w:tc>
                <w:tcPr>
                  <w:tcW w:w="1190" w:type="dxa"/>
                  <w:tcBorders>
                    <w:tl2br w:val="nil"/>
                    <w:tr2bl w:val="nil"/>
                  </w:tcBorders>
                  <w:vAlign w:val="center"/>
                </w:tcPr>
                <w:p w14:paraId="05F5DEDD">
                  <w:pPr>
                    <w:adjustRightInd w:val="0"/>
                    <w:snapToGrid w:val="0"/>
                    <w:jc w:val="center"/>
                    <w:rPr>
                      <w:color w:val="auto"/>
                      <w:sz w:val="18"/>
                      <w:szCs w:val="18"/>
                      <w:highlight w:val="none"/>
                    </w:rPr>
                  </w:pPr>
                  <w:r>
                    <w:rPr>
                      <w:rFonts w:hint="eastAsia"/>
                      <w:color w:val="auto"/>
                      <w:sz w:val="18"/>
                      <w:szCs w:val="18"/>
                      <w:highlight w:val="none"/>
                    </w:rPr>
                    <w:t>脱硫石膏</w:t>
                  </w:r>
                </w:p>
              </w:tc>
              <w:tc>
                <w:tcPr>
                  <w:tcW w:w="1098" w:type="dxa"/>
                  <w:tcBorders>
                    <w:tl2br w:val="nil"/>
                    <w:tr2bl w:val="nil"/>
                  </w:tcBorders>
                  <w:vAlign w:val="center"/>
                </w:tcPr>
                <w:p w14:paraId="79CE9299">
                  <w:pPr>
                    <w:adjustRightInd w:val="0"/>
                    <w:snapToGrid w:val="0"/>
                    <w:jc w:val="center"/>
                    <w:rPr>
                      <w:color w:val="auto"/>
                      <w:sz w:val="18"/>
                      <w:szCs w:val="18"/>
                      <w:highlight w:val="none"/>
                    </w:rPr>
                  </w:pPr>
                  <w:r>
                    <w:rPr>
                      <w:rFonts w:hint="eastAsia"/>
                      <w:color w:val="auto"/>
                      <w:sz w:val="18"/>
                      <w:szCs w:val="18"/>
                      <w:highlight w:val="none"/>
                    </w:rPr>
                    <w:t>14000</w:t>
                  </w:r>
                </w:p>
              </w:tc>
              <w:tc>
                <w:tcPr>
                  <w:tcW w:w="1640" w:type="dxa"/>
                  <w:tcBorders>
                    <w:tl2br w:val="nil"/>
                    <w:tr2bl w:val="nil"/>
                  </w:tcBorders>
                  <w:vAlign w:val="center"/>
                </w:tcPr>
                <w:p w14:paraId="7D4B5BF0">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7E95229C">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380FD410">
                  <w:pPr>
                    <w:adjustRightInd w:val="0"/>
                    <w:snapToGrid w:val="0"/>
                    <w:jc w:val="center"/>
                    <w:rPr>
                      <w:color w:val="auto"/>
                      <w:sz w:val="18"/>
                      <w:szCs w:val="18"/>
                      <w:highlight w:val="none"/>
                    </w:rPr>
                  </w:pPr>
                </w:p>
              </w:tc>
            </w:tr>
            <w:tr w14:paraId="6F972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6B195905">
                  <w:pPr>
                    <w:adjustRightInd w:val="0"/>
                    <w:snapToGrid w:val="0"/>
                    <w:jc w:val="center"/>
                    <w:rPr>
                      <w:color w:val="auto"/>
                      <w:sz w:val="18"/>
                      <w:szCs w:val="18"/>
                      <w:highlight w:val="none"/>
                    </w:rPr>
                  </w:pPr>
                  <w:r>
                    <w:rPr>
                      <w:rFonts w:hint="eastAsia"/>
                      <w:color w:val="auto"/>
                      <w:sz w:val="18"/>
                      <w:szCs w:val="18"/>
                      <w:highlight w:val="none"/>
                    </w:rPr>
                    <w:t>5</w:t>
                  </w:r>
                </w:p>
              </w:tc>
              <w:tc>
                <w:tcPr>
                  <w:tcW w:w="1190" w:type="dxa"/>
                  <w:tcBorders>
                    <w:tl2br w:val="nil"/>
                    <w:tr2bl w:val="nil"/>
                  </w:tcBorders>
                  <w:vAlign w:val="center"/>
                </w:tcPr>
                <w:p w14:paraId="7123DA78">
                  <w:pPr>
                    <w:adjustRightInd w:val="0"/>
                    <w:snapToGrid w:val="0"/>
                    <w:jc w:val="center"/>
                    <w:rPr>
                      <w:color w:val="auto"/>
                      <w:sz w:val="18"/>
                      <w:szCs w:val="18"/>
                      <w:highlight w:val="none"/>
                    </w:rPr>
                  </w:pPr>
                  <w:r>
                    <w:rPr>
                      <w:rFonts w:hint="eastAsia"/>
                      <w:color w:val="auto"/>
                      <w:sz w:val="18"/>
                      <w:szCs w:val="18"/>
                      <w:highlight w:val="none"/>
                    </w:rPr>
                    <w:t>水处理污泥</w:t>
                  </w:r>
                </w:p>
              </w:tc>
              <w:tc>
                <w:tcPr>
                  <w:tcW w:w="1098" w:type="dxa"/>
                  <w:tcBorders>
                    <w:tl2br w:val="nil"/>
                    <w:tr2bl w:val="nil"/>
                  </w:tcBorders>
                  <w:vAlign w:val="center"/>
                </w:tcPr>
                <w:p w14:paraId="5A26E7AB">
                  <w:pPr>
                    <w:adjustRightInd w:val="0"/>
                    <w:snapToGrid w:val="0"/>
                    <w:jc w:val="center"/>
                    <w:rPr>
                      <w:color w:val="auto"/>
                      <w:sz w:val="18"/>
                      <w:szCs w:val="18"/>
                      <w:highlight w:val="none"/>
                    </w:rPr>
                  </w:pPr>
                  <w:r>
                    <w:rPr>
                      <w:rFonts w:hint="eastAsia"/>
                      <w:color w:val="auto"/>
                      <w:sz w:val="18"/>
                      <w:szCs w:val="18"/>
                      <w:highlight w:val="none"/>
                    </w:rPr>
                    <w:t>35000</w:t>
                  </w:r>
                </w:p>
              </w:tc>
              <w:tc>
                <w:tcPr>
                  <w:tcW w:w="1640" w:type="dxa"/>
                  <w:tcBorders>
                    <w:tl2br w:val="nil"/>
                    <w:tr2bl w:val="nil"/>
                  </w:tcBorders>
                  <w:vAlign w:val="center"/>
                </w:tcPr>
                <w:p w14:paraId="437C87A0">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563BB946">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6542738F">
                  <w:pPr>
                    <w:adjustRightInd w:val="0"/>
                    <w:snapToGrid w:val="0"/>
                    <w:jc w:val="center"/>
                    <w:rPr>
                      <w:color w:val="auto"/>
                      <w:sz w:val="18"/>
                      <w:szCs w:val="18"/>
                      <w:highlight w:val="none"/>
                    </w:rPr>
                  </w:pPr>
                </w:p>
              </w:tc>
            </w:tr>
            <w:tr w14:paraId="6795B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21E892D3">
                  <w:pPr>
                    <w:adjustRightInd w:val="0"/>
                    <w:snapToGrid w:val="0"/>
                    <w:jc w:val="center"/>
                    <w:rPr>
                      <w:color w:val="auto"/>
                      <w:sz w:val="18"/>
                      <w:szCs w:val="18"/>
                      <w:highlight w:val="none"/>
                    </w:rPr>
                  </w:pPr>
                  <w:r>
                    <w:rPr>
                      <w:rFonts w:hint="eastAsia"/>
                      <w:color w:val="auto"/>
                      <w:sz w:val="18"/>
                      <w:szCs w:val="18"/>
                      <w:highlight w:val="none"/>
                    </w:rPr>
                    <w:t>6</w:t>
                  </w:r>
                </w:p>
              </w:tc>
              <w:tc>
                <w:tcPr>
                  <w:tcW w:w="1190" w:type="dxa"/>
                  <w:tcBorders>
                    <w:tl2br w:val="nil"/>
                    <w:tr2bl w:val="nil"/>
                  </w:tcBorders>
                  <w:vAlign w:val="center"/>
                </w:tcPr>
                <w:p w14:paraId="0070C38D">
                  <w:pPr>
                    <w:adjustRightInd w:val="0"/>
                    <w:snapToGrid w:val="0"/>
                    <w:jc w:val="center"/>
                    <w:rPr>
                      <w:color w:val="auto"/>
                      <w:sz w:val="18"/>
                      <w:szCs w:val="18"/>
                      <w:highlight w:val="none"/>
                    </w:rPr>
                  </w:pPr>
                  <w:r>
                    <w:rPr>
                      <w:rFonts w:hint="eastAsia"/>
                      <w:color w:val="auto"/>
                      <w:sz w:val="18"/>
                      <w:szCs w:val="18"/>
                      <w:highlight w:val="none"/>
                    </w:rPr>
                    <w:t>有机肥</w:t>
                  </w:r>
                </w:p>
              </w:tc>
              <w:tc>
                <w:tcPr>
                  <w:tcW w:w="1098" w:type="dxa"/>
                  <w:tcBorders>
                    <w:tl2br w:val="nil"/>
                    <w:tr2bl w:val="nil"/>
                  </w:tcBorders>
                  <w:vAlign w:val="center"/>
                </w:tcPr>
                <w:p w14:paraId="35C0D1D5">
                  <w:pPr>
                    <w:adjustRightInd w:val="0"/>
                    <w:snapToGrid w:val="0"/>
                    <w:jc w:val="center"/>
                    <w:rPr>
                      <w:color w:val="auto"/>
                      <w:sz w:val="18"/>
                      <w:szCs w:val="18"/>
                      <w:highlight w:val="none"/>
                    </w:rPr>
                  </w:pPr>
                  <w:r>
                    <w:rPr>
                      <w:rFonts w:hint="eastAsia"/>
                      <w:color w:val="auto"/>
                      <w:sz w:val="18"/>
                      <w:szCs w:val="18"/>
                      <w:highlight w:val="none"/>
                    </w:rPr>
                    <w:t>6000</w:t>
                  </w:r>
                </w:p>
              </w:tc>
              <w:tc>
                <w:tcPr>
                  <w:tcW w:w="1640" w:type="dxa"/>
                  <w:tcBorders>
                    <w:tl2br w:val="nil"/>
                    <w:tr2bl w:val="nil"/>
                  </w:tcBorders>
                  <w:vAlign w:val="center"/>
                </w:tcPr>
                <w:p w14:paraId="06182751">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7C78014D">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256A8F94">
                  <w:pPr>
                    <w:adjustRightInd w:val="0"/>
                    <w:snapToGrid w:val="0"/>
                    <w:jc w:val="center"/>
                    <w:rPr>
                      <w:color w:val="auto"/>
                      <w:sz w:val="18"/>
                      <w:szCs w:val="18"/>
                      <w:highlight w:val="none"/>
                    </w:rPr>
                  </w:pPr>
                </w:p>
              </w:tc>
            </w:tr>
            <w:tr w14:paraId="43408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7C3B1703">
                  <w:pPr>
                    <w:adjustRightInd w:val="0"/>
                    <w:snapToGrid w:val="0"/>
                    <w:jc w:val="center"/>
                    <w:rPr>
                      <w:color w:val="auto"/>
                      <w:sz w:val="18"/>
                      <w:szCs w:val="18"/>
                      <w:highlight w:val="none"/>
                    </w:rPr>
                  </w:pPr>
                  <w:r>
                    <w:rPr>
                      <w:rFonts w:hint="eastAsia"/>
                      <w:color w:val="auto"/>
                      <w:sz w:val="18"/>
                      <w:szCs w:val="18"/>
                      <w:highlight w:val="none"/>
                    </w:rPr>
                    <w:t>7</w:t>
                  </w:r>
                </w:p>
              </w:tc>
              <w:tc>
                <w:tcPr>
                  <w:tcW w:w="1190" w:type="dxa"/>
                  <w:tcBorders>
                    <w:tl2br w:val="nil"/>
                    <w:tr2bl w:val="nil"/>
                  </w:tcBorders>
                  <w:vAlign w:val="center"/>
                </w:tcPr>
                <w:p w14:paraId="1515B397">
                  <w:pPr>
                    <w:adjustRightInd w:val="0"/>
                    <w:snapToGrid w:val="0"/>
                    <w:jc w:val="center"/>
                    <w:rPr>
                      <w:color w:val="auto"/>
                      <w:sz w:val="18"/>
                      <w:szCs w:val="18"/>
                      <w:highlight w:val="none"/>
                    </w:rPr>
                  </w:pPr>
                  <w:r>
                    <w:rPr>
                      <w:rFonts w:hint="eastAsia"/>
                      <w:color w:val="auto"/>
                      <w:sz w:val="18"/>
                      <w:szCs w:val="18"/>
                      <w:highlight w:val="none"/>
                    </w:rPr>
                    <w:t>秸秆</w:t>
                  </w:r>
                </w:p>
              </w:tc>
              <w:tc>
                <w:tcPr>
                  <w:tcW w:w="1098" w:type="dxa"/>
                  <w:tcBorders>
                    <w:tl2br w:val="nil"/>
                    <w:tr2bl w:val="nil"/>
                  </w:tcBorders>
                  <w:vAlign w:val="center"/>
                </w:tcPr>
                <w:p w14:paraId="20F58708">
                  <w:pPr>
                    <w:adjustRightInd w:val="0"/>
                    <w:snapToGrid w:val="0"/>
                    <w:jc w:val="center"/>
                    <w:rPr>
                      <w:color w:val="auto"/>
                      <w:sz w:val="18"/>
                      <w:szCs w:val="18"/>
                      <w:highlight w:val="none"/>
                    </w:rPr>
                  </w:pPr>
                  <w:r>
                    <w:rPr>
                      <w:rFonts w:hint="eastAsia"/>
                      <w:color w:val="auto"/>
                      <w:sz w:val="18"/>
                      <w:szCs w:val="18"/>
                      <w:highlight w:val="none"/>
                    </w:rPr>
                    <w:t>17800</w:t>
                  </w:r>
                </w:p>
              </w:tc>
              <w:tc>
                <w:tcPr>
                  <w:tcW w:w="1640" w:type="dxa"/>
                  <w:tcBorders>
                    <w:tl2br w:val="nil"/>
                    <w:tr2bl w:val="nil"/>
                  </w:tcBorders>
                  <w:vAlign w:val="center"/>
                </w:tcPr>
                <w:p w14:paraId="240305A8">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20508BCE">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24DC458F">
                  <w:pPr>
                    <w:adjustRightInd w:val="0"/>
                    <w:snapToGrid w:val="0"/>
                    <w:jc w:val="center"/>
                    <w:rPr>
                      <w:color w:val="auto"/>
                      <w:sz w:val="18"/>
                      <w:szCs w:val="18"/>
                      <w:highlight w:val="none"/>
                    </w:rPr>
                  </w:pPr>
                </w:p>
              </w:tc>
            </w:tr>
            <w:tr w14:paraId="7C9FA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7BB161C3">
                  <w:pPr>
                    <w:adjustRightInd w:val="0"/>
                    <w:snapToGrid w:val="0"/>
                    <w:jc w:val="center"/>
                    <w:rPr>
                      <w:color w:val="auto"/>
                      <w:sz w:val="18"/>
                      <w:szCs w:val="18"/>
                      <w:highlight w:val="none"/>
                    </w:rPr>
                  </w:pPr>
                  <w:r>
                    <w:rPr>
                      <w:rFonts w:hint="eastAsia"/>
                      <w:color w:val="auto"/>
                      <w:sz w:val="18"/>
                      <w:szCs w:val="18"/>
                      <w:highlight w:val="none"/>
                    </w:rPr>
                    <w:t>8</w:t>
                  </w:r>
                </w:p>
              </w:tc>
              <w:tc>
                <w:tcPr>
                  <w:tcW w:w="1190" w:type="dxa"/>
                  <w:tcBorders>
                    <w:tl2br w:val="nil"/>
                    <w:tr2bl w:val="nil"/>
                  </w:tcBorders>
                  <w:vAlign w:val="center"/>
                </w:tcPr>
                <w:p w14:paraId="7C145851">
                  <w:pPr>
                    <w:adjustRightInd w:val="0"/>
                    <w:snapToGrid w:val="0"/>
                    <w:jc w:val="center"/>
                    <w:rPr>
                      <w:color w:val="auto"/>
                      <w:sz w:val="18"/>
                      <w:szCs w:val="18"/>
                      <w:highlight w:val="none"/>
                    </w:rPr>
                  </w:pPr>
                  <w:r>
                    <w:rPr>
                      <w:rFonts w:hint="eastAsia"/>
                      <w:color w:val="auto"/>
                      <w:sz w:val="18"/>
                      <w:szCs w:val="18"/>
                      <w:highlight w:val="none"/>
                    </w:rPr>
                    <w:t>骨料</w:t>
                  </w:r>
                </w:p>
              </w:tc>
              <w:tc>
                <w:tcPr>
                  <w:tcW w:w="1098" w:type="dxa"/>
                  <w:tcBorders>
                    <w:tl2br w:val="nil"/>
                    <w:tr2bl w:val="nil"/>
                  </w:tcBorders>
                  <w:vAlign w:val="center"/>
                </w:tcPr>
                <w:p w14:paraId="2571B90D">
                  <w:pPr>
                    <w:adjustRightInd w:val="0"/>
                    <w:snapToGrid w:val="0"/>
                    <w:jc w:val="center"/>
                    <w:rPr>
                      <w:color w:val="auto"/>
                      <w:sz w:val="18"/>
                      <w:szCs w:val="18"/>
                      <w:highlight w:val="none"/>
                    </w:rPr>
                  </w:pPr>
                  <w:r>
                    <w:rPr>
                      <w:rFonts w:hint="eastAsia"/>
                      <w:color w:val="auto"/>
                      <w:sz w:val="18"/>
                      <w:szCs w:val="18"/>
                      <w:highlight w:val="none"/>
                    </w:rPr>
                    <w:t>39000</w:t>
                  </w:r>
                </w:p>
              </w:tc>
              <w:tc>
                <w:tcPr>
                  <w:tcW w:w="1640" w:type="dxa"/>
                  <w:tcBorders>
                    <w:tl2br w:val="nil"/>
                    <w:tr2bl w:val="nil"/>
                  </w:tcBorders>
                  <w:vAlign w:val="center"/>
                </w:tcPr>
                <w:p w14:paraId="290B19BA">
                  <w:pPr>
                    <w:adjustRightInd w:val="0"/>
                    <w:snapToGrid w:val="0"/>
                    <w:jc w:val="center"/>
                    <w:rPr>
                      <w:color w:val="auto"/>
                      <w:sz w:val="18"/>
                      <w:szCs w:val="18"/>
                      <w:highlight w:val="none"/>
                    </w:rPr>
                  </w:pPr>
                  <w:r>
                    <w:rPr>
                      <w:rFonts w:hint="eastAsia"/>
                      <w:color w:val="auto"/>
                      <w:sz w:val="18"/>
                      <w:szCs w:val="18"/>
                      <w:highlight w:val="none"/>
                    </w:rPr>
                    <w:t>厂区物料棚</w:t>
                  </w:r>
                </w:p>
              </w:tc>
              <w:tc>
                <w:tcPr>
                  <w:tcW w:w="1512" w:type="dxa"/>
                  <w:tcBorders>
                    <w:tl2br w:val="nil"/>
                    <w:tr2bl w:val="nil"/>
                  </w:tcBorders>
                  <w:vAlign w:val="center"/>
                </w:tcPr>
                <w:p w14:paraId="062B8A59">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vAlign w:val="center"/>
                </w:tcPr>
                <w:p w14:paraId="40407A18">
                  <w:pPr>
                    <w:adjustRightInd w:val="0"/>
                    <w:snapToGrid w:val="0"/>
                    <w:jc w:val="center"/>
                    <w:rPr>
                      <w:color w:val="auto"/>
                      <w:sz w:val="18"/>
                      <w:szCs w:val="18"/>
                      <w:highlight w:val="none"/>
                    </w:rPr>
                  </w:pPr>
                </w:p>
              </w:tc>
            </w:tr>
            <w:tr w14:paraId="2371F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4C158CA9">
                  <w:pPr>
                    <w:adjustRightInd w:val="0"/>
                    <w:snapToGrid w:val="0"/>
                    <w:jc w:val="center"/>
                    <w:rPr>
                      <w:color w:val="auto"/>
                      <w:sz w:val="18"/>
                      <w:szCs w:val="18"/>
                      <w:highlight w:val="none"/>
                    </w:rPr>
                  </w:pPr>
                  <w:r>
                    <w:rPr>
                      <w:rFonts w:hint="eastAsia"/>
                      <w:color w:val="auto"/>
                      <w:sz w:val="18"/>
                      <w:szCs w:val="18"/>
                      <w:highlight w:val="none"/>
                    </w:rPr>
                    <w:t>9</w:t>
                  </w:r>
                </w:p>
              </w:tc>
              <w:tc>
                <w:tcPr>
                  <w:tcW w:w="1190" w:type="dxa"/>
                  <w:tcBorders>
                    <w:tl2br w:val="nil"/>
                    <w:tr2bl w:val="nil"/>
                  </w:tcBorders>
                  <w:vAlign w:val="center"/>
                </w:tcPr>
                <w:p w14:paraId="27CD1463">
                  <w:pPr>
                    <w:adjustRightInd w:val="0"/>
                    <w:snapToGrid w:val="0"/>
                    <w:jc w:val="center"/>
                    <w:rPr>
                      <w:color w:val="auto"/>
                      <w:sz w:val="18"/>
                      <w:szCs w:val="18"/>
                      <w:highlight w:val="none"/>
                    </w:rPr>
                  </w:pPr>
                  <w:r>
                    <w:rPr>
                      <w:rFonts w:hint="eastAsia"/>
                      <w:color w:val="auto"/>
                      <w:sz w:val="18"/>
                      <w:szCs w:val="18"/>
                      <w:highlight w:val="none"/>
                    </w:rPr>
                    <w:t>捕收剂</w:t>
                  </w:r>
                </w:p>
              </w:tc>
              <w:tc>
                <w:tcPr>
                  <w:tcW w:w="1098" w:type="dxa"/>
                  <w:tcBorders>
                    <w:tl2br w:val="nil"/>
                    <w:tr2bl w:val="nil"/>
                  </w:tcBorders>
                  <w:vAlign w:val="center"/>
                </w:tcPr>
                <w:p w14:paraId="1BFFB427">
                  <w:pPr>
                    <w:adjustRightInd w:val="0"/>
                    <w:snapToGrid w:val="0"/>
                    <w:jc w:val="center"/>
                    <w:rPr>
                      <w:color w:val="auto"/>
                      <w:sz w:val="18"/>
                      <w:szCs w:val="18"/>
                      <w:highlight w:val="none"/>
                    </w:rPr>
                  </w:pPr>
                  <w:r>
                    <w:rPr>
                      <w:rFonts w:hint="eastAsia"/>
                      <w:color w:val="auto"/>
                      <w:sz w:val="18"/>
                      <w:szCs w:val="18"/>
                      <w:highlight w:val="none"/>
                    </w:rPr>
                    <w:t>160</w:t>
                  </w:r>
                </w:p>
              </w:tc>
              <w:tc>
                <w:tcPr>
                  <w:tcW w:w="1640" w:type="dxa"/>
                  <w:tcBorders>
                    <w:tl2br w:val="nil"/>
                    <w:tr2bl w:val="nil"/>
                  </w:tcBorders>
                  <w:vAlign w:val="center"/>
                </w:tcPr>
                <w:p w14:paraId="3EE7AC31">
                  <w:pPr>
                    <w:adjustRightInd w:val="0"/>
                    <w:snapToGrid w:val="0"/>
                    <w:jc w:val="center"/>
                    <w:rPr>
                      <w:color w:val="auto"/>
                      <w:sz w:val="18"/>
                      <w:szCs w:val="18"/>
                      <w:highlight w:val="none"/>
                    </w:rPr>
                  </w:pPr>
                  <w:r>
                    <w:rPr>
                      <w:rFonts w:hint="eastAsia"/>
                      <w:color w:val="auto"/>
                      <w:sz w:val="18"/>
                      <w:szCs w:val="18"/>
                      <w:highlight w:val="none"/>
                    </w:rPr>
                    <w:t>药剂库</w:t>
                  </w:r>
                </w:p>
              </w:tc>
              <w:tc>
                <w:tcPr>
                  <w:tcW w:w="1512" w:type="dxa"/>
                  <w:tcBorders>
                    <w:tl2br w:val="nil"/>
                    <w:tr2bl w:val="nil"/>
                  </w:tcBorders>
                  <w:vAlign w:val="center"/>
                </w:tcPr>
                <w:p w14:paraId="7098160A">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restart"/>
                  <w:tcBorders>
                    <w:tl2br w:val="nil"/>
                    <w:tr2bl w:val="nil"/>
                  </w:tcBorders>
                  <w:shd w:val="clear" w:color="auto" w:fill="auto"/>
                  <w:vAlign w:val="center"/>
                </w:tcPr>
                <w:p w14:paraId="42E1FF3B">
                  <w:pPr>
                    <w:adjustRightInd w:val="0"/>
                    <w:snapToGrid w:val="0"/>
                    <w:jc w:val="center"/>
                    <w:rPr>
                      <w:color w:val="auto"/>
                      <w:sz w:val="18"/>
                      <w:szCs w:val="18"/>
                      <w:highlight w:val="none"/>
                    </w:rPr>
                  </w:pPr>
                  <w:r>
                    <w:rPr>
                      <w:rFonts w:hint="eastAsia"/>
                      <w:color w:val="auto"/>
                      <w:sz w:val="18"/>
                      <w:szCs w:val="18"/>
                      <w:highlight w:val="none"/>
                    </w:rPr>
                    <w:t>浮选生产线</w:t>
                  </w:r>
                </w:p>
              </w:tc>
            </w:tr>
            <w:tr w14:paraId="17613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0350184D">
                  <w:pPr>
                    <w:adjustRightInd w:val="0"/>
                    <w:snapToGrid w:val="0"/>
                    <w:jc w:val="center"/>
                    <w:rPr>
                      <w:color w:val="auto"/>
                      <w:sz w:val="18"/>
                      <w:szCs w:val="18"/>
                      <w:highlight w:val="none"/>
                    </w:rPr>
                  </w:pPr>
                  <w:r>
                    <w:rPr>
                      <w:rFonts w:hint="eastAsia"/>
                      <w:color w:val="auto"/>
                      <w:sz w:val="18"/>
                      <w:szCs w:val="18"/>
                      <w:highlight w:val="none"/>
                    </w:rPr>
                    <w:t>10</w:t>
                  </w:r>
                </w:p>
              </w:tc>
              <w:tc>
                <w:tcPr>
                  <w:tcW w:w="1190" w:type="dxa"/>
                  <w:tcBorders>
                    <w:tl2br w:val="nil"/>
                    <w:tr2bl w:val="nil"/>
                  </w:tcBorders>
                  <w:vAlign w:val="center"/>
                </w:tcPr>
                <w:p w14:paraId="431661F3">
                  <w:pPr>
                    <w:adjustRightInd w:val="0"/>
                    <w:snapToGrid w:val="0"/>
                    <w:jc w:val="center"/>
                    <w:rPr>
                      <w:color w:val="auto"/>
                      <w:sz w:val="18"/>
                      <w:szCs w:val="18"/>
                      <w:highlight w:val="none"/>
                    </w:rPr>
                  </w:pPr>
                  <w:r>
                    <w:rPr>
                      <w:rFonts w:hint="eastAsia"/>
                      <w:color w:val="auto"/>
                      <w:sz w:val="18"/>
                      <w:szCs w:val="18"/>
                      <w:highlight w:val="none"/>
                    </w:rPr>
                    <w:t>起泡剂</w:t>
                  </w:r>
                </w:p>
              </w:tc>
              <w:tc>
                <w:tcPr>
                  <w:tcW w:w="1098" w:type="dxa"/>
                  <w:tcBorders>
                    <w:tl2br w:val="nil"/>
                    <w:tr2bl w:val="nil"/>
                  </w:tcBorders>
                  <w:vAlign w:val="center"/>
                </w:tcPr>
                <w:p w14:paraId="3B9971AE">
                  <w:pPr>
                    <w:adjustRightInd w:val="0"/>
                    <w:snapToGrid w:val="0"/>
                    <w:jc w:val="center"/>
                    <w:rPr>
                      <w:color w:val="auto"/>
                      <w:sz w:val="18"/>
                      <w:szCs w:val="18"/>
                      <w:highlight w:val="none"/>
                    </w:rPr>
                  </w:pPr>
                  <w:r>
                    <w:rPr>
                      <w:rFonts w:hint="eastAsia"/>
                      <w:color w:val="auto"/>
                      <w:sz w:val="18"/>
                      <w:szCs w:val="18"/>
                      <w:highlight w:val="none"/>
                    </w:rPr>
                    <w:t>80</w:t>
                  </w:r>
                </w:p>
              </w:tc>
              <w:tc>
                <w:tcPr>
                  <w:tcW w:w="1640" w:type="dxa"/>
                  <w:tcBorders>
                    <w:tl2br w:val="nil"/>
                    <w:tr2bl w:val="nil"/>
                  </w:tcBorders>
                  <w:vAlign w:val="center"/>
                </w:tcPr>
                <w:p w14:paraId="0DE29B0D">
                  <w:pPr>
                    <w:adjustRightInd w:val="0"/>
                    <w:snapToGrid w:val="0"/>
                    <w:jc w:val="center"/>
                    <w:rPr>
                      <w:color w:val="auto"/>
                      <w:sz w:val="18"/>
                      <w:szCs w:val="18"/>
                      <w:highlight w:val="none"/>
                    </w:rPr>
                  </w:pPr>
                  <w:r>
                    <w:rPr>
                      <w:rFonts w:hint="eastAsia"/>
                      <w:color w:val="auto"/>
                      <w:sz w:val="18"/>
                      <w:szCs w:val="18"/>
                      <w:highlight w:val="none"/>
                    </w:rPr>
                    <w:t>药剂库</w:t>
                  </w:r>
                </w:p>
              </w:tc>
              <w:tc>
                <w:tcPr>
                  <w:tcW w:w="1512" w:type="dxa"/>
                  <w:tcBorders>
                    <w:tl2br w:val="nil"/>
                    <w:tr2bl w:val="nil"/>
                  </w:tcBorders>
                  <w:vAlign w:val="center"/>
                </w:tcPr>
                <w:p w14:paraId="579A42A6">
                  <w:pPr>
                    <w:adjustRightInd w:val="0"/>
                    <w:snapToGrid w:val="0"/>
                    <w:jc w:val="center"/>
                    <w:rPr>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shd w:val="clear" w:color="auto" w:fill="auto"/>
                  <w:vAlign w:val="center"/>
                </w:tcPr>
                <w:p w14:paraId="56DA6A60">
                  <w:pPr>
                    <w:adjustRightInd w:val="0"/>
                    <w:snapToGrid w:val="0"/>
                    <w:jc w:val="center"/>
                    <w:rPr>
                      <w:color w:val="auto"/>
                      <w:sz w:val="18"/>
                      <w:szCs w:val="18"/>
                      <w:highlight w:val="none"/>
                    </w:rPr>
                  </w:pPr>
                </w:p>
              </w:tc>
            </w:tr>
            <w:tr w14:paraId="6FD8CA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70F91C2C">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11</w:t>
                  </w:r>
                </w:p>
              </w:tc>
              <w:tc>
                <w:tcPr>
                  <w:tcW w:w="1190" w:type="dxa"/>
                  <w:tcBorders>
                    <w:tl2br w:val="nil"/>
                    <w:tr2bl w:val="nil"/>
                  </w:tcBorders>
                  <w:vAlign w:val="center"/>
                </w:tcPr>
                <w:p w14:paraId="44B6E808">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聚合氯化铝</w:t>
                  </w:r>
                </w:p>
              </w:tc>
              <w:tc>
                <w:tcPr>
                  <w:tcW w:w="1098" w:type="dxa"/>
                  <w:tcBorders>
                    <w:tl2br w:val="nil"/>
                    <w:tr2bl w:val="nil"/>
                  </w:tcBorders>
                  <w:vAlign w:val="center"/>
                </w:tcPr>
                <w:p w14:paraId="0CB06AE7">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c>
                <w:tcPr>
                  <w:tcW w:w="1640" w:type="dxa"/>
                  <w:tcBorders>
                    <w:tl2br w:val="nil"/>
                    <w:tr2bl w:val="nil"/>
                  </w:tcBorders>
                  <w:vAlign w:val="center"/>
                </w:tcPr>
                <w:p w14:paraId="0432C19A">
                  <w:pPr>
                    <w:adjustRightInd w:val="0"/>
                    <w:snapToGrid w:val="0"/>
                    <w:jc w:val="center"/>
                    <w:rPr>
                      <w:rFonts w:hint="eastAsia"/>
                      <w:color w:val="auto"/>
                      <w:sz w:val="18"/>
                      <w:szCs w:val="18"/>
                      <w:highlight w:val="none"/>
                    </w:rPr>
                  </w:pPr>
                  <w:r>
                    <w:rPr>
                      <w:rFonts w:hint="eastAsia"/>
                      <w:color w:val="auto"/>
                      <w:sz w:val="18"/>
                      <w:szCs w:val="18"/>
                      <w:highlight w:val="none"/>
                    </w:rPr>
                    <w:t>药剂库</w:t>
                  </w:r>
                </w:p>
              </w:tc>
              <w:tc>
                <w:tcPr>
                  <w:tcW w:w="1512" w:type="dxa"/>
                  <w:tcBorders>
                    <w:tl2br w:val="nil"/>
                    <w:tr2bl w:val="nil"/>
                  </w:tcBorders>
                  <w:vAlign w:val="center"/>
                </w:tcPr>
                <w:p w14:paraId="47A9C58C">
                  <w:pPr>
                    <w:adjustRightInd w:val="0"/>
                    <w:snapToGrid w:val="0"/>
                    <w:jc w:val="center"/>
                    <w:rPr>
                      <w:rFonts w:hint="eastAsia"/>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shd w:val="clear" w:color="auto" w:fill="auto"/>
                  <w:vAlign w:val="center"/>
                </w:tcPr>
                <w:p w14:paraId="2FD98144">
                  <w:pPr>
                    <w:adjustRightInd w:val="0"/>
                    <w:snapToGrid w:val="0"/>
                    <w:jc w:val="center"/>
                    <w:rPr>
                      <w:color w:val="auto"/>
                      <w:sz w:val="18"/>
                      <w:szCs w:val="18"/>
                      <w:highlight w:val="none"/>
                    </w:rPr>
                  </w:pPr>
                </w:p>
              </w:tc>
            </w:tr>
            <w:tr w14:paraId="1F39C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trPr>
              <w:tc>
                <w:tcPr>
                  <w:tcW w:w="849" w:type="dxa"/>
                  <w:tcBorders>
                    <w:tl2br w:val="nil"/>
                    <w:tr2bl w:val="nil"/>
                  </w:tcBorders>
                  <w:vAlign w:val="center"/>
                </w:tcPr>
                <w:p w14:paraId="0341870F">
                  <w:pPr>
                    <w:adjustRightInd w:val="0"/>
                    <w:snapToGrid w:val="0"/>
                    <w:jc w:val="center"/>
                    <w:rPr>
                      <w:rFonts w:hint="default"/>
                      <w:color w:val="auto"/>
                      <w:sz w:val="18"/>
                      <w:szCs w:val="18"/>
                      <w:highlight w:val="none"/>
                      <w:lang w:val="en-US" w:eastAsia="zh-CN"/>
                    </w:rPr>
                  </w:pPr>
                  <w:r>
                    <w:rPr>
                      <w:rFonts w:hint="eastAsia"/>
                      <w:color w:val="auto"/>
                      <w:sz w:val="18"/>
                      <w:szCs w:val="18"/>
                      <w:highlight w:val="none"/>
                      <w:lang w:val="en-US" w:eastAsia="zh-CN"/>
                    </w:rPr>
                    <w:t>12</w:t>
                  </w:r>
                </w:p>
              </w:tc>
              <w:tc>
                <w:tcPr>
                  <w:tcW w:w="1190" w:type="dxa"/>
                  <w:tcBorders>
                    <w:tl2br w:val="nil"/>
                    <w:tr2bl w:val="nil"/>
                  </w:tcBorders>
                  <w:vAlign w:val="center"/>
                </w:tcPr>
                <w:p w14:paraId="5E47217F">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聚丙烯酰胺</w:t>
                  </w:r>
                </w:p>
              </w:tc>
              <w:tc>
                <w:tcPr>
                  <w:tcW w:w="1098" w:type="dxa"/>
                  <w:tcBorders>
                    <w:tl2br w:val="nil"/>
                    <w:tr2bl w:val="nil"/>
                  </w:tcBorders>
                  <w:vAlign w:val="center"/>
                </w:tcPr>
                <w:p w14:paraId="3F3DB363">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c>
                <w:tcPr>
                  <w:tcW w:w="1640" w:type="dxa"/>
                  <w:tcBorders>
                    <w:tl2br w:val="nil"/>
                    <w:tr2bl w:val="nil"/>
                  </w:tcBorders>
                  <w:vAlign w:val="center"/>
                </w:tcPr>
                <w:p w14:paraId="025350E5">
                  <w:pPr>
                    <w:adjustRightInd w:val="0"/>
                    <w:snapToGrid w:val="0"/>
                    <w:jc w:val="center"/>
                    <w:rPr>
                      <w:rFonts w:hint="eastAsia"/>
                      <w:color w:val="auto"/>
                      <w:sz w:val="18"/>
                      <w:szCs w:val="18"/>
                      <w:highlight w:val="none"/>
                    </w:rPr>
                  </w:pPr>
                  <w:r>
                    <w:rPr>
                      <w:rFonts w:hint="eastAsia"/>
                      <w:color w:val="auto"/>
                      <w:sz w:val="18"/>
                      <w:szCs w:val="18"/>
                      <w:highlight w:val="none"/>
                    </w:rPr>
                    <w:t>药剂库</w:t>
                  </w:r>
                </w:p>
              </w:tc>
              <w:tc>
                <w:tcPr>
                  <w:tcW w:w="1512" w:type="dxa"/>
                  <w:tcBorders>
                    <w:tl2br w:val="nil"/>
                    <w:tr2bl w:val="nil"/>
                  </w:tcBorders>
                  <w:vAlign w:val="center"/>
                </w:tcPr>
                <w:p w14:paraId="18BDB904">
                  <w:pPr>
                    <w:adjustRightInd w:val="0"/>
                    <w:snapToGrid w:val="0"/>
                    <w:jc w:val="center"/>
                    <w:rPr>
                      <w:rFonts w:hint="eastAsia"/>
                      <w:color w:val="auto"/>
                      <w:sz w:val="18"/>
                      <w:szCs w:val="18"/>
                      <w:highlight w:val="none"/>
                    </w:rPr>
                  </w:pPr>
                  <w:r>
                    <w:rPr>
                      <w:rFonts w:hint="eastAsia"/>
                      <w:color w:val="auto"/>
                      <w:sz w:val="18"/>
                      <w:szCs w:val="18"/>
                      <w:highlight w:val="none"/>
                    </w:rPr>
                    <w:t>外购</w:t>
                  </w:r>
                </w:p>
              </w:tc>
              <w:tc>
                <w:tcPr>
                  <w:tcW w:w="1807" w:type="dxa"/>
                  <w:vMerge w:val="continue"/>
                  <w:tcBorders>
                    <w:tl2br w:val="nil"/>
                    <w:tr2bl w:val="nil"/>
                  </w:tcBorders>
                  <w:shd w:val="clear" w:color="auto" w:fill="auto"/>
                  <w:vAlign w:val="center"/>
                </w:tcPr>
                <w:p w14:paraId="5ABCD2EA">
                  <w:pPr>
                    <w:adjustRightInd w:val="0"/>
                    <w:snapToGrid w:val="0"/>
                    <w:jc w:val="center"/>
                    <w:rPr>
                      <w:color w:val="auto"/>
                      <w:sz w:val="18"/>
                      <w:szCs w:val="18"/>
                      <w:highlight w:val="none"/>
                    </w:rPr>
                  </w:pPr>
                </w:p>
              </w:tc>
            </w:tr>
          </w:tbl>
          <w:p w14:paraId="5005EB66">
            <w:pPr>
              <w:adjustRightInd w:val="0"/>
              <w:snapToGrid w:val="0"/>
              <w:jc w:val="center"/>
              <w:rPr>
                <w:b/>
                <w:bCs/>
                <w:color w:val="auto"/>
                <w:szCs w:val="21"/>
                <w:highlight w:val="none"/>
              </w:rPr>
            </w:pPr>
            <w:r>
              <w:rPr>
                <w:rFonts w:hint="eastAsia"/>
                <w:b/>
                <w:bCs/>
                <w:color w:val="auto"/>
                <w:szCs w:val="21"/>
                <w:highlight w:val="none"/>
              </w:rPr>
              <w:t>表2-7煤泥原料成分一览表</w:t>
            </w:r>
          </w:p>
          <w:tbl>
            <w:tblPr>
              <w:tblStyle w:val="23"/>
              <w:tblW w:w="81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3214"/>
              <w:gridCol w:w="2030"/>
              <w:gridCol w:w="2030"/>
            </w:tblGrid>
            <w:tr w14:paraId="425B6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3E8A4170">
                  <w:pPr>
                    <w:adjustRightInd w:val="0"/>
                    <w:snapToGrid w:val="0"/>
                    <w:jc w:val="center"/>
                    <w:rPr>
                      <w:color w:val="auto"/>
                      <w:sz w:val="18"/>
                      <w:szCs w:val="18"/>
                      <w:highlight w:val="none"/>
                    </w:rPr>
                  </w:pPr>
                  <w:r>
                    <w:rPr>
                      <w:rFonts w:hint="eastAsia"/>
                      <w:color w:val="auto"/>
                      <w:sz w:val="18"/>
                      <w:szCs w:val="18"/>
                      <w:highlight w:val="none"/>
                    </w:rPr>
                    <w:t>序号</w:t>
                  </w:r>
                </w:p>
              </w:tc>
              <w:tc>
                <w:tcPr>
                  <w:tcW w:w="3214" w:type="dxa"/>
                  <w:tcBorders>
                    <w:tl2br w:val="nil"/>
                    <w:tr2bl w:val="nil"/>
                  </w:tcBorders>
                  <w:vAlign w:val="center"/>
                </w:tcPr>
                <w:p w14:paraId="7C07A173">
                  <w:pPr>
                    <w:adjustRightInd w:val="0"/>
                    <w:snapToGrid w:val="0"/>
                    <w:jc w:val="center"/>
                    <w:rPr>
                      <w:color w:val="auto"/>
                      <w:sz w:val="18"/>
                      <w:szCs w:val="18"/>
                      <w:highlight w:val="none"/>
                    </w:rPr>
                  </w:pPr>
                  <w:r>
                    <w:rPr>
                      <w:rFonts w:hint="eastAsia"/>
                      <w:color w:val="auto"/>
                      <w:sz w:val="18"/>
                      <w:szCs w:val="18"/>
                      <w:highlight w:val="none"/>
                    </w:rPr>
                    <w:t>项目</w:t>
                  </w:r>
                </w:p>
              </w:tc>
              <w:tc>
                <w:tcPr>
                  <w:tcW w:w="2030" w:type="dxa"/>
                  <w:tcBorders>
                    <w:tl2br w:val="nil"/>
                    <w:tr2bl w:val="nil"/>
                  </w:tcBorders>
                  <w:vAlign w:val="center"/>
                </w:tcPr>
                <w:p w14:paraId="55D38884">
                  <w:pPr>
                    <w:adjustRightInd w:val="0"/>
                    <w:snapToGrid w:val="0"/>
                    <w:jc w:val="center"/>
                    <w:rPr>
                      <w:color w:val="auto"/>
                      <w:sz w:val="18"/>
                      <w:szCs w:val="18"/>
                      <w:highlight w:val="none"/>
                    </w:rPr>
                  </w:pPr>
                  <w:r>
                    <w:rPr>
                      <w:rFonts w:hint="eastAsia"/>
                      <w:color w:val="auto"/>
                      <w:sz w:val="18"/>
                      <w:szCs w:val="18"/>
                      <w:highlight w:val="none"/>
                    </w:rPr>
                    <w:t>结果</w:t>
                  </w:r>
                </w:p>
              </w:tc>
              <w:tc>
                <w:tcPr>
                  <w:tcW w:w="2030" w:type="dxa"/>
                  <w:tcBorders>
                    <w:tl2br w:val="nil"/>
                    <w:tr2bl w:val="nil"/>
                  </w:tcBorders>
                  <w:vAlign w:val="center"/>
                </w:tcPr>
                <w:p w14:paraId="1797E058">
                  <w:pPr>
                    <w:adjustRightInd w:val="0"/>
                    <w:snapToGrid w:val="0"/>
                    <w:jc w:val="center"/>
                    <w:rPr>
                      <w:color w:val="auto"/>
                      <w:sz w:val="18"/>
                      <w:szCs w:val="18"/>
                      <w:highlight w:val="none"/>
                    </w:rPr>
                  </w:pPr>
                  <w:r>
                    <w:rPr>
                      <w:rFonts w:hint="eastAsia"/>
                      <w:color w:val="auto"/>
                      <w:sz w:val="18"/>
                      <w:szCs w:val="18"/>
                      <w:highlight w:val="none"/>
                    </w:rPr>
                    <w:t>备注</w:t>
                  </w:r>
                </w:p>
              </w:tc>
            </w:tr>
            <w:tr w14:paraId="1440D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2D2920BF">
                  <w:pPr>
                    <w:adjustRightInd w:val="0"/>
                    <w:snapToGrid w:val="0"/>
                    <w:jc w:val="center"/>
                    <w:rPr>
                      <w:color w:val="auto"/>
                      <w:sz w:val="18"/>
                      <w:szCs w:val="18"/>
                      <w:highlight w:val="none"/>
                    </w:rPr>
                  </w:pPr>
                  <w:r>
                    <w:rPr>
                      <w:rFonts w:hint="eastAsia"/>
                      <w:color w:val="auto"/>
                      <w:sz w:val="18"/>
                      <w:szCs w:val="18"/>
                      <w:highlight w:val="none"/>
                    </w:rPr>
                    <w:t>1</w:t>
                  </w:r>
                </w:p>
              </w:tc>
              <w:tc>
                <w:tcPr>
                  <w:tcW w:w="3214" w:type="dxa"/>
                  <w:tcBorders>
                    <w:tl2br w:val="nil"/>
                    <w:tr2bl w:val="nil"/>
                  </w:tcBorders>
                  <w:shd w:val="clear" w:color="auto" w:fill="auto"/>
                  <w:vAlign w:val="center"/>
                </w:tcPr>
                <w:p w14:paraId="30A5D5FC">
                  <w:pPr>
                    <w:adjustRightInd w:val="0"/>
                    <w:snapToGrid w:val="0"/>
                    <w:jc w:val="center"/>
                    <w:rPr>
                      <w:color w:val="auto"/>
                      <w:sz w:val="18"/>
                      <w:szCs w:val="18"/>
                      <w:highlight w:val="none"/>
                    </w:rPr>
                  </w:pPr>
                  <w:r>
                    <w:rPr>
                      <w:rFonts w:hint="eastAsia"/>
                      <w:color w:val="auto"/>
                      <w:sz w:val="18"/>
                      <w:szCs w:val="18"/>
                      <w:highlight w:val="none"/>
                    </w:rPr>
                    <w:t>全水份Mt%</w:t>
                  </w:r>
                </w:p>
              </w:tc>
              <w:tc>
                <w:tcPr>
                  <w:tcW w:w="2030" w:type="dxa"/>
                  <w:tcBorders>
                    <w:tl2br w:val="nil"/>
                    <w:tr2bl w:val="nil"/>
                  </w:tcBorders>
                  <w:vAlign w:val="center"/>
                </w:tcPr>
                <w:p w14:paraId="0F573962">
                  <w:pPr>
                    <w:adjustRightInd w:val="0"/>
                    <w:snapToGrid w:val="0"/>
                    <w:jc w:val="center"/>
                    <w:rPr>
                      <w:color w:val="auto"/>
                      <w:sz w:val="18"/>
                      <w:szCs w:val="18"/>
                      <w:highlight w:val="none"/>
                    </w:rPr>
                  </w:pPr>
                  <w:r>
                    <w:rPr>
                      <w:rFonts w:hint="eastAsia"/>
                      <w:color w:val="auto"/>
                      <w:sz w:val="18"/>
                      <w:szCs w:val="18"/>
                      <w:highlight w:val="none"/>
                    </w:rPr>
                    <w:t>27.83</w:t>
                  </w:r>
                </w:p>
              </w:tc>
              <w:tc>
                <w:tcPr>
                  <w:tcW w:w="2030" w:type="dxa"/>
                  <w:tcBorders>
                    <w:tl2br w:val="nil"/>
                    <w:tr2bl w:val="nil"/>
                  </w:tcBorders>
                  <w:vAlign w:val="center"/>
                </w:tcPr>
                <w:p w14:paraId="5789F42B">
                  <w:pPr>
                    <w:adjustRightInd w:val="0"/>
                    <w:snapToGrid w:val="0"/>
                    <w:jc w:val="center"/>
                    <w:rPr>
                      <w:color w:val="auto"/>
                      <w:sz w:val="18"/>
                      <w:szCs w:val="18"/>
                      <w:highlight w:val="none"/>
                    </w:rPr>
                  </w:pPr>
                  <w:r>
                    <w:rPr>
                      <w:rFonts w:hint="eastAsia"/>
                      <w:color w:val="auto"/>
                      <w:sz w:val="18"/>
                      <w:szCs w:val="18"/>
                      <w:highlight w:val="none"/>
                    </w:rPr>
                    <w:t>/</w:t>
                  </w:r>
                </w:p>
              </w:tc>
            </w:tr>
            <w:tr w14:paraId="19EF5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03F64F30">
                  <w:pPr>
                    <w:adjustRightInd w:val="0"/>
                    <w:snapToGrid w:val="0"/>
                    <w:jc w:val="center"/>
                    <w:rPr>
                      <w:color w:val="auto"/>
                      <w:sz w:val="18"/>
                      <w:szCs w:val="18"/>
                      <w:highlight w:val="none"/>
                    </w:rPr>
                  </w:pPr>
                  <w:r>
                    <w:rPr>
                      <w:rFonts w:hint="eastAsia"/>
                      <w:color w:val="auto"/>
                      <w:sz w:val="18"/>
                      <w:szCs w:val="18"/>
                      <w:highlight w:val="none"/>
                    </w:rPr>
                    <w:t>2</w:t>
                  </w:r>
                </w:p>
              </w:tc>
              <w:tc>
                <w:tcPr>
                  <w:tcW w:w="3214" w:type="dxa"/>
                  <w:tcBorders>
                    <w:tl2br w:val="nil"/>
                    <w:tr2bl w:val="nil"/>
                  </w:tcBorders>
                  <w:shd w:val="clear" w:color="auto" w:fill="auto"/>
                  <w:vAlign w:val="center"/>
                </w:tcPr>
                <w:p w14:paraId="73706B04">
                  <w:pPr>
                    <w:adjustRightInd w:val="0"/>
                    <w:snapToGrid w:val="0"/>
                    <w:jc w:val="center"/>
                    <w:rPr>
                      <w:color w:val="auto"/>
                      <w:sz w:val="18"/>
                      <w:szCs w:val="18"/>
                      <w:highlight w:val="none"/>
                    </w:rPr>
                  </w:pPr>
                  <w:r>
                    <w:rPr>
                      <w:rFonts w:hint="eastAsia"/>
                      <w:color w:val="auto"/>
                      <w:sz w:val="18"/>
                      <w:szCs w:val="18"/>
                      <w:highlight w:val="none"/>
                    </w:rPr>
                    <w:t>分析水Mad%</w:t>
                  </w:r>
                </w:p>
              </w:tc>
              <w:tc>
                <w:tcPr>
                  <w:tcW w:w="2030" w:type="dxa"/>
                  <w:tcBorders>
                    <w:tl2br w:val="nil"/>
                    <w:tr2bl w:val="nil"/>
                  </w:tcBorders>
                  <w:vAlign w:val="center"/>
                </w:tcPr>
                <w:p w14:paraId="628D74AE">
                  <w:pPr>
                    <w:adjustRightInd w:val="0"/>
                    <w:snapToGrid w:val="0"/>
                    <w:jc w:val="center"/>
                    <w:rPr>
                      <w:color w:val="auto"/>
                      <w:sz w:val="18"/>
                      <w:szCs w:val="18"/>
                      <w:highlight w:val="none"/>
                    </w:rPr>
                  </w:pPr>
                  <w:r>
                    <w:rPr>
                      <w:rFonts w:hint="eastAsia"/>
                      <w:color w:val="auto"/>
                      <w:sz w:val="18"/>
                      <w:szCs w:val="18"/>
                      <w:highlight w:val="none"/>
                    </w:rPr>
                    <w:t>0.58</w:t>
                  </w:r>
                </w:p>
              </w:tc>
              <w:tc>
                <w:tcPr>
                  <w:tcW w:w="2030" w:type="dxa"/>
                  <w:tcBorders>
                    <w:tl2br w:val="nil"/>
                    <w:tr2bl w:val="nil"/>
                  </w:tcBorders>
                  <w:vAlign w:val="center"/>
                </w:tcPr>
                <w:p w14:paraId="5C5F8934">
                  <w:pPr>
                    <w:adjustRightInd w:val="0"/>
                    <w:snapToGrid w:val="0"/>
                    <w:jc w:val="center"/>
                    <w:rPr>
                      <w:color w:val="auto"/>
                      <w:sz w:val="18"/>
                      <w:szCs w:val="18"/>
                      <w:highlight w:val="none"/>
                    </w:rPr>
                  </w:pPr>
                  <w:r>
                    <w:rPr>
                      <w:rFonts w:hint="eastAsia"/>
                      <w:color w:val="auto"/>
                      <w:sz w:val="18"/>
                      <w:szCs w:val="18"/>
                      <w:highlight w:val="none"/>
                    </w:rPr>
                    <w:t>/</w:t>
                  </w:r>
                </w:p>
              </w:tc>
            </w:tr>
            <w:tr w14:paraId="12848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08D6990E">
                  <w:pPr>
                    <w:adjustRightInd w:val="0"/>
                    <w:snapToGrid w:val="0"/>
                    <w:jc w:val="center"/>
                    <w:rPr>
                      <w:color w:val="auto"/>
                      <w:sz w:val="18"/>
                      <w:szCs w:val="18"/>
                      <w:highlight w:val="none"/>
                    </w:rPr>
                  </w:pPr>
                  <w:r>
                    <w:rPr>
                      <w:rFonts w:hint="eastAsia"/>
                      <w:color w:val="auto"/>
                      <w:sz w:val="18"/>
                      <w:szCs w:val="18"/>
                      <w:highlight w:val="none"/>
                    </w:rPr>
                    <w:t>3</w:t>
                  </w:r>
                </w:p>
              </w:tc>
              <w:tc>
                <w:tcPr>
                  <w:tcW w:w="3214" w:type="dxa"/>
                  <w:tcBorders>
                    <w:tl2br w:val="nil"/>
                    <w:tr2bl w:val="nil"/>
                  </w:tcBorders>
                  <w:shd w:val="clear" w:color="auto" w:fill="auto"/>
                  <w:vAlign w:val="center"/>
                </w:tcPr>
                <w:p w14:paraId="2B01EAD9">
                  <w:pPr>
                    <w:adjustRightInd w:val="0"/>
                    <w:snapToGrid w:val="0"/>
                    <w:jc w:val="center"/>
                    <w:rPr>
                      <w:color w:val="auto"/>
                      <w:sz w:val="18"/>
                      <w:szCs w:val="18"/>
                      <w:highlight w:val="none"/>
                    </w:rPr>
                  </w:pPr>
                  <w:r>
                    <w:rPr>
                      <w:rFonts w:hint="eastAsia"/>
                      <w:color w:val="auto"/>
                      <w:sz w:val="18"/>
                      <w:szCs w:val="18"/>
                      <w:highlight w:val="none"/>
                    </w:rPr>
                    <w:t>干燥基灰份Ad%</w:t>
                  </w:r>
                </w:p>
              </w:tc>
              <w:tc>
                <w:tcPr>
                  <w:tcW w:w="2030" w:type="dxa"/>
                  <w:tcBorders>
                    <w:tl2br w:val="nil"/>
                    <w:tr2bl w:val="nil"/>
                  </w:tcBorders>
                  <w:vAlign w:val="center"/>
                </w:tcPr>
                <w:p w14:paraId="164B2F32">
                  <w:pPr>
                    <w:adjustRightInd w:val="0"/>
                    <w:snapToGrid w:val="0"/>
                    <w:jc w:val="center"/>
                    <w:rPr>
                      <w:color w:val="auto"/>
                      <w:sz w:val="18"/>
                      <w:szCs w:val="18"/>
                      <w:highlight w:val="none"/>
                    </w:rPr>
                  </w:pPr>
                  <w:r>
                    <w:rPr>
                      <w:rFonts w:hint="eastAsia"/>
                      <w:color w:val="auto"/>
                      <w:sz w:val="18"/>
                      <w:szCs w:val="18"/>
                      <w:highlight w:val="none"/>
                    </w:rPr>
                    <w:t>59.63</w:t>
                  </w:r>
                </w:p>
              </w:tc>
              <w:tc>
                <w:tcPr>
                  <w:tcW w:w="2030" w:type="dxa"/>
                  <w:tcBorders>
                    <w:tl2br w:val="nil"/>
                    <w:tr2bl w:val="nil"/>
                  </w:tcBorders>
                  <w:vAlign w:val="center"/>
                </w:tcPr>
                <w:p w14:paraId="45F4BE07">
                  <w:pPr>
                    <w:adjustRightInd w:val="0"/>
                    <w:snapToGrid w:val="0"/>
                    <w:jc w:val="center"/>
                    <w:rPr>
                      <w:color w:val="auto"/>
                      <w:sz w:val="18"/>
                      <w:szCs w:val="18"/>
                      <w:highlight w:val="none"/>
                    </w:rPr>
                  </w:pPr>
                  <w:r>
                    <w:rPr>
                      <w:rFonts w:hint="eastAsia"/>
                      <w:color w:val="auto"/>
                      <w:sz w:val="18"/>
                      <w:szCs w:val="18"/>
                      <w:highlight w:val="none"/>
                    </w:rPr>
                    <w:t>分析基：59.28</w:t>
                  </w:r>
                </w:p>
              </w:tc>
            </w:tr>
            <w:tr w14:paraId="5F355F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68D108E7">
                  <w:pPr>
                    <w:adjustRightInd w:val="0"/>
                    <w:snapToGrid w:val="0"/>
                    <w:jc w:val="center"/>
                    <w:rPr>
                      <w:color w:val="auto"/>
                      <w:sz w:val="18"/>
                      <w:szCs w:val="18"/>
                      <w:highlight w:val="none"/>
                    </w:rPr>
                  </w:pPr>
                  <w:r>
                    <w:rPr>
                      <w:rFonts w:hint="eastAsia"/>
                      <w:color w:val="auto"/>
                      <w:sz w:val="18"/>
                      <w:szCs w:val="18"/>
                      <w:highlight w:val="none"/>
                    </w:rPr>
                    <w:t>4</w:t>
                  </w:r>
                </w:p>
              </w:tc>
              <w:tc>
                <w:tcPr>
                  <w:tcW w:w="3214" w:type="dxa"/>
                  <w:tcBorders>
                    <w:tl2br w:val="nil"/>
                    <w:tr2bl w:val="nil"/>
                  </w:tcBorders>
                  <w:shd w:val="clear" w:color="auto" w:fill="auto"/>
                  <w:vAlign w:val="center"/>
                </w:tcPr>
                <w:p w14:paraId="78BA7600">
                  <w:pPr>
                    <w:adjustRightInd w:val="0"/>
                    <w:snapToGrid w:val="0"/>
                    <w:jc w:val="center"/>
                    <w:rPr>
                      <w:color w:val="auto"/>
                      <w:sz w:val="18"/>
                      <w:szCs w:val="18"/>
                      <w:highlight w:val="none"/>
                    </w:rPr>
                  </w:pPr>
                  <w:r>
                    <w:rPr>
                      <w:rFonts w:hint="eastAsia"/>
                      <w:color w:val="auto"/>
                      <w:sz w:val="18"/>
                      <w:szCs w:val="18"/>
                      <w:highlight w:val="none"/>
                    </w:rPr>
                    <w:t>干燥无灰基挥发分Vdaf%</w:t>
                  </w:r>
                </w:p>
              </w:tc>
              <w:tc>
                <w:tcPr>
                  <w:tcW w:w="2030" w:type="dxa"/>
                  <w:tcBorders>
                    <w:tl2br w:val="nil"/>
                    <w:tr2bl w:val="nil"/>
                  </w:tcBorders>
                  <w:vAlign w:val="center"/>
                </w:tcPr>
                <w:p w14:paraId="1936E527">
                  <w:pPr>
                    <w:adjustRightInd w:val="0"/>
                    <w:snapToGrid w:val="0"/>
                    <w:jc w:val="center"/>
                    <w:rPr>
                      <w:color w:val="auto"/>
                      <w:sz w:val="18"/>
                      <w:szCs w:val="18"/>
                      <w:highlight w:val="none"/>
                    </w:rPr>
                  </w:pPr>
                  <w:r>
                    <w:rPr>
                      <w:rFonts w:hint="eastAsia"/>
                      <w:color w:val="auto"/>
                      <w:sz w:val="18"/>
                      <w:szCs w:val="18"/>
                      <w:highlight w:val="none"/>
                    </w:rPr>
                    <w:t>38.37</w:t>
                  </w:r>
                </w:p>
              </w:tc>
              <w:tc>
                <w:tcPr>
                  <w:tcW w:w="2030" w:type="dxa"/>
                  <w:tcBorders>
                    <w:tl2br w:val="nil"/>
                    <w:tr2bl w:val="nil"/>
                  </w:tcBorders>
                  <w:vAlign w:val="center"/>
                </w:tcPr>
                <w:p w14:paraId="45ECFD66">
                  <w:pPr>
                    <w:adjustRightInd w:val="0"/>
                    <w:snapToGrid w:val="0"/>
                    <w:jc w:val="center"/>
                    <w:rPr>
                      <w:color w:val="auto"/>
                      <w:sz w:val="18"/>
                      <w:szCs w:val="18"/>
                      <w:highlight w:val="none"/>
                    </w:rPr>
                  </w:pPr>
                  <w:r>
                    <w:rPr>
                      <w:rFonts w:hint="eastAsia"/>
                      <w:color w:val="auto"/>
                      <w:sz w:val="18"/>
                      <w:szCs w:val="18"/>
                      <w:highlight w:val="none"/>
                    </w:rPr>
                    <w:t>分析基：15.40</w:t>
                  </w:r>
                </w:p>
              </w:tc>
            </w:tr>
            <w:tr w14:paraId="50DF4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2B4E6CFA">
                  <w:pPr>
                    <w:adjustRightInd w:val="0"/>
                    <w:snapToGrid w:val="0"/>
                    <w:jc w:val="center"/>
                    <w:rPr>
                      <w:color w:val="auto"/>
                      <w:sz w:val="18"/>
                      <w:szCs w:val="18"/>
                      <w:highlight w:val="none"/>
                    </w:rPr>
                  </w:pPr>
                  <w:r>
                    <w:rPr>
                      <w:rFonts w:hint="eastAsia"/>
                      <w:color w:val="auto"/>
                      <w:sz w:val="18"/>
                      <w:szCs w:val="18"/>
                      <w:highlight w:val="none"/>
                    </w:rPr>
                    <w:t>5</w:t>
                  </w:r>
                </w:p>
              </w:tc>
              <w:tc>
                <w:tcPr>
                  <w:tcW w:w="3214" w:type="dxa"/>
                  <w:tcBorders>
                    <w:tl2br w:val="nil"/>
                    <w:tr2bl w:val="nil"/>
                  </w:tcBorders>
                  <w:shd w:val="clear" w:color="auto" w:fill="auto"/>
                  <w:vAlign w:val="center"/>
                </w:tcPr>
                <w:p w14:paraId="3D6E5B76">
                  <w:pPr>
                    <w:adjustRightInd w:val="0"/>
                    <w:snapToGrid w:val="0"/>
                    <w:jc w:val="center"/>
                    <w:rPr>
                      <w:color w:val="auto"/>
                      <w:sz w:val="18"/>
                      <w:szCs w:val="18"/>
                      <w:highlight w:val="none"/>
                    </w:rPr>
                  </w:pPr>
                  <w:r>
                    <w:rPr>
                      <w:rFonts w:hint="eastAsia"/>
                      <w:color w:val="auto"/>
                      <w:sz w:val="18"/>
                      <w:szCs w:val="18"/>
                      <w:highlight w:val="none"/>
                    </w:rPr>
                    <w:t>空气干燥基固定碳Fcad%</w:t>
                  </w:r>
                </w:p>
              </w:tc>
              <w:tc>
                <w:tcPr>
                  <w:tcW w:w="2030" w:type="dxa"/>
                  <w:tcBorders>
                    <w:tl2br w:val="nil"/>
                    <w:tr2bl w:val="nil"/>
                  </w:tcBorders>
                  <w:vAlign w:val="center"/>
                </w:tcPr>
                <w:p w14:paraId="20F18F1B">
                  <w:pPr>
                    <w:adjustRightInd w:val="0"/>
                    <w:snapToGrid w:val="0"/>
                    <w:jc w:val="center"/>
                    <w:rPr>
                      <w:color w:val="auto"/>
                      <w:sz w:val="18"/>
                      <w:szCs w:val="18"/>
                      <w:highlight w:val="none"/>
                    </w:rPr>
                  </w:pPr>
                  <w:r>
                    <w:rPr>
                      <w:rFonts w:hint="eastAsia"/>
                      <w:color w:val="auto"/>
                      <w:sz w:val="18"/>
                      <w:szCs w:val="18"/>
                      <w:highlight w:val="none"/>
                    </w:rPr>
                    <w:t>24.74</w:t>
                  </w:r>
                </w:p>
              </w:tc>
              <w:tc>
                <w:tcPr>
                  <w:tcW w:w="2030" w:type="dxa"/>
                  <w:tcBorders>
                    <w:tl2br w:val="nil"/>
                    <w:tr2bl w:val="nil"/>
                  </w:tcBorders>
                  <w:vAlign w:val="center"/>
                </w:tcPr>
                <w:p w14:paraId="6214302C">
                  <w:pPr>
                    <w:adjustRightInd w:val="0"/>
                    <w:snapToGrid w:val="0"/>
                    <w:jc w:val="center"/>
                    <w:rPr>
                      <w:color w:val="auto"/>
                      <w:sz w:val="18"/>
                      <w:szCs w:val="18"/>
                      <w:highlight w:val="none"/>
                    </w:rPr>
                  </w:pPr>
                  <w:r>
                    <w:rPr>
                      <w:rFonts w:hint="eastAsia"/>
                      <w:color w:val="auto"/>
                      <w:sz w:val="18"/>
                      <w:szCs w:val="18"/>
                      <w:highlight w:val="none"/>
                    </w:rPr>
                    <w:t>/</w:t>
                  </w:r>
                </w:p>
              </w:tc>
            </w:tr>
            <w:tr w14:paraId="6368F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45" w:type="dxa"/>
                  <w:tcBorders>
                    <w:tl2br w:val="nil"/>
                    <w:tr2bl w:val="nil"/>
                  </w:tcBorders>
                  <w:vAlign w:val="center"/>
                </w:tcPr>
                <w:p w14:paraId="136CB06F">
                  <w:pPr>
                    <w:adjustRightInd w:val="0"/>
                    <w:snapToGrid w:val="0"/>
                    <w:jc w:val="center"/>
                    <w:rPr>
                      <w:color w:val="auto"/>
                      <w:sz w:val="18"/>
                      <w:szCs w:val="18"/>
                      <w:highlight w:val="none"/>
                    </w:rPr>
                  </w:pPr>
                  <w:r>
                    <w:rPr>
                      <w:rFonts w:hint="eastAsia"/>
                      <w:color w:val="auto"/>
                      <w:sz w:val="18"/>
                      <w:szCs w:val="18"/>
                      <w:highlight w:val="none"/>
                    </w:rPr>
                    <w:t>6</w:t>
                  </w:r>
                </w:p>
              </w:tc>
              <w:tc>
                <w:tcPr>
                  <w:tcW w:w="3214" w:type="dxa"/>
                  <w:tcBorders>
                    <w:tl2br w:val="nil"/>
                    <w:tr2bl w:val="nil"/>
                  </w:tcBorders>
                  <w:shd w:val="clear" w:color="auto" w:fill="auto"/>
                  <w:vAlign w:val="center"/>
                </w:tcPr>
                <w:p w14:paraId="5C0B49B0">
                  <w:pPr>
                    <w:adjustRightInd w:val="0"/>
                    <w:snapToGrid w:val="0"/>
                    <w:jc w:val="center"/>
                    <w:rPr>
                      <w:color w:val="auto"/>
                      <w:sz w:val="18"/>
                      <w:szCs w:val="18"/>
                      <w:highlight w:val="none"/>
                    </w:rPr>
                  </w:pPr>
                  <w:r>
                    <w:rPr>
                      <w:rFonts w:hint="eastAsia"/>
                      <w:color w:val="auto"/>
                      <w:sz w:val="18"/>
                      <w:szCs w:val="18"/>
                      <w:highlight w:val="none"/>
                    </w:rPr>
                    <w:t>空干基高位发热量Qgr,d、MJ/kg</w:t>
                  </w:r>
                </w:p>
              </w:tc>
              <w:tc>
                <w:tcPr>
                  <w:tcW w:w="2030" w:type="dxa"/>
                  <w:tcBorders>
                    <w:tl2br w:val="nil"/>
                    <w:tr2bl w:val="nil"/>
                  </w:tcBorders>
                  <w:vAlign w:val="center"/>
                </w:tcPr>
                <w:p w14:paraId="5EDB08E3">
                  <w:pPr>
                    <w:adjustRightInd w:val="0"/>
                    <w:snapToGrid w:val="0"/>
                    <w:jc w:val="center"/>
                    <w:rPr>
                      <w:color w:val="auto"/>
                      <w:sz w:val="18"/>
                      <w:szCs w:val="18"/>
                      <w:highlight w:val="none"/>
                    </w:rPr>
                  </w:pPr>
                  <w:r>
                    <w:rPr>
                      <w:rFonts w:hint="eastAsia"/>
                      <w:color w:val="auto"/>
                      <w:sz w:val="18"/>
                      <w:szCs w:val="18"/>
                      <w:highlight w:val="none"/>
                    </w:rPr>
                    <w:t>12.78</w:t>
                  </w:r>
                </w:p>
              </w:tc>
              <w:tc>
                <w:tcPr>
                  <w:tcW w:w="2030" w:type="dxa"/>
                  <w:tcBorders>
                    <w:tl2br w:val="nil"/>
                    <w:tr2bl w:val="nil"/>
                  </w:tcBorders>
                  <w:vAlign w:val="center"/>
                </w:tcPr>
                <w:p w14:paraId="5F83D861">
                  <w:pPr>
                    <w:adjustRightInd w:val="0"/>
                    <w:snapToGrid w:val="0"/>
                    <w:jc w:val="center"/>
                    <w:rPr>
                      <w:color w:val="auto"/>
                      <w:sz w:val="18"/>
                      <w:szCs w:val="18"/>
                      <w:highlight w:val="none"/>
                    </w:rPr>
                  </w:pPr>
                  <w:r>
                    <w:rPr>
                      <w:rFonts w:hint="eastAsia"/>
                      <w:color w:val="auto"/>
                      <w:sz w:val="18"/>
                      <w:szCs w:val="18"/>
                      <w:highlight w:val="none"/>
                    </w:rPr>
                    <w:t>3056kcal</w:t>
                  </w:r>
                </w:p>
              </w:tc>
            </w:tr>
            <w:tr w14:paraId="110C4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845" w:type="dxa"/>
                  <w:tcBorders>
                    <w:tl2br w:val="nil"/>
                    <w:tr2bl w:val="nil"/>
                  </w:tcBorders>
                  <w:vAlign w:val="center"/>
                </w:tcPr>
                <w:p w14:paraId="5AF301AA">
                  <w:pPr>
                    <w:adjustRightInd w:val="0"/>
                    <w:snapToGrid w:val="0"/>
                    <w:jc w:val="center"/>
                    <w:rPr>
                      <w:color w:val="auto"/>
                      <w:sz w:val="18"/>
                      <w:szCs w:val="18"/>
                      <w:highlight w:val="none"/>
                    </w:rPr>
                  </w:pPr>
                  <w:r>
                    <w:rPr>
                      <w:rFonts w:hint="eastAsia"/>
                      <w:color w:val="auto"/>
                      <w:sz w:val="18"/>
                      <w:szCs w:val="18"/>
                      <w:highlight w:val="none"/>
                    </w:rPr>
                    <w:t>7</w:t>
                  </w:r>
                </w:p>
              </w:tc>
              <w:tc>
                <w:tcPr>
                  <w:tcW w:w="3214" w:type="dxa"/>
                  <w:tcBorders>
                    <w:tl2br w:val="nil"/>
                    <w:tr2bl w:val="nil"/>
                  </w:tcBorders>
                  <w:shd w:val="clear" w:color="auto" w:fill="auto"/>
                  <w:vAlign w:val="center"/>
                </w:tcPr>
                <w:p w14:paraId="51A336DD">
                  <w:pPr>
                    <w:adjustRightInd w:val="0"/>
                    <w:snapToGrid w:val="0"/>
                    <w:jc w:val="center"/>
                    <w:rPr>
                      <w:color w:val="auto"/>
                      <w:sz w:val="18"/>
                      <w:szCs w:val="18"/>
                      <w:highlight w:val="none"/>
                    </w:rPr>
                  </w:pPr>
                  <w:r>
                    <w:rPr>
                      <w:rFonts w:hint="eastAsia"/>
                      <w:color w:val="auto"/>
                      <w:sz w:val="18"/>
                      <w:szCs w:val="18"/>
                      <w:highlight w:val="none"/>
                    </w:rPr>
                    <w:t>收到基低位发热量Qnet,ar、MJ/kg</w:t>
                  </w:r>
                </w:p>
              </w:tc>
              <w:tc>
                <w:tcPr>
                  <w:tcW w:w="2030" w:type="dxa"/>
                  <w:tcBorders>
                    <w:tl2br w:val="nil"/>
                    <w:tr2bl w:val="nil"/>
                  </w:tcBorders>
                  <w:vAlign w:val="center"/>
                </w:tcPr>
                <w:p w14:paraId="4FAA4C22">
                  <w:pPr>
                    <w:adjustRightInd w:val="0"/>
                    <w:snapToGrid w:val="0"/>
                    <w:jc w:val="center"/>
                    <w:rPr>
                      <w:color w:val="auto"/>
                      <w:sz w:val="18"/>
                      <w:szCs w:val="18"/>
                      <w:highlight w:val="none"/>
                    </w:rPr>
                  </w:pPr>
                  <w:r>
                    <w:rPr>
                      <w:rFonts w:hint="eastAsia"/>
                      <w:color w:val="auto"/>
                      <w:sz w:val="18"/>
                      <w:szCs w:val="18"/>
                      <w:highlight w:val="none"/>
                    </w:rPr>
                    <w:t>8.14</w:t>
                  </w:r>
                </w:p>
              </w:tc>
              <w:tc>
                <w:tcPr>
                  <w:tcW w:w="2030" w:type="dxa"/>
                  <w:tcBorders>
                    <w:tl2br w:val="nil"/>
                    <w:tr2bl w:val="nil"/>
                  </w:tcBorders>
                  <w:vAlign w:val="center"/>
                </w:tcPr>
                <w:p w14:paraId="6F6D453A">
                  <w:pPr>
                    <w:adjustRightInd w:val="0"/>
                    <w:snapToGrid w:val="0"/>
                    <w:jc w:val="center"/>
                    <w:rPr>
                      <w:color w:val="auto"/>
                      <w:sz w:val="18"/>
                      <w:szCs w:val="18"/>
                      <w:highlight w:val="none"/>
                    </w:rPr>
                  </w:pPr>
                  <w:r>
                    <w:rPr>
                      <w:rFonts w:hint="eastAsia"/>
                      <w:color w:val="auto"/>
                      <w:sz w:val="18"/>
                      <w:szCs w:val="18"/>
                      <w:highlight w:val="none"/>
                    </w:rPr>
                    <w:t>1945kcal</w:t>
                  </w:r>
                </w:p>
              </w:tc>
            </w:tr>
          </w:tbl>
          <w:p w14:paraId="3A310884">
            <w:pPr>
              <w:adjustRightInd w:val="0"/>
              <w:snapToGrid w:val="0"/>
              <w:jc w:val="center"/>
              <w:rPr>
                <w:b/>
                <w:bCs/>
                <w:color w:val="auto"/>
                <w:szCs w:val="21"/>
                <w:highlight w:val="none"/>
              </w:rPr>
            </w:pPr>
            <w:r>
              <w:rPr>
                <w:rFonts w:hint="eastAsia"/>
                <w:b/>
                <w:bCs/>
                <w:color w:val="auto"/>
                <w:szCs w:val="21"/>
                <w:highlight w:val="none"/>
              </w:rPr>
              <w:t>表2-8安全环保型起泡剂理化性质一览表</w:t>
            </w:r>
          </w:p>
          <w:tbl>
            <w:tblPr>
              <w:tblStyle w:val="23"/>
              <w:tblW w:w="811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0"/>
              <w:gridCol w:w="2842"/>
              <w:gridCol w:w="2706"/>
            </w:tblGrid>
            <w:tr w14:paraId="0759F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570" w:type="dxa"/>
                  <w:tcBorders>
                    <w:tl2br w:val="nil"/>
                    <w:tr2bl w:val="nil"/>
                  </w:tcBorders>
                  <w:vAlign w:val="center"/>
                </w:tcPr>
                <w:p w14:paraId="33C57EA5">
                  <w:pPr>
                    <w:adjustRightInd w:val="0"/>
                    <w:snapToGrid w:val="0"/>
                    <w:jc w:val="center"/>
                    <w:rPr>
                      <w:color w:val="auto"/>
                      <w:sz w:val="18"/>
                      <w:szCs w:val="18"/>
                      <w:highlight w:val="none"/>
                    </w:rPr>
                  </w:pPr>
                  <w:r>
                    <w:rPr>
                      <w:color w:val="auto"/>
                      <w:sz w:val="18"/>
                      <w:szCs w:val="18"/>
                      <w:highlight w:val="none"/>
                    </w:rPr>
                    <w:t>检验项目</w:t>
                  </w:r>
                </w:p>
              </w:tc>
              <w:tc>
                <w:tcPr>
                  <w:tcW w:w="2842" w:type="dxa"/>
                  <w:tcBorders>
                    <w:tl2br w:val="nil"/>
                    <w:tr2bl w:val="nil"/>
                  </w:tcBorders>
                  <w:vAlign w:val="center"/>
                </w:tcPr>
                <w:p w14:paraId="6E53B7E5">
                  <w:pPr>
                    <w:adjustRightInd w:val="0"/>
                    <w:snapToGrid w:val="0"/>
                    <w:jc w:val="center"/>
                    <w:rPr>
                      <w:color w:val="auto"/>
                      <w:sz w:val="18"/>
                      <w:szCs w:val="18"/>
                      <w:highlight w:val="none"/>
                    </w:rPr>
                  </w:pPr>
                  <w:r>
                    <w:rPr>
                      <w:color w:val="auto"/>
                      <w:sz w:val="18"/>
                      <w:szCs w:val="18"/>
                      <w:highlight w:val="none"/>
                    </w:rPr>
                    <w:t>技术要求</w:t>
                  </w:r>
                </w:p>
              </w:tc>
              <w:tc>
                <w:tcPr>
                  <w:tcW w:w="2706" w:type="dxa"/>
                  <w:tcBorders>
                    <w:tl2br w:val="nil"/>
                    <w:tr2bl w:val="nil"/>
                  </w:tcBorders>
                  <w:vAlign w:val="center"/>
                </w:tcPr>
                <w:p w14:paraId="663AD8EF">
                  <w:pPr>
                    <w:adjustRightInd w:val="0"/>
                    <w:snapToGrid w:val="0"/>
                    <w:jc w:val="center"/>
                    <w:rPr>
                      <w:color w:val="auto"/>
                      <w:sz w:val="18"/>
                      <w:szCs w:val="18"/>
                      <w:highlight w:val="none"/>
                    </w:rPr>
                  </w:pPr>
                  <w:r>
                    <w:rPr>
                      <w:color w:val="auto"/>
                      <w:sz w:val="18"/>
                      <w:szCs w:val="18"/>
                      <w:highlight w:val="none"/>
                    </w:rPr>
                    <w:t>实测数据</w:t>
                  </w:r>
                </w:p>
              </w:tc>
            </w:tr>
            <w:tr w14:paraId="70A60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2570" w:type="dxa"/>
                  <w:tcBorders>
                    <w:tl2br w:val="nil"/>
                    <w:tr2bl w:val="nil"/>
                  </w:tcBorders>
                  <w:vAlign w:val="center"/>
                </w:tcPr>
                <w:p w14:paraId="2F229919">
                  <w:pPr>
                    <w:adjustRightInd w:val="0"/>
                    <w:snapToGrid w:val="0"/>
                    <w:jc w:val="center"/>
                    <w:rPr>
                      <w:color w:val="auto"/>
                      <w:sz w:val="18"/>
                      <w:szCs w:val="18"/>
                      <w:highlight w:val="none"/>
                    </w:rPr>
                  </w:pPr>
                  <w:r>
                    <w:rPr>
                      <w:color w:val="auto"/>
                      <w:sz w:val="18"/>
                      <w:szCs w:val="18"/>
                      <w:highlight w:val="none"/>
                    </w:rPr>
                    <w:t>气味</w:t>
                  </w:r>
                </w:p>
              </w:tc>
              <w:tc>
                <w:tcPr>
                  <w:tcW w:w="2842" w:type="dxa"/>
                  <w:tcBorders>
                    <w:tl2br w:val="nil"/>
                    <w:tr2bl w:val="nil"/>
                  </w:tcBorders>
                  <w:vAlign w:val="center"/>
                </w:tcPr>
                <w:p w14:paraId="2D63E233">
                  <w:pPr>
                    <w:adjustRightInd w:val="0"/>
                    <w:snapToGrid w:val="0"/>
                    <w:jc w:val="center"/>
                    <w:rPr>
                      <w:color w:val="auto"/>
                      <w:sz w:val="18"/>
                      <w:szCs w:val="18"/>
                      <w:highlight w:val="none"/>
                    </w:rPr>
                  </w:pPr>
                  <w:r>
                    <w:rPr>
                      <w:color w:val="auto"/>
                      <w:sz w:val="18"/>
                      <w:szCs w:val="18"/>
                      <w:highlight w:val="none"/>
                    </w:rPr>
                    <w:t>无刺激性气味</w:t>
                  </w:r>
                </w:p>
              </w:tc>
              <w:tc>
                <w:tcPr>
                  <w:tcW w:w="2706" w:type="dxa"/>
                  <w:tcBorders>
                    <w:tl2br w:val="nil"/>
                    <w:tr2bl w:val="nil"/>
                  </w:tcBorders>
                  <w:vAlign w:val="center"/>
                </w:tcPr>
                <w:p w14:paraId="72EB5309">
                  <w:pPr>
                    <w:adjustRightInd w:val="0"/>
                    <w:snapToGrid w:val="0"/>
                    <w:jc w:val="center"/>
                    <w:rPr>
                      <w:color w:val="auto"/>
                      <w:sz w:val="18"/>
                      <w:szCs w:val="18"/>
                      <w:highlight w:val="none"/>
                    </w:rPr>
                  </w:pPr>
                  <w:r>
                    <w:rPr>
                      <w:color w:val="auto"/>
                      <w:sz w:val="18"/>
                      <w:szCs w:val="18"/>
                      <w:highlight w:val="none"/>
                    </w:rPr>
                    <w:t>无刺激性气味</w:t>
                  </w:r>
                </w:p>
              </w:tc>
            </w:tr>
            <w:tr w14:paraId="02C57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508A03E3">
                  <w:pPr>
                    <w:adjustRightInd w:val="0"/>
                    <w:snapToGrid w:val="0"/>
                    <w:jc w:val="center"/>
                    <w:rPr>
                      <w:color w:val="auto"/>
                      <w:sz w:val="18"/>
                      <w:szCs w:val="18"/>
                      <w:highlight w:val="none"/>
                    </w:rPr>
                  </w:pPr>
                  <w:r>
                    <w:rPr>
                      <w:color w:val="auto"/>
                      <w:sz w:val="18"/>
                      <w:szCs w:val="18"/>
                      <w:highlight w:val="none"/>
                    </w:rPr>
                    <w:t>闪点（闭口）（℃）</w:t>
                  </w:r>
                </w:p>
              </w:tc>
              <w:tc>
                <w:tcPr>
                  <w:tcW w:w="2842" w:type="dxa"/>
                  <w:tcBorders>
                    <w:tl2br w:val="nil"/>
                    <w:tr2bl w:val="nil"/>
                  </w:tcBorders>
                  <w:vAlign w:val="center"/>
                </w:tcPr>
                <w:p w14:paraId="68E85659">
                  <w:pPr>
                    <w:adjustRightInd w:val="0"/>
                    <w:snapToGrid w:val="0"/>
                    <w:jc w:val="center"/>
                    <w:rPr>
                      <w:color w:val="auto"/>
                      <w:sz w:val="18"/>
                      <w:szCs w:val="18"/>
                      <w:highlight w:val="none"/>
                    </w:rPr>
                  </w:pPr>
                  <w:r>
                    <w:rPr>
                      <w:color w:val="auto"/>
                      <w:sz w:val="18"/>
                      <w:szCs w:val="18"/>
                      <w:highlight w:val="none"/>
                    </w:rPr>
                    <w:t>≥85</w:t>
                  </w:r>
                </w:p>
              </w:tc>
              <w:tc>
                <w:tcPr>
                  <w:tcW w:w="2706" w:type="dxa"/>
                  <w:tcBorders>
                    <w:tl2br w:val="nil"/>
                    <w:tr2bl w:val="nil"/>
                  </w:tcBorders>
                  <w:vAlign w:val="center"/>
                </w:tcPr>
                <w:p w14:paraId="38B1ABC1">
                  <w:pPr>
                    <w:adjustRightInd w:val="0"/>
                    <w:snapToGrid w:val="0"/>
                    <w:jc w:val="center"/>
                    <w:rPr>
                      <w:color w:val="auto"/>
                      <w:sz w:val="18"/>
                      <w:szCs w:val="18"/>
                      <w:highlight w:val="none"/>
                    </w:rPr>
                  </w:pPr>
                  <w:r>
                    <w:rPr>
                      <w:color w:val="auto"/>
                      <w:sz w:val="18"/>
                      <w:szCs w:val="18"/>
                      <w:highlight w:val="none"/>
                    </w:rPr>
                    <w:t>91℃</w:t>
                  </w:r>
                </w:p>
              </w:tc>
            </w:tr>
            <w:tr w14:paraId="15F46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6BFD331A">
                  <w:pPr>
                    <w:adjustRightInd w:val="0"/>
                    <w:snapToGrid w:val="0"/>
                    <w:jc w:val="center"/>
                    <w:rPr>
                      <w:color w:val="auto"/>
                      <w:sz w:val="18"/>
                      <w:szCs w:val="18"/>
                      <w:highlight w:val="none"/>
                    </w:rPr>
                  </w:pPr>
                  <w:r>
                    <w:rPr>
                      <w:color w:val="auto"/>
                      <w:sz w:val="18"/>
                      <w:szCs w:val="18"/>
                      <w:highlight w:val="none"/>
                    </w:rPr>
                    <w:t>凝点℃</w:t>
                  </w:r>
                </w:p>
              </w:tc>
              <w:tc>
                <w:tcPr>
                  <w:tcW w:w="2842" w:type="dxa"/>
                  <w:tcBorders>
                    <w:tl2br w:val="nil"/>
                    <w:tr2bl w:val="nil"/>
                  </w:tcBorders>
                  <w:vAlign w:val="center"/>
                </w:tcPr>
                <w:p w14:paraId="7645CA84">
                  <w:pPr>
                    <w:adjustRightInd w:val="0"/>
                    <w:snapToGrid w:val="0"/>
                    <w:jc w:val="center"/>
                    <w:rPr>
                      <w:color w:val="auto"/>
                      <w:sz w:val="18"/>
                      <w:szCs w:val="18"/>
                      <w:highlight w:val="none"/>
                    </w:rPr>
                  </w:pPr>
                  <w:r>
                    <w:rPr>
                      <w:color w:val="auto"/>
                      <w:sz w:val="18"/>
                      <w:szCs w:val="18"/>
                      <w:highlight w:val="none"/>
                    </w:rPr>
                    <w:t>≤-25℃</w:t>
                  </w:r>
                </w:p>
              </w:tc>
              <w:tc>
                <w:tcPr>
                  <w:tcW w:w="2706" w:type="dxa"/>
                  <w:tcBorders>
                    <w:tl2br w:val="nil"/>
                    <w:tr2bl w:val="nil"/>
                  </w:tcBorders>
                  <w:vAlign w:val="center"/>
                </w:tcPr>
                <w:p w14:paraId="05D7F57D">
                  <w:pPr>
                    <w:adjustRightInd w:val="0"/>
                    <w:snapToGrid w:val="0"/>
                    <w:jc w:val="center"/>
                    <w:rPr>
                      <w:color w:val="auto"/>
                      <w:sz w:val="18"/>
                      <w:szCs w:val="18"/>
                      <w:highlight w:val="none"/>
                    </w:rPr>
                  </w:pPr>
                  <w:r>
                    <w:rPr>
                      <w:color w:val="auto"/>
                      <w:sz w:val="18"/>
                      <w:szCs w:val="18"/>
                      <w:highlight w:val="none"/>
                    </w:rPr>
                    <w:t>＜-45℃</w:t>
                  </w:r>
                </w:p>
              </w:tc>
            </w:tr>
            <w:tr w14:paraId="55A63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57BFD542">
                  <w:pPr>
                    <w:adjustRightInd w:val="0"/>
                    <w:snapToGrid w:val="0"/>
                    <w:jc w:val="center"/>
                    <w:rPr>
                      <w:color w:val="auto"/>
                      <w:sz w:val="18"/>
                      <w:szCs w:val="18"/>
                      <w:highlight w:val="none"/>
                    </w:rPr>
                  </w:pPr>
                  <w:r>
                    <w:rPr>
                      <w:color w:val="auto"/>
                      <w:sz w:val="18"/>
                      <w:szCs w:val="18"/>
                      <w:highlight w:val="none"/>
                    </w:rPr>
                    <w:t>运动粘度（25℃）（mm2/s）</w:t>
                  </w:r>
                </w:p>
              </w:tc>
              <w:tc>
                <w:tcPr>
                  <w:tcW w:w="2842" w:type="dxa"/>
                  <w:tcBorders>
                    <w:tl2br w:val="nil"/>
                    <w:tr2bl w:val="nil"/>
                  </w:tcBorders>
                  <w:vAlign w:val="center"/>
                </w:tcPr>
                <w:p w14:paraId="5FC6C576">
                  <w:pPr>
                    <w:adjustRightInd w:val="0"/>
                    <w:snapToGrid w:val="0"/>
                    <w:jc w:val="center"/>
                    <w:rPr>
                      <w:color w:val="auto"/>
                      <w:sz w:val="18"/>
                      <w:szCs w:val="18"/>
                      <w:highlight w:val="none"/>
                    </w:rPr>
                  </w:pPr>
                  <w:r>
                    <w:rPr>
                      <w:color w:val="auto"/>
                      <w:sz w:val="18"/>
                      <w:szCs w:val="18"/>
                      <w:highlight w:val="none"/>
                    </w:rPr>
                    <w:t>≤15</w:t>
                  </w:r>
                </w:p>
              </w:tc>
              <w:tc>
                <w:tcPr>
                  <w:tcW w:w="2706" w:type="dxa"/>
                  <w:tcBorders>
                    <w:tl2br w:val="nil"/>
                    <w:tr2bl w:val="nil"/>
                  </w:tcBorders>
                  <w:vAlign w:val="center"/>
                </w:tcPr>
                <w:p w14:paraId="0CCC0A5D">
                  <w:pPr>
                    <w:adjustRightInd w:val="0"/>
                    <w:snapToGrid w:val="0"/>
                    <w:jc w:val="center"/>
                    <w:rPr>
                      <w:color w:val="auto"/>
                      <w:sz w:val="18"/>
                      <w:szCs w:val="18"/>
                      <w:highlight w:val="none"/>
                    </w:rPr>
                  </w:pPr>
                  <w:r>
                    <w:rPr>
                      <w:color w:val="auto"/>
                      <w:sz w:val="18"/>
                      <w:szCs w:val="18"/>
                      <w:highlight w:val="none"/>
                    </w:rPr>
                    <w:t>4.7</w:t>
                  </w:r>
                </w:p>
              </w:tc>
            </w:tr>
            <w:tr w14:paraId="488B08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5D1453E9">
                  <w:pPr>
                    <w:adjustRightInd w:val="0"/>
                    <w:snapToGrid w:val="0"/>
                    <w:jc w:val="center"/>
                    <w:rPr>
                      <w:color w:val="auto"/>
                      <w:sz w:val="18"/>
                      <w:szCs w:val="18"/>
                      <w:highlight w:val="none"/>
                    </w:rPr>
                  </w:pPr>
                  <w:r>
                    <w:rPr>
                      <w:rFonts w:hint="eastAsia"/>
                      <w:color w:val="auto"/>
                      <w:sz w:val="18"/>
                      <w:szCs w:val="18"/>
                      <w:highlight w:val="none"/>
                      <w:lang w:val="en-US" w:eastAsia="zh-CN"/>
                    </w:rPr>
                    <w:t>p</w:t>
                  </w:r>
                  <w:r>
                    <w:rPr>
                      <w:color w:val="auto"/>
                      <w:sz w:val="18"/>
                      <w:szCs w:val="18"/>
                      <w:highlight w:val="none"/>
                    </w:rPr>
                    <w:t>H值</w:t>
                  </w:r>
                </w:p>
              </w:tc>
              <w:tc>
                <w:tcPr>
                  <w:tcW w:w="2842" w:type="dxa"/>
                  <w:tcBorders>
                    <w:tl2br w:val="nil"/>
                    <w:tr2bl w:val="nil"/>
                  </w:tcBorders>
                  <w:vAlign w:val="center"/>
                </w:tcPr>
                <w:p w14:paraId="4C423B5C">
                  <w:pPr>
                    <w:adjustRightInd w:val="0"/>
                    <w:snapToGrid w:val="0"/>
                    <w:jc w:val="center"/>
                    <w:rPr>
                      <w:color w:val="auto"/>
                      <w:sz w:val="18"/>
                      <w:szCs w:val="18"/>
                      <w:highlight w:val="none"/>
                    </w:rPr>
                  </w:pPr>
                  <w:r>
                    <w:rPr>
                      <w:color w:val="auto"/>
                      <w:sz w:val="18"/>
                      <w:szCs w:val="18"/>
                      <w:highlight w:val="none"/>
                    </w:rPr>
                    <w:t>6-8</w:t>
                  </w:r>
                </w:p>
              </w:tc>
              <w:tc>
                <w:tcPr>
                  <w:tcW w:w="2706" w:type="dxa"/>
                  <w:tcBorders>
                    <w:tl2br w:val="nil"/>
                    <w:tr2bl w:val="nil"/>
                  </w:tcBorders>
                  <w:vAlign w:val="center"/>
                </w:tcPr>
                <w:p w14:paraId="4637FD8B">
                  <w:pPr>
                    <w:adjustRightInd w:val="0"/>
                    <w:snapToGrid w:val="0"/>
                    <w:jc w:val="center"/>
                    <w:rPr>
                      <w:color w:val="auto"/>
                      <w:sz w:val="18"/>
                      <w:szCs w:val="18"/>
                      <w:highlight w:val="none"/>
                    </w:rPr>
                  </w:pPr>
                  <w:r>
                    <w:rPr>
                      <w:color w:val="auto"/>
                      <w:sz w:val="18"/>
                      <w:szCs w:val="18"/>
                      <w:highlight w:val="none"/>
                    </w:rPr>
                    <w:t>7.0</w:t>
                  </w:r>
                </w:p>
              </w:tc>
            </w:tr>
            <w:tr w14:paraId="79DE56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40DF2102">
                  <w:pPr>
                    <w:adjustRightInd w:val="0"/>
                    <w:snapToGrid w:val="0"/>
                    <w:jc w:val="center"/>
                    <w:rPr>
                      <w:color w:val="auto"/>
                      <w:sz w:val="18"/>
                      <w:szCs w:val="18"/>
                      <w:highlight w:val="none"/>
                    </w:rPr>
                  </w:pPr>
                  <w:r>
                    <w:rPr>
                      <w:color w:val="auto"/>
                      <w:sz w:val="18"/>
                      <w:szCs w:val="18"/>
                      <w:highlight w:val="none"/>
                    </w:rPr>
                    <w:t>密度比重（20℃）</w:t>
                  </w:r>
                </w:p>
              </w:tc>
              <w:tc>
                <w:tcPr>
                  <w:tcW w:w="2842" w:type="dxa"/>
                  <w:tcBorders>
                    <w:tl2br w:val="nil"/>
                    <w:tr2bl w:val="nil"/>
                  </w:tcBorders>
                  <w:vAlign w:val="center"/>
                </w:tcPr>
                <w:p w14:paraId="49669DFD">
                  <w:pPr>
                    <w:adjustRightInd w:val="0"/>
                    <w:snapToGrid w:val="0"/>
                    <w:jc w:val="center"/>
                    <w:rPr>
                      <w:color w:val="auto"/>
                      <w:sz w:val="18"/>
                      <w:szCs w:val="18"/>
                      <w:highlight w:val="none"/>
                    </w:rPr>
                  </w:pPr>
                  <w:r>
                    <w:rPr>
                      <w:color w:val="auto"/>
                      <w:sz w:val="18"/>
                      <w:szCs w:val="18"/>
                      <w:highlight w:val="none"/>
                    </w:rPr>
                    <w:t>0.99-1.2</w:t>
                  </w:r>
                </w:p>
              </w:tc>
              <w:tc>
                <w:tcPr>
                  <w:tcW w:w="2706" w:type="dxa"/>
                  <w:tcBorders>
                    <w:tl2br w:val="nil"/>
                    <w:tr2bl w:val="nil"/>
                  </w:tcBorders>
                  <w:vAlign w:val="center"/>
                </w:tcPr>
                <w:p w14:paraId="6E1252DD">
                  <w:pPr>
                    <w:adjustRightInd w:val="0"/>
                    <w:snapToGrid w:val="0"/>
                    <w:jc w:val="center"/>
                    <w:rPr>
                      <w:color w:val="auto"/>
                      <w:sz w:val="18"/>
                      <w:szCs w:val="18"/>
                      <w:highlight w:val="none"/>
                    </w:rPr>
                  </w:pPr>
                  <w:r>
                    <w:rPr>
                      <w:color w:val="auto"/>
                      <w:sz w:val="18"/>
                      <w:szCs w:val="18"/>
                      <w:highlight w:val="none"/>
                    </w:rPr>
                    <w:t>1.12</w:t>
                  </w:r>
                </w:p>
              </w:tc>
            </w:tr>
            <w:tr w14:paraId="55706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570" w:type="dxa"/>
                  <w:tcBorders>
                    <w:tl2br w:val="nil"/>
                    <w:tr2bl w:val="nil"/>
                  </w:tcBorders>
                  <w:vAlign w:val="center"/>
                </w:tcPr>
                <w:p w14:paraId="50EC4206">
                  <w:pPr>
                    <w:adjustRightInd w:val="0"/>
                    <w:snapToGrid w:val="0"/>
                    <w:jc w:val="center"/>
                    <w:rPr>
                      <w:color w:val="auto"/>
                      <w:sz w:val="18"/>
                      <w:szCs w:val="18"/>
                      <w:highlight w:val="none"/>
                    </w:rPr>
                  </w:pPr>
                  <w:r>
                    <w:rPr>
                      <w:rFonts w:hint="eastAsia"/>
                      <w:color w:val="auto"/>
                      <w:sz w:val="18"/>
                      <w:szCs w:val="18"/>
                      <w:highlight w:val="none"/>
                    </w:rPr>
                    <w:t>产品特性</w:t>
                  </w:r>
                </w:p>
              </w:tc>
              <w:tc>
                <w:tcPr>
                  <w:tcW w:w="5548" w:type="dxa"/>
                  <w:gridSpan w:val="2"/>
                  <w:tcBorders>
                    <w:tl2br w:val="nil"/>
                    <w:tr2bl w:val="nil"/>
                  </w:tcBorders>
                  <w:vAlign w:val="center"/>
                </w:tcPr>
                <w:p w14:paraId="1622536E">
                  <w:pPr>
                    <w:adjustRightInd w:val="0"/>
                    <w:snapToGrid w:val="0"/>
                    <w:rPr>
                      <w:color w:val="auto"/>
                      <w:sz w:val="18"/>
                      <w:szCs w:val="18"/>
                      <w:highlight w:val="none"/>
                    </w:rPr>
                  </w:pPr>
                  <w:r>
                    <w:rPr>
                      <w:color w:val="auto"/>
                      <w:sz w:val="18"/>
                      <w:szCs w:val="18"/>
                      <w:highlight w:val="none"/>
                    </w:rPr>
                    <w:t>1)闪点超过 60 度，不属于易燃液体。</w:t>
                  </w:r>
                </w:p>
                <w:p w14:paraId="6C0FE23D">
                  <w:pPr>
                    <w:adjustRightInd w:val="0"/>
                    <w:snapToGrid w:val="0"/>
                    <w:rPr>
                      <w:color w:val="auto"/>
                      <w:sz w:val="18"/>
                      <w:szCs w:val="18"/>
                      <w:highlight w:val="none"/>
                    </w:rPr>
                  </w:pPr>
                  <w:r>
                    <w:rPr>
                      <w:color w:val="auto"/>
                      <w:sz w:val="18"/>
                      <w:szCs w:val="18"/>
                      <w:highlight w:val="none"/>
                    </w:rPr>
                    <w:t>2)成分:主要为C6~C12的异构多元醇、仲辛醇、脂肪酸。</w:t>
                  </w:r>
                </w:p>
                <w:p w14:paraId="6C95543A">
                  <w:pPr>
                    <w:adjustRightInd w:val="0"/>
                    <w:snapToGrid w:val="0"/>
                    <w:rPr>
                      <w:color w:val="auto"/>
                      <w:sz w:val="18"/>
                      <w:szCs w:val="18"/>
                      <w:highlight w:val="none"/>
                    </w:rPr>
                  </w:pPr>
                  <w:r>
                    <w:rPr>
                      <w:color w:val="auto"/>
                      <w:sz w:val="18"/>
                      <w:szCs w:val="18"/>
                      <w:highlight w:val="none"/>
                    </w:rPr>
                    <w:t>3)外观呈棕红色油状液体。</w:t>
                  </w:r>
                </w:p>
              </w:tc>
            </w:tr>
            <w:tr w14:paraId="58DBC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570" w:type="dxa"/>
                  <w:tcBorders>
                    <w:tl2br w:val="nil"/>
                    <w:tr2bl w:val="nil"/>
                  </w:tcBorders>
                  <w:vAlign w:val="center"/>
                </w:tcPr>
                <w:p w14:paraId="1BA6EFEA">
                  <w:pPr>
                    <w:adjustRightInd w:val="0"/>
                    <w:snapToGrid w:val="0"/>
                    <w:jc w:val="center"/>
                    <w:rPr>
                      <w:color w:val="auto"/>
                      <w:sz w:val="18"/>
                      <w:szCs w:val="18"/>
                      <w:highlight w:val="none"/>
                    </w:rPr>
                  </w:pPr>
                  <w:r>
                    <w:rPr>
                      <w:rFonts w:hint="eastAsia"/>
                      <w:color w:val="auto"/>
                      <w:sz w:val="18"/>
                      <w:szCs w:val="18"/>
                      <w:highlight w:val="none"/>
                    </w:rPr>
                    <w:t>危害性</w:t>
                  </w:r>
                </w:p>
              </w:tc>
              <w:tc>
                <w:tcPr>
                  <w:tcW w:w="5548" w:type="dxa"/>
                  <w:gridSpan w:val="2"/>
                  <w:tcBorders>
                    <w:tl2br w:val="nil"/>
                    <w:tr2bl w:val="nil"/>
                  </w:tcBorders>
                  <w:vAlign w:val="center"/>
                </w:tcPr>
                <w:p w14:paraId="098F432A">
                  <w:pPr>
                    <w:adjustRightInd w:val="0"/>
                    <w:snapToGrid w:val="0"/>
                    <w:rPr>
                      <w:color w:val="auto"/>
                      <w:sz w:val="18"/>
                      <w:szCs w:val="18"/>
                      <w:highlight w:val="none"/>
                    </w:rPr>
                  </w:pPr>
                  <w:r>
                    <w:rPr>
                      <w:color w:val="auto"/>
                      <w:sz w:val="18"/>
                      <w:szCs w:val="18"/>
                      <w:highlight w:val="none"/>
                    </w:rPr>
                    <w:t>产品为非极性油类，又称中性油类，具有非常大的产品惰性，化学稳定性非常好，不会与水等物质进行反应。对皮肤无腐蚀、无刺激性，不会对人身造成伤害，属于非危险化学品。</w:t>
                  </w:r>
                </w:p>
              </w:tc>
            </w:tr>
          </w:tbl>
          <w:p w14:paraId="07527529">
            <w:pPr>
              <w:adjustRightInd w:val="0"/>
              <w:snapToGrid w:val="0"/>
              <w:jc w:val="center"/>
              <w:rPr>
                <w:b/>
                <w:bCs/>
                <w:color w:val="auto"/>
                <w:szCs w:val="21"/>
                <w:highlight w:val="none"/>
              </w:rPr>
            </w:pPr>
            <w:r>
              <w:rPr>
                <w:rFonts w:hint="eastAsia"/>
                <w:b/>
                <w:bCs/>
                <w:color w:val="auto"/>
                <w:szCs w:val="21"/>
                <w:highlight w:val="none"/>
              </w:rPr>
              <w:t>表2-9安全环保型捕收剂理化性质一览表</w:t>
            </w:r>
          </w:p>
          <w:tbl>
            <w:tblPr>
              <w:tblStyle w:val="23"/>
              <w:tblW w:w="813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2850"/>
              <w:gridCol w:w="2700"/>
            </w:tblGrid>
            <w:tr w14:paraId="1F52D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57FC77A5">
                  <w:pPr>
                    <w:adjustRightInd w:val="0"/>
                    <w:snapToGrid w:val="0"/>
                    <w:jc w:val="center"/>
                    <w:rPr>
                      <w:color w:val="auto"/>
                      <w:sz w:val="18"/>
                      <w:szCs w:val="18"/>
                      <w:highlight w:val="none"/>
                    </w:rPr>
                  </w:pPr>
                  <w:r>
                    <w:rPr>
                      <w:color w:val="auto"/>
                      <w:sz w:val="18"/>
                      <w:szCs w:val="18"/>
                      <w:highlight w:val="none"/>
                    </w:rPr>
                    <w:t>检验项目</w:t>
                  </w:r>
                </w:p>
              </w:tc>
              <w:tc>
                <w:tcPr>
                  <w:tcW w:w="2850" w:type="dxa"/>
                  <w:tcBorders>
                    <w:tl2br w:val="nil"/>
                    <w:tr2bl w:val="nil"/>
                  </w:tcBorders>
                  <w:vAlign w:val="center"/>
                </w:tcPr>
                <w:p w14:paraId="117F34B0">
                  <w:pPr>
                    <w:adjustRightInd w:val="0"/>
                    <w:snapToGrid w:val="0"/>
                    <w:jc w:val="center"/>
                    <w:rPr>
                      <w:color w:val="auto"/>
                      <w:sz w:val="18"/>
                      <w:szCs w:val="18"/>
                      <w:highlight w:val="none"/>
                    </w:rPr>
                  </w:pPr>
                  <w:r>
                    <w:rPr>
                      <w:color w:val="auto"/>
                      <w:sz w:val="18"/>
                      <w:szCs w:val="18"/>
                      <w:highlight w:val="none"/>
                    </w:rPr>
                    <w:t>技术要求</w:t>
                  </w:r>
                </w:p>
              </w:tc>
              <w:tc>
                <w:tcPr>
                  <w:tcW w:w="2700" w:type="dxa"/>
                  <w:tcBorders>
                    <w:tl2br w:val="nil"/>
                    <w:tr2bl w:val="nil"/>
                  </w:tcBorders>
                  <w:vAlign w:val="center"/>
                </w:tcPr>
                <w:p w14:paraId="107E5BB6">
                  <w:pPr>
                    <w:adjustRightInd w:val="0"/>
                    <w:snapToGrid w:val="0"/>
                    <w:jc w:val="center"/>
                    <w:rPr>
                      <w:color w:val="auto"/>
                      <w:sz w:val="18"/>
                      <w:szCs w:val="18"/>
                      <w:highlight w:val="none"/>
                    </w:rPr>
                  </w:pPr>
                  <w:r>
                    <w:rPr>
                      <w:color w:val="auto"/>
                      <w:sz w:val="18"/>
                      <w:szCs w:val="18"/>
                      <w:highlight w:val="none"/>
                    </w:rPr>
                    <w:t>实测数据</w:t>
                  </w:r>
                </w:p>
              </w:tc>
            </w:tr>
            <w:tr w14:paraId="556FA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39CFC9D4">
                  <w:pPr>
                    <w:adjustRightInd w:val="0"/>
                    <w:snapToGrid w:val="0"/>
                    <w:jc w:val="center"/>
                    <w:rPr>
                      <w:color w:val="auto"/>
                      <w:sz w:val="18"/>
                      <w:szCs w:val="18"/>
                      <w:highlight w:val="none"/>
                    </w:rPr>
                  </w:pPr>
                  <w:r>
                    <w:rPr>
                      <w:color w:val="auto"/>
                      <w:sz w:val="18"/>
                      <w:szCs w:val="18"/>
                      <w:highlight w:val="none"/>
                    </w:rPr>
                    <w:t>气味</w:t>
                  </w:r>
                </w:p>
              </w:tc>
              <w:tc>
                <w:tcPr>
                  <w:tcW w:w="2850" w:type="dxa"/>
                  <w:tcBorders>
                    <w:tl2br w:val="nil"/>
                    <w:tr2bl w:val="nil"/>
                  </w:tcBorders>
                  <w:vAlign w:val="center"/>
                </w:tcPr>
                <w:p w14:paraId="1002A5BA">
                  <w:pPr>
                    <w:adjustRightInd w:val="0"/>
                    <w:snapToGrid w:val="0"/>
                    <w:jc w:val="center"/>
                    <w:rPr>
                      <w:color w:val="auto"/>
                      <w:sz w:val="18"/>
                      <w:szCs w:val="18"/>
                      <w:highlight w:val="none"/>
                    </w:rPr>
                  </w:pPr>
                  <w:r>
                    <w:rPr>
                      <w:color w:val="auto"/>
                      <w:sz w:val="18"/>
                      <w:szCs w:val="18"/>
                      <w:highlight w:val="none"/>
                    </w:rPr>
                    <w:t>无刺激味</w:t>
                  </w:r>
                </w:p>
              </w:tc>
              <w:tc>
                <w:tcPr>
                  <w:tcW w:w="2700" w:type="dxa"/>
                  <w:tcBorders>
                    <w:tl2br w:val="nil"/>
                    <w:tr2bl w:val="nil"/>
                  </w:tcBorders>
                  <w:vAlign w:val="center"/>
                </w:tcPr>
                <w:p w14:paraId="12E935FC">
                  <w:pPr>
                    <w:adjustRightInd w:val="0"/>
                    <w:snapToGrid w:val="0"/>
                    <w:jc w:val="center"/>
                    <w:rPr>
                      <w:color w:val="auto"/>
                      <w:sz w:val="18"/>
                      <w:szCs w:val="18"/>
                      <w:highlight w:val="none"/>
                    </w:rPr>
                  </w:pPr>
                  <w:r>
                    <w:rPr>
                      <w:color w:val="auto"/>
                      <w:sz w:val="18"/>
                      <w:szCs w:val="18"/>
                      <w:highlight w:val="none"/>
                    </w:rPr>
                    <w:t>无刺激性气味</w:t>
                  </w:r>
                </w:p>
              </w:tc>
            </w:tr>
            <w:tr w14:paraId="187F5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48848C8C">
                  <w:pPr>
                    <w:adjustRightInd w:val="0"/>
                    <w:snapToGrid w:val="0"/>
                    <w:jc w:val="center"/>
                    <w:rPr>
                      <w:color w:val="auto"/>
                      <w:sz w:val="18"/>
                      <w:szCs w:val="18"/>
                      <w:highlight w:val="none"/>
                    </w:rPr>
                  </w:pPr>
                  <w:r>
                    <w:rPr>
                      <w:color w:val="auto"/>
                      <w:sz w:val="18"/>
                      <w:szCs w:val="18"/>
                      <w:highlight w:val="none"/>
                    </w:rPr>
                    <w:t>闪点（闭口）（℃）</w:t>
                  </w:r>
                </w:p>
              </w:tc>
              <w:tc>
                <w:tcPr>
                  <w:tcW w:w="2850" w:type="dxa"/>
                  <w:tcBorders>
                    <w:tl2br w:val="nil"/>
                    <w:tr2bl w:val="nil"/>
                  </w:tcBorders>
                  <w:vAlign w:val="center"/>
                </w:tcPr>
                <w:p w14:paraId="5C3EA2BB">
                  <w:pPr>
                    <w:adjustRightInd w:val="0"/>
                    <w:snapToGrid w:val="0"/>
                    <w:jc w:val="center"/>
                    <w:rPr>
                      <w:color w:val="auto"/>
                      <w:sz w:val="18"/>
                      <w:szCs w:val="18"/>
                      <w:highlight w:val="none"/>
                    </w:rPr>
                  </w:pPr>
                  <w:r>
                    <w:rPr>
                      <w:color w:val="auto"/>
                      <w:sz w:val="18"/>
                      <w:szCs w:val="18"/>
                      <w:highlight w:val="none"/>
                    </w:rPr>
                    <w:t>≥115</w:t>
                  </w:r>
                </w:p>
              </w:tc>
              <w:tc>
                <w:tcPr>
                  <w:tcW w:w="2700" w:type="dxa"/>
                  <w:tcBorders>
                    <w:tl2br w:val="nil"/>
                    <w:tr2bl w:val="nil"/>
                  </w:tcBorders>
                  <w:vAlign w:val="center"/>
                </w:tcPr>
                <w:p w14:paraId="58F7EA6B">
                  <w:pPr>
                    <w:adjustRightInd w:val="0"/>
                    <w:snapToGrid w:val="0"/>
                    <w:jc w:val="center"/>
                    <w:rPr>
                      <w:color w:val="auto"/>
                      <w:sz w:val="18"/>
                      <w:szCs w:val="18"/>
                      <w:highlight w:val="none"/>
                    </w:rPr>
                  </w:pPr>
                  <w:r>
                    <w:rPr>
                      <w:color w:val="auto"/>
                      <w:sz w:val="18"/>
                      <w:szCs w:val="18"/>
                      <w:highlight w:val="none"/>
                    </w:rPr>
                    <w:t>120℃</w:t>
                  </w:r>
                </w:p>
              </w:tc>
            </w:tr>
            <w:tr w14:paraId="1F49A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21C46AB1">
                  <w:pPr>
                    <w:adjustRightInd w:val="0"/>
                    <w:snapToGrid w:val="0"/>
                    <w:jc w:val="center"/>
                    <w:rPr>
                      <w:color w:val="auto"/>
                      <w:sz w:val="18"/>
                      <w:szCs w:val="18"/>
                      <w:highlight w:val="none"/>
                    </w:rPr>
                  </w:pPr>
                  <w:r>
                    <w:rPr>
                      <w:color w:val="auto"/>
                      <w:sz w:val="18"/>
                      <w:szCs w:val="18"/>
                      <w:highlight w:val="none"/>
                    </w:rPr>
                    <w:t>凝点℃</w:t>
                  </w:r>
                </w:p>
              </w:tc>
              <w:tc>
                <w:tcPr>
                  <w:tcW w:w="2850" w:type="dxa"/>
                  <w:tcBorders>
                    <w:tl2br w:val="nil"/>
                    <w:tr2bl w:val="nil"/>
                  </w:tcBorders>
                  <w:vAlign w:val="center"/>
                </w:tcPr>
                <w:p w14:paraId="71625949">
                  <w:pPr>
                    <w:adjustRightInd w:val="0"/>
                    <w:snapToGrid w:val="0"/>
                    <w:jc w:val="center"/>
                    <w:rPr>
                      <w:color w:val="auto"/>
                      <w:sz w:val="18"/>
                      <w:szCs w:val="18"/>
                      <w:highlight w:val="none"/>
                    </w:rPr>
                  </w:pPr>
                  <w:r>
                    <w:rPr>
                      <w:color w:val="auto"/>
                      <w:sz w:val="18"/>
                      <w:szCs w:val="18"/>
                      <w:highlight w:val="none"/>
                    </w:rPr>
                    <w:t>≤--25℃</w:t>
                  </w:r>
                </w:p>
              </w:tc>
              <w:tc>
                <w:tcPr>
                  <w:tcW w:w="2700" w:type="dxa"/>
                  <w:tcBorders>
                    <w:tl2br w:val="nil"/>
                    <w:tr2bl w:val="nil"/>
                  </w:tcBorders>
                  <w:vAlign w:val="center"/>
                </w:tcPr>
                <w:p w14:paraId="123B10CD">
                  <w:pPr>
                    <w:adjustRightInd w:val="0"/>
                    <w:snapToGrid w:val="0"/>
                    <w:jc w:val="center"/>
                    <w:rPr>
                      <w:color w:val="auto"/>
                      <w:sz w:val="18"/>
                      <w:szCs w:val="18"/>
                      <w:highlight w:val="none"/>
                    </w:rPr>
                  </w:pPr>
                  <w:r>
                    <w:rPr>
                      <w:color w:val="auto"/>
                      <w:sz w:val="18"/>
                      <w:szCs w:val="18"/>
                      <w:highlight w:val="none"/>
                    </w:rPr>
                    <w:t>＜-60℃</w:t>
                  </w:r>
                </w:p>
              </w:tc>
            </w:tr>
            <w:tr w14:paraId="3677E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4CBAF782">
                  <w:pPr>
                    <w:adjustRightInd w:val="0"/>
                    <w:snapToGrid w:val="0"/>
                    <w:jc w:val="center"/>
                    <w:rPr>
                      <w:color w:val="auto"/>
                      <w:sz w:val="18"/>
                      <w:szCs w:val="18"/>
                      <w:highlight w:val="none"/>
                    </w:rPr>
                  </w:pPr>
                  <w:r>
                    <w:rPr>
                      <w:color w:val="auto"/>
                      <w:sz w:val="18"/>
                      <w:szCs w:val="18"/>
                      <w:highlight w:val="none"/>
                    </w:rPr>
                    <w:t>密度（20℃）g/cm</w:t>
                  </w:r>
                  <w:r>
                    <w:rPr>
                      <w:color w:val="auto"/>
                      <w:sz w:val="18"/>
                      <w:szCs w:val="18"/>
                      <w:highlight w:val="none"/>
                      <w:vertAlign w:val="superscript"/>
                    </w:rPr>
                    <w:t>3</w:t>
                  </w:r>
                </w:p>
              </w:tc>
              <w:tc>
                <w:tcPr>
                  <w:tcW w:w="2850" w:type="dxa"/>
                  <w:tcBorders>
                    <w:tl2br w:val="nil"/>
                    <w:tr2bl w:val="nil"/>
                  </w:tcBorders>
                  <w:vAlign w:val="center"/>
                </w:tcPr>
                <w:p w14:paraId="1B9B78F1">
                  <w:pPr>
                    <w:adjustRightInd w:val="0"/>
                    <w:snapToGrid w:val="0"/>
                    <w:jc w:val="center"/>
                    <w:rPr>
                      <w:color w:val="auto"/>
                      <w:sz w:val="18"/>
                      <w:szCs w:val="18"/>
                      <w:highlight w:val="none"/>
                    </w:rPr>
                  </w:pPr>
                  <w:r>
                    <w:rPr>
                      <w:color w:val="auto"/>
                      <w:sz w:val="18"/>
                      <w:szCs w:val="18"/>
                      <w:highlight w:val="none"/>
                    </w:rPr>
                    <w:t>0.93-1.06</w:t>
                  </w:r>
                </w:p>
              </w:tc>
              <w:tc>
                <w:tcPr>
                  <w:tcW w:w="2700" w:type="dxa"/>
                  <w:tcBorders>
                    <w:tl2br w:val="nil"/>
                    <w:tr2bl w:val="nil"/>
                  </w:tcBorders>
                  <w:vAlign w:val="center"/>
                </w:tcPr>
                <w:p w14:paraId="7BA737C2">
                  <w:pPr>
                    <w:adjustRightInd w:val="0"/>
                    <w:snapToGrid w:val="0"/>
                    <w:jc w:val="center"/>
                    <w:rPr>
                      <w:color w:val="auto"/>
                      <w:sz w:val="18"/>
                      <w:szCs w:val="18"/>
                      <w:highlight w:val="none"/>
                    </w:rPr>
                  </w:pPr>
                  <w:r>
                    <w:rPr>
                      <w:color w:val="auto"/>
                      <w:sz w:val="18"/>
                      <w:szCs w:val="18"/>
                      <w:highlight w:val="none"/>
                    </w:rPr>
                    <w:t>1.0</w:t>
                  </w:r>
                </w:p>
              </w:tc>
            </w:tr>
            <w:tr w14:paraId="2F7991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0F176707">
                  <w:pPr>
                    <w:adjustRightInd w:val="0"/>
                    <w:snapToGrid w:val="0"/>
                    <w:jc w:val="center"/>
                    <w:rPr>
                      <w:color w:val="auto"/>
                      <w:sz w:val="18"/>
                      <w:szCs w:val="18"/>
                      <w:highlight w:val="none"/>
                    </w:rPr>
                  </w:pPr>
                  <w:r>
                    <w:rPr>
                      <w:rFonts w:hint="eastAsia"/>
                      <w:color w:val="auto"/>
                      <w:sz w:val="18"/>
                      <w:szCs w:val="18"/>
                      <w:highlight w:val="none"/>
                      <w:lang w:val="en-US" w:eastAsia="zh-CN"/>
                    </w:rPr>
                    <w:t>p</w:t>
                  </w:r>
                  <w:r>
                    <w:rPr>
                      <w:color w:val="auto"/>
                      <w:sz w:val="18"/>
                      <w:szCs w:val="18"/>
                      <w:highlight w:val="none"/>
                    </w:rPr>
                    <w:t>H值</w:t>
                  </w:r>
                </w:p>
              </w:tc>
              <w:tc>
                <w:tcPr>
                  <w:tcW w:w="2850" w:type="dxa"/>
                  <w:tcBorders>
                    <w:tl2br w:val="nil"/>
                    <w:tr2bl w:val="nil"/>
                  </w:tcBorders>
                  <w:vAlign w:val="center"/>
                </w:tcPr>
                <w:p w14:paraId="4E87F158">
                  <w:pPr>
                    <w:adjustRightInd w:val="0"/>
                    <w:snapToGrid w:val="0"/>
                    <w:jc w:val="center"/>
                    <w:rPr>
                      <w:color w:val="auto"/>
                      <w:sz w:val="18"/>
                      <w:szCs w:val="18"/>
                      <w:highlight w:val="none"/>
                    </w:rPr>
                  </w:pPr>
                  <w:r>
                    <w:rPr>
                      <w:color w:val="auto"/>
                      <w:sz w:val="18"/>
                      <w:szCs w:val="18"/>
                      <w:highlight w:val="none"/>
                    </w:rPr>
                    <w:t>6-8</w:t>
                  </w:r>
                </w:p>
              </w:tc>
              <w:tc>
                <w:tcPr>
                  <w:tcW w:w="2700" w:type="dxa"/>
                  <w:tcBorders>
                    <w:tl2br w:val="nil"/>
                    <w:tr2bl w:val="nil"/>
                  </w:tcBorders>
                  <w:vAlign w:val="center"/>
                </w:tcPr>
                <w:p w14:paraId="136B387A">
                  <w:pPr>
                    <w:adjustRightInd w:val="0"/>
                    <w:snapToGrid w:val="0"/>
                    <w:jc w:val="center"/>
                    <w:rPr>
                      <w:color w:val="auto"/>
                      <w:sz w:val="18"/>
                      <w:szCs w:val="18"/>
                      <w:highlight w:val="none"/>
                    </w:rPr>
                  </w:pPr>
                  <w:r>
                    <w:rPr>
                      <w:color w:val="auto"/>
                      <w:sz w:val="18"/>
                      <w:szCs w:val="18"/>
                      <w:highlight w:val="none"/>
                    </w:rPr>
                    <w:t>65</w:t>
                  </w:r>
                </w:p>
              </w:tc>
            </w:tr>
            <w:tr w14:paraId="6BA88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2585" w:type="dxa"/>
                  <w:tcBorders>
                    <w:tl2br w:val="nil"/>
                    <w:tr2bl w:val="nil"/>
                  </w:tcBorders>
                  <w:vAlign w:val="center"/>
                </w:tcPr>
                <w:p w14:paraId="73B8B772">
                  <w:pPr>
                    <w:adjustRightInd w:val="0"/>
                    <w:snapToGrid w:val="0"/>
                    <w:jc w:val="center"/>
                    <w:rPr>
                      <w:color w:val="auto"/>
                      <w:sz w:val="18"/>
                      <w:szCs w:val="18"/>
                      <w:highlight w:val="none"/>
                    </w:rPr>
                  </w:pPr>
                  <w:r>
                    <w:rPr>
                      <w:color w:val="auto"/>
                      <w:sz w:val="18"/>
                      <w:szCs w:val="18"/>
                      <w:highlight w:val="none"/>
                    </w:rPr>
                    <w:t>运动粘度（25℃）（mm2/s）</w:t>
                  </w:r>
                </w:p>
              </w:tc>
              <w:tc>
                <w:tcPr>
                  <w:tcW w:w="2850" w:type="dxa"/>
                  <w:tcBorders>
                    <w:tl2br w:val="nil"/>
                    <w:tr2bl w:val="nil"/>
                  </w:tcBorders>
                  <w:vAlign w:val="center"/>
                </w:tcPr>
                <w:p w14:paraId="37BF96B7">
                  <w:pPr>
                    <w:adjustRightInd w:val="0"/>
                    <w:snapToGrid w:val="0"/>
                    <w:jc w:val="center"/>
                    <w:rPr>
                      <w:color w:val="auto"/>
                      <w:sz w:val="18"/>
                      <w:szCs w:val="18"/>
                      <w:highlight w:val="none"/>
                    </w:rPr>
                  </w:pPr>
                  <w:r>
                    <w:rPr>
                      <w:color w:val="auto"/>
                      <w:sz w:val="18"/>
                      <w:szCs w:val="18"/>
                      <w:highlight w:val="none"/>
                    </w:rPr>
                    <w:t>≤30</w:t>
                  </w:r>
                </w:p>
              </w:tc>
              <w:tc>
                <w:tcPr>
                  <w:tcW w:w="2700" w:type="dxa"/>
                  <w:tcBorders>
                    <w:tl2br w:val="nil"/>
                    <w:tr2bl w:val="nil"/>
                  </w:tcBorders>
                  <w:vAlign w:val="center"/>
                </w:tcPr>
                <w:p w14:paraId="2E1B2BD6">
                  <w:pPr>
                    <w:adjustRightInd w:val="0"/>
                    <w:snapToGrid w:val="0"/>
                    <w:jc w:val="center"/>
                    <w:rPr>
                      <w:color w:val="auto"/>
                      <w:sz w:val="18"/>
                      <w:szCs w:val="18"/>
                      <w:highlight w:val="none"/>
                    </w:rPr>
                  </w:pPr>
                  <w:r>
                    <w:rPr>
                      <w:color w:val="auto"/>
                      <w:sz w:val="18"/>
                      <w:szCs w:val="18"/>
                      <w:highlight w:val="none"/>
                    </w:rPr>
                    <w:t>22</w:t>
                  </w:r>
                </w:p>
              </w:tc>
            </w:tr>
            <w:tr w14:paraId="0BEBC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2585" w:type="dxa"/>
                  <w:tcBorders>
                    <w:tl2br w:val="nil"/>
                    <w:tr2bl w:val="nil"/>
                  </w:tcBorders>
                  <w:vAlign w:val="center"/>
                </w:tcPr>
                <w:p w14:paraId="3525BCD9">
                  <w:pPr>
                    <w:adjustRightInd w:val="0"/>
                    <w:snapToGrid w:val="0"/>
                    <w:jc w:val="center"/>
                    <w:rPr>
                      <w:color w:val="auto"/>
                      <w:sz w:val="18"/>
                      <w:szCs w:val="18"/>
                      <w:highlight w:val="none"/>
                    </w:rPr>
                  </w:pPr>
                  <w:r>
                    <w:rPr>
                      <w:color w:val="auto"/>
                      <w:sz w:val="18"/>
                      <w:szCs w:val="18"/>
                      <w:highlight w:val="none"/>
                    </w:rPr>
                    <w:t>产品特性</w:t>
                  </w:r>
                </w:p>
              </w:tc>
              <w:tc>
                <w:tcPr>
                  <w:tcW w:w="5550" w:type="dxa"/>
                  <w:gridSpan w:val="2"/>
                  <w:tcBorders>
                    <w:tl2br w:val="nil"/>
                    <w:tr2bl w:val="nil"/>
                  </w:tcBorders>
                  <w:vAlign w:val="center"/>
                </w:tcPr>
                <w:p w14:paraId="45B62836">
                  <w:pPr>
                    <w:adjustRightInd w:val="0"/>
                    <w:snapToGrid w:val="0"/>
                    <w:rPr>
                      <w:color w:val="auto"/>
                      <w:sz w:val="18"/>
                      <w:szCs w:val="18"/>
                      <w:highlight w:val="none"/>
                    </w:rPr>
                  </w:pPr>
                  <w:r>
                    <w:rPr>
                      <w:color w:val="auto"/>
                      <w:sz w:val="18"/>
                      <w:szCs w:val="18"/>
                      <w:highlight w:val="none"/>
                    </w:rPr>
                    <w:t>1)闪点超过 60 度，不属于易燃液体。</w:t>
                  </w:r>
                </w:p>
                <w:p w14:paraId="2B228E2D">
                  <w:pPr>
                    <w:adjustRightInd w:val="0"/>
                    <w:snapToGrid w:val="0"/>
                    <w:rPr>
                      <w:color w:val="auto"/>
                      <w:sz w:val="18"/>
                      <w:szCs w:val="18"/>
                      <w:highlight w:val="none"/>
                    </w:rPr>
                  </w:pPr>
                  <w:r>
                    <w:rPr>
                      <w:color w:val="auto"/>
                      <w:sz w:val="18"/>
                      <w:szCs w:val="18"/>
                      <w:highlight w:val="none"/>
                    </w:rPr>
                    <w:t>2)成分:主要为芳香烃、环烷烃、直链烃。</w:t>
                  </w:r>
                </w:p>
                <w:p w14:paraId="094B44ED">
                  <w:pPr>
                    <w:adjustRightInd w:val="0"/>
                    <w:snapToGrid w:val="0"/>
                    <w:rPr>
                      <w:color w:val="auto"/>
                      <w:sz w:val="18"/>
                      <w:szCs w:val="18"/>
                      <w:highlight w:val="none"/>
                    </w:rPr>
                  </w:pPr>
                  <w:r>
                    <w:rPr>
                      <w:color w:val="auto"/>
                      <w:sz w:val="18"/>
                      <w:szCs w:val="18"/>
                      <w:highlight w:val="none"/>
                    </w:rPr>
                    <w:t>3)外观呈淡黄色油状液体。</w:t>
                  </w:r>
                </w:p>
              </w:tc>
            </w:tr>
            <w:tr w14:paraId="41C3C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2585" w:type="dxa"/>
                  <w:tcBorders>
                    <w:tl2br w:val="nil"/>
                    <w:tr2bl w:val="nil"/>
                  </w:tcBorders>
                  <w:vAlign w:val="center"/>
                </w:tcPr>
                <w:p w14:paraId="036AC7D2">
                  <w:pPr>
                    <w:adjustRightInd w:val="0"/>
                    <w:snapToGrid w:val="0"/>
                    <w:jc w:val="center"/>
                    <w:rPr>
                      <w:color w:val="auto"/>
                      <w:sz w:val="18"/>
                      <w:szCs w:val="18"/>
                      <w:highlight w:val="none"/>
                    </w:rPr>
                  </w:pPr>
                  <w:r>
                    <w:rPr>
                      <w:color w:val="auto"/>
                      <w:sz w:val="18"/>
                      <w:szCs w:val="18"/>
                      <w:highlight w:val="none"/>
                    </w:rPr>
                    <w:t>危害性</w:t>
                  </w:r>
                </w:p>
              </w:tc>
              <w:tc>
                <w:tcPr>
                  <w:tcW w:w="5550" w:type="dxa"/>
                  <w:gridSpan w:val="2"/>
                  <w:tcBorders>
                    <w:tl2br w:val="nil"/>
                    <w:tr2bl w:val="nil"/>
                  </w:tcBorders>
                  <w:vAlign w:val="center"/>
                </w:tcPr>
                <w:p w14:paraId="2B57843F">
                  <w:pPr>
                    <w:adjustRightInd w:val="0"/>
                    <w:snapToGrid w:val="0"/>
                    <w:rPr>
                      <w:color w:val="auto"/>
                      <w:sz w:val="18"/>
                      <w:szCs w:val="18"/>
                      <w:highlight w:val="none"/>
                    </w:rPr>
                  </w:pPr>
                  <w:r>
                    <w:rPr>
                      <w:color w:val="auto"/>
                      <w:sz w:val="18"/>
                      <w:szCs w:val="18"/>
                      <w:highlight w:val="none"/>
                    </w:rPr>
                    <w:t>产品为非极性油类，又称中性油类，具有非常大的产品惰性，化学稳定性非常好，不会与水等物质进行反应。对皮肤无腐蚀、无刺激性，不会对人身造成伤害，属于非危险化学品。</w:t>
                  </w:r>
                </w:p>
              </w:tc>
            </w:tr>
          </w:tbl>
          <w:p w14:paraId="6C25D410">
            <w:pPr>
              <w:adjustRightInd w:val="0"/>
              <w:snapToGrid w:val="0"/>
              <w:jc w:val="center"/>
              <w:rPr>
                <w:b/>
                <w:bCs/>
                <w:color w:val="auto"/>
                <w:szCs w:val="21"/>
                <w:highlight w:val="none"/>
              </w:rPr>
            </w:pPr>
            <w:r>
              <w:rPr>
                <w:rFonts w:hint="eastAsia"/>
                <w:b/>
                <w:bCs/>
                <w:color w:val="auto"/>
                <w:szCs w:val="21"/>
                <w:highlight w:val="none"/>
              </w:rPr>
              <w:t>2-10</w:t>
            </w:r>
            <w:r>
              <w:rPr>
                <w:b/>
                <w:color w:val="auto"/>
                <w:szCs w:val="21"/>
                <w:highlight w:val="none"/>
              </w:rPr>
              <w:t>机肥料技术指标、限量指标要求</w:t>
            </w:r>
          </w:p>
          <w:tbl>
            <w:tblPr>
              <w:tblStyle w:val="23"/>
              <w:tblW w:w="813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5903"/>
              <w:gridCol w:w="1494"/>
            </w:tblGrid>
            <w:tr w14:paraId="21F9B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restart"/>
                  <w:tcBorders>
                    <w:tl2br w:val="nil"/>
                    <w:tr2bl w:val="nil"/>
                  </w:tcBorders>
                  <w:vAlign w:val="center"/>
                </w:tcPr>
                <w:p w14:paraId="1D2E1139">
                  <w:pPr>
                    <w:spacing w:line="0" w:lineRule="atLeast"/>
                    <w:jc w:val="center"/>
                    <w:rPr>
                      <w:b/>
                      <w:bCs/>
                      <w:color w:val="auto"/>
                      <w:sz w:val="18"/>
                      <w:szCs w:val="18"/>
                      <w:highlight w:val="none"/>
                    </w:rPr>
                  </w:pPr>
                  <w:r>
                    <w:rPr>
                      <w:color w:val="auto"/>
                      <w:spacing w:val="8"/>
                      <w:sz w:val="18"/>
                      <w:szCs w:val="18"/>
                      <w:highlight w:val="none"/>
                    </w:rPr>
                    <w:t>技术指标</w:t>
                  </w:r>
                </w:p>
              </w:tc>
              <w:tc>
                <w:tcPr>
                  <w:tcW w:w="5903" w:type="dxa"/>
                  <w:tcBorders>
                    <w:tl2br w:val="nil"/>
                    <w:tr2bl w:val="nil"/>
                  </w:tcBorders>
                  <w:vAlign w:val="center"/>
                </w:tcPr>
                <w:p w14:paraId="384D0A28">
                  <w:pPr>
                    <w:spacing w:line="0" w:lineRule="atLeast"/>
                    <w:jc w:val="center"/>
                    <w:rPr>
                      <w:b/>
                      <w:bCs/>
                      <w:color w:val="auto"/>
                      <w:sz w:val="18"/>
                      <w:szCs w:val="18"/>
                      <w:highlight w:val="none"/>
                    </w:rPr>
                  </w:pPr>
                  <w:r>
                    <w:rPr>
                      <w:color w:val="auto"/>
                      <w:spacing w:val="8"/>
                      <w:sz w:val="18"/>
                      <w:szCs w:val="18"/>
                      <w:highlight w:val="none"/>
                    </w:rPr>
                    <w:t>项目</w:t>
                  </w:r>
                </w:p>
              </w:tc>
              <w:tc>
                <w:tcPr>
                  <w:tcW w:w="1494" w:type="dxa"/>
                  <w:tcBorders>
                    <w:tl2br w:val="nil"/>
                    <w:tr2bl w:val="nil"/>
                  </w:tcBorders>
                  <w:vAlign w:val="center"/>
                </w:tcPr>
                <w:p w14:paraId="5564EA4A">
                  <w:pPr>
                    <w:spacing w:line="0" w:lineRule="atLeast"/>
                    <w:jc w:val="center"/>
                    <w:rPr>
                      <w:b/>
                      <w:bCs/>
                      <w:color w:val="auto"/>
                      <w:sz w:val="18"/>
                      <w:szCs w:val="18"/>
                      <w:highlight w:val="none"/>
                    </w:rPr>
                  </w:pPr>
                  <w:r>
                    <w:rPr>
                      <w:color w:val="auto"/>
                      <w:spacing w:val="8"/>
                      <w:sz w:val="18"/>
                      <w:szCs w:val="18"/>
                      <w:highlight w:val="none"/>
                    </w:rPr>
                    <w:t>指标</w:t>
                  </w:r>
                </w:p>
              </w:tc>
            </w:tr>
            <w:tr w14:paraId="47F8B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4ED8E80">
                  <w:pPr>
                    <w:spacing w:line="0" w:lineRule="atLeast"/>
                    <w:jc w:val="center"/>
                    <w:rPr>
                      <w:b/>
                      <w:bCs/>
                      <w:color w:val="auto"/>
                      <w:sz w:val="18"/>
                      <w:szCs w:val="18"/>
                      <w:highlight w:val="none"/>
                    </w:rPr>
                  </w:pPr>
                </w:p>
              </w:tc>
              <w:tc>
                <w:tcPr>
                  <w:tcW w:w="5903" w:type="dxa"/>
                  <w:tcBorders>
                    <w:tl2br w:val="nil"/>
                    <w:tr2bl w:val="nil"/>
                  </w:tcBorders>
                  <w:vAlign w:val="center"/>
                </w:tcPr>
                <w:p w14:paraId="1A9702F2">
                  <w:pPr>
                    <w:spacing w:line="0" w:lineRule="atLeast"/>
                    <w:jc w:val="center"/>
                    <w:rPr>
                      <w:b/>
                      <w:bCs/>
                      <w:color w:val="auto"/>
                      <w:sz w:val="18"/>
                      <w:szCs w:val="18"/>
                      <w:highlight w:val="none"/>
                    </w:rPr>
                  </w:pPr>
                  <w:r>
                    <w:rPr>
                      <w:color w:val="auto"/>
                      <w:spacing w:val="8"/>
                      <w:sz w:val="18"/>
                      <w:szCs w:val="18"/>
                      <w:highlight w:val="none"/>
                    </w:rPr>
                    <w:t>有机质的质量分数（以烘干基计），%</w:t>
                  </w:r>
                </w:p>
              </w:tc>
              <w:tc>
                <w:tcPr>
                  <w:tcW w:w="1494" w:type="dxa"/>
                  <w:tcBorders>
                    <w:tl2br w:val="nil"/>
                    <w:tr2bl w:val="nil"/>
                  </w:tcBorders>
                  <w:vAlign w:val="center"/>
                </w:tcPr>
                <w:p w14:paraId="32B83530">
                  <w:pPr>
                    <w:spacing w:line="0" w:lineRule="atLeast"/>
                    <w:jc w:val="center"/>
                    <w:rPr>
                      <w:b/>
                      <w:bCs/>
                      <w:color w:val="auto"/>
                      <w:sz w:val="18"/>
                      <w:szCs w:val="18"/>
                      <w:highlight w:val="none"/>
                    </w:rPr>
                  </w:pPr>
                  <w:r>
                    <w:rPr>
                      <w:color w:val="auto"/>
                      <w:spacing w:val="8"/>
                      <w:sz w:val="18"/>
                      <w:szCs w:val="18"/>
                      <w:highlight w:val="none"/>
                    </w:rPr>
                    <w:t>≥30</w:t>
                  </w:r>
                </w:p>
              </w:tc>
            </w:tr>
            <w:tr w14:paraId="3699A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741" w:type="dxa"/>
                  <w:vMerge w:val="continue"/>
                  <w:tcBorders>
                    <w:tl2br w:val="nil"/>
                    <w:tr2bl w:val="nil"/>
                  </w:tcBorders>
                  <w:vAlign w:val="center"/>
                </w:tcPr>
                <w:p w14:paraId="0F4F0E2E">
                  <w:pPr>
                    <w:spacing w:line="0" w:lineRule="atLeast"/>
                    <w:jc w:val="center"/>
                    <w:rPr>
                      <w:b/>
                      <w:bCs/>
                      <w:color w:val="auto"/>
                      <w:sz w:val="18"/>
                      <w:szCs w:val="18"/>
                      <w:highlight w:val="none"/>
                    </w:rPr>
                  </w:pPr>
                </w:p>
              </w:tc>
              <w:tc>
                <w:tcPr>
                  <w:tcW w:w="5903" w:type="dxa"/>
                  <w:tcBorders>
                    <w:tl2br w:val="nil"/>
                    <w:tr2bl w:val="nil"/>
                  </w:tcBorders>
                  <w:vAlign w:val="center"/>
                </w:tcPr>
                <w:p w14:paraId="41E34313">
                  <w:pPr>
                    <w:spacing w:line="0" w:lineRule="atLeast"/>
                    <w:jc w:val="center"/>
                    <w:rPr>
                      <w:b/>
                      <w:bCs/>
                      <w:color w:val="auto"/>
                      <w:sz w:val="18"/>
                      <w:szCs w:val="18"/>
                      <w:highlight w:val="none"/>
                    </w:rPr>
                  </w:pPr>
                  <w:r>
                    <w:rPr>
                      <w:color w:val="auto"/>
                      <w:spacing w:val="8"/>
                      <w:sz w:val="18"/>
                      <w:szCs w:val="18"/>
                      <w:highlight w:val="none"/>
                    </w:rPr>
                    <w:t>总养分（N+P</w:t>
                  </w:r>
                  <w:r>
                    <w:rPr>
                      <w:color w:val="auto"/>
                      <w:spacing w:val="8"/>
                      <w:sz w:val="18"/>
                      <w:szCs w:val="18"/>
                      <w:highlight w:val="none"/>
                      <w:vertAlign w:val="subscript"/>
                    </w:rPr>
                    <w:t>2</w:t>
                  </w:r>
                  <w:r>
                    <w:rPr>
                      <w:color w:val="auto"/>
                      <w:spacing w:val="8"/>
                      <w:sz w:val="18"/>
                      <w:szCs w:val="18"/>
                      <w:highlight w:val="none"/>
                    </w:rPr>
                    <w:t>O</w:t>
                  </w:r>
                  <w:r>
                    <w:rPr>
                      <w:color w:val="auto"/>
                      <w:spacing w:val="8"/>
                      <w:sz w:val="18"/>
                      <w:szCs w:val="18"/>
                      <w:highlight w:val="none"/>
                      <w:vertAlign w:val="subscript"/>
                    </w:rPr>
                    <w:t>5</w:t>
                  </w:r>
                  <w:r>
                    <w:rPr>
                      <w:color w:val="auto"/>
                      <w:spacing w:val="8"/>
                      <w:sz w:val="18"/>
                      <w:szCs w:val="18"/>
                      <w:highlight w:val="none"/>
                    </w:rPr>
                    <w:t>+K</w:t>
                  </w:r>
                  <w:r>
                    <w:rPr>
                      <w:color w:val="auto"/>
                      <w:spacing w:val="8"/>
                      <w:sz w:val="18"/>
                      <w:szCs w:val="18"/>
                      <w:highlight w:val="none"/>
                      <w:vertAlign w:val="subscript"/>
                    </w:rPr>
                    <w:t>2</w:t>
                  </w:r>
                  <w:r>
                    <w:rPr>
                      <w:color w:val="auto"/>
                      <w:spacing w:val="8"/>
                      <w:sz w:val="18"/>
                      <w:szCs w:val="18"/>
                      <w:highlight w:val="none"/>
                    </w:rPr>
                    <w:t>O）的质量分数（以烘干基计），%</w:t>
                  </w:r>
                </w:p>
              </w:tc>
              <w:tc>
                <w:tcPr>
                  <w:tcW w:w="1494" w:type="dxa"/>
                  <w:tcBorders>
                    <w:tl2br w:val="nil"/>
                    <w:tr2bl w:val="nil"/>
                  </w:tcBorders>
                  <w:vAlign w:val="center"/>
                </w:tcPr>
                <w:p w14:paraId="7DC826EB">
                  <w:pPr>
                    <w:spacing w:line="0" w:lineRule="atLeast"/>
                    <w:jc w:val="center"/>
                    <w:rPr>
                      <w:b/>
                      <w:bCs/>
                      <w:color w:val="auto"/>
                      <w:sz w:val="18"/>
                      <w:szCs w:val="18"/>
                      <w:highlight w:val="none"/>
                    </w:rPr>
                  </w:pPr>
                  <w:r>
                    <w:rPr>
                      <w:color w:val="auto"/>
                      <w:spacing w:val="8"/>
                      <w:sz w:val="18"/>
                      <w:szCs w:val="18"/>
                      <w:highlight w:val="none"/>
                    </w:rPr>
                    <w:t>≥4.0</w:t>
                  </w:r>
                </w:p>
              </w:tc>
            </w:tr>
            <w:tr w14:paraId="7806D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4251BBC7">
                  <w:pPr>
                    <w:spacing w:line="0" w:lineRule="atLeast"/>
                    <w:jc w:val="center"/>
                    <w:rPr>
                      <w:b/>
                      <w:bCs/>
                      <w:color w:val="auto"/>
                      <w:sz w:val="18"/>
                      <w:szCs w:val="18"/>
                      <w:highlight w:val="none"/>
                    </w:rPr>
                  </w:pPr>
                </w:p>
              </w:tc>
              <w:tc>
                <w:tcPr>
                  <w:tcW w:w="5903" w:type="dxa"/>
                  <w:tcBorders>
                    <w:tl2br w:val="nil"/>
                    <w:tr2bl w:val="nil"/>
                  </w:tcBorders>
                  <w:vAlign w:val="center"/>
                </w:tcPr>
                <w:p w14:paraId="0196B218">
                  <w:pPr>
                    <w:spacing w:line="0" w:lineRule="atLeast"/>
                    <w:jc w:val="center"/>
                    <w:rPr>
                      <w:b/>
                      <w:bCs/>
                      <w:color w:val="auto"/>
                      <w:sz w:val="18"/>
                      <w:szCs w:val="18"/>
                      <w:highlight w:val="none"/>
                    </w:rPr>
                  </w:pPr>
                  <w:r>
                    <w:rPr>
                      <w:color w:val="auto"/>
                      <w:spacing w:val="8"/>
                      <w:sz w:val="18"/>
                      <w:szCs w:val="18"/>
                      <w:highlight w:val="none"/>
                    </w:rPr>
                    <w:t>水分（鲜样）的质量分数，%</w:t>
                  </w:r>
                </w:p>
              </w:tc>
              <w:tc>
                <w:tcPr>
                  <w:tcW w:w="1494" w:type="dxa"/>
                  <w:tcBorders>
                    <w:tl2br w:val="nil"/>
                    <w:tr2bl w:val="nil"/>
                  </w:tcBorders>
                  <w:vAlign w:val="center"/>
                </w:tcPr>
                <w:p w14:paraId="1EEA7F84">
                  <w:pPr>
                    <w:spacing w:line="0" w:lineRule="atLeast"/>
                    <w:jc w:val="center"/>
                    <w:rPr>
                      <w:b/>
                      <w:bCs/>
                      <w:color w:val="auto"/>
                      <w:sz w:val="18"/>
                      <w:szCs w:val="18"/>
                      <w:highlight w:val="none"/>
                    </w:rPr>
                  </w:pPr>
                  <w:r>
                    <w:rPr>
                      <w:color w:val="auto"/>
                      <w:spacing w:val="8"/>
                      <w:sz w:val="18"/>
                      <w:szCs w:val="18"/>
                      <w:highlight w:val="none"/>
                    </w:rPr>
                    <w:t>≤30</w:t>
                  </w:r>
                </w:p>
              </w:tc>
            </w:tr>
            <w:tr w14:paraId="1AAB0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707C5619">
                  <w:pPr>
                    <w:spacing w:line="0" w:lineRule="atLeast"/>
                    <w:jc w:val="center"/>
                    <w:rPr>
                      <w:b/>
                      <w:bCs/>
                      <w:color w:val="auto"/>
                      <w:sz w:val="18"/>
                      <w:szCs w:val="18"/>
                      <w:highlight w:val="none"/>
                    </w:rPr>
                  </w:pPr>
                </w:p>
              </w:tc>
              <w:tc>
                <w:tcPr>
                  <w:tcW w:w="5903" w:type="dxa"/>
                  <w:tcBorders>
                    <w:tl2br w:val="nil"/>
                    <w:tr2bl w:val="nil"/>
                  </w:tcBorders>
                  <w:vAlign w:val="center"/>
                </w:tcPr>
                <w:p w14:paraId="200A1CB1">
                  <w:pPr>
                    <w:spacing w:line="0" w:lineRule="atLeast"/>
                    <w:jc w:val="center"/>
                    <w:rPr>
                      <w:b/>
                      <w:bCs/>
                      <w:color w:val="auto"/>
                      <w:sz w:val="18"/>
                      <w:szCs w:val="18"/>
                      <w:highlight w:val="none"/>
                    </w:rPr>
                  </w:pPr>
                  <w:r>
                    <w:rPr>
                      <w:color w:val="auto"/>
                      <w:spacing w:val="8"/>
                      <w:sz w:val="18"/>
                      <w:szCs w:val="18"/>
                      <w:highlight w:val="none"/>
                    </w:rPr>
                    <w:t>酸碱度（pH）</w:t>
                  </w:r>
                </w:p>
              </w:tc>
              <w:tc>
                <w:tcPr>
                  <w:tcW w:w="1494" w:type="dxa"/>
                  <w:tcBorders>
                    <w:tl2br w:val="nil"/>
                    <w:tr2bl w:val="nil"/>
                  </w:tcBorders>
                  <w:vAlign w:val="center"/>
                </w:tcPr>
                <w:p w14:paraId="6C2A8C26">
                  <w:pPr>
                    <w:spacing w:line="0" w:lineRule="atLeast"/>
                    <w:jc w:val="center"/>
                    <w:rPr>
                      <w:b/>
                      <w:bCs/>
                      <w:color w:val="auto"/>
                      <w:sz w:val="18"/>
                      <w:szCs w:val="18"/>
                      <w:highlight w:val="none"/>
                    </w:rPr>
                  </w:pPr>
                  <w:r>
                    <w:rPr>
                      <w:color w:val="auto"/>
                      <w:spacing w:val="8"/>
                      <w:sz w:val="18"/>
                      <w:szCs w:val="18"/>
                      <w:highlight w:val="none"/>
                    </w:rPr>
                    <w:t>5.5~8.5</w:t>
                  </w:r>
                </w:p>
              </w:tc>
            </w:tr>
            <w:tr w14:paraId="75594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076C93B">
                  <w:pPr>
                    <w:spacing w:line="0" w:lineRule="atLeast"/>
                    <w:jc w:val="center"/>
                    <w:rPr>
                      <w:b/>
                      <w:bCs/>
                      <w:color w:val="auto"/>
                      <w:sz w:val="18"/>
                      <w:szCs w:val="18"/>
                      <w:highlight w:val="none"/>
                    </w:rPr>
                  </w:pPr>
                </w:p>
              </w:tc>
              <w:tc>
                <w:tcPr>
                  <w:tcW w:w="5903" w:type="dxa"/>
                  <w:tcBorders>
                    <w:tl2br w:val="nil"/>
                    <w:tr2bl w:val="nil"/>
                  </w:tcBorders>
                  <w:vAlign w:val="center"/>
                </w:tcPr>
                <w:p w14:paraId="130BCAB0">
                  <w:pPr>
                    <w:spacing w:line="0" w:lineRule="atLeast"/>
                    <w:jc w:val="center"/>
                    <w:rPr>
                      <w:b/>
                      <w:bCs/>
                      <w:color w:val="auto"/>
                      <w:sz w:val="18"/>
                      <w:szCs w:val="18"/>
                      <w:highlight w:val="none"/>
                    </w:rPr>
                  </w:pPr>
                  <w:r>
                    <w:rPr>
                      <w:color w:val="auto"/>
                      <w:spacing w:val="8"/>
                      <w:sz w:val="18"/>
                      <w:szCs w:val="18"/>
                      <w:highlight w:val="none"/>
                    </w:rPr>
                    <w:t>种子发芽指数（GI），%</w:t>
                  </w:r>
                </w:p>
              </w:tc>
              <w:tc>
                <w:tcPr>
                  <w:tcW w:w="1494" w:type="dxa"/>
                  <w:tcBorders>
                    <w:tl2br w:val="nil"/>
                    <w:tr2bl w:val="nil"/>
                  </w:tcBorders>
                  <w:vAlign w:val="center"/>
                </w:tcPr>
                <w:p w14:paraId="7325DB7B">
                  <w:pPr>
                    <w:spacing w:line="0" w:lineRule="atLeast"/>
                    <w:jc w:val="center"/>
                    <w:rPr>
                      <w:b/>
                      <w:bCs/>
                      <w:color w:val="auto"/>
                      <w:sz w:val="18"/>
                      <w:szCs w:val="18"/>
                      <w:highlight w:val="none"/>
                    </w:rPr>
                  </w:pPr>
                  <w:r>
                    <w:rPr>
                      <w:color w:val="auto"/>
                      <w:spacing w:val="8"/>
                      <w:sz w:val="18"/>
                      <w:szCs w:val="18"/>
                      <w:highlight w:val="none"/>
                    </w:rPr>
                    <w:t>≥70</w:t>
                  </w:r>
                </w:p>
              </w:tc>
            </w:tr>
            <w:tr w14:paraId="51BB8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46ADF9A2">
                  <w:pPr>
                    <w:spacing w:line="0" w:lineRule="atLeast"/>
                    <w:jc w:val="center"/>
                    <w:rPr>
                      <w:b/>
                      <w:bCs/>
                      <w:color w:val="auto"/>
                      <w:sz w:val="18"/>
                      <w:szCs w:val="18"/>
                      <w:highlight w:val="none"/>
                    </w:rPr>
                  </w:pPr>
                </w:p>
              </w:tc>
              <w:tc>
                <w:tcPr>
                  <w:tcW w:w="5903" w:type="dxa"/>
                  <w:tcBorders>
                    <w:tl2br w:val="nil"/>
                    <w:tr2bl w:val="nil"/>
                  </w:tcBorders>
                  <w:vAlign w:val="center"/>
                </w:tcPr>
                <w:p w14:paraId="021826B1">
                  <w:pPr>
                    <w:spacing w:line="0" w:lineRule="atLeast"/>
                    <w:jc w:val="center"/>
                    <w:rPr>
                      <w:b/>
                      <w:bCs/>
                      <w:color w:val="auto"/>
                      <w:sz w:val="18"/>
                      <w:szCs w:val="18"/>
                      <w:highlight w:val="none"/>
                    </w:rPr>
                  </w:pPr>
                  <w:r>
                    <w:rPr>
                      <w:color w:val="auto"/>
                      <w:spacing w:val="8"/>
                      <w:sz w:val="18"/>
                      <w:szCs w:val="18"/>
                      <w:highlight w:val="none"/>
                    </w:rPr>
                    <w:t>机械杂质的质量分数，%</w:t>
                  </w:r>
                </w:p>
              </w:tc>
              <w:tc>
                <w:tcPr>
                  <w:tcW w:w="1494" w:type="dxa"/>
                  <w:tcBorders>
                    <w:tl2br w:val="nil"/>
                    <w:tr2bl w:val="nil"/>
                  </w:tcBorders>
                  <w:vAlign w:val="center"/>
                </w:tcPr>
                <w:p w14:paraId="2B2FD7B5">
                  <w:pPr>
                    <w:spacing w:line="0" w:lineRule="atLeast"/>
                    <w:jc w:val="center"/>
                    <w:rPr>
                      <w:b/>
                      <w:bCs/>
                      <w:color w:val="auto"/>
                      <w:sz w:val="18"/>
                      <w:szCs w:val="18"/>
                      <w:highlight w:val="none"/>
                    </w:rPr>
                  </w:pPr>
                  <w:r>
                    <w:rPr>
                      <w:color w:val="auto"/>
                      <w:spacing w:val="8"/>
                      <w:sz w:val="18"/>
                      <w:szCs w:val="18"/>
                      <w:highlight w:val="none"/>
                    </w:rPr>
                    <w:t>≤0.5</w:t>
                  </w:r>
                </w:p>
              </w:tc>
            </w:tr>
            <w:tr w14:paraId="70D64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restart"/>
                  <w:tcBorders>
                    <w:tl2br w:val="nil"/>
                    <w:tr2bl w:val="nil"/>
                  </w:tcBorders>
                  <w:vAlign w:val="center"/>
                </w:tcPr>
                <w:p w14:paraId="3FABD143">
                  <w:pPr>
                    <w:spacing w:line="0" w:lineRule="atLeast"/>
                    <w:jc w:val="center"/>
                    <w:rPr>
                      <w:b/>
                      <w:bCs/>
                      <w:color w:val="auto"/>
                      <w:sz w:val="18"/>
                      <w:szCs w:val="18"/>
                      <w:highlight w:val="none"/>
                    </w:rPr>
                  </w:pPr>
                  <w:r>
                    <w:rPr>
                      <w:color w:val="auto"/>
                      <w:spacing w:val="8"/>
                      <w:sz w:val="18"/>
                      <w:szCs w:val="18"/>
                      <w:highlight w:val="none"/>
                    </w:rPr>
                    <w:t>限量指标</w:t>
                  </w:r>
                </w:p>
              </w:tc>
              <w:tc>
                <w:tcPr>
                  <w:tcW w:w="5903" w:type="dxa"/>
                  <w:tcBorders>
                    <w:tl2br w:val="nil"/>
                    <w:tr2bl w:val="nil"/>
                  </w:tcBorders>
                  <w:vAlign w:val="center"/>
                </w:tcPr>
                <w:p w14:paraId="02A246A3">
                  <w:pPr>
                    <w:spacing w:line="0" w:lineRule="atLeast"/>
                    <w:jc w:val="center"/>
                    <w:rPr>
                      <w:b/>
                      <w:bCs/>
                      <w:color w:val="auto"/>
                      <w:sz w:val="18"/>
                      <w:szCs w:val="18"/>
                      <w:highlight w:val="none"/>
                    </w:rPr>
                  </w:pPr>
                  <w:r>
                    <w:rPr>
                      <w:color w:val="auto"/>
                      <w:spacing w:val="8"/>
                      <w:sz w:val="18"/>
                      <w:szCs w:val="18"/>
                      <w:highlight w:val="none"/>
                    </w:rPr>
                    <w:t>总砷（As），mg/kg</w:t>
                  </w:r>
                </w:p>
              </w:tc>
              <w:tc>
                <w:tcPr>
                  <w:tcW w:w="1494" w:type="dxa"/>
                  <w:tcBorders>
                    <w:tl2br w:val="nil"/>
                    <w:tr2bl w:val="nil"/>
                  </w:tcBorders>
                  <w:vAlign w:val="center"/>
                </w:tcPr>
                <w:p w14:paraId="328E12C6">
                  <w:pPr>
                    <w:spacing w:line="0" w:lineRule="atLeast"/>
                    <w:jc w:val="center"/>
                    <w:rPr>
                      <w:b/>
                      <w:bCs/>
                      <w:color w:val="auto"/>
                      <w:sz w:val="18"/>
                      <w:szCs w:val="18"/>
                      <w:highlight w:val="none"/>
                    </w:rPr>
                  </w:pPr>
                  <w:r>
                    <w:rPr>
                      <w:color w:val="auto"/>
                      <w:spacing w:val="8"/>
                      <w:sz w:val="18"/>
                      <w:szCs w:val="18"/>
                      <w:highlight w:val="none"/>
                    </w:rPr>
                    <w:t>≤15</w:t>
                  </w:r>
                </w:p>
              </w:tc>
            </w:tr>
            <w:tr w14:paraId="10818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7456F8CF">
                  <w:pPr>
                    <w:spacing w:line="0" w:lineRule="atLeast"/>
                    <w:jc w:val="center"/>
                    <w:rPr>
                      <w:b/>
                      <w:bCs/>
                      <w:color w:val="auto"/>
                      <w:sz w:val="18"/>
                      <w:szCs w:val="18"/>
                      <w:highlight w:val="none"/>
                    </w:rPr>
                  </w:pPr>
                </w:p>
              </w:tc>
              <w:tc>
                <w:tcPr>
                  <w:tcW w:w="5903" w:type="dxa"/>
                  <w:tcBorders>
                    <w:tl2br w:val="nil"/>
                    <w:tr2bl w:val="nil"/>
                  </w:tcBorders>
                  <w:vAlign w:val="center"/>
                </w:tcPr>
                <w:p w14:paraId="5486F808">
                  <w:pPr>
                    <w:spacing w:line="0" w:lineRule="atLeast"/>
                    <w:jc w:val="center"/>
                    <w:rPr>
                      <w:b/>
                      <w:bCs/>
                      <w:color w:val="auto"/>
                      <w:sz w:val="18"/>
                      <w:szCs w:val="18"/>
                      <w:highlight w:val="none"/>
                    </w:rPr>
                  </w:pPr>
                  <w:r>
                    <w:rPr>
                      <w:color w:val="auto"/>
                      <w:spacing w:val="8"/>
                      <w:sz w:val="18"/>
                      <w:szCs w:val="18"/>
                      <w:highlight w:val="none"/>
                    </w:rPr>
                    <w:t>总汞（Hg），mg/kg</w:t>
                  </w:r>
                </w:p>
              </w:tc>
              <w:tc>
                <w:tcPr>
                  <w:tcW w:w="1494" w:type="dxa"/>
                  <w:tcBorders>
                    <w:tl2br w:val="nil"/>
                    <w:tr2bl w:val="nil"/>
                  </w:tcBorders>
                  <w:vAlign w:val="center"/>
                </w:tcPr>
                <w:p w14:paraId="5494E335">
                  <w:pPr>
                    <w:spacing w:line="0" w:lineRule="atLeast"/>
                    <w:jc w:val="center"/>
                    <w:rPr>
                      <w:b/>
                      <w:bCs/>
                      <w:color w:val="auto"/>
                      <w:sz w:val="18"/>
                      <w:szCs w:val="18"/>
                      <w:highlight w:val="none"/>
                    </w:rPr>
                  </w:pPr>
                  <w:r>
                    <w:rPr>
                      <w:color w:val="auto"/>
                      <w:spacing w:val="8"/>
                      <w:sz w:val="18"/>
                      <w:szCs w:val="18"/>
                      <w:highlight w:val="none"/>
                    </w:rPr>
                    <w:t>≤2</w:t>
                  </w:r>
                </w:p>
              </w:tc>
            </w:tr>
            <w:tr w14:paraId="5CAA6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3DE1B539">
                  <w:pPr>
                    <w:spacing w:line="0" w:lineRule="atLeast"/>
                    <w:jc w:val="center"/>
                    <w:rPr>
                      <w:b/>
                      <w:bCs/>
                      <w:color w:val="auto"/>
                      <w:sz w:val="18"/>
                      <w:szCs w:val="18"/>
                      <w:highlight w:val="none"/>
                    </w:rPr>
                  </w:pPr>
                </w:p>
              </w:tc>
              <w:tc>
                <w:tcPr>
                  <w:tcW w:w="5903" w:type="dxa"/>
                  <w:tcBorders>
                    <w:tl2br w:val="nil"/>
                    <w:tr2bl w:val="nil"/>
                  </w:tcBorders>
                  <w:vAlign w:val="center"/>
                </w:tcPr>
                <w:p w14:paraId="5B639462">
                  <w:pPr>
                    <w:spacing w:line="0" w:lineRule="atLeast"/>
                    <w:jc w:val="center"/>
                    <w:rPr>
                      <w:b/>
                      <w:bCs/>
                      <w:color w:val="auto"/>
                      <w:sz w:val="18"/>
                      <w:szCs w:val="18"/>
                      <w:highlight w:val="none"/>
                    </w:rPr>
                  </w:pPr>
                  <w:r>
                    <w:rPr>
                      <w:color w:val="auto"/>
                      <w:spacing w:val="8"/>
                      <w:sz w:val="18"/>
                      <w:szCs w:val="18"/>
                      <w:highlight w:val="none"/>
                    </w:rPr>
                    <w:t>总铅（Pb），mg/kg</w:t>
                  </w:r>
                </w:p>
              </w:tc>
              <w:tc>
                <w:tcPr>
                  <w:tcW w:w="1494" w:type="dxa"/>
                  <w:tcBorders>
                    <w:tl2br w:val="nil"/>
                    <w:tr2bl w:val="nil"/>
                  </w:tcBorders>
                  <w:vAlign w:val="center"/>
                </w:tcPr>
                <w:p w14:paraId="6DDB31C9">
                  <w:pPr>
                    <w:spacing w:line="0" w:lineRule="atLeast"/>
                    <w:jc w:val="center"/>
                    <w:rPr>
                      <w:b/>
                      <w:bCs/>
                      <w:color w:val="auto"/>
                      <w:sz w:val="18"/>
                      <w:szCs w:val="18"/>
                      <w:highlight w:val="none"/>
                    </w:rPr>
                  </w:pPr>
                  <w:r>
                    <w:rPr>
                      <w:color w:val="auto"/>
                      <w:spacing w:val="8"/>
                      <w:sz w:val="18"/>
                      <w:szCs w:val="18"/>
                      <w:highlight w:val="none"/>
                    </w:rPr>
                    <w:t>≤50</w:t>
                  </w:r>
                </w:p>
              </w:tc>
            </w:tr>
            <w:tr w14:paraId="043BBC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62A33477">
                  <w:pPr>
                    <w:spacing w:line="0" w:lineRule="atLeast"/>
                    <w:jc w:val="center"/>
                    <w:rPr>
                      <w:b/>
                      <w:bCs/>
                      <w:color w:val="auto"/>
                      <w:sz w:val="18"/>
                      <w:szCs w:val="18"/>
                      <w:highlight w:val="none"/>
                    </w:rPr>
                  </w:pPr>
                </w:p>
              </w:tc>
              <w:tc>
                <w:tcPr>
                  <w:tcW w:w="5903" w:type="dxa"/>
                  <w:tcBorders>
                    <w:tl2br w:val="nil"/>
                    <w:tr2bl w:val="nil"/>
                  </w:tcBorders>
                  <w:vAlign w:val="center"/>
                </w:tcPr>
                <w:p w14:paraId="0D7B240E">
                  <w:pPr>
                    <w:spacing w:line="0" w:lineRule="atLeast"/>
                    <w:jc w:val="center"/>
                    <w:rPr>
                      <w:b/>
                      <w:bCs/>
                      <w:color w:val="auto"/>
                      <w:sz w:val="18"/>
                      <w:szCs w:val="18"/>
                      <w:highlight w:val="none"/>
                    </w:rPr>
                  </w:pPr>
                  <w:r>
                    <w:rPr>
                      <w:color w:val="auto"/>
                      <w:spacing w:val="8"/>
                      <w:sz w:val="18"/>
                      <w:szCs w:val="18"/>
                      <w:highlight w:val="none"/>
                    </w:rPr>
                    <w:t>总镉（Cd），mg/kg</w:t>
                  </w:r>
                </w:p>
              </w:tc>
              <w:tc>
                <w:tcPr>
                  <w:tcW w:w="1494" w:type="dxa"/>
                  <w:tcBorders>
                    <w:tl2br w:val="nil"/>
                    <w:tr2bl w:val="nil"/>
                  </w:tcBorders>
                  <w:vAlign w:val="center"/>
                </w:tcPr>
                <w:p w14:paraId="43FB1B2A">
                  <w:pPr>
                    <w:spacing w:line="0" w:lineRule="atLeast"/>
                    <w:jc w:val="center"/>
                    <w:rPr>
                      <w:b/>
                      <w:bCs/>
                      <w:color w:val="auto"/>
                      <w:sz w:val="18"/>
                      <w:szCs w:val="18"/>
                      <w:highlight w:val="none"/>
                    </w:rPr>
                  </w:pPr>
                  <w:r>
                    <w:rPr>
                      <w:color w:val="auto"/>
                      <w:spacing w:val="8"/>
                      <w:sz w:val="18"/>
                      <w:szCs w:val="18"/>
                      <w:highlight w:val="none"/>
                    </w:rPr>
                    <w:t>≤3</w:t>
                  </w:r>
                </w:p>
              </w:tc>
            </w:tr>
            <w:tr w14:paraId="0B956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49F67AC3">
                  <w:pPr>
                    <w:spacing w:line="0" w:lineRule="atLeast"/>
                    <w:jc w:val="center"/>
                    <w:rPr>
                      <w:b/>
                      <w:bCs/>
                      <w:color w:val="auto"/>
                      <w:sz w:val="18"/>
                      <w:szCs w:val="18"/>
                      <w:highlight w:val="none"/>
                    </w:rPr>
                  </w:pPr>
                </w:p>
              </w:tc>
              <w:tc>
                <w:tcPr>
                  <w:tcW w:w="5903" w:type="dxa"/>
                  <w:tcBorders>
                    <w:tl2br w:val="nil"/>
                    <w:tr2bl w:val="nil"/>
                  </w:tcBorders>
                  <w:vAlign w:val="center"/>
                </w:tcPr>
                <w:p w14:paraId="330A39E3">
                  <w:pPr>
                    <w:spacing w:line="0" w:lineRule="atLeast"/>
                    <w:jc w:val="center"/>
                    <w:rPr>
                      <w:b/>
                      <w:bCs/>
                      <w:color w:val="auto"/>
                      <w:sz w:val="18"/>
                      <w:szCs w:val="18"/>
                      <w:highlight w:val="none"/>
                    </w:rPr>
                  </w:pPr>
                  <w:r>
                    <w:rPr>
                      <w:color w:val="auto"/>
                      <w:spacing w:val="8"/>
                      <w:sz w:val="18"/>
                      <w:szCs w:val="18"/>
                      <w:highlight w:val="none"/>
                    </w:rPr>
                    <w:t>总铬（Cr），mg/kg</w:t>
                  </w:r>
                </w:p>
              </w:tc>
              <w:tc>
                <w:tcPr>
                  <w:tcW w:w="1494" w:type="dxa"/>
                  <w:tcBorders>
                    <w:tl2br w:val="nil"/>
                    <w:tr2bl w:val="nil"/>
                  </w:tcBorders>
                  <w:vAlign w:val="center"/>
                </w:tcPr>
                <w:p w14:paraId="4344F4F2">
                  <w:pPr>
                    <w:spacing w:line="0" w:lineRule="atLeast"/>
                    <w:jc w:val="center"/>
                    <w:rPr>
                      <w:b/>
                      <w:bCs/>
                      <w:color w:val="auto"/>
                      <w:sz w:val="18"/>
                      <w:szCs w:val="18"/>
                      <w:highlight w:val="none"/>
                    </w:rPr>
                  </w:pPr>
                  <w:r>
                    <w:rPr>
                      <w:color w:val="auto"/>
                      <w:spacing w:val="8"/>
                      <w:sz w:val="18"/>
                      <w:szCs w:val="18"/>
                      <w:highlight w:val="none"/>
                    </w:rPr>
                    <w:t>≤150</w:t>
                  </w:r>
                </w:p>
              </w:tc>
            </w:tr>
            <w:tr w14:paraId="2CE4E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80D2210">
                  <w:pPr>
                    <w:spacing w:line="0" w:lineRule="atLeast"/>
                    <w:jc w:val="center"/>
                    <w:rPr>
                      <w:b/>
                      <w:bCs/>
                      <w:color w:val="auto"/>
                      <w:sz w:val="18"/>
                      <w:szCs w:val="18"/>
                      <w:highlight w:val="none"/>
                    </w:rPr>
                  </w:pPr>
                </w:p>
              </w:tc>
              <w:tc>
                <w:tcPr>
                  <w:tcW w:w="5903" w:type="dxa"/>
                  <w:tcBorders>
                    <w:tl2br w:val="nil"/>
                    <w:tr2bl w:val="nil"/>
                  </w:tcBorders>
                  <w:vAlign w:val="center"/>
                </w:tcPr>
                <w:p w14:paraId="2779AA26">
                  <w:pPr>
                    <w:spacing w:line="0" w:lineRule="atLeast"/>
                    <w:jc w:val="center"/>
                    <w:rPr>
                      <w:b/>
                      <w:bCs/>
                      <w:color w:val="auto"/>
                      <w:sz w:val="18"/>
                      <w:szCs w:val="18"/>
                      <w:highlight w:val="none"/>
                    </w:rPr>
                  </w:pPr>
                  <w:r>
                    <w:rPr>
                      <w:color w:val="auto"/>
                      <w:spacing w:val="8"/>
                      <w:sz w:val="18"/>
                      <w:szCs w:val="18"/>
                      <w:highlight w:val="none"/>
                    </w:rPr>
                    <w:t>粪大肠菌群数，个/g</w:t>
                  </w:r>
                </w:p>
              </w:tc>
              <w:tc>
                <w:tcPr>
                  <w:tcW w:w="1494" w:type="dxa"/>
                  <w:tcBorders>
                    <w:tl2br w:val="nil"/>
                    <w:tr2bl w:val="nil"/>
                  </w:tcBorders>
                  <w:vAlign w:val="center"/>
                </w:tcPr>
                <w:p w14:paraId="58E3E261">
                  <w:pPr>
                    <w:spacing w:line="0" w:lineRule="atLeast"/>
                    <w:jc w:val="center"/>
                    <w:rPr>
                      <w:b/>
                      <w:bCs/>
                      <w:color w:val="auto"/>
                      <w:sz w:val="18"/>
                      <w:szCs w:val="18"/>
                      <w:highlight w:val="none"/>
                    </w:rPr>
                  </w:pPr>
                  <w:r>
                    <w:rPr>
                      <w:color w:val="auto"/>
                      <w:spacing w:val="8"/>
                      <w:sz w:val="18"/>
                      <w:szCs w:val="18"/>
                      <w:highlight w:val="none"/>
                    </w:rPr>
                    <w:t>≤100</w:t>
                  </w:r>
                </w:p>
              </w:tc>
            </w:tr>
            <w:tr w14:paraId="6C4450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C3B3A30">
                  <w:pPr>
                    <w:spacing w:line="0" w:lineRule="atLeast"/>
                    <w:jc w:val="center"/>
                    <w:rPr>
                      <w:b/>
                      <w:bCs/>
                      <w:color w:val="auto"/>
                      <w:sz w:val="18"/>
                      <w:szCs w:val="18"/>
                      <w:highlight w:val="none"/>
                    </w:rPr>
                  </w:pPr>
                </w:p>
              </w:tc>
              <w:tc>
                <w:tcPr>
                  <w:tcW w:w="5903" w:type="dxa"/>
                  <w:tcBorders>
                    <w:tl2br w:val="nil"/>
                    <w:tr2bl w:val="nil"/>
                  </w:tcBorders>
                  <w:vAlign w:val="center"/>
                </w:tcPr>
                <w:p w14:paraId="2064E7B6">
                  <w:pPr>
                    <w:spacing w:line="0" w:lineRule="atLeast"/>
                    <w:jc w:val="center"/>
                    <w:rPr>
                      <w:b/>
                      <w:bCs/>
                      <w:color w:val="auto"/>
                      <w:sz w:val="18"/>
                      <w:szCs w:val="18"/>
                      <w:highlight w:val="none"/>
                    </w:rPr>
                  </w:pPr>
                  <w:r>
                    <w:rPr>
                      <w:color w:val="auto"/>
                      <w:spacing w:val="8"/>
                      <w:sz w:val="18"/>
                      <w:szCs w:val="18"/>
                      <w:highlight w:val="none"/>
                    </w:rPr>
                    <w:t>蛔虫卵死亡率，%</w:t>
                  </w:r>
                </w:p>
              </w:tc>
              <w:tc>
                <w:tcPr>
                  <w:tcW w:w="1494" w:type="dxa"/>
                  <w:tcBorders>
                    <w:tl2br w:val="nil"/>
                    <w:tr2bl w:val="nil"/>
                  </w:tcBorders>
                  <w:vAlign w:val="center"/>
                </w:tcPr>
                <w:p w14:paraId="169F9C86">
                  <w:pPr>
                    <w:spacing w:line="0" w:lineRule="atLeast"/>
                    <w:jc w:val="center"/>
                    <w:rPr>
                      <w:b/>
                      <w:bCs/>
                      <w:color w:val="auto"/>
                      <w:sz w:val="18"/>
                      <w:szCs w:val="18"/>
                      <w:highlight w:val="none"/>
                    </w:rPr>
                  </w:pPr>
                  <w:r>
                    <w:rPr>
                      <w:color w:val="auto"/>
                      <w:spacing w:val="8"/>
                      <w:sz w:val="18"/>
                      <w:szCs w:val="18"/>
                      <w:highlight w:val="none"/>
                    </w:rPr>
                    <w:t>≥95</w:t>
                  </w:r>
                </w:p>
              </w:tc>
            </w:tr>
            <w:tr w14:paraId="51E8A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41" w:type="dxa"/>
                  <w:vMerge w:val="continue"/>
                  <w:tcBorders>
                    <w:tl2br w:val="nil"/>
                    <w:tr2bl w:val="nil"/>
                  </w:tcBorders>
                  <w:vAlign w:val="center"/>
                </w:tcPr>
                <w:p w14:paraId="51012D9D">
                  <w:pPr>
                    <w:spacing w:line="0" w:lineRule="atLeast"/>
                    <w:jc w:val="center"/>
                    <w:rPr>
                      <w:b/>
                      <w:bCs/>
                      <w:color w:val="auto"/>
                      <w:sz w:val="18"/>
                      <w:szCs w:val="18"/>
                      <w:highlight w:val="none"/>
                    </w:rPr>
                  </w:pPr>
                </w:p>
              </w:tc>
              <w:tc>
                <w:tcPr>
                  <w:tcW w:w="5903" w:type="dxa"/>
                  <w:tcBorders>
                    <w:tl2br w:val="nil"/>
                    <w:tr2bl w:val="nil"/>
                  </w:tcBorders>
                  <w:vAlign w:val="center"/>
                </w:tcPr>
                <w:p w14:paraId="3EAC8491">
                  <w:pPr>
                    <w:spacing w:line="0" w:lineRule="atLeast"/>
                    <w:jc w:val="center"/>
                    <w:rPr>
                      <w:b/>
                      <w:bCs/>
                      <w:color w:val="auto"/>
                      <w:sz w:val="18"/>
                      <w:szCs w:val="18"/>
                      <w:highlight w:val="none"/>
                    </w:rPr>
                  </w:pPr>
                  <w:r>
                    <w:rPr>
                      <w:color w:val="auto"/>
                      <w:spacing w:val="8"/>
                      <w:sz w:val="18"/>
                      <w:szCs w:val="18"/>
                      <w:highlight w:val="none"/>
                    </w:rPr>
                    <w:t>氯离子的质量分数，%</w:t>
                  </w:r>
                </w:p>
              </w:tc>
              <w:tc>
                <w:tcPr>
                  <w:tcW w:w="1494" w:type="dxa"/>
                  <w:tcBorders>
                    <w:tl2br w:val="nil"/>
                    <w:tr2bl w:val="nil"/>
                  </w:tcBorders>
                  <w:vAlign w:val="center"/>
                </w:tcPr>
                <w:p w14:paraId="4C3014E6">
                  <w:pPr>
                    <w:spacing w:line="0" w:lineRule="atLeast"/>
                    <w:jc w:val="center"/>
                    <w:rPr>
                      <w:b/>
                      <w:bCs/>
                      <w:color w:val="auto"/>
                      <w:sz w:val="18"/>
                      <w:szCs w:val="18"/>
                      <w:highlight w:val="none"/>
                    </w:rPr>
                  </w:pPr>
                  <w:r>
                    <w:rPr>
                      <w:color w:val="auto"/>
                      <w:spacing w:val="8"/>
                      <w:sz w:val="18"/>
                      <w:szCs w:val="18"/>
                      <w:highlight w:val="none"/>
                    </w:rPr>
                    <w:t>/</w:t>
                  </w:r>
                </w:p>
              </w:tc>
            </w:tr>
            <w:tr w14:paraId="4659B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41" w:type="dxa"/>
                  <w:vMerge w:val="continue"/>
                  <w:tcBorders>
                    <w:tl2br w:val="nil"/>
                    <w:tr2bl w:val="nil"/>
                  </w:tcBorders>
                  <w:vAlign w:val="center"/>
                </w:tcPr>
                <w:p w14:paraId="7F8E1C71">
                  <w:pPr>
                    <w:spacing w:line="0" w:lineRule="atLeast"/>
                    <w:jc w:val="center"/>
                    <w:rPr>
                      <w:b/>
                      <w:bCs/>
                      <w:color w:val="auto"/>
                      <w:sz w:val="18"/>
                      <w:szCs w:val="18"/>
                      <w:highlight w:val="none"/>
                    </w:rPr>
                  </w:pPr>
                </w:p>
              </w:tc>
              <w:tc>
                <w:tcPr>
                  <w:tcW w:w="5903" w:type="dxa"/>
                  <w:tcBorders>
                    <w:tl2br w:val="nil"/>
                    <w:tr2bl w:val="nil"/>
                  </w:tcBorders>
                  <w:vAlign w:val="center"/>
                </w:tcPr>
                <w:p w14:paraId="645AAC85">
                  <w:pPr>
                    <w:spacing w:line="0" w:lineRule="atLeast"/>
                    <w:jc w:val="center"/>
                    <w:rPr>
                      <w:b/>
                      <w:bCs/>
                      <w:color w:val="auto"/>
                      <w:sz w:val="18"/>
                      <w:szCs w:val="18"/>
                      <w:highlight w:val="none"/>
                    </w:rPr>
                  </w:pPr>
                  <w:r>
                    <w:rPr>
                      <w:color w:val="auto"/>
                      <w:spacing w:val="8"/>
                      <w:sz w:val="18"/>
                      <w:szCs w:val="18"/>
                      <w:highlight w:val="none"/>
                    </w:rPr>
                    <w:t>杂草种子活性，株/kg</w:t>
                  </w:r>
                </w:p>
              </w:tc>
              <w:tc>
                <w:tcPr>
                  <w:tcW w:w="1494" w:type="dxa"/>
                  <w:tcBorders>
                    <w:tl2br w:val="nil"/>
                    <w:tr2bl w:val="nil"/>
                  </w:tcBorders>
                  <w:vAlign w:val="center"/>
                </w:tcPr>
                <w:p w14:paraId="2915DB61">
                  <w:pPr>
                    <w:spacing w:line="0" w:lineRule="atLeast"/>
                    <w:jc w:val="center"/>
                    <w:rPr>
                      <w:b/>
                      <w:bCs/>
                      <w:color w:val="auto"/>
                      <w:sz w:val="18"/>
                      <w:szCs w:val="18"/>
                      <w:highlight w:val="none"/>
                    </w:rPr>
                  </w:pPr>
                  <w:r>
                    <w:rPr>
                      <w:color w:val="auto"/>
                      <w:spacing w:val="8"/>
                      <w:sz w:val="18"/>
                      <w:szCs w:val="18"/>
                      <w:highlight w:val="none"/>
                    </w:rPr>
                    <w:t>/</w:t>
                  </w:r>
                </w:p>
              </w:tc>
            </w:tr>
          </w:tbl>
          <w:p w14:paraId="2188C9F5">
            <w:pPr>
              <w:adjustRightInd w:val="0"/>
              <w:snapToGrid w:val="0"/>
              <w:spacing w:line="360" w:lineRule="auto"/>
              <w:ind w:firstLine="420" w:firstLineChars="200"/>
              <w:rPr>
                <w:color w:val="auto"/>
                <w:szCs w:val="21"/>
                <w:highlight w:val="none"/>
              </w:rPr>
            </w:pPr>
            <w:r>
              <w:rPr>
                <w:rFonts w:hint="eastAsia"/>
                <w:color w:val="auto"/>
                <w:szCs w:val="21"/>
                <w:highlight w:val="none"/>
              </w:rPr>
              <w:t>本项目使用的有机肥质量标准执行《中华人民共和国农业行业标准有机肥料》（NY/T 525-2021）中的指标要求。</w:t>
            </w:r>
          </w:p>
          <w:p w14:paraId="192430B6">
            <w:pPr>
              <w:adjustRightInd w:val="0"/>
              <w:snapToGrid w:val="0"/>
              <w:jc w:val="center"/>
              <w:rPr>
                <w:b/>
                <w:bCs/>
                <w:color w:val="auto"/>
                <w:szCs w:val="21"/>
                <w:highlight w:val="none"/>
              </w:rPr>
            </w:pPr>
            <w:r>
              <w:rPr>
                <w:rFonts w:hint="eastAsia"/>
                <w:b/>
                <w:bCs/>
                <w:color w:val="auto"/>
                <w:szCs w:val="21"/>
                <w:highlight w:val="none"/>
              </w:rPr>
              <w:t>2-11 水处理污泥指标要求</w:t>
            </w:r>
          </w:p>
          <w:tbl>
            <w:tblPr>
              <w:tblStyle w:val="23"/>
              <w:tblW w:w="815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8"/>
              <w:gridCol w:w="2656"/>
              <w:gridCol w:w="3856"/>
            </w:tblGrid>
            <w:tr w14:paraId="10AC6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tcBorders>
                    <w:tl2br w:val="nil"/>
                    <w:tr2bl w:val="nil"/>
                  </w:tcBorders>
                  <w:vAlign w:val="center"/>
                </w:tcPr>
                <w:p w14:paraId="09262115">
                  <w:pPr>
                    <w:pStyle w:val="31"/>
                    <w:jc w:val="center"/>
                    <w:rPr>
                      <w:color w:val="auto"/>
                      <w:sz w:val="18"/>
                      <w:szCs w:val="18"/>
                      <w:highlight w:val="none"/>
                    </w:rPr>
                  </w:pPr>
                  <w:r>
                    <w:rPr>
                      <w:rFonts w:hint="eastAsia" w:ascii="Times New Roman" w:hAnsi="Times New Roman"/>
                      <w:color w:val="auto"/>
                      <w:sz w:val="18"/>
                      <w:szCs w:val="18"/>
                      <w:highlight w:val="none"/>
                    </w:rPr>
                    <w:t>外观及感官</w:t>
                  </w:r>
                </w:p>
              </w:tc>
              <w:tc>
                <w:tcPr>
                  <w:tcW w:w="6512" w:type="dxa"/>
                  <w:gridSpan w:val="2"/>
                  <w:tcBorders>
                    <w:tl2br w:val="nil"/>
                    <w:tr2bl w:val="nil"/>
                  </w:tcBorders>
                  <w:vAlign w:val="center"/>
                </w:tcPr>
                <w:p w14:paraId="0D6EE0E4">
                  <w:pPr>
                    <w:pStyle w:val="31"/>
                    <w:jc w:val="center"/>
                    <w:rPr>
                      <w:color w:val="auto"/>
                      <w:sz w:val="18"/>
                      <w:szCs w:val="18"/>
                      <w:highlight w:val="none"/>
                    </w:rPr>
                  </w:pPr>
                  <w:r>
                    <w:rPr>
                      <w:rFonts w:hint="eastAsia"/>
                      <w:color w:val="auto"/>
                      <w:sz w:val="18"/>
                      <w:szCs w:val="18"/>
                      <w:highlight w:val="none"/>
                    </w:rPr>
                    <w:t>采购净水厂及污水处理厂经固化稳定处理后的污泥，含水率需小于60%，无渗滤液产生，</w:t>
                  </w:r>
                  <w:r>
                    <w:rPr>
                      <w:rFonts w:hint="eastAsia" w:ascii="Times New Roman" w:hAnsi="Times New Roman"/>
                      <w:color w:val="auto"/>
                      <w:sz w:val="18"/>
                      <w:szCs w:val="18"/>
                      <w:highlight w:val="none"/>
                    </w:rPr>
                    <w:t>无异味。</w:t>
                  </w:r>
                </w:p>
              </w:tc>
            </w:tr>
            <w:tr w14:paraId="6CEA2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restart"/>
                  <w:tcBorders>
                    <w:tl2br w:val="nil"/>
                    <w:tr2bl w:val="nil"/>
                  </w:tcBorders>
                  <w:vAlign w:val="center"/>
                </w:tcPr>
                <w:p w14:paraId="45D11ACE">
                  <w:pPr>
                    <w:pStyle w:val="31"/>
                    <w:jc w:val="center"/>
                    <w:rPr>
                      <w:color w:val="auto"/>
                      <w:highlight w:val="none"/>
                    </w:rPr>
                  </w:pPr>
                  <w:r>
                    <w:rPr>
                      <w:rFonts w:ascii="Times New Roman" w:hAnsi="Times New Roman"/>
                      <w:color w:val="auto"/>
                      <w:sz w:val="18"/>
                      <w:szCs w:val="18"/>
                      <w:highlight w:val="none"/>
                    </w:rPr>
                    <w:t>重金属限量要求</w:t>
                  </w:r>
                </w:p>
              </w:tc>
              <w:tc>
                <w:tcPr>
                  <w:tcW w:w="2656" w:type="dxa"/>
                  <w:tcBorders>
                    <w:tl2br w:val="nil"/>
                    <w:tr2bl w:val="nil"/>
                  </w:tcBorders>
                  <w:vAlign w:val="center"/>
                </w:tcPr>
                <w:p w14:paraId="3E06B0D2">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污染物项目</w:t>
                  </w:r>
                </w:p>
              </w:tc>
              <w:tc>
                <w:tcPr>
                  <w:tcW w:w="3856" w:type="dxa"/>
                  <w:tcBorders>
                    <w:tl2br w:val="nil"/>
                    <w:tr2bl w:val="nil"/>
                  </w:tcBorders>
                  <w:vAlign w:val="center"/>
                </w:tcPr>
                <w:p w14:paraId="6D7BC436">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限值</w:t>
                  </w:r>
                </w:p>
              </w:tc>
            </w:tr>
            <w:tr w14:paraId="38C999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6E8668CB">
                  <w:pPr>
                    <w:pStyle w:val="31"/>
                    <w:jc w:val="center"/>
                    <w:rPr>
                      <w:color w:val="auto"/>
                      <w:highlight w:val="none"/>
                    </w:rPr>
                  </w:pPr>
                </w:p>
              </w:tc>
              <w:tc>
                <w:tcPr>
                  <w:tcW w:w="2656" w:type="dxa"/>
                  <w:tcBorders>
                    <w:tl2br w:val="nil"/>
                    <w:tr2bl w:val="nil"/>
                  </w:tcBorders>
                  <w:vAlign w:val="center"/>
                </w:tcPr>
                <w:p w14:paraId="727D9239">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镉mg/kg</w:t>
                  </w:r>
                </w:p>
              </w:tc>
              <w:tc>
                <w:tcPr>
                  <w:tcW w:w="3856" w:type="dxa"/>
                  <w:tcBorders>
                    <w:tl2br w:val="nil"/>
                    <w:tr2bl w:val="nil"/>
                  </w:tcBorders>
                  <w:vAlign w:val="center"/>
                </w:tcPr>
                <w:p w14:paraId="47C90C7F">
                  <w:pPr>
                    <w:widowControl/>
                    <w:jc w:val="center"/>
                    <w:rPr>
                      <w:color w:val="auto"/>
                      <w:sz w:val="18"/>
                      <w:szCs w:val="18"/>
                      <w:highlight w:val="none"/>
                    </w:rPr>
                  </w:pPr>
                  <w:r>
                    <w:rPr>
                      <w:color w:val="auto"/>
                      <w:kern w:val="0"/>
                      <w:sz w:val="18"/>
                      <w:szCs w:val="18"/>
                      <w:highlight w:val="none"/>
                    </w:rPr>
                    <w:t>≤0.6</w:t>
                  </w:r>
                </w:p>
              </w:tc>
            </w:tr>
            <w:tr w14:paraId="40ED3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7B4D5A0D">
                  <w:pPr>
                    <w:pStyle w:val="31"/>
                    <w:jc w:val="center"/>
                    <w:rPr>
                      <w:color w:val="auto"/>
                      <w:highlight w:val="none"/>
                    </w:rPr>
                  </w:pPr>
                </w:p>
              </w:tc>
              <w:tc>
                <w:tcPr>
                  <w:tcW w:w="2656" w:type="dxa"/>
                  <w:tcBorders>
                    <w:tl2br w:val="nil"/>
                    <w:tr2bl w:val="nil"/>
                  </w:tcBorders>
                  <w:vAlign w:val="center"/>
                </w:tcPr>
                <w:p w14:paraId="6951DC0D">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汞mg/kg</w:t>
                  </w:r>
                </w:p>
              </w:tc>
              <w:tc>
                <w:tcPr>
                  <w:tcW w:w="3856" w:type="dxa"/>
                  <w:tcBorders>
                    <w:tl2br w:val="nil"/>
                    <w:tr2bl w:val="nil"/>
                  </w:tcBorders>
                  <w:vAlign w:val="center"/>
                </w:tcPr>
                <w:p w14:paraId="4C40A4A8">
                  <w:pPr>
                    <w:pStyle w:val="31"/>
                    <w:jc w:val="center"/>
                    <w:rPr>
                      <w:rFonts w:ascii="Times New Roman" w:hAnsi="Times New Roman"/>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1.8</w:t>
                  </w:r>
                </w:p>
              </w:tc>
            </w:tr>
            <w:tr w14:paraId="63CB9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1615FFAE">
                  <w:pPr>
                    <w:pStyle w:val="31"/>
                    <w:jc w:val="center"/>
                    <w:rPr>
                      <w:color w:val="auto"/>
                      <w:highlight w:val="none"/>
                    </w:rPr>
                  </w:pPr>
                </w:p>
              </w:tc>
              <w:tc>
                <w:tcPr>
                  <w:tcW w:w="2656" w:type="dxa"/>
                  <w:tcBorders>
                    <w:tl2br w:val="nil"/>
                    <w:tr2bl w:val="nil"/>
                  </w:tcBorders>
                  <w:vAlign w:val="center"/>
                </w:tcPr>
                <w:p w14:paraId="4119EA26">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砷mg/kg</w:t>
                  </w:r>
                </w:p>
              </w:tc>
              <w:tc>
                <w:tcPr>
                  <w:tcW w:w="3856" w:type="dxa"/>
                  <w:tcBorders>
                    <w:tl2br w:val="nil"/>
                    <w:tr2bl w:val="nil"/>
                  </w:tcBorders>
                  <w:vAlign w:val="center"/>
                </w:tcPr>
                <w:p w14:paraId="0DDDE8EC">
                  <w:pPr>
                    <w:pStyle w:val="31"/>
                    <w:jc w:val="center"/>
                    <w:rPr>
                      <w:rFonts w:ascii="Times New Roman" w:hAnsi="Times New Roman"/>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40</w:t>
                  </w:r>
                </w:p>
              </w:tc>
            </w:tr>
            <w:tr w14:paraId="7C88F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2C575BF8">
                  <w:pPr>
                    <w:pStyle w:val="31"/>
                    <w:jc w:val="center"/>
                    <w:rPr>
                      <w:color w:val="auto"/>
                      <w:highlight w:val="none"/>
                    </w:rPr>
                  </w:pPr>
                </w:p>
              </w:tc>
              <w:tc>
                <w:tcPr>
                  <w:tcW w:w="2656" w:type="dxa"/>
                  <w:tcBorders>
                    <w:tl2br w:val="nil"/>
                    <w:tr2bl w:val="nil"/>
                  </w:tcBorders>
                  <w:vAlign w:val="center"/>
                </w:tcPr>
                <w:p w14:paraId="73C3788A">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铅mg/kg</w:t>
                  </w:r>
                </w:p>
              </w:tc>
              <w:tc>
                <w:tcPr>
                  <w:tcW w:w="3856" w:type="dxa"/>
                  <w:tcBorders>
                    <w:tl2br w:val="nil"/>
                    <w:tr2bl w:val="nil"/>
                  </w:tcBorders>
                  <w:vAlign w:val="center"/>
                </w:tcPr>
                <w:p w14:paraId="6FA14BD8">
                  <w:pPr>
                    <w:pStyle w:val="31"/>
                    <w:jc w:val="center"/>
                    <w:rPr>
                      <w:rFonts w:ascii="Times New Roman" w:hAnsi="Times New Roman"/>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70</w:t>
                  </w:r>
                </w:p>
              </w:tc>
            </w:tr>
            <w:tr w14:paraId="6F202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638" w:type="dxa"/>
                  <w:vMerge w:val="continue"/>
                  <w:tcBorders>
                    <w:tl2br w:val="nil"/>
                    <w:tr2bl w:val="nil"/>
                  </w:tcBorders>
                  <w:vAlign w:val="center"/>
                </w:tcPr>
                <w:p w14:paraId="51D39E4A">
                  <w:pPr>
                    <w:pStyle w:val="31"/>
                    <w:jc w:val="center"/>
                    <w:rPr>
                      <w:color w:val="auto"/>
                      <w:highlight w:val="none"/>
                    </w:rPr>
                  </w:pPr>
                </w:p>
              </w:tc>
              <w:tc>
                <w:tcPr>
                  <w:tcW w:w="2656" w:type="dxa"/>
                  <w:tcBorders>
                    <w:tl2br w:val="nil"/>
                    <w:tr2bl w:val="nil"/>
                  </w:tcBorders>
                  <w:vAlign w:val="center"/>
                </w:tcPr>
                <w:p w14:paraId="1135461D">
                  <w:pPr>
                    <w:pStyle w:val="31"/>
                    <w:jc w:val="center"/>
                    <w:rPr>
                      <w:rFonts w:ascii="Times New Roman" w:hAnsi="Times New Roman"/>
                      <w:color w:val="auto"/>
                      <w:sz w:val="18"/>
                      <w:szCs w:val="18"/>
                      <w:highlight w:val="none"/>
                    </w:rPr>
                  </w:pPr>
                  <w:r>
                    <w:rPr>
                      <w:rFonts w:ascii="Times New Roman" w:hAnsi="Times New Roman"/>
                      <w:color w:val="auto"/>
                      <w:sz w:val="18"/>
                      <w:szCs w:val="18"/>
                      <w:highlight w:val="none"/>
                    </w:rPr>
                    <w:t>铬mg/kg</w:t>
                  </w:r>
                </w:p>
              </w:tc>
              <w:tc>
                <w:tcPr>
                  <w:tcW w:w="3856" w:type="dxa"/>
                  <w:tcBorders>
                    <w:tl2br w:val="nil"/>
                    <w:tr2bl w:val="nil"/>
                  </w:tcBorders>
                  <w:vAlign w:val="center"/>
                </w:tcPr>
                <w:p w14:paraId="717315A1">
                  <w:pPr>
                    <w:pStyle w:val="31"/>
                    <w:jc w:val="center"/>
                    <w:rPr>
                      <w:rFonts w:ascii="Times New Roman" w:hAnsi="Times New Roman"/>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250</w:t>
                  </w:r>
                </w:p>
              </w:tc>
            </w:tr>
          </w:tbl>
          <w:p w14:paraId="565C4661">
            <w:pPr>
              <w:adjustRightInd w:val="0"/>
              <w:snapToGrid w:val="0"/>
              <w:spacing w:line="360" w:lineRule="auto"/>
              <w:ind w:firstLine="420" w:firstLineChars="200"/>
              <w:rPr>
                <w:color w:val="auto"/>
                <w:szCs w:val="21"/>
                <w:highlight w:val="none"/>
              </w:rPr>
            </w:pPr>
            <w:r>
              <w:rPr>
                <w:rFonts w:hint="eastAsia"/>
                <w:color w:val="auto"/>
                <w:szCs w:val="21"/>
                <w:highlight w:val="none"/>
              </w:rPr>
              <w:t>水处理污泥重金属含量执行《煤矸石基人造土壤基质》（T/CCEMA 0006-2024）生态指标要求。</w:t>
            </w:r>
          </w:p>
          <w:p w14:paraId="70318D99">
            <w:pPr>
              <w:adjustRightInd w:val="0"/>
              <w:snapToGrid w:val="0"/>
              <w:jc w:val="center"/>
              <w:rPr>
                <w:b/>
                <w:bCs/>
                <w:color w:val="auto"/>
                <w:szCs w:val="21"/>
                <w:highlight w:val="none"/>
              </w:rPr>
            </w:pPr>
            <w:r>
              <w:rPr>
                <w:rFonts w:hint="eastAsia"/>
                <w:b/>
                <w:bCs/>
                <w:color w:val="auto"/>
                <w:szCs w:val="21"/>
                <w:highlight w:val="none"/>
              </w:rPr>
              <w:t>2-12脱硫石膏指标要求</w:t>
            </w:r>
          </w:p>
          <w:tbl>
            <w:tblPr>
              <w:tblStyle w:val="23"/>
              <w:tblW w:w="815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1107"/>
              <w:gridCol w:w="1419"/>
              <w:gridCol w:w="3983"/>
            </w:tblGrid>
            <w:tr w14:paraId="763B2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41" w:type="dxa"/>
                  <w:vMerge w:val="restart"/>
                  <w:tcBorders>
                    <w:tl2br w:val="nil"/>
                    <w:tr2bl w:val="nil"/>
                  </w:tcBorders>
                  <w:vAlign w:val="center"/>
                </w:tcPr>
                <w:p w14:paraId="603A820F">
                  <w:pPr>
                    <w:pStyle w:val="31"/>
                    <w:jc w:val="center"/>
                    <w:rPr>
                      <w:b/>
                      <w:bCs/>
                      <w:color w:val="auto"/>
                      <w:sz w:val="18"/>
                      <w:szCs w:val="18"/>
                      <w:highlight w:val="none"/>
                    </w:rPr>
                  </w:pPr>
                  <w:r>
                    <w:rPr>
                      <w:rFonts w:ascii="Times New Roman" w:hAnsi="Times New Roman"/>
                      <w:color w:val="auto"/>
                      <w:sz w:val="18"/>
                      <w:szCs w:val="18"/>
                      <w:highlight w:val="none"/>
                    </w:rPr>
                    <w:t>重金属限量要求</w:t>
                  </w:r>
                </w:p>
              </w:tc>
              <w:tc>
                <w:tcPr>
                  <w:tcW w:w="1107" w:type="dxa"/>
                  <w:tcBorders>
                    <w:tl2br w:val="nil"/>
                    <w:tr2bl w:val="nil"/>
                  </w:tcBorders>
                  <w:vAlign w:val="center"/>
                </w:tcPr>
                <w:p w14:paraId="74662258">
                  <w:pPr>
                    <w:pStyle w:val="31"/>
                    <w:jc w:val="center"/>
                    <w:rPr>
                      <w:b/>
                      <w:bCs/>
                      <w:color w:val="auto"/>
                      <w:sz w:val="18"/>
                      <w:szCs w:val="18"/>
                      <w:highlight w:val="none"/>
                    </w:rPr>
                  </w:pPr>
                  <w:r>
                    <w:rPr>
                      <w:rFonts w:ascii="Times New Roman" w:hAnsi="Times New Roman"/>
                      <w:color w:val="auto"/>
                      <w:sz w:val="18"/>
                      <w:szCs w:val="18"/>
                      <w:highlight w:val="none"/>
                    </w:rPr>
                    <w:t>污染物项目</w:t>
                  </w:r>
                </w:p>
              </w:tc>
              <w:tc>
                <w:tcPr>
                  <w:tcW w:w="1419" w:type="dxa"/>
                  <w:tcBorders>
                    <w:tl2br w:val="nil"/>
                    <w:tr2bl w:val="nil"/>
                  </w:tcBorders>
                  <w:vAlign w:val="center"/>
                </w:tcPr>
                <w:p w14:paraId="116760B3">
                  <w:pPr>
                    <w:pStyle w:val="31"/>
                    <w:jc w:val="center"/>
                    <w:rPr>
                      <w:b/>
                      <w:bCs/>
                      <w:color w:val="auto"/>
                      <w:sz w:val="18"/>
                      <w:szCs w:val="18"/>
                      <w:highlight w:val="none"/>
                    </w:rPr>
                  </w:pPr>
                  <w:r>
                    <w:rPr>
                      <w:rFonts w:ascii="Times New Roman" w:hAnsi="Times New Roman"/>
                      <w:color w:val="auto"/>
                      <w:sz w:val="18"/>
                      <w:szCs w:val="18"/>
                      <w:highlight w:val="none"/>
                    </w:rPr>
                    <w:t>限值</w:t>
                  </w:r>
                </w:p>
              </w:tc>
              <w:tc>
                <w:tcPr>
                  <w:tcW w:w="3983" w:type="dxa"/>
                  <w:tcBorders>
                    <w:tl2br w:val="nil"/>
                    <w:tr2bl w:val="nil"/>
                  </w:tcBorders>
                  <w:vAlign w:val="center"/>
                </w:tcPr>
                <w:p w14:paraId="19F70C3C">
                  <w:pPr>
                    <w:adjustRightInd w:val="0"/>
                    <w:snapToGrid w:val="0"/>
                    <w:jc w:val="center"/>
                    <w:rPr>
                      <w:b/>
                      <w:bCs/>
                      <w:color w:val="auto"/>
                      <w:sz w:val="18"/>
                      <w:szCs w:val="18"/>
                      <w:highlight w:val="none"/>
                    </w:rPr>
                  </w:pPr>
                  <w:r>
                    <w:rPr>
                      <w:rFonts w:hint="eastAsia"/>
                      <w:b/>
                      <w:bCs/>
                      <w:color w:val="auto"/>
                      <w:sz w:val="18"/>
                      <w:szCs w:val="18"/>
                      <w:highlight w:val="none"/>
                    </w:rPr>
                    <w:t>备注</w:t>
                  </w:r>
                </w:p>
              </w:tc>
            </w:tr>
            <w:tr w14:paraId="2D892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1C1F9D68">
                  <w:pPr>
                    <w:pStyle w:val="31"/>
                    <w:jc w:val="center"/>
                    <w:rPr>
                      <w:b/>
                      <w:bCs/>
                      <w:color w:val="auto"/>
                      <w:sz w:val="18"/>
                      <w:szCs w:val="18"/>
                      <w:highlight w:val="none"/>
                    </w:rPr>
                  </w:pPr>
                </w:p>
              </w:tc>
              <w:tc>
                <w:tcPr>
                  <w:tcW w:w="1107" w:type="dxa"/>
                  <w:tcBorders>
                    <w:tl2br w:val="nil"/>
                    <w:tr2bl w:val="nil"/>
                  </w:tcBorders>
                  <w:vAlign w:val="center"/>
                </w:tcPr>
                <w:p w14:paraId="0997706B">
                  <w:pPr>
                    <w:pStyle w:val="31"/>
                    <w:jc w:val="center"/>
                    <w:rPr>
                      <w:b/>
                      <w:bCs/>
                      <w:color w:val="auto"/>
                      <w:sz w:val="18"/>
                      <w:szCs w:val="18"/>
                      <w:highlight w:val="none"/>
                    </w:rPr>
                  </w:pPr>
                  <w:r>
                    <w:rPr>
                      <w:rFonts w:ascii="Times New Roman" w:hAnsi="Times New Roman"/>
                      <w:color w:val="auto"/>
                      <w:sz w:val="18"/>
                      <w:szCs w:val="18"/>
                      <w:highlight w:val="none"/>
                    </w:rPr>
                    <w:t>镉mg/kg</w:t>
                  </w:r>
                </w:p>
              </w:tc>
              <w:tc>
                <w:tcPr>
                  <w:tcW w:w="1419" w:type="dxa"/>
                  <w:tcBorders>
                    <w:tl2br w:val="nil"/>
                    <w:tr2bl w:val="nil"/>
                  </w:tcBorders>
                  <w:vAlign w:val="center"/>
                </w:tcPr>
                <w:p w14:paraId="759C4EE0">
                  <w:pPr>
                    <w:widowControl/>
                    <w:jc w:val="center"/>
                    <w:rPr>
                      <w:b/>
                      <w:bCs/>
                      <w:color w:val="auto"/>
                      <w:sz w:val="18"/>
                      <w:szCs w:val="18"/>
                      <w:highlight w:val="none"/>
                    </w:rPr>
                  </w:pPr>
                  <w:r>
                    <w:rPr>
                      <w:color w:val="auto"/>
                      <w:kern w:val="0"/>
                      <w:sz w:val="18"/>
                      <w:szCs w:val="18"/>
                      <w:highlight w:val="none"/>
                    </w:rPr>
                    <w:t>≤0.6</w:t>
                  </w:r>
                </w:p>
              </w:tc>
              <w:tc>
                <w:tcPr>
                  <w:tcW w:w="3983" w:type="dxa"/>
                  <w:vMerge w:val="restart"/>
                  <w:tcBorders>
                    <w:tl2br w:val="nil"/>
                    <w:tr2bl w:val="nil"/>
                  </w:tcBorders>
                  <w:vAlign w:val="center"/>
                </w:tcPr>
                <w:p w14:paraId="3B4FEE7B">
                  <w:pPr>
                    <w:adjustRightInd w:val="0"/>
                    <w:snapToGrid w:val="0"/>
                    <w:jc w:val="center"/>
                    <w:rPr>
                      <w:color w:val="auto"/>
                      <w:sz w:val="18"/>
                      <w:szCs w:val="18"/>
                      <w:highlight w:val="none"/>
                    </w:rPr>
                  </w:pPr>
                  <w:r>
                    <w:rPr>
                      <w:rFonts w:hint="eastAsia"/>
                      <w:color w:val="auto"/>
                      <w:sz w:val="18"/>
                      <w:szCs w:val="18"/>
                      <w:highlight w:val="none"/>
                    </w:rPr>
                    <w:t>根据脱硫石膏检测报告（见附件），总铅、镉、铬、汞均未检出，因本项目未运营，所以采用该检测报告进行类比，原料均为烟气脱硫石膏，本项目实际运营后脱硫石膏重金属含量在满足《煤矸石基人造土壤基质》（T/CCEMA 0006-2024）指标要求情况下使用。</w:t>
                  </w:r>
                </w:p>
              </w:tc>
            </w:tr>
            <w:tr w14:paraId="2C761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5A8C5555">
                  <w:pPr>
                    <w:pStyle w:val="31"/>
                    <w:jc w:val="center"/>
                    <w:rPr>
                      <w:b/>
                      <w:bCs/>
                      <w:color w:val="auto"/>
                      <w:sz w:val="18"/>
                      <w:szCs w:val="18"/>
                      <w:highlight w:val="none"/>
                    </w:rPr>
                  </w:pPr>
                </w:p>
              </w:tc>
              <w:tc>
                <w:tcPr>
                  <w:tcW w:w="1107" w:type="dxa"/>
                  <w:tcBorders>
                    <w:tl2br w:val="nil"/>
                    <w:tr2bl w:val="nil"/>
                  </w:tcBorders>
                  <w:vAlign w:val="center"/>
                </w:tcPr>
                <w:p w14:paraId="3752D404">
                  <w:pPr>
                    <w:pStyle w:val="31"/>
                    <w:jc w:val="center"/>
                    <w:rPr>
                      <w:b/>
                      <w:bCs/>
                      <w:color w:val="auto"/>
                      <w:sz w:val="18"/>
                      <w:szCs w:val="18"/>
                      <w:highlight w:val="none"/>
                    </w:rPr>
                  </w:pPr>
                  <w:r>
                    <w:rPr>
                      <w:rFonts w:ascii="Times New Roman" w:hAnsi="Times New Roman"/>
                      <w:color w:val="auto"/>
                      <w:sz w:val="18"/>
                      <w:szCs w:val="18"/>
                      <w:highlight w:val="none"/>
                    </w:rPr>
                    <w:t>汞mg/kg</w:t>
                  </w:r>
                </w:p>
              </w:tc>
              <w:tc>
                <w:tcPr>
                  <w:tcW w:w="1419" w:type="dxa"/>
                  <w:tcBorders>
                    <w:tl2br w:val="nil"/>
                    <w:tr2bl w:val="nil"/>
                  </w:tcBorders>
                  <w:vAlign w:val="center"/>
                </w:tcPr>
                <w:p w14:paraId="1B7E7548">
                  <w:pPr>
                    <w:pStyle w:val="31"/>
                    <w:jc w:val="center"/>
                    <w:rPr>
                      <w:b/>
                      <w:bCs/>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1.8</w:t>
                  </w:r>
                </w:p>
              </w:tc>
              <w:tc>
                <w:tcPr>
                  <w:tcW w:w="3983" w:type="dxa"/>
                  <w:vMerge w:val="continue"/>
                  <w:tcBorders>
                    <w:tl2br w:val="nil"/>
                    <w:tr2bl w:val="nil"/>
                  </w:tcBorders>
                  <w:vAlign w:val="center"/>
                </w:tcPr>
                <w:p w14:paraId="60A3A391">
                  <w:pPr>
                    <w:adjustRightInd w:val="0"/>
                    <w:snapToGrid w:val="0"/>
                    <w:jc w:val="center"/>
                    <w:rPr>
                      <w:b/>
                      <w:bCs/>
                      <w:color w:val="auto"/>
                      <w:sz w:val="18"/>
                      <w:szCs w:val="18"/>
                      <w:highlight w:val="none"/>
                    </w:rPr>
                  </w:pPr>
                </w:p>
              </w:tc>
            </w:tr>
            <w:tr w14:paraId="759DF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641" w:type="dxa"/>
                  <w:vMerge w:val="continue"/>
                  <w:tcBorders>
                    <w:tl2br w:val="nil"/>
                    <w:tr2bl w:val="nil"/>
                  </w:tcBorders>
                  <w:vAlign w:val="center"/>
                </w:tcPr>
                <w:p w14:paraId="4E088C3A">
                  <w:pPr>
                    <w:pStyle w:val="31"/>
                    <w:jc w:val="center"/>
                    <w:rPr>
                      <w:color w:val="auto"/>
                      <w:sz w:val="18"/>
                      <w:szCs w:val="18"/>
                      <w:highlight w:val="none"/>
                    </w:rPr>
                  </w:pPr>
                </w:p>
              </w:tc>
              <w:tc>
                <w:tcPr>
                  <w:tcW w:w="1107" w:type="dxa"/>
                  <w:tcBorders>
                    <w:tl2br w:val="nil"/>
                    <w:tr2bl w:val="nil"/>
                  </w:tcBorders>
                  <w:vAlign w:val="center"/>
                </w:tcPr>
                <w:p w14:paraId="5B5A9D00">
                  <w:pPr>
                    <w:pStyle w:val="31"/>
                    <w:jc w:val="center"/>
                    <w:rPr>
                      <w:color w:val="auto"/>
                      <w:sz w:val="18"/>
                      <w:szCs w:val="18"/>
                      <w:highlight w:val="none"/>
                    </w:rPr>
                  </w:pPr>
                  <w:r>
                    <w:rPr>
                      <w:rFonts w:ascii="Times New Roman" w:hAnsi="Times New Roman"/>
                      <w:color w:val="auto"/>
                      <w:sz w:val="18"/>
                      <w:szCs w:val="18"/>
                      <w:highlight w:val="none"/>
                    </w:rPr>
                    <w:t>砷mg/kg</w:t>
                  </w:r>
                </w:p>
              </w:tc>
              <w:tc>
                <w:tcPr>
                  <w:tcW w:w="1419" w:type="dxa"/>
                  <w:tcBorders>
                    <w:tl2br w:val="nil"/>
                    <w:tr2bl w:val="nil"/>
                  </w:tcBorders>
                  <w:vAlign w:val="center"/>
                </w:tcPr>
                <w:p w14:paraId="13E0052E">
                  <w:pPr>
                    <w:pStyle w:val="31"/>
                    <w:jc w:val="center"/>
                    <w:rPr>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40</w:t>
                  </w:r>
                </w:p>
              </w:tc>
              <w:tc>
                <w:tcPr>
                  <w:tcW w:w="3983" w:type="dxa"/>
                  <w:vMerge w:val="continue"/>
                  <w:tcBorders>
                    <w:tl2br w:val="nil"/>
                    <w:tr2bl w:val="nil"/>
                  </w:tcBorders>
                  <w:vAlign w:val="center"/>
                </w:tcPr>
                <w:p w14:paraId="01ED44A7">
                  <w:pPr>
                    <w:adjustRightInd w:val="0"/>
                    <w:snapToGrid w:val="0"/>
                    <w:jc w:val="center"/>
                    <w:rPr>
                      <w:color w:val="auto"/>
                      <w:sz w:val="18"/>
                      <w:szCs w:val="18"/>
                      <w:highlight w:val="none"/>
                    </w:rPr>
                  </w:pPr>
                </w:p>
              </w:tc>
            </w:tr>
            <w:tr w14:paraId="7A40B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46678290">
                  <w:pPr>
                    <w:pStyle w:val="31"/>
                    <w:jc w:val="center"/>
                    <w:rPr>
                      <w:color w:val="auto"/>
                      <w:sz w:val="18"/>
                      <w:szCs w:val="18"/>
                      <w:highlight w:val="none"/>
                    </w:rPr>
                  </w:pPr>
                </w:p>
              </w:tc>
              <w:tc>
                <w:tcPr>
                  <w:tcW w:w="1107" w:type="dxa"/>
                  <w:tcBorders>
                    <w:tl2br w:val="nil"/>
                    <w:tr2bl w:val="nil"/>
                  </w:tcBorders>
                  <w:vAlign w:val="center"/>
                </w:tcPr>
                <w:p w14:paraId="60BC693F">
                  <w:pPr>
                    <w:pStyle w:val="31"/>
                    <w:jc w:val="center"/>
                    <w:rPr>
                      <w:color w:val="auto"/>
                      <w:sz w:val="18"/>
                      <w:szCs w:val="18"/>
                      <w:highlight w:val="none"/>
                    </w:rPr>
                  </w:pPr>
                  <w:r>
                    <w:rPr>
                      <w:rFonts w:ascii="Times New Roman" w:hAnsi="Times New Roman"/>
                      <w:color w:val="auto"/>
                      <w:sz w:val="18"/>
                      <w:szCs w:val="18"/>
                      <w:highlight w:val="none"/>
                    </w:rPr>
                    <w:t>铅mg/kg</w:t>
                  </w:r>
                </w:p>
              </w:tc>
              <w:tc>
                <w:tcPr>
                  <w:tcW w:w="1419" w:type="dxa"/>
                  <w:tcBorders>
                    <w:tl2br w:val="nil"/>
                    <w:tr2bl w:val="nil"/>
                  </w:tcBorders>
                  <w:vAlign w:val="center"/>
                </w:tcPr>
                <w:p w14:paraId="555A8600">
                  <w:pPr>
                    <w:pStyle w:val="31"/>
                    <w:jc w:val="center"/>
                    <w:rPr>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70</w:t>
                  </w:r>
                </w:p>
              </w:tc>
              <w:tc>
                <w:tcPr>
                  <w:tcW w:w="3983" w:type="dxa"/>
                  <w:vMerge w:val="continue"/>
                  <w:tcBorders>
                    <w:tl2br w:val="nil"/>
                    <w:tr2bl w:val="nil"/>
                  </w:tcBorders>
                  <w:vAlign w:val="center"/>
                </w:tcPr>
                <w:p w14:paraId="583E0F9E">
                  <w:pPr>
                    <w:adjustRightInd w:val="0"/>
                    <w:snapToGrid w:val="0"/>
                    <w:jc w:val="center"/>
                    <w:rPr>
                      <w:b/>
                      <w:bCs/>
                      <w:color w:val="auto"/>
                      <w:sz w:val="18"/>
                      <w:szCs w:val="18"/>
                      <w:highlight w:val="none"/>
                    </w:rPr>
                  </w:pPr>
                </w:p>
              </w:tc>
            </w:tr>
            <w:tr w14:paraId="4EC68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41" w:type="dxa"/>
                  <w:vMerge w:val="continue"/>
                  <w:tcBorders>
                    <w:tl2br w:val="nil"/>
                    <w:tr2bl w:val="nil"/>
                  </w:tcBorders>
                  <w:vAlign w:val="center"/>
                </w:tcPr>
                <w:p w14:paraId="66F5CEFF">
                  <w:pPr>
                    <w:pStyle w:val="31"/>
                    <w:jc w:val="center"/>
                    <w:rPr>
                      <w:color w:val="auto"/>
                      <w:sz w:val="18"/>
                      <w:szCs w:val="18"/>
                      <w:highlight w:val="none"/>
                    </w:rPr>
                  </w:pPr>
                </w:p>
              </w:tc>
              <w:tc>
                <w:tcPr>
                  <w:tcW w:w="1107" w:type="dxa"/>
                  <w:tcBorders>
                    <w:tl2br w:val="nil"/>
                    <w:tr2bl w:val="nil"/>
                  </w:tcBorders>
                  <w:vAlign w:val="center"/>
                </w:tcPr>
                <w:p w14:paraId="7914AF7A">
                  <w:pPr>
                    <w:pStyle w:val="31"/>
                    <w:jc w:val="center"/>
                    <w:rPr>
                      <w:color w:val="auto"/>
                      <w:sz w:val="18"/>
                      <w:szCs w:val="18"/>
                      <w:highlight w:val="none"/>
                    </w:rPr>
                  </w:pPr>
                  <w:r>
                    <w:rPr>
                      <w:rFonts w:ascii="Times New Roman" w:hAnsi="Times New Roman"/>
                      <w:color w:val="auto"/>
                      <w:sz w:val="18"/>
                      <w:szCs w:val="18"/>
                      <w:highlight w:val="none"/>
                    </w:rPr>
                    <w:t>铬mg/kg</w:t>
                  </w:r>
                </w:p>
              </w:tc>
              <w:tc>
                <w:tcPr>
                  <w:tcW w:w="1419" w:type="dxa"/>
                  <w:tcBorders>
                    <w:tl2br w:val="nil"/>
                    <w:tr2bl w:val="nil"/>
                  </w:tcBorders>
                  <w:vAlign w:val="center"/>
                </w:tcPr>
                <w:p w14:paraId="53D9D080">
                  <w:pPr>
                    <w:pStyle w:val="31"/>
                    <w:jc w:val="center"/>
                    <w:rPr>
                      <w:color w:val="auto"/>
                      <w:sz w:val="18"/>
                      <w:szCs w:val="18"/>
                      <w:highlight w:val="none"/>
                    </w:rPr>
                  </w:pPr>
                  <w:r>
                    <w:rPr>
                      <w:rFonts w:ascii="Times New Roman" w:hAnsi="Times New Roman"/>
                      <w:color w:val="auto"/>
                      <w:kern w:val="0"/>
                      <w:sz w:val="18"/>
                      <w:szCs w:val="18"/>
                      <w:highlight w:val="none"/>
                    </w:rPr>
                    <w:t>≤</w:t>
                  </w:r>
                  <w:r>
                    <w:rPr>
                      <w:rFonts w:hint="eastAsia" w:ascii="Times New Roman" w:hAnsi="Times New Roman"/>
                      <w:color w:val="auto"/>
                      <w:kern w:val="0"/>
                      <w:sz w:val="18"/>
                      <w:szCs w:val="18"/>
                      <w:highlight w:val="none"/>
                    </w:rPr>
                    <w:t>250</w:t>
                  </w:r>
                </w:p>
              </w:tc>
              <w:tc>
                <w:tcPr>
                  <w:tcW w:w="3983" w:type="dxa"/>
                  <w:vMerge w:val="continue"/>
                  <w:tcBorders>
                    <w:tl2br w:val="nil"/>
                    <w:tr2bl w:val="nil"/>
                  </w:tcBorders>
                  <w:vAlign w:val="center"/>
                </w:tcPr>
                <w:p w14:paraId="77A626F9">
                  <w:pPr>
                    <w:adjustRightInd w:val="0"/>
                    <w:snapToGrid w:val="0"/>
                    <w:jc w:val="center"/>
                    <w:rPr>
                      <w:b/>
                      <w:bCs/>
                      <w:color w:val="auto"/>
                      <w:sz w:val="18"/>
                      <w:szCs w:val="18"/>
                      <w:highlight w:val="none"/>
                    </w:rPr>
                  </w:pPr>
                </w:p>
              </w:tc>
            </w:tr>
          </w:tbl>
          <w:p w14:paraId="7901D042">
            <w:pPr>
              <w:adjustRightInd w:val="0"/>
              <w:spacing w:line="360" w:lineRule="auto"/>
              <w:rPr>
                <w:b/>
                <w:bCs/>
                <w:color w:val="auto"/>
                <w:szCs w:val="21"/>
                <w:highlight w:val="none"/>
              </w:rPr>
            </w:pPr>
            <w:r>
              <w:rPr>
                <w:rFonts w:hint="eastAsia"/>
                <w:b/>
                <w:bCs/>
                <w:color w:val="auto"/>
                <w:szCs w:val="21"/>
                <w:highlight w:val="none"/>
              </w:rPr>
              <w:t>6、物料平衡</w:t>
            </w:r>
          </w:p>
          <w:p w14:paraId="64AD2860">
            <w:pPr>
              <w:widowControl/>
              <w:ind w:firstLine="420" w:firstLineChars="200"/>
              <w:jc w:val="left"/>
              <w:rPr>
                <w:rFonts w:ascii="宋体" w:hAnsi="宋体" w:cs="宋体"/>
                <w:color w:val="auto"/>
                <w:kern w:val="0"/>
                <w:szCs w:val="21"/>
                <w:highlight w:val="none"/>
              </w:rPr>
            </w:pPr>
            <w:r>
              <w:rPr>
                <w:rFonts w:hint="eastAsia" w:ascii="宋体" w:hAnsi="宋体" w:cs="宋体"/>
                <w:color w:val="auto"/>
                <w:kern w:val="0"/>
                <w:szCs w:val="21"/>
                <w:highlight w:val="none"/>
              </w:rPr>
              <w:t>本项目各工序物料平衡见下表。</w:t>
            </w:r>
          </w:p>
          <w:p w14:paraId="2CE63FFB">
            <w:pPr>
              <w:adjustRightInd w:val="0"/>
              <w:snapToGrid w:val="0"/>
              <w:jc w:val="center"/>
              <w:rPr>
                <w:rFonts w:ascii="宋体" w:hAnsi="宋体" w:cs="宋体"/>
                <w:color w:val="auto"/>
                <w:kern w:val="0"/>
                <w:szCs w:val="21"/>
                <w:highlight w:val="none"/>
              </w:rPr>
            </w:pPr>
            <w:r>
              <w:rPr>
                <w:rFonts w:hint="eastAsia"/>
                <w:b/>
                <w:bCs/>
                <w:color w:val="auto"/>
                <w:szCs w:val="21"/>
                <w:highlight w:val="none"/>
              </w:rPr>
              <w:t>表2-13 煤泥浮选物料平衡表</w:t>
            </w:r>
          </w:p>
          <w:tbl>
            <w:tblPr>
              <w:tblStyle w:val="23"/>
              <w:tblW w:w="813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2444"/>
              <w:gridCol w:w="1334"/>
              <w:gridCol w:w="1890"/>
              <w:gridCol w:w="1689"/>
            </w:tblGrid>
            <w:tr w14:paraId="4CAE5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778" w:type="dxa"/>
                  <w:vMerge w:val="restart"/>
                  <w:tcBorders>
                    <w:tl2br w:val="nil"/>
                    <w:tr2bl w:val="nil"/>
                  </w:tcBorders>
                  <w:vAlign w:val="center"/>
                </w:tcPr>
                <w:p w14:paraId="74140FB1">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序号</w:t>
                  </w:r>
                </w:p>
              </w:tc>
              <w:tc>
                <w:tcPr>
                  <w:tcW w:w="3778" w:type="dxa"/>
                  <w:gridSpan w:val="2"/>
                  <w:tcBorders>
                    <w:tl2br w:val="nil"/>
                    <w:tr2bl w:val="nil"/>
                  </w:tcBorders>
                  <w:vAlign w:val="center"/>
                </w:tcPr>
                <w:p w14:paraId="6318B9E0">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输入系统物料</w:t>
                  </w:r>
                </w:p>
              </w:tc>
              <w:tc>
                <w:tcPr>
                  <w:tcW w:w="3579" w:type="dxa"/>
                  <w:gridSpan w:val="2"/>
                  <w:tcBorders>
                    <w:tl2br w:val="nil"/>
                    <w:tr2bl w:val="nil"/>
                  </w:tcBorders>
                  <w:vAlign w:val="center"/>
                </w:tcPr>
                <w:p w14:paraId="444B9927">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产出物料</w:t>
                  </w:r>
                </w:p>
              </w:tc>
            </w:tr>
            <w:tr w14:paraId="52DB0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vMerge w:val="continue"/>
                  <w:tcBorders>
                    <w:tl2br w:val="nil"/>
                    <w:tr2bl w:val="nil"/>
                  </w:tcBorders>
                  <w:vAlign w:val="center"/>
                </w:tcPr>
                <w:p w14:paraId="6458AD89">
                  <w:pPr>
                    <w:adjustRightInd w:val="0"/>
                    <w:snapToGrid w:val="0"/>
                    <w:jc w:val="center"/>
                    <w:rPr>
                      <w:color w:val="auto"/>
                      <w:sz w:val="18"/>
                      <w:szCs w:val="18"/>
                      <w:highlight w:val="none"/>
                    </w:rPr>
                  </w:pPr>
                </w:p>
              </w:tc>
              <w:tc>
                <w:tcPr>
                  <w:tcW w:w="2444" w:type="dxa"/>
                  <w:tcBorders>
                    <w:tl2br w:val="nil"/>
                    <w:tr2bl w:val="nil"/>
                  </w:tcBorders>
                  <w:vAlign w:val="center"/>
                </w:tcPr>
                <w:p w14:paraId="62DFE036">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名称</w:t>
                  </w:r>
                </w:p>
              </w:tc>
              <w:tc>
                <w:tcPr>
                  <w:tcW w:w="1334" w:type="dxa"/>
                  <w:tcBorders>
                    <w:tl2br w:val="nil"/>
                    <w:tr2bl w:val="nil"/>
                  </w:tcBorders>
                  <w:vAlign w:val="center"/>
                </w:tcPr>
                <w:p w14:paraId="692416A9">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消耗量（</w:t>
                  </w:r>
                  <w:r>
                    <w:rPr>
                      <w:color w:val="auto"/>
                      <w:kern w:val="0"/>
                      <w:sz w:val="18"/>
                      <w:szCs w:val="18"/>
                      <w:highlight w:val="none"/>
                    </w:rPr>
                    <w:t>t/a</w:t>
                  </w:r>
                  <w:r>
                    <w:rPr>
                      <w:rFonts w:hint="eastAsia" w:ascii="宋体" w:hAnsi="宋体" w:cs="宋体"/>
                      <w:color w:val="auto"/>
                      <w:kern w:val="0"/>
                      <w:sz w:val="18"/>
                      <w:szCs w:val="18"/>
                      <w:highlight w:val="none"/>
                    </w:rPr>
                    <w:t>）</w:t>
                  </w:r>
                </w:p>
              </w:tc>
              <w:tc>
                <w:tcPr>
                  <w:tcW w:w="1890" w:type="dxa"/>
                  <w:tcBorders>
                    <w:tl2br w:val="nil"/>
                    <w:tr2bl w:val="nil"/>
                  </w:tcBorders>
                  <w:vAlign w:val="center"/>
                </w:tcPr>
                <w:p w14:paraId="506D5E30">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名称</w:t>
                  </w:r>
                </w:p>
              </w:tc>
              <w:tc>
                <w:tcPr>
                  <w:tcW w:w="1689" w:type="dxa"/>
                  <w:tcBorders>
                    <w:tl2br w:val="nil"/>
                    <w:tr2bl w:val="nil"/>
                  </w:tcBorders>
                  <w:vAlign w:val="center"/>
                </w:tcPr>
                <w:p w14:paraId="5FE0E562">
                  <w:pPr>
                    <w:widowControl/>
                    <w:adjustRightInd w:val="0"/>
                    <w:snapToGrid w:val="0"/>
                    <w:jc w:val="center"/>
                    <w:rPr>
                      <w:color w:val="auto"/>
                      <w:sz w:val="18"/>
                      <w:szCs w:val="18"/>
                      <w:highlight w:val="none"/>
                    </w:rPr>
                  </w:pPr>
                  <w:r>
                    <w:rPr>
                      <w:rFonts w:hint="eastAsia" w:ascii="宋体" w:hAnsi="宋体" w:cs="宋体"/>
                      <w:color w:val="auto"/>
                      <w:kern w:val="0"/>
                      <w:sz w:val="18"/>
                      <w:szCs w:val="18"/>
                      <w:highlight w:val="none"/>
                    </w:rPr>
                    <w:t>产生量（</w:t>
                  </w:r>
                  <w:r>
                    <w:rPr>
                      <w:color w:val="auto"/>
                      <w:kern w:val="0"/>
                      <w:sz w:val="18"/>
                      <w:szCs w:val="18"/>
                      <w:highlight w:val="none"/>
                    </w:rPr>
                    <w:t>t/a</w:t>
                  </w:r>
                  <w:r>
                    <w:rPr>
                      <w:rFonts w:hint="eastAsia" w:ascii="宋体" w:hAnsi="宋体" w:cs="宋体"/>
                      <w:color w:val="auto"/>
                      <w:kern w:val="0"/>
                      <w:sz w:val="18"/>
                      <w:szCs w:val="18"/>
                      <w:highlight w:val="none"/>
                    </w:rPr>
                    <w:t>）</w:t>
                  </w:r>
                </w:p>
              </w:tc>
            </w:tr>
            <w:tr w14:paraId="6A86F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522D939E">
                  <w:pPr>
                    <w:adjustRightInd w:val="0"/>
                    <w:snapToGrid w:val="0"/>
                    <w:jc w:val="center"/>
                    <w:rPr>
                      <w:color w:val="auto"/>
                      <w:sz w:val="18"/>
                      <w:szCs w:val="18"/>
                      <w:highlight w:val="none"/>
                    </w:rPr>
                  </w:pPr>
                  <w:r>
                    <w:rPr>
                      <w:rFonts w:hint="eastAsia"/>
                      <w:color w:val="auto"/>
                      <w:sz w:val="18"/>
                      <w:szCs w:val="18"/>
                      <w:highlight w:val="none"/>
                    </w:rPr>
                    <w:t>1</w:t>
                  </w:r>
                </w:p>
              </w:tc>
              <w:tc>
                <w:tcPr>
                  <w:tcW w:w="2444" w:type="dxa"/>
                  <w:vMerge w:val="restart"/>
                  <w:tcBorders>
                    <w:tl2br w:val="nil"/>
                    <w:tr2bl w:val="nil"/>
                  </w:tcBorders>
                  <w:vAlign w:val="center"/>
                </w:tcPr>
                <w:p w14:paraId="6BEB4097">
                  <w:pPr>
                    <w:adjustRightInd w:val="0"/>
                    <w:snapToGrid w:val="0"/>
                    <w:jc w:val="center"/>
                    <w:rPr>
                      <w:color w:val="auto"/>
                      <w:sz w:val="18"/>
                      <w:szCs w:val="18"/>
                      <w:highlight w:val="none"/>
                    </w:rPr>
                  </w:pPr>
                  <w:r>
                    <w:rPr>
                      <w:rFonts w:hint="eastAsia"/>
                      <w:color w:val="auto"/>
                      <w:sz w:val="18"/>
                      <w:szCs w:val="18"/>
                      <w:highlight w:val="none"/>
                    </w:rPr>
                    <w:t>煤泥（含水率</w:t>
                  </w:r>
                  <w:r>
                    <w:rPr>
                      <w:rFonts w:hint="eastAsia"/>
                      <w:color w:val="auto"/>
                      <w:sz w:val="18"/>
                      <w:szCs w:val="18"/>
                      <w:highlight w:val="none"/>
                      <w:lang w:val="en-US" w:eastAsia="zh-CN"/>
                    </w:rPr>
                    <w:t>27.83</w:t>
                  </w:r>
                  <w:r>
                    <w:rPr>
                      <w:rFonts w:hint="eastAsia"/>
                      <w:color w:val="auto"/>
                      <w:sz w:val="18"/>
                      <w:szCs w:val="18"/>
                      <w:highlight w:val="none"/>
                    </w:rPr>
                    <w:t>%）</w:t>
                  </w:r>
                </w:p>
              </w:tc>
              <w:tc>
                <w:tcPr>
                  <w:tcW w:w="1334" w:type="dxa"/>
                  <w:vMerge w:val="restart"/>
                  <w:tcBorders>
                    <w:tl2br w:val="nil"/>
                    <w:tr2bl w:val="nil"/>
                  </w:tcBorders>
                  <w:vAlign w:val="center"/>
                </w:tcPr>
                <w:p w14:paraId="543E6C9F">
                  <w:pPr>
                    <w:adjustRightInd w:val="0"/>
                    <w:snapToGrid w:val="0"/>
                    <w:jc w:val="center"/>
                    <w:rPr>
                      <w:color w:val="auto"/>
                      <w:sz w:val="18"/>
                      <w:szCs w:val="18"/>
                      <w:highlight w:val="none"/>
                    </w:rPr>
                  </w:pPr>
                  <w:r>
                    <w:rPr>
                      <w:rFonts w:hint="eastAsia"/>
                      <w:color w:val="auto"/>
                      <w:sz w:val="18"/>
                      <w:szCs w:val="18"/>
                      <w:highlight w:val="none"/>
                    </w:rPr>
                    <w:t>200000</w:t>
                  </w:r>
                </w:p>
              </w:tc>
              <w:tc>
                <w:tcPr>
                  <w:tcW w:w="1890" w:type="dxa"/>
                  <w:tcBorders>
                    <w:tl2br w:val="nil"/>
                    <w:tr2bl w:val="nil"/>
                  </w:tcBorders>
                  <w:vAlign w:val="center"/>
                </w:tcPr>
                <w:p w14:paraId="2AD1A51E">
                  <w:pPr>
                    <w:adjustRightInd w:val="0"/>
                    <w:snapToGrid w:val="0"/>
                    <w:jc w:val="center"/>
                    <w:rPr>
                      <w:color w:val="auto"/>
                      <w:sz w:val="18"/>
                      <w:szCs w:val="18"/>
                      <w:highlight w:val="none"/>
                    </w:rPr>
                  </w:pPr>
                  <w:r>
                    <w:rPr>
                      <w:rFonts w:hint="eastAsia"/>
                      <w:color w:val="auto"/>
                      <w:sz w:val="18"/>
                      <w:szCs w:val="18"/>
                      <w:highlight w:val="none"/>
                    </w:rPr>
                    <w:t>精煤</w:t>
                  </w:r>
                </w:p>
              </w:tc>
              <w:tc>
                <w:tcPr>
                  <w:tcW w:w="1689" w:type="dxa"/>
                  <w:tcBorders>
                    <w:tl2br w:val="nil"/>
                    <w:tr2bl w:val="nil"/>
                  </w:tcBorders>
                  <w:vAlign w:val="center"/>
                </w:tcPr>
                <w:p w14:paraId="6B1409FD">
                  <w:pPr>
                    <w:adjustRightInd w:val="0"/>
                    <w:snapToGrid w:val="0"/>
                    <w:jc w:val="center"/>
                    <w:rPr>
                      <w:color w:val="auto"/>
                      <w:sz w:val="18"/>
                      <w:szCs w:val="18"/>
                      <w:highlight w:val="none"/>
                    </w:rPr>
                  </w:pPr>
                  <w:r>
                    <w:rPr>
                      <w:rFonts w:hint="eastAsia"/>
                      <w:color w:val="auto"/>
                      <w:sz w:val="18"/>
                      <w:szCs w:val="18"/>
                      <w:highlight w:val="none"/>
                    </w:rPr>
                    <w:t>15000</w:t>
                  </w:r>
                </w:p>
              </w:tc>
            </w:tr>
            <w:tr w14:paraId="08A3D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2FEBE403">
                  <w:pPr>
                    <w:adjustRightInd w:val="0"/>
                    <w:snapToGrid w:val="0"/>
                    <w:jc w:val="center"/>
                    <w:rPr>
                      <w:color w:val="auto"/>
                      <w:sz w:val="18"/>
                      <w:szCs w:val="18"/>
                      <w:highlight w:val="none"/>
                    </w:rPr>
                  </w:pPr>
                  <w:r>
                    <w:rPr>
                      <w:rFonts w:hint="eastAsia"/>
                      <w:color w:val="auto"/>
                      <w:sz w:val="18"/>
                      <w:szCs w:val="18"/>
                      <w:highlight w:val="none"/>
                    </w:rPr>
                    <w:t>2</w:t>
                  </w:r>
                </w:p>
              </w:tc>
              <w:tc>
                <w:tcPr>
                  <w:tcW w:w="2444" w:type="dxa"/>
                  <w:vMerge w:val="continue"/>
                  <w:tcBorders>
                    <w:tl2br w:val="nil"/>
                    <w:tr2bl w:val="nil"/>
                  </w:tcBorders>
                  <w:vAlign w:val="center"/>
                </w:tcPr>
                <w:p w14:paraId="1EAACE3C">
                  <w:pPr>
                    <w:adjustRightInd w:val="0"/>
                    <w:snapToGrid w:val="0"/>
                    <w:jc w:val="center"/>
                    <w:rPr>
                      <w:color w:val="auto"/>
                      <w:sz w:val="18"/>
                      <w:szCs w:val="18"/>
                      <w:highlight w:val="none"/>
                    </w:rPr>
                  </w:pPr>
                </w:p>
              </w:tc>
              <w:tc>
                <w:tcPr>
                  <w:tcW w:w="1334" w:type="dxa"/>
                  <w:vMerge w:val="continue"/>
                  <w:tcBorders>
                    <w:tl2br w:val="nil"/>
                    <w:tr2bl w:val="nil"/>
                  </w:tcBorders>
                  <w:vAlign w:val="center"/>
                </w:tcPr>
                <w:p w14:paraId="3702E4C0">
                  <w:pPr>
                    <w:adjustRightInd w:val="0"/>
                    <w:snapToGrid w:val="0"/>
                    <w:jc w:val="center"/>
                    <w:rPr>
                      <w:color w:val="auto"/>
                      <w:sz w:val="18"/>
                      <w:szCs w:val="18"/>
                      <w:highlight w:val="none"/>
                    </w:rPr>
                  </w:pPr>
                </w:p>
              </w:tc>
              <w:tc>
                <w:tcPr>
                  <w:tcW w:w="1890" w:type="dxa"/>
                  <w:tcBorders>
                    <w:tl2br w:val="nil"/>
                    <w:tr2bl w:val="nil"/>
                  </w:tcBorders>
                  <w:vAlign w:val="center"/>
                </w:tcPr>
                <w:p w14:paraId="6C52F6BB">
                  <w:pPr>
                    <w:adjustRightInd w:val="0"/>
                    <w:snapToGrid w:val="0"/>
                    <w:jc w:val="center"/>
                    <w:rPr>
                      <w:color w:val="auto"/>
                      <w:sz w:val="18"/>
                      <w:szCs w:val="18"/>
                      <w:highlight w:val="none"/>
                    </w:rPr>
                  </w:pPr>
                  <w:r>
                    <w:rPr>
                      <w:rFonts w:hint="eastAsia"/>
                      <w:color w:val="auto"/>
                      <w:sz w:val="18"/>
                      <w:szCs w:val="18"/>
                      <w:highlight w:val="none"/>
                    </w:rPr>
                    <w:t>中煤</w:t>
                  </w:r>
                </w:p>
              </w:tc>
              <w:tc>
                <w:tcPr>
                  <w:tcW w:w="1689" w:type="dxa"/>
                  <w:tcBorders>
                    <w:tl2br w:val="nil"/>
                    <w:tr2bl w:val="nil"/>
                  </w:tcBorders>
                  <w:vAlign w:val="center"/>
                </w:tcPr>
                <w:p w14:paraId="4DD646D3">
                  <w:pPr>
                    <w:adjustRightInd w:val="0"/>
                    <w:snapToGrid w:val="0"/>
                    <w:jc w:val="center"/>
                    <w:rPr>
                      <w:color w:val="auto"/>
                      <w:sz w:val="18"/>
                      <w:szCs w:val="18"/>
                      <w:highlight w:val="none"/>
                    </w:rPr>
                  </w:pPr>
                  <w:r>
                    <w:rPr>
                      <w:rFonts w:hint="eastAsia"/>
                      <w:color w:val="auto"/>
                      <w:sz w:val="18"/>
                      <w:szCs w:val="18"/>
                      <w:highlight w:val="none"/>
                    </w:rPr>
                    <w:t>7000</w:t>
                  </w:r>
                </w:p>
              </w:tc>
            </w:tr>
            <w:tr w14:paraId="092B1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138A543E">
                  <w:pPr>
                    <w:adjustRightInd w:val="0"/>
                    <w:snapToGrid w:val="0"/>
                    <w:jc w:val="center"/>
                    <w:rPr>
                      <w:color w:val="auto"/>
                      <w:sz w:val="18"/>
                      <w:szCs w:val="18"/>
                      <w:highlight w:val="none"/>
                    </w:rPr>
                  </w:pPr>
                  <w:r>
                    <w:rPr>
                      <w:rFonts w:hint="eastAsia"/>
                      <w:color w:val="auto"/>
                      <w:sz w:val="18"/>
                      <w:szCs w:val="18"/>
                      <w:highlight w:val="none"/>
                    </w:rPr>
                    <w:t>3</w:t>
                  </w:r>
                </w:p>
              </w:tc>
              <w:tc>
                <w:tcPr>
                  <w:tcW w:w="2444" w:type="dxa"/>
                  <w:vMerge w:val="continue"/>
                  <w:tcBorders>
                    <w:tl2br w:val="nil"/>
                    <w:tr2bl w:val="nil"/>
                  </w:tcBorders>
                  <w:vAlign w:val="center"/>
                </w:tcPr>
                <w:p w14:paraId="523E90D6">
                  <w:pPr>
                    <w:adjustRightInd w:val="0"/>
                    <w:snapToGrid w:val="0"/>
                    <w:jc w:val="center"/>
                    <w:rPr>
                      <w:color w:val="auto"/>
                      <w:sz w:val="18"/>
                      <w:szCs w:val="18"/>
                      <w:highlight w:val="none"/>
                    </w:rPr>
                  </w:pPr>
                </w:p>
              </w:tc>
              <w:tc>
                <w:tcPr>
                  <w:tcW w:w="1334" w:type="dxa"/>
                  <w:vMerge w:val="continue"/>
                  <w:tcBorders>
                    <w:tl2br w:val="nil"/>
                    <w:tr2bl w:val="nil"/>
                  </w:tcBorders>
                  <w:vAlign w:val="center"/>
                </w:tcPr>
                <w:p w14:paraId="39447141">
                  <w:pPr>
                    <w:adjustRightInd w:val="0"/>
                    <w:snapToGrid w:val="0"/>
                    <w:jc w:val="center"/>
                    <w:rPr>
                      <w:color w:val="auto"/>
                      <w:sz w:val="18"/>
                      <w:szCs w:val="18"/>
                      <w:highlight w:val="none"/>
                    </w:rPr>
                  </w:pPr>
                </w:p>
              </w:tc>
              <w:tc>
                <w:tcPr>
                  <w:tcW w:w="1890" w:type="dxa"/>
                  <w:tcBorders>
                    <w:tl2br w:val="nil"/>
                    <w:tr2bl w:val="nil"/>
                  </w:tcBorders>
                  <w:vAlign w:val="center"/>
                </w:tcPr>
                <w:p w14:paraId="0A266B33">
                  <w:pPr>
                    <w:adjustRightInd w:val="0"/>
                    <w:snapToGrid w:val="0"/>
                    <w:jc w:val="center"/>
                    <w:rPr>
                      <w:color w:val="auto"/>
                      <w:sz w:val="18"/>
                      <w:szCs w:val="18"/>
                      <w:highlight w:val="none"/>
                    </w:rPr>
                  </w:pPr>
                  <w:r>
                    <w:rPr>
                      <w:rFonts w:hint="eastAsia"/>
                      <w:color w:val="auto"/>
                      <w:sz w:val="18"/>
                      <w:szCs w:val="18"/>
                      <w:highlight w:val="none"/>
                    </w:rPr>
                    <w:t>尾矿泥</w:t>
                  </w:r>
                </w:p>
              </w:tc>
              <w:tc>
                <w:tcPr>
                  <w:tcW w:w="1689" w:type="dxa"/>
                  <w:tcBorders>
                    <w:tl2br w:val="nil"/>
                    <w:tr2bl w:val="nil"/>
                  </w:tcBorders>
                  <w:vAlign w:val="center"/>
                </w:tcPr>
                <w:p w14:paraId="252703C4">
                  <w:pPr>
                    <w:adjustRightInd w:val="0"/>
                    <w:snapToGrid w:val="0"/>
                    <w:jc w:val="center"/>
                    <w:rPr>
                      <w:color w:val="auto"/>
                      <w:sz w:val="18"/>
                      <w:szCs w:val="18"/>
                      <w:highlight w:val="none"/>
                    </w:rPr>
                  </w:pPr>
                  <w:r>
                    <w:rPr>
                      <w:rFonts w:hint="eastAsia"/>
                      <w:color w:val="auto"/>
                      <w:sz w:val="18"/>
                      <w:szCs w:val="18"/>
                      <w:highlight w:val="none"/>
                    </w:rPr>
                    <w:t>178000</w:t>
                  </w:r>
                </w:p>
              </w:tc>
            </w:tr>
            <w:tr w14:paraId="2997C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78" w:type="dxa"/>
                  <w:tcBorders>
                    <w:tl2br w:val="nil"/>
                    <w:tr2bl w:val="nil"/>
                  </w:tcBorders>
                  <w:vAlign w:val="center"/>
                </w:tcPr>
                <w:p w14:paraId="0B7BE12B">
                  <w:pPr>
                    <w:adjustRightInd w:val="0"/>
                    <w:snapToGrid w:val="0"/>
                    <w:jc w:val="center"/>
                    <w:rPr>
                      <w:color w:val="auto"/>
                      <w:sz w:val="18"/>
                      <w:szCs w:val="18"/>
                      <w:highlight w:val="none"/>
                    </w:rPr>
                  </w:pPr>
                  <w:r>
                    <w:rPr>
                      <w:rFonts w:hint="eastAsia"/>
                      <w:color w:val="auto"/>
                      <w:sz w:val="18"/>
                      <w:szCs w:val="18"/>
                      <w:highlight w:val="none"/>
                    </w:rPr>
                    <w:t>4</w:t>
                  </w:r>
                </w:p>
              </w:tc>
              <w:tc>
                <w:tcPr>
                  <w:tcW w:w="2444" w:type="dxa"/>
                  <w:tcBorders>
                    <w:tl2br w:val="nil"/>
                    <w:tr2bl w:val="nil"/>
                  </w:tcBorders>
                  <w:vAlign w:val="center"/>
                </w:tcPr>
                <w:p w14:paraId="53526558">
                  <w:pPr>
                    <w:adjustRightInd w:val="0"/>
                    <w:snapToGrid w:val="0"/>
                    <w:jc w:val="center"/>
                    <w:rPr>
                      <w:color w:val="auto"/>
                      <w:sz w:val="18"/>
                      <w:szCs w:val="18"/>
                      <w:highlight w:val="none"/>
                    </w:rPr>
                  </w:pPr>
                  <w:r>
                    <w:rPr>
                      <w:rFonts w:hint="eastAsia"/>
                      <w:color w:val="auto"/>
                      <w:sz w:val="18"/>
                      <w:szCs w:val="18"/>
                      <w:highlight w:val="none"/>
                    </w:rPr>
                    <w:t>捕收剂</w:t>
                  </w:r>
                </w:p>
              </w:tc>
              <w:tc>
                <w:tcPr>
                  <w:tcW w:w="1334" w:type="dxa"/>
                  <w:tcBorders>
                    <w:tl2br w:val="nil"/>
                    <w:tr2bl w:val="nil"/>
                  </w:tcBorders>
                  <w:vAlign w:val="center"/>
                </w:tcPr>
                <w:p w14:paraId="5630709A">
                  <w:pPr>
                    <w:adjustRightInd w:val="0"/>
                    <w:snapToGrid w:val="0"/>
                    <w:jc w:val="center"/>
                    <w:rPr>
                      <w:color w:val="auto"/>
                      <w:sz w:val="18"/>
                      <w:szCs w:val="18"/>
                      <w:highlight w:val="none"/>
                    </w:rPr>
                  </w:pPr>
                  <w:r>
                    <w:rPr>
                      <w:rFonts w:hint="eastAsia"/>
                      <w:color w:val="auto"/>
                      <w:sz w:val="18"/>
                      <w:szCs w:val="18"/>
                      <w:highlight w:val="none"/>
                    </w:rPr>
                    <w:t>160</w:t>
                  </w:r>
                </w:p>
              </w:tc>
              <w:tc>
                <w:tcPr>
                  <w:tcW w:w="1890" w:type="dxa"/>
                  <w:tcBorders>
                    <w:tl2br w:val="nil"/>
                    <w:tr2bl w:val="nil"/>
                  </w:tcBorders>
                  <w:vAlign w:val="center"/>
                </w:tcPr>
                <w:p w14:paraId="0B44720B">
                  <w:pPr>
                    <w:adjustRightInd w:val="0"/>
                    <w:snapToGrid w:val="0"/>
                    <w:jc w:val="center"/>
                    <w:rPr>
                      <w:color w:val="auto"/>
                      <w:sz w:val="18"/>
                      <w:szCs w:val="18"/>
                      <w:highlight w:val="none"/>
                    </w:rPr>
                  </w:pPr>
                  <w:r>
                    <w:rPr>
                      <w:rFonts w:hint="eastAsia"/>
                      <w:color w:val="auto"/>
                      <w:sz w:val="18"/>
                      <w:szCs w:val="18"/>
                      <w:highlight w:val="none"/>
                    </w:rPr>
                    <w:t>蒸发消耗进入废水</w:t>
                  </w:r>
                </w:p>
              </w:tc>
              <w:tc>
                <w:tcPr>
                  <w:tcW w:w="1689" w:type="dxa"/>
                  <w:tcBorders>
                    <w:tl2br w:val="nil"/>
                    <w:tr2bl w:val="nil"/>
                  </w:tcBorders>
                  <w:vAlign w:val="center"/>
                </w:tcPr>
                <w:p w14:paraId="7366C077">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239.751</w:t>
                  </w:r>
                </w:p>
              </w:tc>
            </w:tr>
            <w:tr w14:paraId="51EE7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34E7617E">
                  <w:pPr>
                    <w:adjustRightInd w:val="0"/>
                    <w:snapToGrid w:val="0"/>
                    <w:jc w:val="center"/>
                    <w:rPr>
                      <w:color w:val="auto"/>
                      <w:sz w:val="18"/>
                      <w:szCs w:val="18"/>
                      <w:highlight w:val="none"/>
                    </w:rPr>
                  </w:pPr>
                  <w:r>
                    <w:rPr>
                      <w:rFonts w:hint="eastAsia"/>
                      <w:color w:val="auto"/>
                      <w:sz w:val="18"/>
                      <w:szCs w:val="18"/>
                      <w:highlight w:val="none"/>
                    </w:rPr>
                    <w:t>5</w:t>
                  </w:r>
                </w:p>
              </w:tc>
              <w:tc>
                <w:tcPr>
                  <w:tcW w:w="2444" w:type="dxa"/>
                  <w:tcBorders>
                    <w:tl2br w:val="nil"/>
                    <w:tr2bl w:val="nil"/>
                  </w:tcBorders>
                  <w:vAlign w:val="center"/>
                </w:tcPr>
                <w:p w14:paraId="40361664">
                  <w:pPr>
                    <w:adjustRightInd w:val="0"/>
                    <w:snapToGrid w:val="0"/>
                    <w:jc w:val="center"/>
                    <w:rPr>
                      <w:color w:val="auto"/>
                      <w:sz w:val="18"/>
                      <w:szCs w:val="18"/>
                      <w:highlight w:val="none"/>
                    </w:rPr>
                  </w:pPr>
                  <w:r>
                    <w:rPr>
                      <w:rFonts w:hint="eastAsia"/>
                      <w:color w:val="auto"/>
                      <w:sz w:val="18"/>
                      <w:szCs w:val="18"/>
                      <w:highlight w:val="none"/>
                    </w:rPr>
                    <w:t>起泡剂</w:t>
                  </w:r>
                </w:p>
              </w:tc>
              <w:tc>
                <w:tcPr>
                  <w:tcW w:w="1334" w:type="dxa"/>
                  <w:tcBorders>
                    <w:tl2br w:val="nil"/>
                    <w:tr2bl w:val="nil"/>
                  </w:tcBorders>
                  <w:vAlign w:val="center"/>
                </w:tcPr>
                <w:p w14:paraId="31131F66">
                  <w:pPr>
                    <w:adjustRightInd w:val="0"/>
                    <w:snapToGrid w:val="0"/>
                    <w:jc w:val="center"/>
                    <w:rPr>
                      <w:color w:val="auto"/>
                      <w:sz w:val="18"/>
                      <w:szCs w:val="18"/>
                      <w:highlight w:val="none"/>
                    </w:rPr>
                  </w:pPr>
                  <w:r>
                    <w:rPr>
                      <w:rFonts w:hint="eastAsia"/>
                      <w:color w:val="auto"/>
                      <w:sz w:val="18"/>
                      <w:szCs w:val="18"/>
                      <w:highlight w:val="none"/>
                    </w:rPr>
                    <w:t>80</w:t>
                  </w:r>
                </w:p>
              </w:tc>
              <w:tc>
                <w:tcPr>
                  <w:tcW w:w="1890" w:type="dxa"/>
                  <w:tcBorders>
                    <w:tl2br w:val="nil"/>
                    <w:tr2bl w:val="nil"/>
                  </w:tcBorders>
                  <w:vAlign w:val="center"/>
                </w:tcPr>
                <w:p w14:paraId="28F03BA9">
                  <w:pPr>
                    <w:adjustRightInd w:val="0"/>
                    <w:snapToGrid w:val="0"/>
                    <w:jc w:val="center"/>
                    <w:rPr>
                      <w:color w:val="auto"/>
                      <w:sz w:val="18"/>
                      <w:szCs w:val="18"/>
                      <w:highlight w:val="none"/>
                    </w:rPr>
                  </w:pPr>
                  <w:r>
                    <w:rPr>
                      <w:rFonts w:hint="eastAsia"/>
                      <w:color w:val="auto"/>
                      <w:sz w:val="18"/>
                      <w:szCs w:val="18"/>
                      <w:highlight w:val="none"/>
                    </w:rPr>
                    <w:t>扬尘产生量</w:t>
                  </w:r>
                </w:p>
              </w:tc>
              <w:tc>
                <w:tcPr>
                  <w:tcW w:w="1689" w:type="dxa"/>
                  <w:tcBorders>
                    <w:tl2br w:val="nil"/>
                    <w:tr2bl w:val="nil"/>
                  </w:tcBorders>
                  <w:vAlign w:val="center"/>
                </w:tcPr>
                <w:p w14:paraId="05EABB89">
                  <w:pPr>
                    <w:adjustRightInd w:val="0"/>
                    <w:snapToGrid w:val="0"/>
                    <w:jc w:val="center"/>
                    <w:rPr>
                      <w:color w:val="auto"/>
                      <w:sz w:val="18"/>
                      <w:szCs w:val="18"/>
                      <w:highlight w:val="none"/>
                    </w:rPr>
                  </w:pPr>
                  <w:r>
                    <w:rPr>
                      <w:rFonts w:hint="eastAsia"/>
                      <w:color w:val="auto"/>
                      <w:sz w:val="18"/>
                      <w:szCs w:val="18"/>
                      <w:highlight w:val="none"/>
                    </w:rPr>
                    <w:t>0.225</w:t>
                  </w:r>
                </w:p>
              </w:tc>
            </w:tr>
            <w:tr w14:paraId="3613B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778" w:type="dxa"/>
                  <w:tcBorders>
                    <w:tl2br w:val="nil"/>
                    <w:tr2bl w:val="nil"/>
                  </w:tcBorders>
                  <w:vAlign w:val="center"/>
                </w:tcPr>
                <w:p w14:paraId="7E2D7CCE">
                  <w:pPr>
                    <w:adjustRightInd w:val="0"/>
                    <w:snapToGrid w:val="0"/>
                    <w:jc w:val="center"/>
                    <w:rPr>
                      <w:color w:val="auto"/>
                      <w:sz w:val="18"/>
                      <w:szCs w:val="18"/>
                      <w:highlight w:val="none"/>
                    </w:rPr>
                  </w:pPr>
                  <w:r>
                    <w:rPr>
                      <w:rFonts w:hint="eastAsia"/>
                      <w:color w:val="auto"/>
                      <w:sz w:val="18"/>
                      <w:szCs w:val="18"/>
                      <w:highlight w:val="none"/>
                    </w:rPr>
                    <w:t>6</w:t>
                  </w:r>
                </w:p>
              </w:tc>
              <w:tc>
                <w:tcPr>
                  <w:tcW w:w="2444" w:type="dxa"/>
                  <w:tcBorders>
                    <w:tl2br w:val="nil"/>
                    <w:tr2bl w:val="nil"/>
                  </w:tcBorders>
                  <w:vAlign w:val="center"/>
                </w:tcPr>
                <w:p w14:paraId="7B634839">
                  <w:pPr>
                    <w:adjustRightInd w:val="0"/>
                    <w:snapToGrid w:val="0"/>
                    <w:jc w:val="center"/>
                    <w:rPr>
                      <w:color w:val="auto"/>
                      <w:sz w:val="18"/>
                      <w:szCs w:val="18"/>
                      <w:highlight w:val="none"/>
                    </w:rPr>
                  </w:pPr>
                  <w:r>
                    <w:rPr>
                      <w:rFonts w:hint="eastAsia"/>
                      <w:color w:val="auto"/>
                      <w:sz w:val="18"/>
                      <w:szCs w:val="18"/>
                      <w:highlight w:val="none"/>
                    </w:rPr>
                    <w:t>\</w:t>
                  </w:r>
                </w:p>
              </w:tc>
              <w:tc>
                <w:tcPr>
                  <w:tcW w:w="1334" w:type="dxa"/>
                  <w:tcBorders>
                    <w:tl2br w:val="nil"/>
                    <w:tr2bl w:val="nil"/>
                  </w:tcBorders>
                  <w:vAlign w:val="center"/>
                </w:tcPr>
                <w:p w14:paraId="3D93A420">
                  <w:pPr>
                    <w:adjustRightInd w:val="0"/>
                    <w:snapToGrid w:val="0"/>
                    <w:jc w:val="center"/>
                    <w:rPr>
                      <w:color w:val="auto"/>
                      <w:sz w:val="18"/>
                      <w:szCs w:val="18"/>
                      <w:highlight w:val="none"/>
                    </w:rPr>
                  </w:pPr>
                  <w:r>
                    <w:rPr>
                      <w:rFonts w:hint="eastAsia"/>
                      <w:color w:val="auto"/>
                      <w:sz w:val="18"/>
                      <w:szCs w:val="18"/>
                      <w:highlight w:val="none"/>
                    </w:rPr>
                    <w:t>\</w:t>
                  </w:r>
                </w:p>
              </w:tc>
              <w:tc>
                <w:tcPr>
                  <w:tcW w:w="1890" w:type="dxa"/>
                  <w:tcBorders>
                    <w:tl2br w:val="nil"/>
                    <w:tr2bl w:val="nil"/>
                  </w:tcBorders>
                  <w:vAlign w:val="center"/>
                </w:tcPr>
                <w:p w14:paraId="2F7C775F">
                  <w:pPr>
                    <w:adjustRightInd w:val="0"/>
                    <w:snapToGrid w:val="0"/>
                    <w:jc w:val="center"/>
                    <w:rPr>
                      <w:color w:val="auto"/>
                      <w:sz w:val="18"/>
                      <w:szCs w:val="18"/>
                      <w:highlight w:val="none"/>
                    </w:rPr>
                  </w:pPr>
                  <w:r>
                    <w:rPr>
                      <w:rFonts w:hint="eastAsia"/>
                      <w:color w:val="auto"/>
                      <w:sz w:val="18"/>
                      <w:szCs w:val="18"/>
                      <w:highlight w:val="none"/>
                    </w:rPr>
                    <w:t>捕收剂、起泡剂废气</w:t>
                  </w:r>
                </w:p>
              </w:tc>
              <w:tc>
                <w:tcPr>
                  <w:tcW w:w="1689" w:type="dxa"/>
                  <w:tcBorders>
                    <w:tl2br w:val="nil"/>
                    <w:tr2bl w:val="nil"/>
                  </w:tcBorders>
                  <w:vAlign w:val="center"/>
                </w:tcPr>
                <w:p w14:paraId="4CF67A9C">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lang w:eastAsia="zh-CN"/>
                    </w:rPr>
                    <w:t>0.024</w:t>
                  </w:r>
                </w:p>
              </w:tc>
            </w:tr>
            <w:tr w14:paraId="4AC71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778" w:type="dxa"/>
                  <w:tcBorders>
                    <w:tl2br w:val="nil"/>
                    <w:tr2bl w:val="nil"/>
                  </w:tcBorders>
                  <w:vAlign w:val="center"/>
                </w:tcPr>
                <w:p w14:paraId="7DC64EE7">
                  <w:pPr>
                    <w:adjustRightInd w:val="0"/>
                    <w:snapToGrid w:val="0"/>
                    <w:jc w:val="center"/>
                    <w:rPr>
                      <w:color w:val="auto"/>
                      <w:sz w:val="18"/>
                      <w:szCs w:val="18"/>
                      <w:highlight w:val="none"/>
                    </w:rPr>
                  </w:pPr>
                  <w:r>
                    <w:rPr>
                      <w:rFonts w:hint="eastAsia"/>
                      <w:color w:val="auto"/>
                      <w:sz w:val="18"/>
                      <w:szCs w:val="18"/>
                      <w:highlight w:val="none"/>
                    </w:rPr>
                    <w:t>7</w:t>
                  </w:r>
                </w:p>
              </w:tc>
              <w:tc>
                <w:tcPr>
                  <w:tcW w:w="2444" w:type="dxa"/>
                  <w:tcBorders>
                    <w:tl2br w:val="nil"/>
                    <w:tr2bl w:val="nil"/>
                  </w:tcBorders>
                  <w:vAlign w:val="center"/>
                </w:tcPr>
                <w:p w14:paraId="55A8A345">
                  <w:pPr>
                    <w:adjustRightInd w:val="0"/>
                    <w:snapToGrid w:val="0"/>
                    <w:jc w:val="center"/>
                    <w:rPr>
                      <w:color w:val="auto"/>
                      <w:sz w:val="18"/>
                      <w:szCs w:val="18"/>
                      <w:highlight w:val="none"/>
                    </w:rPr>
                  </w:pPr>
                  <w:r>
                    <w:rPr>
                      <w:rFonts w:hint="eastAsia"/>
                      <w:color w:val="auto"/>
                      <w:sz w:val="18"/>
                      <w:szCs w:val="18"/>
                      <w:highlight w:val="none"/>
                    </w:rPr>
                    <w:t>合计</w:t>
                  </w:r>
                </w:p>
              </w:tc>
              <w:tc>
                <w:tcPr>
                  <w:tcW w:w="1334" w:type="dxa"/>
                  <w:tcBorders>
                    <w:tl2br w:val="nil"/>
                    <w:tr2bl w:val="nil"/>
                  </w:tcBorders>
                  <w:vAlign w:val="center"/>
                </w:tcPr>
                <w:p w14:paraId="2E35258F">
                  <w:pPr>
                    <w:adjustRightInd w:val="0"/>
                    <w:snapToGrid w:val="0"/>
                    <w:jc w:val="center"/>
                    <w:rPr>
                      <w:color w:val="auto"/>
                      <w:sz w:val="18"/>
                      <w:szCs w:val="18"/>
                      <w:highlight w:val="none"/>
                    </w:rPr>
                  </w:pPr>
                  <w:r>
                    <w:rPr>
                      <w:rFonts w:hint="eastAsia"/>
                      <w:color w:val="auto"/>
                      <w:sz w:val="18"/>
                      <w:szCs w:val="18"/>
                      <w:highlight w:val="none"/>
                    </w:rPr>
                    <w:t>200240</w:t>
                  </w:r>
                </w:p>
              </w:tc>
              <w:tc>
                <w:tcPr>
                  <w:tcW w:w="1890" w:type="dxa"/>
                  <w:tcBorders>
                    <w:tl2br w:val="nil"/>
                    <w:tr2bl w:val="nil"/>
                  </w:tcBorders>
                  <w:vAlign w:val="center"/>
                </w:tcPr>
                <w:p w14:paraId="3FB33838">
                  <w:pPr>
                    <w:adjustRightInd w:val="0"/>
                    <w:snapToGrid w:val="0"/>
                    <w:jc w:val="center"/>
                    <w:rPr>
                      <w:color w:val="auto"/>
                      <w:sz w:val="18"/>
                      <w:szCs w:val="18"/>
                      <w:highlight w:val="none"/>
                    </w:rPr>
                  </w:pPr>
                  <w:r>
                    <w:rPr>
                      <w:rFonts w:hint="eastAsia"/>
                      <w:color w:val="auto"/>
                      <w:sz w:val="18"/>
                      <w:szCs w:val="18"/>
                      <w:highlight w:val="none"/>
                    </w:rPr>
                    <w:t>合计</w:t>
                  </w:r>
                </w:p>
              </w:tc>
              <w:tc>
                <w:tcPr>
                  <w:tcW w:w="1689" w:type="dxa"/>
                  <w:tcBorders>
                    <w:tl2br w:val="nil"/>
                    <w:tr2bl w:val="nil"/>
                  </w:tcBorders>
                  <w:vAlign w:val="center"/>
                </w:tcPr>
                <w:p w14:paraId="5E387696">
                  <w:pPr>
                    <w:adjustRightInd w:val="0"/>
                    <w:snapToGrid w:val="0"/>
                    <w:jc w:val="center"/>
                    <w:rPr>
                      <w:color w:val="auto"/>
                      <w:sz w:val="18"/>
                      <w:szCs w:val="18"/>
                      <w:highlight w:val="none"/>
                    </w:rPr>
                  </w:pPr>
                  <w:r>
                    <w:rPr>
                      <w:rFonts w:hint="eastAsia"/>
                      <w:color w:val="auto"/>
                      <w:sz w:val="18"/>
                      <w:szCs w:val="18"/>
                      <w:highlight w:val="none"/>
                    </w:rPr>
                    <w:t>200240</w:t>
                  </w:r>
                </w:p>
              </w:tc>
            </w:tr>
          </w:tbl>
          <w:p w14:paraId="261FBC86">
            <w:pPr>
              <w:adjustRightInd w:val="0"/>
              <w:snapToGrid w:val="0"/>
              <w:jc w:val="center"/>
              <w:rPr>
                <w:b/>
                <w:bCs/>
                <w:color w:val="auto"/>
                <w:sz w:val="24"/>
                <w:highlight w:val="none"/>
              </w:rPr>
            </w:pPr>
            <w:r>
              <w:rPr>
                <w:rFonts w:hint="eastAsia"/>
                <w:b/>
                <w:bCs/>
                <w:color w:val="auto"/>
                <w:szCs w:val="21"/>
                <w:highlight w:val="none"/>
              </w:rPr>
              <w:t>表2-14人造土壤基质物料平衡表</w:t>
            </w:r>
          </w:p>
          <w:tbl>
            <w:tblPr>
              <w:tblStyle w:val="23"/>
              <w:tblW w:w="813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1"/>
              <w:gridCol w:w="2466"/>
              <w:gridCol w:w="1629"/>
              <w:gridCol w:w="1629"/>
              <w:gridCol w:w="1620"/>
            </w:tblGrid>
            <w:tr w14:paraId="3D17A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787" w:type="dxa"/>
                  <w:vMerge w:val="restart"/>
                  <w:tcBorders>
                    <w:tl2br w:val="nil"/>
                    <w:tr2bl w:val="nil"/>
                  </w:tcBorders>
                  <w:vAlign w:val="center"/>
                </w:tcPr>
                <w:p w14:paraId="06E3578A">
                  <w:pPr>
                    <w:adjustRightInd w:val="0"/>
                    <w:snapToGrid w:val="0"/>
                    <w:jc w:val="center"/>
                    <w:rPr>
                      <w:color w:val="auto"/>
                      <w:sz w:val="18"/>
                      <w:szCs w:val="18"/>
                      <w:highlight w:val="none"/>
                    </w:rPr>
                  </w:pPr>
                  <w:r>
                    <w:rPr>
                      <w:rFonts w:hint="eastAsia"/>
                      <w:color w:val="auto"/>
                      <w:sz w:val="18"/>
                      <w:szCs w:val="18"/>
                      <w:highlight w:val="none"/>
                    </w:rPr>
                    <w:t>序号</w:t>
                  </w:r>
                </w:p>
              </w:tc>
              <w:tc>
                <w:tcPr>
                  <w:tcW w:w="4072" w:type="dxa"/>
                  <w:gridSpan w:val="2"/>
                  <w:tcBorders>
                    <w:tl2br w:val="nil"/>
                    <w:tr2bl w:val="nil"/>
                  </w:tcBorders>
                  <w:vAlign w:val="center"/>
                </w:tcPr>
                <w:p w14:paraId="0EA87EC7">
                  <w:pPr>
                    <w:adjustRightInd w:val="0"/>
                    <w:snapToGrid w:val="0"/>
                    <w:jc w:val="center"/>
                    <w:rPr>
                      <w:color w:val="auto"/>
                      <w:sz w:val="18"/>
                      <w:szCs w:val="18"/>
                      <w:highlight w:val="none"/>
                    </w:rPr>
                  </w:pPr>
                  <w:r>
                    <w:rPr>
                      <w:rFonts w:hint="eastAsia"/>
                      <w:color w:val="auto"/>
                      <w:sz w:val="18"/>
                      <w:szCs w:val="18"/>
                      <w:highlight w:val="none"/>
                    </w:rPr>
                    <w:t>输入系统物料</w:t>
                  </w:r>
                </w:p>
              </w:tc>
              <w:tc>
                <w:tcPr>
                  <w:tcW w:w="3231" w:type="dxa"/>
                  <w:gridSpan w:val="2"/>
                  <w:tcBorders>
                    <w:tl2br w:val="nil"/>
                    <w:tr2bl w:val="nil"/>
                  </w:tcBorders>
                  <w:vAlign w:val="center"/>
                </w:tcPr>
                <w:p w14:paraId="2D353744">
                  <w:pPr>
                    <w:adjustRightInd w:val="0"/>
                    <w:snapToGrid w:val="0"/>
                    <w:jc w:val="center"/>
                    <w:rPr>
                      <w:color w:val="auto"/>
                      <w:sz w:val="18"/>
                      <w:szCs w:val="18"/>
                      <w:highlight w:val="none"/>
                    </w:rPr>
                  </w:pPr>
                  <w:r>
                    <w:rPr>
                      <w:rFonts w:hint="eastAsia"/>
                      <w:color w:val="auto"/>
                      <w:sz w:val="18"/>
                      <w:szCs w:val="18"/>
                      <w:highlight w:val="none"/>
                    </w:rPr>
                    <w:t>产出物料</w:t>
                  </w:r>
                </w:p>
              </w:tc>
            </w:tr>
            <w:tr w14:paraId="7DB7B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787" w:type="dxa"/>
                  <w:vMerge w:val="continue"/>
                  <w:tcBorders>
                    <w:tl2br w:val="nil"/>
                    <w:tr2bl w:val="nil"/>
                  </w:tcBorders>
                  <w:vAlign w:val="center"/>
                </w:tcPr>
                <w:p w14:paraId="2F99E94B">
                  <w:pPr>
                    <w:adjustRightInd w:val="0"/>
                    <w:snapToGrid w:val="0"/>
                    <w:jc w:val="center"/>
                    <w:rPr>
                      <w:color w:val="auto"/>
                      <w:sz w:val="18"/>
                      <w:szCs w:val="18"/>
                      <w:highlight w:val="none"/>
                    </w:rPr>
                  </w:pPr>
                </w:p>
              </w:tc>
              <w:tc>
                <w:tcPr>
                  <w:tcW w:w="2452" w:type="dxa"/>
                  <w:tcBorders>
                    <w:tl2br w:val="nil"/>
                    <w:tr2bl w:val="nil"/>
                  </w:tcBorders>
                  <w:vAlign w:val="center"/>
                </w:tcPr>
                <w:p w14:paraId="38A86BB0">
                  <w:pPr>
                    <w:adjustRightInd w:val="0"/>
                    <w:snapToGrid w:val="0"/>
                    <w:jc w:val="center"/>
                    <w:rPr>
                      <w:color w:val="auto"/>
                      <w:sz w:val="18"/>
                      <w:szCs w:val="18"/>
                      <w:highlight w:val="none"/>
                    </w:rPr>
                  </w:pPr>
                  <w:r>
                    <w:rPr>
                      <w:rFonts w:hint="eastAsia"/>
                      <w:color w:val="auto"/>
                      <w:sz w:val="18"/>
                      <w:szCs w:val="18"/>
                      <w:highlight w:val="none"/>
                    </w:rPr>
                    <w:t>名称</w:t>
                  </w:r>
                </w:p>
              </w:tc>
              <w:tc>
                <w:tcPr>
                  <w:tcW w:w="1620" w:type="dxa"/>
                  <w:tcBorders>
                    <w:tl2br w:val="nil"/>
                    <w:tr2bl w:val="nil"/>
                  </w:tcBorders>
                  <w:vAlign w:val="center"/>
                </w:tcPr>
                <w:p w14:paraId="20C5C02A">
                  <w:pPr>
                    <w:adjustRightInd w:val="0"/>
                    <w:snapToGrid w:val="0"/>
                    <w:jc w:val="center"/>
                    <w:rPr>
                      <w:color w:val="auto"/>
                      <w:sz w:val="18"/>
                      <w:szCs w:val="18"/>
                      <w:highlight w:val="none"/>
                    </w:rPr>
                  </w:pPr>
                  <w:r>
                    <w:rPr>
                      <w:rFonts w:hint="eastAsia"/>
                      <w:color w:val="auto"/>
                      <w:sz w:val="18"/>
                      <w:szCs w:val="18"/>
                      <w:highlight w:val="none"/>
                    </w:rPr>
                    <w:t>消耗量（</w:t>
                  </w:r>
                  <w:r>
                    <w:rPr>
                      <w:color w:val="auto"/>
                      <w:sz w:val="18"/>
                      <w:szCs w:val="18"/>
                      <w:highlight w:val="none"/>
                    </w:rPr>
                    <w:t>t/a</w:t>
                  </w:r>
                  <w:r>
                    <w:rPr>
                      <w:rFonts w:hint="eastAsia"/>
                      <w:color w:val="auto"/>
                      <w:sz w:val="18"/>
                      <w:szCs w:val="18"/>
                      <w:highlight w:val="none"/>
                    </w:rPr>
                    <w:t>）</w:t>
                  </w:r>
                </w:p>
              </w:tc>
              <w:tc>
                <w:tcPr>
                  <w:tcW w:w="1620" w:type="dxa"/>
                  <w:tcBorders>
                    <w:tl2br w:val="nil"/>
                    <w:tr2bl w:val="nil"/>
                  </w:tcBorders>
                  <w:vAlign w:val="center"/>
                </w:tcPr>
                <w:p w14:paraId="59179B28">
                  <w:pPr>
                    <w:adjustRightInd w:val="0"/>
                    <w:snapToGrid w:val="0"/>
                    <w:jc w:val="center"/>
                    <w:rPr>
                      <w:color w:val="auto"/>
                      <w:sz w:val="18"/>
                      <w:szCs w:val="18"/>
                      <w:highlight w:val="none"/>
                    </w:rPr>
                  </w:pPr>
                  <w:r>
                    <w:rPr>
                      <w:rFonts w:hint="eastAsia"/>
                      <w:color w:val="auto"/>
                      <w:sz w:val="18"/>
                      <w:szCs w:val="18"/>
                      <w:highlight w:val="none"/>
                    </w:rPr>
                    <w:t>名称</w:t>
                  </w:r>
                </w:p>
              </w:tc>
              <w:tc>
                <w:tcPr>
                  <w:tcW w:w="1611" w:type="dxa"/>
                  <w:tcBorders>
                    <w:tl2br w:val="nil"/>
                    <w:tr2bl w:val="nil"/>
                  </w:tcBorders>
                  <w:vAlign w:val="center"/>
                </w:tcPr>
                <w:p w14:paraId="589994CA">
                  <w:pPr>
                    <w:adjustRightInd w:val="0"/>
                    <w:snapToGrid w:val="0"/>
                    <w:jc w:val="center"/>
                    <w:rPr>
                      <w:color w:val="auto"/>
                      <w:sz w:val="18"/>
                      <w:szCs w:val="18"/>
                      <w:highlight w:val="none"/>
                    </w:rPr>
                  </w:pPr>
                  <w:r>
                    <w:rPr>
                      <w:rFonts w:hint="eastAsia"/>
                      <w:color w:val="auto"/>
                      <w:sz w:val="18"/>
                      <w:szCs w:val="18"/>
                      <w:highlight w:val="none"/>
                    </w:rPr>
                    <w:t>产生量（</w:t>
                  </w:r>
                  <w:r>
                    <w:rPr>
                      <w:color w:val="auto"/>
                      <w:sz w:val="18"/>
                      <w:szCs w:val="18"/>
                      <w:highlight w:val="none"/>
                    </w:rPr>
                    <w:t>t/a</w:t>
                  </w:r>
                  <w:r>
                    <w:rPr>
                      <w:rFonts w:hint="eastAsia"/>
                      <w:color w:val="auto"/>
                      <w:sz w:val="18"/>
                      <w:szCs w:val="18"/>
                      <w:highlight w:val="none"/>
                    </w:rPr>
                    <w:t>）</w:t>
                  </w:r>
                </w:p>
              </w:tc>
            </w:tr>
            <w:tr w14:paraId="6FCC9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7F34C5E1">
                  <w:pPr>
                    <w:adjustRightInd w:val="0"/>
                    <w:snapToGrid w:val="0"/>
                    <w:jc w:val="center"/>
                    <w:rPr>
                      <w:color w:val="auto"/>
                      <w:sz w:val="18"/>
                      <w:szCs w:val="18"/>
                      <w:highlight w:val="none"/>
                    </w:rPr>
                  </w:pPr>
                  <w:r>
                    <w:rPr>
                      <w:rFonts w:hint="eastAsia"/>
                      <w:color w:val="auto"/>
                      <w:sz w:val="18"/>
                      <w:szCs w:val="18"/>
                      <w:highlight w:val="none"/>
                    </w:rPr>
                    <w:t>1</w:t>
                  </w:r>
                </w:p>
              </w:tc>
              <w:tc>
                <w:tcPr>
                  <w:tcW w:w="2452" w:type="dxa"/>
                  <w:tcBorders>
                    <w:tl2br w:val="nil"/>
                    <w:tr2bl w:val="nil"/>
                  </w:tcBorders>
                  <w:vAlign w:val="center"/>
                </w:tcPr>
                <w:p w14:paraId="75DBC588">
                  <w:pPr>
                    <w:adjustRightInd w:val="0"/>
                    <w:snapToGrid w:val="0"/>
                    <w:jc w:val="center"/>
                    <w:rPr>
                      <w:color w:val="auto"/>
                      <w:sz w:val="18"/>
                      <w:szCs w:val="18"/>
                      <w:highlight w:val="none"/>
                    </w:rPr>
                  </w:pPr>
                  <w:r>
                    <w:rPr>
                      <w:rFonts w:hint="eastAsia"/>
                      <w:color w:val="auto"/>
                      <w:sz w:val="18"/>
                      <w:szCs w:val="18"/>
                      <w:highlight w:val="none"/>
                    </w:rPr>
                    <w:t>尾矿泥</w:t>
                  </w:r>
                </w:p>
              </w:tc>
              <w:tc>
                <w:tcPr>
                  <w:tcW w:w="1620" w:type="dxa"/>
                  <w:tcBorders>
                    <w:tl2br w:val="nil"/>
                    <w:tr2bl w:val="nil"/>
                  </w:tcBorders>
                  <w:vAlign w:val="center"/>
                </w:tcPr>
                <w:p w14:paraId="311C9841">
                  <w:pPr>
                    <w:widowControl/>
                    <w:jc w:val="center"/>
                    <w:textAlignment w:val="center"/>
                    <w:rPr>
                      <w:color w:val="auto"/>
                      <w:sz w:val="18"/>
                      <w:szCs w:val="18"/>
                      <w:highlight w:val="none"/>
                    </w:rPr>
                  </w:pPr>
                  <w:r>
                    <w:rPr>
                      <w:rFonts w:hint="eastAsia"/>
                      <w:color w:val="auto"/>
                      <w:kern w:val="0"/>
                      <w:sz w:val="18"/>
                      <w:szCs w:val="18"/>
                      <w:highlight w:val="none"/>
                    </w:rPr>
                    <w:t>178000</w:t>
                  </w:r>
                </w:p>
              </w:tc>
              <w:tc>
                <w:tcPr>
                  <w:tcW w:w="1620" w:type="dxa"/>
                  <w:vMerge w:val="restart"/>
                  <w:tcBorders>
                    <w:tl2br w:val="nil"/>
                    <w:tr2bl w:val="nil"/>
                  </w:tcBorders>
                  <w:vAlign w:val="center"/>
                </w:tcPr>
                <w:p w14:paraId="6109B667">
                  <w:pPr>
                    <w:adjustRightInd w:val="0"/>
                    <w:snapToGrid w:val="0"/>
                    <w:jc w:val="center"/>
                    <w:rPr>
                      <w:color w:val="auto"/>
                      <w:sz w:val="18"/>
                      <w:szCs w:val="18"/>
                      <w:highlight w:val="none"/>
                    </w:rPr>
                  </w:pPr>
                  <w:r>
                    <w:rPr>
                      <w:rFonts w:hint="eastAsia"/>
                      <w:color w:val="auto"/>
                      <w:sz w:val="18"/>
                      <w:szCs w:val="18"/>
                      <w:highlight w:val="none"/>
                    </w:rPr>
                    <w:t>人造土壤基质</w:t>
                  </w:r>
                </w:p>
              </w:tc>
              <w:tc>
                <w:tcPr>
                  <w:tcW w:w="1611" w:type="dxa"/>
                  <w:vMerge w:val="restart"/>
                  <w:tcBorders>
                    <w:tl2br w:val="nil"/>
                    <w:tr2bl w:val="nil"/>
                  </w:tcBorders>
                  <w:vAlign w:val="center"/>
                </w:tcPr>
                <w:p w14:paraId="72D856BE">
                  <w:pPr>
                    <w:adjustRightInd w:val="0"/>
                    <w:snapToGrid w:val="0"/>
                    <w:jc w:val="center"/>
                    <w:rPr>
                      <w:color w:val="auto"/>
                      <w:sz w:val="18"/>
                      <w:szCs w:val="18"/>
                      <w:highlight w:val="none"/>
                    </w:rPr>
                  </w:pPr>
                  <w:r>
                    <w:rPr>
                      <w:rFonts w:hint="eastAsia"/>
                      <w:color w:val="auto"/>
                      <w:sz w:val="18"/>
                      <w:szCs w:val="18"/>
                      <w:highlight w:val="none"/>
                    </w:rPr>
                    <w:t>303800</w:t>
                  </w:r>
                </w:p>
              </w:tc>
            </w:tr>
            <w:tr w14:paraId="3E73C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4492D057">
                  <w:pPr>
                    <w:adjustRightInd w:val="0"/>
                    <w:snapToGrid w:val="0"/>
                    <w:jc w:val="center"/>
                    <w:rPr>
                      <w:color w:val="auto"/>
                      <w:sz w:val="18"/>
                      <w:szCs w:val="18"/>
                      <w:highlight w:val="none"/>
                    </w:rPr>
                  </w:pPr>
                  <w:r>
                    <w:rPr>
                      <w:rFonts w:hint="eastAsia"/>
                      <w:color w:val="auto"/>
                      <w:sz w:val="18"/>
                      <w:szCs w:val="18"/>
                      <w:highlight w:val="none"/>
                    </w:rPr>
                    <w:t>2</w:t>
                  </w:r>
                </w:p>
              </w:tc>
              <w:tc>
                <w:tcPr>
                  <w:tcW w:w="2452" w:type="dxa"/>
                  <w:tcBorders>
                    <w:tl2br w:val="nil"/>
                    <w:tr2bl w:val="nil"/>
                  </w:tcBorders>
                  <w:vAlign w:val="center"/>
                </w:tcPr>
                <w:p w14:paraId="4E3F7EE7">
                  <w:pPr>
                    <w:adjustRightInd w:val="0"/>
                    <w:snapToGrid w:val="0"/>
                    <w:jc w:val="center"/>
                    <w:rPr>
                      <w:color w:val="auto"/>
                      <w:sz w:val="18"/>
                      <w:szCs w:val="18"/>
                      <w:highlight w:val="none"/>
                    </w:rPr>
                  </w:pPr>
                  <w:r>
                    <w:rPr>
                      <w:rFonts w:hint="eastAsia"/>
                      <w:color w:val="auto"/>
                      <w:sz w:val="18"/>
                      <w:szCs w:val="18"/>
                      <w:highlight w:val="none"/>
                    </w:rPr>
                    <w:t>骨料</w:t>
                  </w:r>
                </w:p>
              </w:tc>
              <w:tc>
                <w:tcPr>
                  <w:tcW w:w="1620" w:type="dxa"/>
                  <w:tcBorders>
                    <w:tl2br w:val="nil"/>
                    <w:tr2bl w:val="nil"/>
                  </w:tcBorders>
                  <w:vAlign w:val="center"/>
                </w:tcPr>
                <w:p w14:paraId="55D7A3F5">
                  <w:pPr>
                    <w:widowControl/>
                    <w:jc w:val="center"/>
                    <w:textAlignment w:val="center"/>
                    <w:rPr>
                      <w:color w:val="auto"/>
                      <w:sz w:val="18"/>
                      <w:szCs w:val="18"/>
                      <w:highlight w:val="none"/>
                    </w:rPr>
                  </w:pPr>
                  <w:r>
                    <w:rPr>
                      <w:rFonts w:hint="eastAsia"/>
                      <w:color w:val="auto"/>
                      <w:sz w:val="18"/>
                      <w:szCs w:val="18"/>
                      <w:highlight w:val="none"/>
                    </w:rPr>
                    <w:t>39000</w:t>
                  </w:r>
                </w:p>
              </w:tc>
              <w:tc>
                <w:tcPr>
                  <w:tcW w:w="1620" w:type="dxa"/>
                  <w:vMerge w:val="continue"/>
                  <w:tcBorders>
                    <w:tl2br w:val="nil"/>
                    <w:tr2bl w:val="nil"/>
                  </w:tcBorders>
                  <w:vAlign w:val="center"/>
                </w:tcPr>
                <w:p w14:paraId="348C71CB">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12D073F0">
                  <w:pPr>
                    <w:adjustRightInd w:val="0"/>
                    <w:snapToGrid w:val="0"/>
                    <w:jc w:val="center"/>
                    <w:rPr>
                      <w:color w:val="auto"/>
                      <w:sz w:val="18"/>
                      <w:szCs w:val="18"/>
                      <w:highlight w:val="none"/>
                    </w:rPr>
                  </w:pPr>
                </w:p>
              </w:tc>
            </w:tr>
            <w:tr w14:paraId="3782D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vAlign w:val="center"/>
                </w:tcPr>
                <w:p w14:paraId="6D588C01">
                  <w:pPr>
                    <w:adjustRightInd w:val="0"/>
                    <w:snapToGrid w:val="0"/>
                    <w:jc w:val="center"/>
                    <w:rPr>
                      <w:color w:val="auto"/>
                      <w:sz w:val="18"/>
                      <w:szCs w:val="18"/>
                      <w:highlight w:val="none"/>
                    </w:rPr>
                  </w:pPr>
                  <w:r>
                    <w:rPr>
                      <w:rFonts w:hint="eastAsia"/>
                      <w:color w:val="auto"/>
                      <w:sz w:val="18"/>
                      <w:szCs w:val="18"/>
                      <w:highlight w:val="none"/>
                    </w:rPr>
                    <w:t>3</w:t>
                  </w:r>
                </w:p>
              </w:tc>
              <w:tc>
                <w:tcPr>
                  <w:tcW w:w="2452" w:type="dxa"/>
                  <w:tcBorders>
                    <w:tl2br w:val="nil"/>
                    <w:tr2bl w:val="nil"/>
                  </w:tcBorders>
                  <w:vAlign w:val="center"/>
                </w:tcPr>
                <w:p w14:paraId="1D3E9963">
                  <w:pPr>
                    <w:adjustRightInd w:val="0"/>
                    <w:snapToGrid w:val="0"/>
                    <w:jc w:val="center"/>
                    <w:rPr>
                      <w:color w:val="auto"/>
                      <w:sz w:val="18"/>
                      <w:szCs w:val="18"/>
                      <w:highlight w:val="none"/>
                    </w:rPr>
                  </w:pPr>
                  <w:r>
                    <w:rPr>
                      <w:rFonts w:hint="eastAsia"/>
                      <w:color w:val="auto"/>
                      <w:sz w:val="18"/>
                      <w:szCs w:val="18"/>
                      <w:highlight w:val="none"/>
                    </w:rPr>
                    <w:t>粉煤灰</w:t>
                  </w:r>
                </w:p>
              </w:tc>
              <w:tc>
                <w:tcPr>
                  <w:tcW w:w="1620" w:type="dxa"/>
                  <w:tcBorders>
                    <w:tl2br w:val="nil"/>
                    <w:tr2bl w:val="nil"/>
                  </w:tcBorders>
                  <w:vAlign w:val="center"/>
                </w:tcPr>
                <w:p w14:paraId="22CDE139">
                  <w:pPr>
                    <w:adjustRightInd w:val="0"/>
                    <w:snapToGrid w:val="0"/>
                    <w:jc w:val="center"/>
                    <w:rPr>
                      <w:color w:val="auto"/>
                      <w:sz w:val="18"/>
                      <w:szCs w:val="18"/>
                      <w:highlight w:val="none"/>
                    </w:rPr>
                  </w:pPr>
                  <w:r>
                    <w:rPr>
                      <w:rFonts w:hint="eastAsia"/>
                      <w:color w:val="auto"/>
                      <w:sz w:val="18"/>
                      <w:szCs w:val="18"/>
                      <w:highlight w:val="none"/>
                    </w:rPr>
                    <w:t>7000</w:t>
                  </w:r>
                </w:p>
              </w:tc>
              <w:tc>
                <w:tcPr>
                  <w:tcW w:w="1620" w:type="dxa"/>
                  <w:vMerge w:val="continue"/>
                  <w:tcBorders>
                    <w:tl2br w:val="nil"/>
                    <w:tr2bl w:val="nil"/>
                  </w:tcBorders>
                  <w:vAlign w:val="center"/>
                </w:tcPr>
                <w:p w14:paraId="01CE0C72">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623B89CC">
                  <w:pPr>
                    <w:adjustRightInd w:val="0"/>
                    <w:snapToGrid w:val="0"/>
                    <w:jc w:val="center"/>
                    <w:rPr>
                      <w:color w:val="auto"/>
                      <w:sz w:val="18"/>
                      <w:szCs w:val="18"/>
                      <w:highlight w:val="none"/>
                    </w:rPr>
                  </w:pPr>
                </w:p>
              </w:tc>
            </w:tr>
            <w:tr w14:paraId="355CC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4F259F7D">
                  <w:pPr>
                    <w:adjustRightInd w:val="0"/>
                    <w:snapToGrid w:val="0"/>
                    <w:jc w:val="center"/>
                    <w:rPr>
                      <w:color w:val="auto"/>
                      <w:sz w:val="18"/>
                      <w:szCs w:val="18"/>
                      <w:highlight w:val="none"/>
                    </w:rPr>
                  </w:pPr>
                  <w:r>
                    <w:rPr>
                      <w:rFonts w:hint="eastAsia"/>
                      <w:color w:val="auto"/>
                      <w:sz w:val="18"/>
                      <w:szCs w:val="18"/>
                      <w:highlight w:val="none"/>
                    </w:rPr>
                    <w:t>4</w:t>
                  </w:r>
                </w:p>
              </w:tc>
              <w:tc>
                <w:tcPr>
                  <w:tcW w:w="2452" w:type="dxa"/>
                  <w:tcBorders>
                    <w:tl2br w:val="nil"/>
                    <w:tr2bl w:val="nil"/>
                  </w:tcBorders>
                  <w:vAlign w:val="center"/>
                </w:tcPr>
                <w:p w14:paraId="0180A1C3">
                  <w:pPr>
                    <w:adjustRightInd w:val="0"/>
                    <w:snapToGrid w:val="0"/>
                    <w:jc w:val="center"/>
                    <w:rPr>
                      <w:color w:val="auto"/>
                      <w:sz w:val="18"/>
                      <w:szCs w:val="18"/>
                      <w:highlight w:val="none"/>
                    </w:rPr>
                  </w:pPr>
                  <w:r>
                    <w:rPr>
                      <w:rFonts w:hint="eastAsia"/>
                      <w:color w:val="auto"/>
                      <w:sz w:val="18"/>
                      <w:szCs w:val="18"/>
                      <w:highlight w:val="none"/>
                    </w:rPr>
                    <w:t>炉渣</w:t>
                  </w:r>
                </w:p>
              </w:tc>
              <w:tc>
                <w:tcPr>
                  <w:tcW w:w="1620" w:type="dxa"/>
                  <w:tcBorders>
                    <w:tl2br w:val="nil"/>
                    <w:tr2bl w:val="nil"/>
                  </w:tcBorders>
                  <w:vAlign w:val="center"/>
                </w:tcPr>
                <w:p w14:paraId="5DC42607">
                  <w:pPr>
                    <w:adjustRightInd w:val="0"/>
                    <w:snapToGrid w:val="0"/>
                    <w:jc w:val="center"/>
                    <w:rPr>
                      <w:color w:val="auto"/>
                      <w:kern w:val="0"/>
                      <w:sz w:val="18"/>
                      <w:szCs w:val="18"/>
                      <w:highlight w:val="none"/>
                    </w:rPr>
                  </w:pPr>
                  <w:r>
                    <w:rPr>
                      <w:rFonts w:hint="eastAsia"/>
                      <w:color w:val="auto"/>
                      <w:sz w:val="18"/>
                      <w:szCs w:val="18"/>
                      <w:highlight w:val="none"/>
                    </w:rPr>
                    <w:t>7000</w:t>
                  </w:r>
                </w:p>
              </w:tc>
              <w:tc>
                <w:tcPr>
                  <w:tcW w:w="1620" w:type="dxa"/>
                  <w:vMerge w:val="continue"/>
                  <w:tcBorders>
                    <w:tl2br w:val="nil"/>
                    <w:tr2bl w:val="nil"/>
                  </w:tcBorders>
                  <w:vAlign w:val="center"/>
                </w:tcPr>
                <w:p w14:paraId="48918BF2">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0E5C705B">
                  <w:pPr>
                    <w:adjustRightInd w:val="0"/>
                    <w:snapToGrid w:val="0"/>
                    <w:jc w:val="center"/>
                    <w:rPr>
                      <w:color w:val="auto"/>
                      <w:sz w:val="18"/>
                      <w:szCs w:val="18"/>
                      <w:highlight w:val="none"/>
                    </w:rPr>
                  </w:pPr>
                </w:p>
              </w:tc>
            </w:tr>
            <w:tr w14:paraId="1CE25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4D1DDE5A">
                  <w:pPr>
                    <w:adjustRightInd w:val="0"/>
                    <w:snapToGrid w:val="0"/>
                    <w:jc w:val="center"/>
                    <w:rPr>
                      <w:color w:val="auto"/>
                      <w:sz w:val="18"/>
                      <w:szCs w:val="18"/>
                      <w:highlight w:val="none"/>
                    </w:rPr>
                  </w:pPr>
                  <w:r>
                    <w:rPr>
                      <w:rFonts w:hint="eastAsia"/>
                      <w:color w:val="auto"/>
                      <w:sz w:val="18"/>
                      <w:szCs w:val="18"/>
                      <w:highlight w:val="none"/>
                    </w:rPr>
                    <w:t>5</w:t>
                  </w:r>
                </w:p>
              </w:tc>
              <w:tc>
                <w:tcPr>
                  <w:tcW w:w="2452" w:type="dxa"/>
                  <w:tcBorders>
                    <w:tl2br w:val="nil"/>
                    <w:tr2bl w:val="nil"/>
                  </w:tcBorders>
                  <w:vAlign w:val="center"/>
                </w:tcPr>
                <w:p w14:paraId="5828DBB8">
                  <w:pPr>
                    <w:adjustRightInd w:val="0"/>
                    <w:snapToGrid w:val="0"/>
                    <w:jc w:val="center"/>
                    <w:rPr>
                      <w:color w:val="auto"/>
                      <w:sz w:val="18"/>
                      <w:szCs w:val="18"/>
                      <w:highlight w:val="none"/>
                    </w:rPr>
                  </w:pPr>
                  <w:r>
                    <w:rPr>
                      <w:rFonts w:hint="eastAsia"/>
                      <w:color w:val="auto"/>
                      <w:sz w:val="18"/>
                      <w:szCs w:val="18"/>
                      <w:highlight w:val="none"/>
                    </w:rPr>
                    <w:t>脱硫石膏</w:t>
                  </w:r>
                </w:p>
              </w:tc>
              <w:tc>
                <w:tcPr>
                  <w:tcW w:w="1620" w:type="dxa"/>
                  <w:tcBorders>
                    <w:tl2br w:val="nil"/>
                    <w:tr2bl w:val="nil"/>
                  </w:tcBorders>
                  <w:vAlign w:val="center"/>
                </w:tcPr>
                <w:p w14:paraId="2D478856">
                  <w:pPr>
                    <w:adjustRightInd w:val="0"/>
                    <w:snapToGrid w:val="0"/>
                    <w:jc w:val="center"/>
                    <w:rPr>
                      <w:color w:val="auto"/>
                      <w:sz w:val="18"/>
                      <w:szCs w:val="18"/>
                      <w:highlight w:val="none"/>
                    </w:rPr>
                  </w:pPr>
                  <w:r>
                    <w:rPr>
                      <w:rFonts w:hint="eastAsia"/>
                      <w:color w:val="auto"/>
                      <w:sz w:val="18"/>
                      <w:szCs w:val="18"/>
                      <w:highlight w:val="none"/>
                    </w:rPr>
                    <w:t>14000</w:t>
                  </w:r>
                </w:p>
              </w:tc>
              <w:tc>
                <w:tcPr>
                  <w:tcW w:w="1620" w:type="dxa"/>
                  <w:vMerge w:val="continue"/>
                  <w:tcBorders>
                    <w:tl2br w:val="nil"/>
                    <w:tr2bl w:val="nil"/>
                  </w:tcBorders>
                  <w:vAlign w:val="center"/>
                </w:tcPr>
                <w:p w14:paraId="44AA8CDC">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7F5B22DC">
                  <w:pPr>
                    <w:adjustRightInd w:val="0"/>
                    <w:snapToGrid w:val="0"/>
                    <w:jc w:val="center"/>
                    <w:rPr>
                      <w:color w:val="auto"/>
                      <w:sz w:val="18"/>
                      <w:szCs w:val="18"/>
                      <w:highlight w:val="none"/>
                    </w:rPr>
                  </w:pPr>
                </w:p>
              </w:tc>
            </w:tr>
            <w:tr w14:paraId="17AE4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05EABDD5">
                  <w:pPr>
                    <w:adjustRightInd w:val="0"/>
                    <w:snapToGrid w:val="0"/>
                    <w:jc w:val="center"/>
                    <w:rPr>
                      <w:color w:val="auto"/>
                      <w:sz w:val="18"/>
                      <w:szCs w:val="18"/>
                      <w:highlight w:val="none"/>
                    </w:rPr>
                  </w:pPr>
                  <w:r>
                    <w:rPr>
                      <w:rFonts w:hint="eastAsia"/>
                      <w:color w:val="auto"/>
                      <w:sz w:val="18"/>
                      <w:szCs w:val="18"/>
                      <w:highlight w:val="none"/>
                    </w:rPr>
                    <w:t>6</w:t>
                  </w:r>
                </w:p>
              </w:tc>
              <w:tc>
                <w:tcPr>
                  <w:tcW w:w="2452" w:type="dxa"/>
                  <w:tcBorders>
                    <w:tl2br w:val="nil"/>
                    <w:tr2bl w:val="nil"/>
                  </w:tcBorders>
                  <w:vAlign w:val="center"/>
                </w:tcPr>
                <w:p w14:paraId="3F819FF1">
                  <w:pPr>
                    <w:adjustRightInd w:val="0"/>
                    <w:snapToGrid w:val="0"/>
                    <w:jc w:val="center"/>
                    <w:rPr>
                      <w:color w:val="auto"/>
                      <w:sz w:val="18"/>
                      <w:szCs w:val="18"/>
                      <w:highlight w:val="none"/>
                    </w:rPr>
                  </w:pPr>
                  <w:r>
                    <w:rPr>
                      <w:rFonts w:hint="eastAsia"/>
                      <w:color w:val="auto"/>
                      <w:sz w:val="18"/>
                      <w:szCs w:val="18"/>
                      <w:highlight w:val="none"/>
                    </w:rPr>
                    <w:t>水处理污泥</w:t>
                  </w:r>
                </w:p>
              </w:tc>
              <w:tc>
                <w:tcPr>
                  <w:tcW w:w="1620" w:type="dxa"/>
                  <w:tcBorders>
                    <w:tl2br w:val="nil"/>
                    <w:tr2bl w:val="nil"/>
                  </w:tcBorders>
                  <w:vAlign w:val="center"/>
                </w:tcPr>
                <w:p w14:paraId="5C858379">
                  <w:pPr>
                    <w:adjustRightInd w:val="0"/>
                    <w:snapToGrid w:val="0"/>
                    <w:jc w:val="center"/>
                    <w:rPr>
                      <w:color w:val="auto"/>
                      <w:sz w:val="18"/>
                      <w:szCs w:val="18"/>
                      <w:highlight w:val="none"/>
                    </w:rPr>
                  </w:pPr>
                  <w:r>
                    <w:rPr>
                      <w:rFonts w:hint="eastAsia"/>
                      <w:color w:val="auto"/>
                      <w:sz w:val="18"/>
                      <w:szCs w:val="18"/>
                      <w:highlight w:val="none"/>
                    </w:rPr>
                    <w:t>35000.696</w:t>
                  </w:r>
                </w:p>
              </w:tc>
              <w:tc>
                <w:tcPr>
                  <w:tcW w:w="1620" w:type="dxa"/>
                  <w:vMerge w:val="continue"/>
                  <w:tcBorders>
                    <w:tl2br w:val="nil"/>
                    <w:tr2bl w:val="nil"/>
                  </w:tcBorders>
                  <w:vAlign w:val="center"/>
                </w:tcPr>
                <w:p w14:paraId="3A23E354">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38EA59E7">
                  <w:pPr>
                    <w:adjustRightInd w:val="0"/>
                    <w:snapToGrid w:val="0"/>
                    <w:jc w:val="center"/>
                    <w:rPr>
                      <w:color w:val="auto"/>
                      <w:sz w:val="18"/>
                      <w:szCs w:val="18"/>
                      <w:highlight w:val="none"/>
                    </w:rPr>
                  </w:pPr>
                </w:p>
              </w:tc>
            </w:tr>
            <w:tr w14:paraId="07DF2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678AD7D4">
                  <w:pPr>
                    <w:adjustRightInd w:val="0"/>
                    <w:snapToGrid w:val="0"/>
                    <w:jc w:val="center"/>
                    <w:rPr>
                      <w:color w:val="auto"/>
                      <w:sz w:val="18"/>
                      <w:szCs w:val="18"/>
                      <w:highlight w:val="none"/>
                    </w:rPr>
                  </w:pPr>
                  <w:r>
                    <w:rPr>
                      <w:rFonts w:hint="eastAsia"/>
                      <w:color w:val="auto"/>
                      <w:sz w:val="18"/>
                      <w:szCs w:val="18"/>
                      <w:highlight w:val="none"/>
                    </w:rPr>
                    <w:t>7</w:t>
                  </w:r>
                </w:p>
              </w:tc>
              <w:tc>
                <w:tcPr>
                  <w:tcW w:w="2452" w:type="dxa"/>
                  <w:tcBorders>
                    <w:tl2br w:val="nil"/>
                    <w:tr2bl w:val="nil"/>
                  </w:tcBorders>
                  <w:vAlign w:val="center"/>
                </w:tcPr>
                <w:p w14:paraId="3AB27338">
                  <w:pPr>
                    <w:adjustRightInd w:val="0"/>
                    <w:snapToGrid w:val="0"/>
                    <w:jc w:val="center"/>
                    <w:rPr>
                      <w:color w:val="auto"/>
                      <w:sz w:val="18"/>
                      <w:szCs w:val="18"/>
                      <w:highlight w:val="none"/>
                    </w:rPr>
                  </w:pPr>
                  <w:r>
                    <w:rPr>
                      <w:rFonts w:hint="eastAsia"/>
                      <w:color w:val="auto"/>
                      <w:sz w:val="18"/>
                      <w:szCs w:val="18"/>
                      <w:highlight w:val="none"/>
                    </w:rPr>
                    <w:t>有机肥</w:t>
                  </w:r>
                </w:p>
              </w:tc>
              <w:tc>
                <w:tcPr>
                  <w:tcW w:w="1620" w:type="dxa"/>
                  <w:tcBorders>
                    <w:tl2br w:val="nil"/>
                    <w:tr2bl w:val="nil"/>
                  </w:tcBorders>
                  <w:vAlign w:val="center"/>
                </w:tcPr>
                <w:p w14:paraId="504BCED7">
                  <w:pPr>
                    <w:adjustRightInd w:val="0"/>
                    <w:snapToGrid w:val="0"/>
                    <w:jc w:val="center"/>
                    <w:rPr>
                      <w:color w:val="auto"/>
                      <w:sz w:val="18"/>
                      <w:szCs w:val="18"/>
                      <w:highlight w:val="none"/>
                    </w:rPr>
                  </w:pPr>
                  <w:r>
                    <w:rPr>
                      <w:rFonts w:hint="eastAsia"/>
                      <w:color w:val="auto"/>
                      <w:sz w:val="18"/>
                      <w:szCs w:val="18"/>
                      <w:highlight w:val="none"/>
                    </w:rPr>
                    <w:t>6000</w:t>
                  </w:r>
                </w:p>
              </w:tc>
              <w:tc>
                <w:tcPr>
                  <w:tcW w:w="1620" w:type="dxa"/>
                  <w:vMerge w:val="continue"/>
                  <w:tcBorders>
                    <w:tl2br w:val="nil"/>
                    <w:tr2bl w:val="nil"/>
                  </w:tcBorders>
                  <w:vAlign w:val="center"/>
                </w:tcPr>
                <w:p w14:paraId="2A444F0D">
                  <w:pPr>
                    <w:adjustRightInd w:val="0"/>
                    <w:snapToGrid w:val="0"/>
                    <w:jc w:val="center"/>
                    <w:rPr>
                      <w:color w:val="auto"/>
                      <w:sz w:val="18"/>
                      <w:szCs w:val="18"/>
                      <w:highlight w:val="none"/>
                    </w:rPr>
                  </w:pPr>
                </w:p>
              </w:tc>
              <w:tc>
                <w:tcPr>
                  <w:tcW w:w="1611" w:type="dxa"/>
                  <w:vMerge w:val="continue"/>
                  <w:tcBorders>
                    <w:tl2br w:val="nil"/>
                    <w:tr2bl w:val="nil"/>
                  </w:tcBorders>
                  <w:vAlign w:val="center"/>
                </w:tcPr>
                <w:p w14:paraId="25B2A7A8">
                  <w:pPr>
                    <w:adjustRightInd w:val="0"/>
                    <w:snapToGrid w:val="0"/>
                    <w:jc w:val="center"/>
                    <w:rPr>
                      <w:color w:val="auto"/>
                      <w:sz w:val="18"/>
                      <w:szCs w:val="18"/>
                      <w:highlight w:val="none"/>
                    </w:rPr>
                  </w:pPr>
                </w:p>
              </w:tc>
            </w:tr>
            <w:tr w14:paraId="28596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dxa"/>
                  <w:tcBorders>
                    <w:tl2br w:val="nil"/>
                    <w:tr2bl w:val="nil"/>
                  </w:tcBorders>
                  <w:shd w:val="clear" w:color="auto" w:fill="auto"/>
                  <w:vAlign w:val="center"/>
                </w:tcPr>
                <w:p w14:paraId="76543374">
                  <w:pPr>
                    <w:adjustRightInd w:val="0"/>
                    <w:snapToGrid w:val="0"/>
                    <w:jc w:val="center"/>
                    <w:rPr>
                      <w:color w:val="auto"/>
                      <w:sz w:val="18"/>
                      <w:szCs w:val="18"/>
                      <w:highlight w:val="none"/>
                    </w:rPr>
                  </w:pPr>
                  <w:r>
                    <w:rPr>
                      <w:rFonts w:hint="eastAsia"/>
                      <w:color w:val="auto"/>
                      <w:sz w:val="18"/>
                      <w:szCs w:val="18"/>
                      <w:highlight w:val="none"/>
                    </w:rPr>
                    <w:t>8</w:t>
                  </w:r>
                </w:p>
              </w:tc>
              <w:tc>
                <w:tcPr>
                  <w:tcW w:w="2452" w:type="dxa"/>
                  <w:tcBorders>
                    <w:tl2br w:val="nil"/>
                    <w:tr2bl w:val="nil"/>
                  </w:tcBorders>
                  <w:vAlign w:val="center"/>
                </w:tcPr>
                <w:p w14:paraId="32915D01">
                  <w:pPr>
                    <w:adjustRightInd w:val="0"/>
                    <w:snapToGrid w:val="0"/>
                    <w:jc w:val="center"/>
                    <w:rPr>
                      <w:color w:val="auto"/>
                      <w:sz w:val="18"/>
                      <w:szCs w:val="18"/>
                      <w:highlight w:val="none"/>
                    </w:rPr>
                  </w:pPr>
                  <w:r>
                    <w:rPr>
                      <w:rFonts w:hint="eastAsia"/>
                      <w:color w:val="auto"/>
                      <w:sz w:val="18"/>
                      <w:szCs w:val="18"/>
                      <w:highlight w:val="none"/>
                    </w:rPr>
                    <w:t>秸秆</w:t>
                  </w:r>
                </w:p>
              </w:tc>
              <w:tc>
                <w:tcPr>
                  <w:tcW w:w="1620" w:type="dxa"/>
                  <w:tcBorders>
                    <w:tl2br w:val="nil"/>
                    <w:tr2bl w:val="nil"/>
                  </w:tcBorders>
                  <w:vAlign w:val="center"/>
                </w:tcPr>
                <w:p w14:paraId="50D63E9C">
                  <w:pPr>
                    <w:adjustRightInd w:val="0"/>
                    <w:snapToGrid w:val="0"/>
                    <w:jc w:val="center"/>
                    <w:rPr>
                      <w:color w:val="auto"/>
                      <w:sz w:val="18"/>
                      <w:szCs w:val="18"/>
                      <w:highlight w:val="none"/>
                    </w:rPr>
                  </w:pPr>
                  <w:r>
                    <w:rPr>
                      <w:rFonts w:hint="eastAsia"/>
                      <w:color w:val="auto"/>
                      <w:sz w:val="18"/>
                      <w:szCs w:val="18"/>
                      <w:highlight w:val="none"/>
                    </w:rPr>
                    <w:t>17799.875</w:t>
                  </w:r>
                </w:p>
              </w:tc>
              <w:tc>
                <w:tcPr>
                  <w:tcW w:w="1620" w:type="dxa"/>
                  <w:tcBorders>
                    <w:tl2br w:val="nil"/>
                    <w:tr2bl w:val="nil"/>
                  </w:tcBorders>
                  <w:vAlign w:val="center"/>
                </w:tcPr>
                <w:p w14:paraId="75844170">
                  <w:pPr>
                    <w:adjustRightInd w:val="0"/>
                    <w:snapToGrid w:val="0"/>
                    <w:jc w:val="center"/>
                    <w:rPr>
                      <w:color w:val="auto"/>
                      <w:sz w:val="18"/>
                      <w:szCs w:val="18"/>
                      <w:highlight w:val="none"/>
                    </w:rPr>
                  </w:pPr>
                  <w:r>
                    <w:rPr>
                      <w:rFonts w:hint="eastAsia"/>
                      <w:color w:val="auto"/>
                      <w:sz w:val="18"/>
                      <w:szCs w:val="18"/>
                      <w:highlight w:val="none"/>
                    </w:rPr>
                    <w:t>粉尘排放</w:t>
                  </w:r>
                </w:p>
              </w:tc>
              <w:tc>
                <w:tcPr>
                  <w:tcW w:w="1611" w:type="dxa"/>
                  <w:tcBorders>
                    <w:tl2br w:val="nil"/>
                    <w:tr2bl w:val="nil"/>
                  </w:tcBorders>
                  <w:vAlign w:val="center"/>
                </w:tcPr>
                <w:p w14:paraId="6068A707">
                  <w:pPr>
                    <w:adjustRightInd w:val="0"/>
                    <w:snapToGrid w:val="0"/>
                    <w:jc w:val="center"/>
                    <w:rPr>
                      <w:color w:val="auto"/>
                      <w:sz w:val="18"/>
                      <w:szCs w:val="18"/>
                      <w:highlight w:val="none"/>
                    </w:rPr>
                  </w:pPr>
                  <w:r>
                    <w:rPr>
                      <w:rFonts w:hint="eastAsia"/>
                      <w:color w:val="auto"/>
                      <w:sz w:val="18"/>
                      <w:szCs w:val="18"/>
                      <w:highlight w:val="none"/>
                    </w:rPr>
                    <w:t>0.571</w:t>
                  </w:r>
                </w:p>
              </w:tc>
            </w:tr>
            <w:tr w14:paraId="62B7B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87" w:type="dxa"/>
                  <w:tcBorders>
                    <w:tl2br w:val="nil"/>
                    <w:tr2bl w:val="nil"/>
                  </w:tcBorders>
                  <w:vAlign w:val="center"/>
                </w:tcPr>
                <w:p w14:paraId="24D4F442">
                  <w:pPr>
                    <w:adjustRightInd w:val="0"/>
                    <w:snapToGrid w:val="0"/>
                    <w:jc w:val="center"/>
                    <w:rPr>
                      <w:color w:val="auto"/>
                      <w:sz w:val="18"/>
                      <w:szCs w:val="18"/>
                      <w:highlight w:val="none"/>
                    </w:rPr>
                  </w:pPr>
                  <w:r>
                    <w:rPr>
                      <w:rFonts w:hint="eastAsia"/>
                      <w:color w:val="auto"/>
                      <w:sz w:val="18"/>
                      <w:szCs w:val="18"/>
                      <w:highlight w:val="none"/>
                    </w:rPr>
                    <w:t>9</w:t>
                  </w:r>
                </w:p>
              </w:tc>
              <w:tc>
                <w:tcPr>
                  <w:tcW w:w="2452" w:type="dxa"/>
                  <w:tcBorders>
                    <w:tl2br w:val="nil"/>
                    <w:tr2bl w:val="nil"/>
                  </w:tcBorders>
                  <w:vAlign w:val="center"/>
                </w:tcPr>
                <w:p w14:paraId="13410C36">
                  <w:pPr>
                    <w:adjustRightInd w:val="0"/>
                    <w:snapToGrid w:val="0"/>
                    <w:jc w:val="center"/>
                    <w:rPr>
                      <w:color w:val="auto"/>
                      <w:sz w:val="18"/>
                      <w:szCs w:val="18"/>
                      <w:highlight w:val="none"/>
                    </w:rPr>
                  </w:pPr>
                  <w:r>
                    <w:rPr>
                      <w:rFonts w:hint="eastAsia"/>
                      <w:color w:val="auto"/>
                      <w:sz w:val="18"/>
                      <w:szCs w:val="18"/>
                      <w:highlight w:val="none"/>
                    </w:rPr>
                    <w:t>合计</w:t>
                  </w:r>
                </w:p>
              </w:tc>
              <w:tc>
                <w:tcPr>
                  <w:tcW w:w="1620" w:type="dxa"/>
                  <w:tcBorders>
                    <w:tl2br w:val="nil"/>
                    <w:tr2bl w:val="nil"/>
                  </w:tcBorders>
                  <w:vAlign w:val="center"/>
                </w:tcPr>
                <w:p w14:paraId="1501E865">
                  <w:pPr>
                    <w:adjustRightInd w:val="0"/>
                    <w:snapToGrid w:val="0"/>
                    <w:jc w:val="center"/>
                    <w:rPr>
                      <w:color w:val="auto"/>
                      <w:sz w:val="18"/>
                      <w:szCs w:val="18"/>
                      <w:highlight w:val="none"/>
                    </w:rPr>
                  </w:pPr>
                  <w:r>
                    <w:rPr>
                      <w:rFonts w:hint="eastAsia"/>
                      <w:color w:val="auto"/>
                      <w:sz w:val="18"/>
                      <w:szCs w:val="18"/>
                      <w:highlight w:val="none"/>
                    </w:rPr>
                    <w:t>303800.571</w:t>
                  </w:r>
                </w:p>
              </w:tc>
              <w:tc>
                <w:tcPr>
                  <w:tcW w:w="1620" w:type="dxa"/>
                  <w:tcBorders>
                    <w:tl2br w:val="nil"/>
                    <w:tr2bl w:val="nil"/>
                  </w:tcBorders>
                  <w:shd w:val="clear" w:color="auto" w:fill="auto"/>
                  <w:vAlign w:val="center"/>
                </w:tcPr>
                <w:p w14:paraId="21B639BA">
                  <w:pPr>
                    <w:adjustRightInd w:val="0"/>
                    <w:snapToGrid w:val="0"/>
                    <w:jc w:val="center"/>
                    <w:rPr>
                      <w:color w:val="auto"/>
                      <w:sz w:val="18"/>
                      <w:szCs w:val="18"/>
                      <w:highlight w:val="none"/>
                    </w:rPr>
                  </w:pPr>
                  <w:r>
                    <w:rPr>
                      <w:rFonts w:hint="eastAsia"/>
                      <w:color w:val="auto"/>
                      <w:sz w:val="18"/>
                      <w:szCs w:val="18"/>
                      <w:highlight w:val="none"/>
                    </w:rPr>
                    <w:t>合计</w:t>
                  </w:r>
                </w:p>
              </w:tc>
              <w:tc>
                <w:tcPr>
                  <w:tcW w:w="1611" w:type="dxa"/>
                  <w:tcBorders>
                    <w:tl2br w:val="nil"/>
                    <w:tr2bl w:val="nil"/>
                  </w:tcBorders>
                  <w:shd w:val="clear" w:color="auto" w:fill="auto"/>
                  <w:vAlign w:val="center"/>
                </w:tcPr>
                <w:p w14:paraId="1F70EAE2">
                  <w:pPr>
                    <w:adjustRightInd w:val="0"/>
                    <w:snapToGrid w:val="0"/>
                    <w:jc w:val="center"/>
                    <w:rPr>
                      <w:color w:val="auto"/>
                      <w:sz w:val="18"/>
                      <w:szCs w:val="18"/>
                      <w:highlight w:val="none"/>
                    </w:rPr>
                  </w:pPr>
                  <w:r>
                    <w:rPr>
                      <w:rFonts w:hint="eastAsia"/>
                      <w:color w:val="auto"/>
                      <w:sz w:val="18"/>
                      <w:szCs w:val="18"/>
                      <w:highlight w:val="none"/>
                    </w:rPr>
                    <w:t>303800.571</w:t>
                  </w:r>
                </w:p>
              </w:tc>
            </w:tr>
          </w:tbl>
          <w:p w14:paraId="24AC4E24">
            <w:pPr>
              <w:adjustRightInd w:val="0"/>
              <w:snapToGrid w:val="0"/>
              <w:jc w:val="center"/>
              <w:rPr>
                <w:b/>
                <w:bCs/>
                <w:color w:val="auto"/>
                <w:szCs w:val="21"/>
                <w:highlight w:val="none"/>
              </w:rPr>
            </w:pPr>
            <w:r>
              <w:rPr>
                <w:rFonts w:hint="eastAsia"/>
                <w:b/>
                <w:bCs/>
                <w:color w:val="auto"/>
                <w:szCs w:val="21"/>
                <w:highlight w:val="none"/>
              </w:rPr>
              <w:t>表2-15 秸秆粉碎物料平衡表</w:t>
            </w:r>
          </w:p>
          <w:tbl>
            <w:tblPr>
              <w:tblStyle w:val="23"/>
              <w:tblW w:w="813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450"/>
              <w:gridCol w:w="1617"/>
              <w:gridCol w:w="1616"/>
              <w:gridCol w:w="1672"/>
            </w:tblGrid>
            <w:tr w14:paraId="1F21F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780" w:type="dxa"/>
                  <w:vMerge w:val="restart"/>
                  <w:tcBorders>
                    <w:tl2br w:val="nil"/>
                    <w:tr2bl w:val="nil"/>
                  </w:tcBorders>
                  <w:vAlign w:val="center"/>
                </w:tcPr>
                <w:p w14:paraId="7FD5D7CD">
                  <w:pPr>
                    <w:widowControl/>
                    <w:adjustRightInd w:val="0"/>
                    <w:snapToGrid w:val="0"/>
                    <w:jc w:val="center"/>
                    <w:rPr>
                      <w:color w:val="auto"/>
                      <w:sz w:val="18"/>
                      <w:szCs w:val="18"/>
                      <w:highlight w:val="none"/>
                    </w:rPr>
                  </w:pPr>
                  <w:r>
                    <w:rPr>
                      <w:color w:val="auto"/>
                      <w:kern w:val="0"/>
                      <w:sz w:val="18"/>
                      <w:szCs w:val="18"/>
                      <w:highlight w:val="none"/>
                    </w:rPr>
                    <w:t>序号</w:t>
                  </w:r>
                </w:p>
              </w:tc>
              <w:tc>
                <w:tcPr>
                  <w:tcW w:w="4067" w:type="dxa"/>
                  <w:gridSpan w:val="2"/>
                  <w:tcBorders>
                    <w:tl2br w:val="nil"/>
                    <w:tr2bl w:val="nil"/>
                  </w:tcBorders>
                  <w:vAlign w:val="center"/>
                </w:tcPr>
                <w:p w14:paraId="3ECB26FB">
                  <w:pPr>
                    <w:widowControl/>
                    <w:adjustRightInd w:val="0"/>
                    <w:snapToGrid w:val="0"/>
                    <w:jc w:val="center"/>
                    <w:rPr>
                      <w:color w:val="auto"/>
                      <w:sz w:val="18"/>
                      <w:szCs w:val="18"/>
                      <w:highlight w:val="none"/>
                    </w:rPr>
                  </w:pPr>
                  <w:r>
                    <w:rPr>
                      <w:color w:val="auto"/>
                      <w:kern w:val="0"/>
                      <w:sz w:val="18"/>
                      <w:szCs w:val="18"/>
                      <w:highlight w:val="none"/>
                    </w:rPr>
                    <w:t>输入系统物料</w:t>
                  </w:r>
                </w:p>
              </w:tc>
              <w:tc>
                <w:tcPr>
                  <w:tcW w:w="3288" w:type="dxa"/>
                  <w:gridSpan w:val="2"/>
                  <w:tcBorders>
                    <w:tl2br w:val="nil"/>
                    <w:tr2bl w:val="nil"/>
                  </w:tcBorders>
                  <w:vAlign w:val="center"/>
                </w:tcPr>
                <w:p w14:paraId="1A74E8E6">
                  <w:pPr>
                    <w:widowControl/>
                    <w:adjustRightInd w:val="0"/>
                    <w:snapToGrid w:val="0"/>
                    <w:jc w:val="center"/>
                    <w:rPr>
                      <w:color w:val="auto"/>
                      <w:sz w:val="18"/>
                      <w:szCs w:val="18"/>
                      <w:highlight w:val="none"/>
                    </w:rPr>
                  </w:pPr>
                  <w:r>
                    <w:rPr>
                      <w:color w:val="auto"/>
                      <w:kern w:val="0"/>
                      <w:sz w:val="18"/>
                      <w:szCs w:val="18"/>
                      <w:highlight w:val="none"/>
                    </w:rPr>
                    <w:t>产出物料</w:t>
                  </w:r>
                </w:p>
              </w:tc>
            </w:tr>
            <w:tr w14:paraId="2B4EF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780" w:type="dxa"/>
                  <w:vMerge w:val="continue"/>
                  <w:tcBorders>
                    <w:tl2br w:val="nil"/>
                    <w:tr2bl w:val="nil"/>
                  </w:tcBorders>
                  <w:vAlign w:val="center"/>
                </w:tcPr>
                <w:p w14:paraId="4358F862">
                  <w:pPr>
                    <w:adjustRightInd w:val="0"/>
                    <w:snapToGrid w:val="0"/>
                    <w:jc w:val="center"/>
                    <w:rPr>
                      <w:color w:val="auto"/>
                      <w:sz w:val="18"/>
                      <w:szCs w:val="18"/>
                      <w:highlight w:val="none"/>
                    </w:rPr>
                  </w:pPr>
                </w:p>
              </w:tc>
              <w:tc>
                <w:tcPr>
                  <w:tcW w:w="2450" w:type="dxa"/>
                  <w:tcBorders>
                    <w:tl2br w:val="nil"/>
                    <w:tr2bl w:val="nil"/>
                  </w:tcBorders>
                  <w:vAlign w:val="center"/>
                </w:tcPr>
                <w:p w14:paraId="24624DAE">
                  <w:pPr>
                    <w:widowControl/>
                    <w:adjustRightInd w:val="0"/>
                    <w:snapToGrid w:val="0"/>
                    <w:jc w:val="center"/>
                    <w:rPr>
                      <w:color w:val="auto"/>
                      <w:sz w:val="18"/>
                      <w:szCs w:val="18"/>
                      <w:highlight w:val="none"/>
                    </w:rPr>
                  </w:pPr>
                  <w:r>
                    <w:rPr>
                      <w:color w:val="auto"/>
                      <w:kern w:val="0"/>
                      <w:sz w:val="18"/>
                      <w:szCs w:val="18"/>
                      <w:highlight w:val="none"/>
                    </w:rPr>
                    <w:t>名称</w:t>
                  </w:r>
                </w:p>
              </w:tc>
              <w:tc>
                <w:tcPr>
                  <w:tcW w:w="1617" w:type="dxa"/>
                  <w:tcBorders>
                    <w:tl2br w:val="nil"/>
                    <w:tr2bl w:val="nil"/>
                  </w:tcBorders>
                  <w:vAlign w:val="center"/>
                </w:tcPr>
                <w:p w14:paraId="0204BC75">
                  <w:pPr>
                    <w:widowControl/>
                    <w:adjustRightInd w:val="0"/>
                    <w:snapToGrid w:val="0"/>
                    <w:jc w:val="center"/>
                    <w:rPr>
                      <w:color w:val="auto"/>
                      <w:sz w:val="18"/>
                      <w:szCs w:val="18"/>
                      <w:highlight w:val="none"/>
                    </w:rPr>
                  </w:pPr>
                  <w:r>
                    <w:rPr>
                      <w:color w:val="auto"/>
                      <w:kern w:val="0"/>
                      <w:sz w:val="18"/>
                      <w:szCs w:val="18"/>
                      <w:highlight w:val="none"/>
                    </w:rPr>
                    <w:t>消耗量（t/a）</w:t>
                  </w:r>
                </w:p>
              </w:tc>
              <w:tc>
                <w:tcPr>
                  <w:tcW w:w="1616" w:type="dxa"/>
                  <w:tcBorders>
                    <w:tl2br w:val="nil"/>
                    <w:tr2bl w:val="nil"/>
                  </w:tcBorders>
                  <w:vAlign w:val="center"/>
                </w:tcPr>
                <w:p w14:paraId="6B5DB8AF">
                  <w:pPr>
                    <w:widowControl/>
                    <w:adjustRightInd w:val="0"/>
                    <w:snapToGrid w:val="0"/>
                    <w:jc w:val="center"/>
                    <w:rPr>
                      <w:color w:val="auto"/>
                      <w:sz w:val="18"/>
                      <w:szCs w:val="18"/>
                      <w:highlight w:val="none"/>
                    </w:rPr>
                  </w:pPr>
                  <w:r>
                    <w:rPr>
                      <w:color w:val="auto"/>
                      <w:kern w:val="0"/>
                      <w:sz w:val="18"/>
                      <w:szCs w:val="18"/>
                      <w:highlight w:val="none"/>
                    </w:rPr>
                    <w:t>名称</w:t>
                  </w:r>
                </w:p>
              </w:tc>
              <w:tc>
                <w:tcPr>
                  <w:tcW w:w="1672" w:type="dxa"/>
                  <w:tcBorders>
                    <w:tl2br w:val="nil"/>
                    <w:tr2bl w:val="nil"/>
                  </w:tcBorders>
                  <w:vAlign w:val="center"/>
                </w:tcPr>
                <w:p w14:paraId="3ECF10FA">
                  <w:pPr>
                    <w:widowControl/>
                    <w:adjustRightInd w:val="0"/>
                    <w:snapToGrid w:val="0"/>
                    <w:jc w:val="center"/>
                    <w:rPr>
                      <w:color w:val="auto"/>
                      <w:sz w:val="18"/>
                      <w:szCs w:val="18"/>
                      <w:highlight w:val="none"/>
                    </w:rPr>
                  </w:pPr>
                  <w:r>
                    <w:rPr>
                      <w:color w:val="auto"/>
                      <w:kern w:val="0"/>
                      <w:sz w:val="18"/>
                      <w:szCs w:val="18"/>
                      <w:highlight w:val="none"/>
                    </w:rPr>
                    <w:t>产生量（t/a）</w:t>
                  </w:r>
                </w:p>
              </w:tc>
            </w:tr>
            <w:tr w14:paraId="7F742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25722082">
                  <w:pPr>
                    <w:adjustRightInd w:val="0"/>
                    <w:snapToGrid w:val="0"/>
                    <w:jc w:val="center"/>
                    <w:rPr>
                      <w:color w:val="auto"/>
                      <w:sz w:val="18"/>
                      <w:szCs w:val="18"/>
                      <w:highlight w:val="none"/>
                    </w:rPr>
                  </w:pPr>
                  <w:r>
                    <w:rPr>
                      <w:rFonts w:hint="eastAsia"/>
                      <w:color w:val="auto"/>
                      <w:sz w:val="18"/>
                      <w:szCs w:val="18"/>
                      <w:highlight w:val="none"/>
                    </w:rPr>
                    <w:t>1</w:t>
                  </w:r>
                </w:p>
              </w:tc>
              <w:tc>
                <w:tcPr>
                  <w:tcW w:w="2450" w:type="dxa"/>
                  <w:vMerge w:val="restart"/>
                  <w:tcBorders>
                    <w:tl2br w:val="nil"/>
                    <w:tr2bl w:val="nil"/>
                  </w:tcBorders>
                  <w:vAlign w:val="center"/>
                </w:tcPr>
                <w:p w14:paraId="4885C950">
                  <w:pPr>
                    <w:adjustRightInd w:val="0"/>
                    <w:snapToGrid w:val="0"/>
                    <w:jc w:val="center"/>
                    <w:rPr>
                      <w:color w:val="auto"/>
                      <w:sz w:val="18"/>
                      <w:szCs w:val="18"/>
                      <w:highlight w:val="none"/>
                    </w:rPr>
                  </w:pPr>
                  <w:r>
                    <w:rPr>
                      <w:rFonts w:hint="eastAsia"/>
                      <w:color w:val="auto"/>
                      <w:sz w:val="18"/>
                      <w:szCs w:val="18"/>
                      <w:highlight w:val="none"/>
                    </w:rPr>
                    <w:t>秸秆</w:t>
                  </w:r>
                </w:p>
              </w:tc>
              <w:tc>
                <w:tcPr>
                  <w:tcW w:w="1617" w:type="dxa"/>
                  <w:vMerge w:val="restart"/>
                  <w:tcBorders>
                    <w:tl2br w:val="nil"/>
                    <w:tr2bl w:val="nil"/>
                  </w:tcBorders>
                  <w:vAlign w:val="center"/>
                </w:tcPr>
                <w:p w14:paraId="6789C27A">
                  <w:pPr>
                    <w:adjustRightInd w:val="0"/>
                    <w:snapToGrid w:val="0"/>
                    <w:jc w:val="center"/>
                    <w:rPr>
                      <w:color w:val="auto"/>
                      <w:sz w:val="18"/>
                      <w:szCs w:val="18"/>
                      <w:highlight w:val="none"/>
                    </w:rPr>
                  </w:pPr>
                  <w:r>
                    <w:rPr>
                      <w:rFonts w:hint="eastAsia"/>
                      <w:color w:val="auto"/>
                      <w:sz w:val="18"/>
                      <w:szCs w:val="18"/>
                      <w:highlight w:val="none"/>
                    </w:rPr>
                    <w:t>17800</w:t>
                  </w:r>
                </w:p>
              </w:tc>
              <w:tc>
                <w:tcPr>
                  <w:tcW w:w="1616" w:type="dxa"/>
                  <w:tcBorders>
                    <w:tl2br w:val="nil"/>
                    <w:tr2bl w:val="nil"/>
                  </w:tcBorders>
                  <w:shd w:val="clear" w:color="auto" w:fill="auto"/>
                  <w:vAlign w:val="center"/>
                </w:tcPr>
                <w:p w14:paraId="35C1A60A">
                  <w:pPr>
                    <w:adjustRightInd w:val="0"/>
                    <w:snapToGrid w:val="0"/>
                    <w:jc w:val="center"/>
                    <w:rPr>
                      <w:color w:val="auto"/>
                      <w:sz w:val="18"/>
                      <w:szCs w:val="18"/>
                      <w:highlight w:val="none"/>
                    </w:rPr>
                  </w:pPr>
                  <w:r>
                    <w:rPr>
                      <w:rFonts w:hint="eastAsia"/>
                      <w:color w:val="auto"/>
                      <w:sz w:val="18"/>
                      <w:szCs w:val="18"/>
                      <w:highlight w:val="none"/>
                    </w:rPr>
                    <w:t>秸秆（粉碎后）</w:t>
                  </w:r>
                </w:p>
              </w:tc>
              <w:tc>
                <w:tcPr>
                  <w:tcW w:w="1672" w:type="dxa"/>
                  <w:tcBorders>
                    <w:tl2br w:val="nil"/>
                    <w:tr2bl w:val="nil"/>
                  </w:tcBorders>
                  <w:vAlign w:val="center"/>
                </w:tcPr>
                <w:p w14:paraId="0860BB6A">
                  <w:pPr>
                    <w:adjustRightInd w:val="0"/>
                    <w:snapToGrid w:val="0"/>
                    <w:jc w:val="center"/>
                    <w:rPr>
                      <w:color w:val="auto"/>
                      <w:sz w:val="18"/>
                      <w:szCs w:val="18"/>
                      <w:highlight w:val="none"/>
                    </w:rPr>
                  </w:pPr>
                  <w:r>
                    <w:rPr>
                      <w:rFonts w:hint="eastAsia"/>
                      <w:color w:val="auto"/>
                      <w:sz w:val="18"/>
                      <w:szCs w:val="18"/>
                      <w:highlight w:val="none"/>
                    </w:rPr>
                    <w:t>17799.875</w:t>
                  </w:r>
                </w:p>
              </w:tc>
            </w:tr>
            <w:tr w14:paraId="58C01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80" w:type="dxa"/>
                  <w:tcBorders>
                    <w:tl2br w:val="nil"/>
                    <w:tr2bl w:val="nil"/>
                  </w:tcBorders>
                  <w:vAlign w:val="center"/>
                </w:tcPr>
                <w:p w14:paraId="78AEE9D7">
                  <w:pPr>
                    <w:adjustRightInd w:val="0"/>
                    <w:snapToGrid w:val="0"/>
                    <w:jc w:val="center"/>
                    <w:rPr>
                      <w:color w:val="auto"/>
                      <w:sz w:val="18"/>
                      <w:szCs w:val="18"/>
                      <w:highlight w:val="none"/>
                    </w:rPr>
                  </w:pPr>
                  <w:r>
                    <w:rPr>
                      <w:rFonts w:hint="eastAsia"/>
                      <w:color w:val="auto"/>
                      <w:sz w:val="18"/>
                      <w:szCs w:val="18"/>
                      <w:highlight w:val="none"/>
                    </w:rPr>
                    <w:t>2</w:t>
                  </w:r>
                </w:p>
              </w:tc>
              <w:tc>
                <w:tcPr>
                  <w:tcW w:w="2450" w:type="dxa"/>
                  <w:vMerge w:val="continue"/>
                  <w:tcBorders>
                    <w:tl2br w:val="nil"/>
                    <w:tr2bl w:val="nil"/>
                  </w:tcBorders>
                  <w:vAlign w:val="center"/>
                </w:tcPr>
                <w:p w14:paraId="00635749">
                  <w:pPr>
                    <w:adjustRightInd w:val="0"/>
                    <w:snapToGrid w:val="0"/>
                    <w:jc w:val="center"/>
                    <w:rPr>
                      <w:color w:val="auto"/>
                      <w:sz w:val="18"/>
                      <w:szCs w:val="18"/>
                      <w:highlight w:val="none"/>
                    </w:rPr>
                  </w:pPr>
                </w:p>
              </w:tc>
              <w:tc>
                <w:tcPr>
                  <w:tcW w:w="1617" w:type="dxa"/>
                  <w:vMerge w:val="continue"/>
                  <w:tcBorders>
                    <w:tl2br w:val="nil"/>
                    <w:tr2bl w:val="nil"/>
                  </w:tcBorders>
                  <w:vAlign w:val="center"/>
                </w:tcPr>
                <w:p w14:paraId="74CDF931">
                  <w:pPr>
                    <w:adjustRightInd w:val="0"/>
                    <w:snapToGrid w:val="0"/>
                    <w:jc w:val="center"/>
                    <w:rPr>
                      <w:color w:val="auto"/>
                      <w:sz w:val="18"/>
                      <w:szCs w:val="18"/>
                      <w:highlight w:val="none"/>
                    </w:rPr>
                  </w:pPr>
                </w:p>
              </w:tc>
              <w:tc>
                <w:tcPr>
                  <w:tcW w:w="1616" w:type="dxa"/>
                  <w:tcBorders>
                    <w:tl2br w:val="nil"/>
                    <w:tr2bl w:val="nil"/>
                  </w:tcBorders>
                  <w:shd w:val="clear" w:color="auto" w:fill="auto"/>
                  <w:vAlign w:val="center"/>
                </w:tcPr>
                <w:p w14:paraId="2F34E074">
                  <w:pPr>
                    <w:adjustRightInd w:val="0"/>
                    <w:snapToGrid w:val="0"/>
                    <w:jc w:val="center"/>
                    <w:rPr>
                      <w:color w:val="auto"/>
                      <w:sz w:val="18"/>
                      <w:szCs w:val="18"/>
                      <w:highlight w:val="none"/>
                    </w:rPr>
                  </w:pPr>
                  <w:r>
                    <w:rPr>
                      <w:rFonts w:hint="eastAsia"/>
                      <w:color w:val="auto"/>
                      <w:sz w:val="18"/>
                      <w:szCs w:val="18"/>
                      <w:highlight w:val="none"/>
                    </w:rPr>
                    <w:t>粉尘排放</w:t>
                  </w:r>
                </w:p>
              </w:tc>
              <w:tc>
                <w:tcPr>
                  <w:tcW w:w="1672" w:type="dxa"/>
                  <w:tcBorders>
                    <w:tl2br w:val="nil"/>
                    <w:tr2bl w:val="nil"/>
                  </w:tcBorders>
                  <w:vAlign w:val="center"/>
                </w:tcPr>
                <w:p w14:paraId="1126B810">
                  <w:pPr>
                    <w:adjustRightInd w:val="0"/>
                    <w:snapToGrid w:val="0"/>
                    <w:jc w:val="center"/>
                    <w:rPr>
                      <w:color w:val="auto"/>
                      <w:sz w:val="18"/>
                      <w:szCs w:val="18"/>
                      <w:highlight w:val="none"/>
                    </w:rPr>
                  </w:pPr>
                  <w:r>
                    <w:rPr>
                      <w:rFonts w:hint="eastAsia"/>
                      <w:color w:val="auto"/>
                      <w:sz w:val="18"/>
                      <w:szCs w:val="18"/>
                      <w:highlight w:val="none"/>
                    </w:rPr>
                    <w:t>0.125</w:t>
                  </w:r>
                </w:p>
              </w:tc>
            </w:tr>
            <w:tr w14:paraId="46368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780" w:type="dxa"/>
                  <w:tcBorders>
                    <w:tl2br w:val="nil"/>
                    <w:tr2bl w:val="nil"/>
                  </w:tcBorders>
                  <w:vAlign w:val="center"/>
                </w:tcPr>
                <w:p w14:paraId="003E0136">
                  <w:pPr>
                    <w:adjustRightInd w:val="0"/>
                    <w:snapToGrid w:val="0"/>
                    <w:jc w:val="center"/>
                    <w:rPr>
                      <w:color w:val="auto"/>
                      <w:sz w:val="18"/>
                      <w:szCs w:val="18"/>
                      <w:highlight w:val="none"/>
                    </w:rPr>
                  </w:pPr>
                  <w:r>
                    <w:rPr>
                      <w:rFonts w:hint="eastAsia"/>
                      <w:color w:val="auto"/>
                      <w:sz w:val="18"/>
                      <w:szCs w:val="18"/>
                      <w:highlight w:val="none"/>
                    </w:rPr>
                    <w:t>3</w:t>
                  </w:r>
                </w:p>
              </w:tc>
              <w:tc>
                <w:tcPr>
                  <w:tcW w:w="2450" w:type="dxa"/>
                  <w:tcBorders>
                    <w:tl2br w:val="nil"/>
                    <w:tr2bl w:val="nil"/>
                  </w:tcBorders>
                  <w:vAlign w:val="center"/>
                </w:tcPr>
                <w:p w14:paraId="49830FB9">
                  <w:pPr>
                    <w:adjustRightInd w:val="0"/>
                    <w:snapToGrid w:val="0"/>
                    <w:jc w:val="center"/>
                    <w:rPr>
                      <w:color w:val="auto"/>
                      <w:sz w:val="18"/>
                      <w:szCs w:val="18"/>
                      <w:highlight w:val="none"/>
                    </w:rPr>
                  </w:pPr>
                  <w:r>
                    <w:rPr>
                      <w:color w:val="auto"/>
                      <w:sz w:val="18"/>
                      <w:szCs w:val="18"/>
                      <w:highlight w:val="none"/>
                    </w:rPr>
                    <w:t>合计</w:t>
                  </w:r>
                </w:p>
              </w:tc>
              <w:tc>
                <w:tcPr>
                  <w:tcW w:w="1617" w:type="dxa"/>
                  <w:tcBorders>
                    <w:tl2br w:val="nil"/>
                    <w:tr2bl w:val="nil"/>
                  </w:tcBorders>
                  <w:vAlign w:val="center"/>
                </w:tcPr>
                <w:p w14:paraId="799AC627">
                  <w:pPr>
                    <w:adjustRightInd w:val="0"/>
                    <w:snapToGrid w:val="0"/>
                    <w:jc w:val="center"/>
                    <w:rPr>
                      <w:color w:val="auto"/>
                      <w:sz w:val="18"/>
                      <w:szCs w:val="18"/>
                      <w:highlight w:val="none"/>
                    </w:rPr>
                  </w:pPr>
                  <w:r>
                    <w:rPr>
                      <w:rFonts w:hint="eastAsia"/>
                      <w:color w:val="auto"/>
                      <w:sz w:val="18"/>
                      <w:szCs w:val="18"/>
                      <w:highlight w:val="none"/>
                    </w:rPr>
                    <w:t>17800</w:t>
                  </w:r>
                </w:p>
              </w:tc>
              <w:tc>
                <w:tcPr>
                  <w:tcW w:w="1616" w:type="dxa"/>
                  <w:tcBorders>
                    <w:tl2br w:val="nil"/>
                    <w:tr2bl w:val="nil"/>
                  </w:tcBorders>
                  <w:vAlign w:val="center"/>
                </w:tcPr>
                <w:p w14:paraId="5695663F">
                  <w:pPr>
                    <w:adjustRightInd w:val="0"/>
                    <w:snapToGrid w:val="0"/>
                    <w:jc w:val="center"/>
                    <w:rPr>
                      <w:color w:val="auto"/>
                      <w:sz w:val="18"/>
                      <w:szCs w:val="18"/>
                      <w:highlight w:val="none"/>
                    </w:rPr>
                  </w:pPr>
                  <w:r>
                    <w:rPr>
                      <w:color w:val="auto"/>
                      <w:sz w:val="18"/>
                      <w:szCs w:val="18"/>
                      <w:highlight w:val="none"/>
                    </w:rPr>
                    <w:t>合计</w:t>
                  </w:r>
                </w:p>
              </w:tc>
              <w:tc>
                <w:tcPr>
                  <w:tcW w:w="1672" w:type="dxa"/>
                  <w:tcBorders>
                    <w:tl2br w:val="nil"/>
                    <w:tr2bl w:val="nil"/>
                  </w:tcBorders>
                  <w:vAlign w:val="center"/>
                </w:tcPr>
                <w:p w14:paraId="0217A78A">
                  <w:pPr>
                    <w:adjustRightInd w:val="0"/>
                    <w:snapToGrid w:val="0"/>
                    <w:jc w:val="center"/>
                    <w:rPr>
                      <w:color w:val="auto"/>
                      <w:sz w:val="18"/>
                      <w:szCs w:val="18"/>
                      <w:highlight w:val="none"/>
                    </w:rPr>
                  </w:pPr>
                  <w:r>
                    <w:rPr>
                      <w:rFonts w:hint="eastAsia"/>
                      <w:color w:val="auto"/>
                      <w:sz w:val="18"/>
                      <w:szCs w:val="18"/>
                      <w:highlight w:val="none"/>
                    </w:rPr>
                    <w:t>17800</w:t>
                  </w:r>
                </w:p>
              </w:tc>
            </w:tr>
          </w:tbl>
          <w:p w14:paraId="4E6C6155">
            <w:pPr>
              <w:adjustRightInd w:val="0"/>
              <w:spacing w:line="360" w:lineRule="auto"/>
              <w:rPr>
                <w:rFonts w:eastAsia="仿宋_GB2312"/>
                <w:color w:val="auto"/>
                <w:szCs w:val="21"/>
                <w:highlight w:val="none"/>
              </w:rPr>
            </w:pPr>
            <w:r>
              <w:rPr>
                <w:rFonts w:hint="eastAsia"/>
                <w:b/>
                <w:bCs/>
                <w:color w:val="auto"/>
                <w:szCs w:val="21"/>
                <w:highlight w:val="none"/>
              </w:rPr>
              <w:t>7</w:t>
            </w:r>
            <w:r>
              <w:rPr>
                <w:b/>
                <w:bCs/>
                <w:color w:val="auto"/>
                <w:szCs w:val="21"/>
                <w:highlight w:val="none"/>
              </w:rPr>
              <w:t>、工作制度及劳动定员</w:t>
            </w:r>
          </w:p>
          <w:p w14:paraId="6781CBC1">
            <w:pPr>
              <w:tabs>
                <w:tab w:val="left" w:pos="630"/>
              </w:tabs>
              <w:spacing w:line="360" w:lineRule="auto"/>
              <w:ind w:firstLine="420" w:firstLineChars="200"/>
              <w:rPr>
                <w:rFonts w:hint="default" w:eastAsia="宋体"/>
                <w:snapToGrid w:val="0"/>
                <w:color w:val="auto"/>
                <w:kern w:val="0"/>
                <w:szCs w:val="21"/>
                <w:highlight w:val="none"/>
                <w:lang w:val="en-US" w:eastAsia="zh-CN"/>
              </w:rPr>
            </w:pPr>
            <w:r>
              <w:rPr>
                <w:color w:val="auto"/>
                <w:szCs w:val="21"/>
                <w:highlight w:val="none"/>
              </w:rPr>
              <w:t>本项目年</w:t>
            </w:r>
            <w:r>
              <w:rPr>
                <w:rFonts w:hint="eastAsia"/>
                <w:color w:val="auto"/>
                <w:szCs w:val="21"/>
                <w:highlight w:val="none"/>
              </w:rPr>
              <w:t>生产240</w:t>
            </w:r>
            <w:r>
              <w:rPr>
                <w:color w:val="auto"/>
                <w:szCs w:val="21"/>
                <w:highlight w:val="none"/>
              </w:rPr>
              <w:t>天，</w:t>
            </w:r>
            <w:r>
              <w:rPr>
                <w:rFonts w:hint="eastAsia"/>
                <w:color w:val="auto"/>
                <w:szCs w:val="21"/>
                <w:highlight w:val="none"/>
              </w:rPr>
              <w:t>2班制，每班</w:t>
            </w:r>
            <w:r>
              <w:rPr>
                <w:color w:val="auto"/>
                <w:szCs w:val="21"/>
                <w:highlight w:val="none"/>
              </w:rPr>
              <w:t>工作</w:t>
            </w:r>
            <w:r>
              <w:rPr>
                <w:rFonts w:hint="eastAsia"/>
                <w:color w:val="auto"/>
                <w:szCs w:val="21"/>
                <w:highlight w:val="none"/>
              </w:rPr>
              <w:t>12</w:t>
            </w:r>
            <w:r>
              <w:rPr>
                <w:color w:val="auto"/>
                <w:szCs w:val="21"/>
                <w:highlight w:val="none"/>
              </w:rPr>
              <w:t>h，</w:t>
            </w:r>
            <w:r>
              <w:rPr>
                <w:rFonts w:hint="eastAsia"/>
                <w:color w:val="auto"/>
                <w:szCs w:val="21"/>
                <w:highlight w:val="none"/>
              </w:rPr>
              <w:t>现有劳动定员16人，</w:t>
            </w:r>
            <w:r>
              <w:rPr>
                <w:rFonts w:hint="eastAsia"/>
                <w:color w:val="auto"/>
                <w:szCs w:val="21"/>
                <w:highlight w:val="none"/>
                <w:lang w:eastAsia="zh-CN"/>
              </w:rPr>
              <w:t>工作人员为附近城镇居民，</w:t>
            </w:r>
            <w:r>
              <w:rPr>
                <w:color w:val="auto"/>
                <w:szCs w:val="21"/>
                <w:highlight w:val="none"/>
              </w:rPr>
              <w:t>项目不设置食堂和宿舍</w:t>
            </w:r>
            <w:r>
              <w:rPr>
                <w:snapToGrid w:val="0"/>
                <w:color w:val="auto"/>
                <w:kern w:val="0"/>
                <w:szCs w:val="21"/>
                <w:highlight w:val="none"/>
              </w:rPr>
              <w:t>。</w:t>
            </w:r>
          </w:p>
          <w:p w14:paraId="0A38439B">
            <w:pPr>
              <w:pStyle w:val="8"/>
              <w:spacing w:line="360" w:lineRule="auto"/>
              <w:ind w:firstLine="0" w:firstLineChars="0"/>
              <w:rPr>
                <w:color w:val="auto"/>
                <w:szCs w:val="21"/>
                <w:highlight w:val="none"/>
              </w:rPr>
            </w:pPr>
            <w:r>
              <w:rPr>
                <w:rFonts w:hint="eastAsia"/>
                <w:b/>
                <w:bCs/>
                <w:color w:val="auto"/>
                <w:szCs w:val="21"/>
                <w:highlight w:val="none"/>
              </w:rPr>
              <w:t>8</w:t>
            </w:r>
            <w:r>
              <w:rPr>
                <w:b/>
                <w:bCs/>
                <w:color w:val="auto"/>
                <w:szCs w:val="21"/>
                <w:highlight w:val="none"/>
              </w:rPr>
              <w:t>、公用工程</w:t>
            </w:r>
          </w:p>
          <w:p w14:paraId="3BED1C6C">
            <w:pPr>
              <w:tabs>
                <w:tab w:val="left" w:pos="630"/>
              </w:tabs>
              <w:spacing w:line="360" w:lineRule="auto"/>
              <w:ind w:firstLine="420" w:firstLineChars="200"/>
              <w:rPr>
                <w:color w:val="auto"/>
                <w:szCs w:val="21"/>
                <w:highlight w:val="none"/>
              </w:rPr>
            </w:pPr>
            <w:r>
              <w:rPr>
                <w:rFonts w:hint="eastAsia"/>
                <w:color w:val="auto"/>
                <w:szCs w:val="21"/>
                <w:highlight w:val="none"/>
              </w:rPr>
              <w:t>（1）</w:t>
            </w:r>
            <w:r>
              <w:rPr>
                <w:color w:val="auto"/>
                <w:szCs w:val="21"/>
                <w:highlight w:val="none"/>
              </w:rPr>
              <w:t>给水</w:t>
            </w:r>
          </w:p>
          <w:p w14:paraId="6C77ECCC">
            <w:pPr>
              <w:tabs>
                <w:tab w:val="left" w:pos="630"/>
              </w:tabs>
              <w:spacing w:line="360" w:lineRule="auto"/>
              <w:ind w:firstLine="420" w:firstLineChars="200"/>
              <w:rPr>
                <w:color w:val="auto"/>
                <w:szCs w:val="21"/>
                <w:highlight w:val="none"/>
              </w:rPr>
            </w:pPr>
            <w:r>
              <w:rPr>
                <w:color w:val="auto"/>
                <w:szCs w:val="21"/>
                <w:highlight w:val="none"/>
              </w:rPr>
              <w:t>本项目</w:t>
            </w:r>
            <w:r>
              <w:rPr>
                <w:rFonts w:hint="eastAsia"/>
                <w:color w:val="auto"/>
                <w:szCs w:val="21"/>
                <w:highlight w:val="none"/>
              </w:rPr>
              <w:t>生产</w:t>
            </w:r>
            <w:r>
              <w:rPr>
                <w:color w:val="auto"/>
                <w:szCs w:val="21"/>
                <w:highlight w:val="none"/>
              </w:rPr>
              <w:t>用水主要包括浮选用水</w:t>
            </w:r>
            <w:r>
              <w:rPr>
                <w:rFonts w:hint="eastAsia"/>
                <w:color w:val="auto"/>
                <w:szCs w:val="21"/>
                <w:highlight w:val="none"/>
              </w:rPr>
              <w:t>，</w:t>
            </w:r>
            <w:r>
              <w:rPr>
                <w:color w:val="auto"/>
                <w:szCs w:val="21"/>
                <w:highlight w:val="none"/>
              </w:rPr>
              <w:t>厂内浇洒道路用水、堆场洒水降尘用水</w:t>
            </w:r>
            <w:r>
              <w:rPr>
                <w:rFonts w:hint="eastAsia"/>
                <w:color w:val="auto"/>
                <w:szCs w:val="21"/>
                <w:highlight w:val="none"/>
              </w:rPr>
              <w:t>，来自罐车拉运及初期雨水，</w:t>
            </w:r>
            <w:r>
              <w:rPr>
                <w:color w:val="auto"/>
                <w:szCs w:val="21"/>
                <w:highlight w:val="none"/>
              </w:rPr>
              <w:t>生活用水</w:t>
            </w:r>
            <w:r>
              <w:rPr>
                <w:rFonts w:hint="eastAsia"/>
                <w:color w:val="auto"/>
                <w:szCs w:val="21"/>
                <w:highlight w:val="none"/>
              </w:rPr>
              <w:t>来自外购桶装水</w:t>
            </w:r>
            <w:r>
              <w:rPr>
                <w:color w:val="auto"/>
                <w:szCs w:val="21"/>
                <w:highlight w:val="none"/>
              </w:rPr>
              <w:t>。</w:t>
            </w:r>
          </w:p>
          <w:p w14:paraId="067D885E">
            <w:pPr>
              <w:tabs>
                <w:tab w:val="left" w:pos="630"/>
              </w:tabs>
              <w:spacing w:line="360" w:lineRule="auto"/>
              <w:ind w:firstLine="420" w:firstLineChars="200"/>
              <w:rPr>
                <w:color w:val="auto"/>
                <w:szCs w:val="21"/>
                <w:highlight w:val="none"/>
              </w:rPr>
            </w:pPr>
            <w:r>
              <w:rPr>
                <w:rFonts w:hint="eastAsia"/>
                <w:color w:val="auto"/>
                <w:szCs w:val="21"/>
                <w:highlight w:val="none"/>
              </w:rPr>
              <w:t>①</w:t>
            </w:r>
            <w:r>
              <w:rPr>
                <w:color w:val="auto"/>
                <w:szCs w:val="21"/>
                <w:highlight w:val="none"/>
              </w:rPr>
              <w:t>生活用水</w:t>
            </w:r>
          </w:p>
          <w:p w14:paraId="015AF16A">
            <w:pPr>
              <w:tabs>
                <w:tab w:val="left" w:pos="630"/>
              </w:tabs>
              <w:spacing w:line="360" w:lineRule="auto"/>
              <w:ind w:firstLine="420" w:firstLineChars="200"/>
              <w:rPr>
                <w:rFonts w:hint="default" w:eastAsia="宋体"/>
                <w:color w:val="auto"/>
                <w:szCs w:val="21"/>
                <w:highlight w:val="none"/>
                <w:lang w:val="en-US" w:eastAsia="zh-CN"/>
              </w:rPr>
            </w:pPr>
            <w:r>
              <w:rPr>
                <w:rFonts w:hint="eastAsia"/>
                <w:color w:val="auto"/>
                <w:szCs w:val="21"/>
                <w:highlight w:val="none"/>
              </w:rPr>
              <w:t>本项目劳动定员16人，</w:t>
            </w:r>
            <w:r>
              <w:rPr>
                <w:rFonts w:hint="eastAsia"/>
                <w:bCs/>
                <w:color w:val="auto"/>
                <w:szCs w:val="21"/>
                <w:highlight w:val="none"/>
              </w:rPr>
              <w:t>根据《黑龙江省地方标准用水定额》（DB23/T727-2025），员工用水量为80（L/人·d），生活用水为1.28t/d，307.2t/a。</w:t>
            </w:r>
          </w:p>
          <w:p w14:paraId="16C4115D">
            <w:pPr>
              <w:tabs>
                <w:tab w:val="left" w:pos="630"/>
              </w:tabs>
              <w:spacing w:line="360" w:lineRule="auto"/>
              <w:ind w:firstLine="420" w:firstLineChars="200"/>
              <w:rPr>
                <w:color w:val="auto"/>
                <w:szCs w:val="21"/>
                <w:highlight w:val="none"/>
              </w:rPr>
            </w:pPr>
            <w:r>
              <w:rPr>
                <w:rFonts w:hint="eastAsia"/>
                <w:color w:val="auto"/>
                <w:szCs w:val="21"/>
                <w:highlight w:val="none"/>
              </w:rPr>
              <w:t>②</w:t>
            </w:r>
            <w:r>
              <w:rPr>
                <w:color w:val="auto"/>
                <w:szCs w:val="21"/>
                <w:highlight w:val="none"/>
              </w:rPr>
              <w:t>浮选用水</w:t>
            </w:r>
          </w:p>
          <w:p w14:paraId="70BAC759">
            <w:pPr>
              <w:tabs>
                <w:tab w:val="left" w:pos="630"/>
              </w:tabs>
              <w:spacing w:line="360" w:lineRule="auto"/>
              <w:ind w:firstLine="420" w:firstLineChars="200"/>
              <w:rPr>
                <w:color w:val="auto"/>
                <w:szCs w:val="21"/>
                <w:highlight w:val="none"/>
              </w:rPr>
            </w:pPr>
            <w:r>
              <w:rPr>
                <w:rFonts w:hint="eastAsia" w:cs="Times New Roman"/>
                <w:color w:val="auto"/>
                <w:sz w:val="21"/>
                <w:szCs w:val="21"/>
                <w:highlight w:val="none"/>
                <w:lang w:val="en-US" w:eastAsia="zh-CN"/>
              </w:rPr>
              <w:t>项目原料煤泥含水率27.83%，则煤泥带入水量约为185t/d，单条浮选生产线设计循环水量为2000t，根据物料平衡表精煤、中煤、尾矿泥带出水量约为185t/d，则浮选用水主要为蒸发消耗补水，</w:t>
            </w:r>
            <w:r>
              <w:rPr>
                <w:color w:val="auto"/>
                <w:szCs w:val="21"/>
                <w:highlight w:val="none"/>
              </w:rPr>
              <w:t>根据</w:t>
            </w:r>
            <w:r>
              <w:rPr>
                <w:rFonts w:hint="eastAsia"/>
                <w:bCs/>
                <w:color w:val="auto"/>
                <w:szCs w:val="21"/>
                <w:highlight w:val="none"/>
              </w:rPr>
              <w:t>《黑龙江省地方标准用水定额》（DB23/T727-2025）</w:t>
            </w:r>
            <w:r>
              <w:rPr>
                <w:color w:val="auto"/>
                <w:szCs w:val="21"/>
                <w:highlight w:val="none"/>
              </w:rPr>
              <w:t>，参照烟煤和无烟煤的开采洗选中动力煤选煤厂用水量，由于煤泥含水率较高，故按0.03m</w:t>
            </w:r>
            <w:r>
              <w:rPr>
                <w:color w:val="auto"/>
                <w:szCs w:val="21"/>
                <w:highlight w:val="none"/>
                <w:vertAlign w:val="superscript"/>
              </w:rPr>
              <w:t>3</w:t>
            </w:r>
            <w:r>
              <w:rPr>
                <w:color w:val="auto"/>
                <w:szCs w:val="21"/>
                <w:highlight w:val="none"/>
              </w:rPr>
              <w:t>/t计算，煤泥年用量为</w:t>
            </w:r>
            <w:r>
              <w:rPr>
                <w:rFonts w:hint="eastAsia"/>
                <w:color w:val="auto"/>
                <w:szCs w:val="21"/>
                <w:highlight w:val="none"/>
              </w:rPr>
              <w:t>20</w:t>
            </w:r>
            <w:r>
              <w:rPr>
                <w:color w:val="auto"/>
                <w:szCs w:val="21"/>
                <w:highlight w:val="none"/>
              </w:rPr>
              <w:t>万t，则本项目</w:t>
            </w:r>
            <w:r>
              <w:rPr>
                <w:rFonts w:hint="eastAsia"/>
                <w:color w:val="auto"/>
                <w:szCs w:val="21"/>
                <w:highlight w:val="none"/>
                <w:lang w:val="en-US" w:eastAsia="zh-CN"/>
              </w:rPr>
              <w:t>浮选</w:t>
            </w:r>
            <w:r>
              <w:rPr>
                <w:color w:val="auto"/>
                <w:szCs w:val="21"/>
                <w:highlight w:val="none"/>
              </w:rPr>
              <w:t>补充水量为</w:t>
            </w:r>
            <w:r>
              <w:rPr>
                <w:rFonts w:hint="eastAsia"/>
                <w:color w:val="auto"/>
                <w:szCs w:val="21"/>
                <w:highlight w:val="none"/>
              </w:rPr>
              <w:t>6000</w:t>
            </w:r>
            <w:r>
              <w:rPr>
                <w:rFonts w:hint="eastAsia"/>
                <w:color w:val="auto"/>
                <w:szCs w:val="21"/>
                <w:highlight w:val="none"/>
                <w:lang w:val="en-US" w:eastAsia="zh-CN"/>
              </w:rPr>
              <w:t>t</w:t>
            </w:r>
            <w:r>
              <w:rPr>
                <w:color w:val="auto"/>
                <w:szCs w:val="21"/>
                <w:highlight w:val="none"/>
              </w:rPr>
              <w:t>/a，平均每天补充水量约为</w:t>
            </w:r>
            <w:r>
              <w:rPr>
                <w:rFonts w:hint="eastAsia"/>
                <w:color w:val="auto"/>
                <w:szCs w:val="21"/>
                <w:highlight w:val="none"/>
              </w:rPr>
              <w:t>25</w:t>
            </w:r>
            <w:r>
              <w:rPr>
                <w:rFonts w:hint="eastAsia"/>
                <w:color w:val="auto"/>
                <w:szCs w:val="21"/>
                <w:highlight w:val="none"/>
                <w:lang w:val="en-US" w:eastAsia="zh-CN"/>
              </w:rPr>
              <w:t>t/</w:t>
            </w:r>
            <w:r>
              <w:rPr>
                <w:color w:val="auto"/>
                <w:szCs w:val="21"/>
                <w:highlight w:val="none"/>
              </w:rPr>
              <w:t>d</w:t>
            </w:r>
            <w:r>
              <w:rPr>
                <w:rFonts w:hint="eastAsia"/>
                <w:color w:val="auto"/>
                <w:szCs w:val="21"/>
                <w:highlight w:val="none"/>
                <w:lang w:eastAsia="zh-CN"/>
              </w:rPr>
              <w:t>，</w:t>
            </w:r>
            <w:r>
              <w:rPr>
                <w:rFonts w:hint="eastAsia"/>
                <w:color w:val="auto"/>
                <w:szCs w:val="21"/>
                <w:highlight w:val="none"/>
                <w:lang w:val="en-US" w:eastAsia="zh-CN"/>
              </w:rPr>
              <w:t>车间冲洗废水产生量约为4t/a，则浮选补水量为21t/d，5040t/a</w:t>
            </w:r>
            <w:r>
              <w:rPr>
                <w:color w:val="auto"/>
                <w:szCs w:val="21"/>
                <w:highlight w:val="none"/>
              </w:rPr>
              <w:t>。</w:t>
            </w:r>
          </w:p>
          <w:p w14:paraId="0C78EF8A">
            <w:pPr>
              <w:tabs>
                <w:tab w:val="left" w:pos="630"/>
              </w:tabs>
              <w:spacing w:line="360" w:lineRule="auto"/>
              <w:ind w:firstLine="420" w:firstLineChars="200"/>
              <w:rPr>
                <w:color w:val="auto"/>
                <w:szCs w:val="21"/>
                <w:highlight w:val="none"/>
              </w:rPr>
            </w:pPr>
            <w:r>
              <w:rPr>
                <w:rFonts w:hint="eastAsia"/>
                <w:color w:val="auto"/>
                <w:szCs w:val="21"/>
                <w:highlight w:val="none"/>
              </w:rPr>
              <w:t>③厂内浇洒道路用水</w:t>
            </w:r>
          </w:p>
          <w:p w14:paraId="79F6F764">
            <w:pPr>
              <w:tabs>
                <w:tab w:val="left" w:pos="630"/>
              </w:tabs>
              <w:spacing w:line="360" w:lineRule="auto"/>
              <w:ind w:firstLine="420" w:firstLineChars="200"/>
              <w:rPr>
                <w:color w:val="auto"/>
                <w:szCs w:val="21"/>
                <w:highlight w:val="none"/>
              </w:rPr>
            </w:pPr>
            <w:r>
              <w:rPr>
                <w:rFonts w:hint="eastAsia"/>
                <w:color w:val="auto"/>
                <w:szCs w:val="21"/>
                <w:highlight w:val="none"/>
              </w:rPr>
              <w:t>本项目对于运输路面需要定期洒水，洒水面积约为1000m</w:t>
            </w:r>
            <w:r>
              <w:rPr>
                <w:rFonts w:hint="eastAsia"/>
                <w:color w:val="auto"/>
                <w:szCs w:val="21"/>
                <w:highlight w:val="none"/>
                <w:vertAlign w:val="superscript"/>
              </w:rPr>
              <w:t>2</w:t>
            </w:r>
            <w:r>
              <w:rPr>
                <w:rFonts w:hint="eastAsia"/>
                <w:color w:val="auto"/>
                <w:szCs w:val="21"/>
                <w:highlight w:val="none"/>
              </w:rPr>
              <w:t>。根据《煤炭洗选工程设计规范》（GB50359-2016）中道路浇洒用水，用水定额为2.0~3.0L/（m</w:t>
            </w:r>
            <w:r>
              <w:rPr>
                <w:rFonts w:hint="eastAsia"/>
                <w:color w:val="auto"/>
                <w:szCs w:val="21"/>
                <w:highlight w:val="none"/>
                <w:vertAlign w:val="superscript"/>
              </w:rPr>
              <w:t>2</w:t>
            </w:r>
            <w:r>
              <w:rPr>
                <w:rFonts w:hint="eastAsia"/>
                <w:color w:val="auto"/>
                <w:szCs w:val="21"/>
                <w:highlight w:val="none"/>
              </w:rPr>
              <w:t>·d），本项目取2.0L/（m</w:t>
            </w:r>
            <w:r>
              <w:rPr>
                <w:rFonts w:hint="eastAsia"/>
                <w:color w:val="auto"/>
                <w:szCs w:val="21"/>
                <w:highlight w:val="none"/>
                <w:vertAlign w:val="superscript"/>
              </w:rPr>
              <w:t>2</w:t>
            </w:r>
            <w:r>
              <w:rPr>
                <w:rFonts w:hint="eastAsia"/>
                <w:color w:val="auto"/>
                <w:szCs w:val="21"/>
                <w:highlight w:val="none"/>
              </w:rPr>
              <w:t>·d），每年可洒水降尘天数约</w:t>
            </w:r>
            <w:r>
              <w:rPr>
                <w:rFonts w:hint="eastAsia"/>
                <w:color w:val="auto"/>
                <w:szCs w:val="21"/>
                <w:highlight w:val="none"/>
                <w:lang w:val="en-US" w:eastAsia="zh-CN"/>
              </w:rPr>
              <w:t>210</w:t>
            </w:r>
            <w:r>
              <w:rPr>
                <w:rFonts w:hint="eastAsia"/>
                <w:color w:val="auto"/>
                <w:szCs w:val="21"/>
                <w:highlight w:val="none"/>
              </w:rPr>
              <w:t>天，本项目厂内浇洒道路用水量约为2</w:t>
            </w:r>
            <w:r>
              <w:rPr>
                <w:rFonts w:hint="eastAsia"/>
                <w:color w:val="auto"/>
                <w:szCs w:val="21"/>
                <w:highlight w:val="none"/>
                <w:lang w:val="en-US" w:eastAsia="zh-CN"/>
              </w:rPr>
              <w:t>t</w:t>
            </w:r>
            <w:r>
              <w:rPr>
                <w:rFonts w:hint="eastAsia"/>
                <w:color w:val="auto"/>
                <w:szCs w:val="21"/>
                <w:highlight w:val="none"/>
              </w:rPr>
              <w:t>/d，</w:t>
            </w:r>
            <w:r>
              <w:rPr>
                <w:rFonts w:hint="eastAsia"/>
                <w:color w:val="auto"/>
                <w:szCs w:val="21"/>
                <w:highlight w:val="none"/>
                <w:lang w:val="en-US" w:eastAsia="zh-CN"/>
              </w:rPr>
              <w:t>420t</w:t>
            </w:r>
            <w:r>
              <w:rPr>
                <w:rFonts w:hint="eastAsia"/>
                <w:color w:val="auto"/>
                <w:szCs w:val="21"/>
                <w:highlight w:val="none"/>
              </w:rPr>
              <w:t>/a</w:t>
            </w:r>
            <w:r>
              <w:rPr>
                <w:rFonts w:hint="eastAsia"/>
                <w:color w:val="auto"/>
                <w:szCs w:val="21"/>
                <w:highlight w:val="none"/>
                <w:lang w:eastAsia="zh-CN"/>
              </w:rPr>
              <w:t>。</w:t>
            </w:r>
          </w:p>
          <w:p w14:paraId="65010382">
            <w:pPr>
              <w:tabs>
                <w:tab w:val="left" w:pos="630"/>
              </w:tabs>
              <w:spacing w:line="360" w:lineRule="auto"/>
              <w:ind w:firstLine="420" w:firstLineChars="200"/>
              <w:rPr>
                <w:color w:val="auto"/>
                <w:szCs w:val="21"/>
                <w:highlight w:val="none"/>
              </w:rPr>
            </w:pPr>
            <w:r>
              <w:rPr>
                <w:rFonts w:hint="eastAsia"/>
                <w:color w:val="auto"/>
                <w:szCs w:val="21"/>
                <w:highlight w:val="none"/>
              </w:rPr>
              <w:t>④</w:t>
            </w:r>
            <w:r>
              <w:rPr>
                <w:rFonts w:hint="eastAsia"/>
                <w:color w:val="auto"/>
                <w:szCs w:val="21"/>
                <w:highlight w:val="none"/>
                <w:lang w:val="en-US" w:eastAsia="zh-CN"/>
              </w:rPr>
              <w:t>物料棚</w:t>
            </w:r>
            <w:r>
              <w:rPr>
                <w:rFonts w:hint="eastAsia"/>
                <w:color w:val="auto"/>
                <w:szCs w:val="21"/>
                <w:highlight w:val="none"/>
              </w:rPr>
              <w:t>、尾矿车间洒水降尘用水</w:t>
            </w:r>
          </w:p>
          <w:p w14:paraId="7D0E21C4">
            <w:pPr>
              <w:tabs>
                <w:tab w:val="left" w:pos="630"/>
              </w:tabs>
              <w:spacing w:line="360" w:lineRule="auto"/>
              <w:ind w:firstLine="420" w:firstLineChars="200"/>
              <w:rPr>
                <w:color w:val="auto"/>
                <w:szCs w:val="21"/>
                <w:highlight w:val="none"/>
              </w:rPr>
            </w:pPr>
            <w:r>
              <w:rPr>
                <w:rFonts w:hint="eastAsia"/>
                <w:color w:val="auto"/>
                <w:szCs w:val="21"/>
                <w:highlight w:val="none"/>
              </w:rPr>
              <w:t>本项目物料棚、尾矿车间需定期洒水，减少粉尘的产生，参照《煤炭洗选工程设计规范》（GB50359-2016）中道路浇洒用水，用水定额为2.0~3.0L/（m</w:t>
            </w:r>
            <w:r>
              <w:rPr>
                <w:rFonts w:hint="eastAsia"/>
                <w:color w:val="auto"/>
                <w:szCs w:val="21"/>
                <w:highlight w:val="none"/>
                <w:vertAlign w:val="superscript"/>
              </w:rPr>
              <w:t>2</w:t>
            </w:r>
            <w:r>
              <w:rPr>
                <w:rFonts w:hint="eastAsia"/>
                <w:color w:val="auto"/>
                <w:szCs w:val="21"/>
                <w:highlight w:val="none"/>
              </w:rPr>
              <w:t>·d），堆场洒水降尘取2.0L/（m</w:t>
            </w:r>
            <w:r>
              <w:rPr>
                <w:rFonts w:hint="eastAsia"/>
                <w:color w:val="auto"/>
                <w:szCs w:val="21"/>
                <w:highlight w:val="none"/>
                <w:vertAlign w:val="superscript"/>
              </w:rPr>
              <w:t>2</w:t>
            </w:r>
            <w:r>
              <w:rPr>
                <w:rFonts w:hint="eastAsia"/>
                <w:color w:val="auto"/>
                <w:szCs w:val="21"/>
                <w:highlight w:val="none"/>
              </w:rPr>
              <w:t>·d），本项目物料棚面积3900m</w:t>
            </w:r>
            <w:r>
              <w:rPr>
                <w:rFonts w:hint="eastAsia"/>
                <w:color w:val="auto"/>
                <w:szCs w:val="21"/>
                <w:highlight w:val="none"/>
                <w:vertAlign w:val="superscript"/>
              </w:rPr>
              <w:t>2</w:t>
            </w:r>
            <w:r>
              <w:rPr>
                <w:rFonts w:hint="eastAsia"/>
                <w:color w:val="auto"/>
                <w:szCs w:val="21"/>
                <w:highlight w:val="none"/>
              </w:rPr>
              <w:t>，尾矿车间面积300m</w:t>
            </w:r>
            <w:r>
              <w:rPr>
                <w:rFonts w:hint="eastAsia"/>
                <w:color w:val="auto"/>
                <w:szCs w:val="21"/>
                <w:highlight w:val="none"/>
                <w:vertAlign w:val="superscript"/>
              </w:rPr>
              <w:t>2</w:t>
            </w:r>
            <w:r>
              <w:rPr>
                <w:rFonts w:hint="eastAsia"/>
                <w:color w:val="auto"/>
                <w:szCs w:val="21"/>
                <w:highlight w:val="none"/>
              </w:rPr>
              <w:t>，则洒水降尘用水量为8.4</w:t>
            </w:r>
            <w:r>
              <w:rPr>
                <w:rFonts w:hint="eastAsia"/>
                <w:color w:val="auto"/>
                <w:szCs w:val="21"/>
                <w:highlight w:val="none"/>
                <w:lang w:val="en-US" w:eastAsia="zh-CN"/>
              </w:rPr>
              <w:t>t</w:t>
            </w:r>
            <w:r>
              <w:rPr>
                <w:rFonts w:hint="eastAsia"/>
                <w:color w:val="auto"/>
                <w:szCs w:val="21"/>
                <w:highlight w:val="none"/>
              </w:rPr>
              <w:t>/d，</w:t>
            </w:r>
            <w:r>
              <w:rPr>
                <w:rFonts w:hint="eastAsia"/>
                <w:color w:val="auto"/>
                <w:szCs w:val="21"/>
                <w:highlight w:val="none"/>
                <w:lang w:val="en-US" w:eastAsia="zh-CN"/>
              </w:rPr>
              <w:t>2016t</w:t>
            </w:r>
            <w:r>
              <w:rPr>
                <w:rFonts w:hint="eastAsia"/>
                <w:color w:val="auto"/>
                <w:szCs w:val="21"/>
                <w:highlight w:val="none"/>
              </w:rPr>
              <w:t>/a，初期雨水产生量为</w:t>
            </w:r>
            <w:r>
              <w:rPr>
                <w:rFonts w:hint="eastAsia"/>
                <w:color w:val="auto"/>
                <w:szCs w:val="21"/>
                <w:highlight w:val="none"/>
                <w:lang w:val="en-US" w:eastAsia="zh-CN"/>
              </w:rPr>
              <w:t>6.943t/d，1457.9t/a</w:t>
            </w:r>
            <w:r>
              <w:rPr>
                <w:rFonts w:hint="eastAsia"/>
                <w:color w:val="auto"/>
                <w:szCs w:val="21"/>
                <w:highlight w:val="none"/>
              </w:rPr>
              <w:t>，</w:t>
            </w:r>
            <w:r>
              <w:rPr>
                <w:rFonts w:hint="eastAsia"/>
                <w:color w:val="auto"/>
                <w:szCs w:val="21"/>
                <w:highlight w:val="none"/>
                <w:lang w:val="en-US" w:eastAsia="zh-CN"/>
              </w:rPr>
              <w:t>则非冬季需补充用水量为1.457t/d，306.1t/a，冬季用水量为8.4t/d，252t/a。</w:t>
            </w:r>
            <w:r>
              <w:rPr>
                <w:rFonts w:hint="eastAsia"/>
                <w:color w:val="auto"/>
                <w:szCs w:val="21"/>
                <w:highlight w:val="none"/>
              </w:rPr>
              <w:t>。</w:t>
            </w:r>
          </w:p>
          <w:p w14:paraId="75523FB4">
            <w:pPr>
              <w:tabs>
                <w:tab w:val="left" w:pos="630"/>
              </w:tabs>
              <w:spacing w:line="360" w:lineRule="auto"/>
              <w:ind w:firstLine="420" w:firstLineChars="200"/>
              <w:rPr>
                <w:rFonts w:hint="eastAsia"/>
                <w:color w:val="auto"/>
                <w:szCs w:val="21"/>
                <w:highlight w:val="none"/>
                <w:lang w:val="en-US" w:eastAsia="zh-CN"/>
              </w:rPr>
            </w:pPr>
            <w:r>
              <w:rPr>
                <w:rFonts w:hint="eastAsia"/>
                <w:color w:val="auto"/>
                <w:szCs w:val="21"/>
                <w:highlight w:val="none"/>
                <w:lang w:val="en-US" w:eastAsia="zh-CN"/>
              </w:rPr>
              <w:t>⑤生产车间地面冲洗用水</w:t>
            </w:r>
          </w:p>
          <w:p w14:paraId="5058D413">
            <w:pPr>
              <w:pStyle w:val="2"/>
              <w:spacing w:before="0" w:after="0" w:line="360" w:lineRule="auto"/>
              <w:ind w:firstLine="420" w:firstLineChars="20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车间车间地面冲洗用水约5t/d，1200t/a。</w:t>
            </w:r>
          </w:p>
          <w:p w14:paraId="2B4C7C47">
            <w:pPr>
              <w:spacing w:line="360" w:lineRule="auto"/>
              <w:ind w:firstLine="420" w:firstLineChars="200"/>
              <w:rPr>
                <w:rFonts w:hint="default"/>
                <w:color w:val="auto"/>
                <w:highlight w:val="none"/>
                <w:lang w:val="en-US" w:eastAsia="zh-CN"/>
              </w:rPr>
            </w:pPr>
            <w:r>
              <w:rPr>
                <w:rFonts w:hint="eastAsia"/>
                <w:color w:val="auto"/>
                <w:highlight w:val="none"/>
                <w:lang w:val="en-US" w:eastAsia="zh-CN"/>
              </w:rPr>
              <w:t>综上所述本项目总用水量为7525.17t/a，其中非冬季用水量为30.737t/d，6454.77t/a，冬季用水量为35.68t/d，1070.4t/a。</w:t>
            </w:r>
          </w:p>
          <w:p w14:paraId="146DDE4F">
            <w:pPr>
              <w:tabs>
                <w:tab w:val="left" w:pos="630"/>
              </w:tabs>
              <w:spacing w:line="360" w:lineRule="auto"/>
              <w:ind w:firstLine="420" w:firstLineChars="200"/>
              <w:rPr>
                <w:color w:val="auto"/>
                <w:szCs w:val="21"/>
                <w:highlight w:val="none"/>
              </w:rPr>
            </w:pPr>
            <w:r>
              <w:rPr>
                <w:rFonts w:hint="eastAsia"/>
                <w:color w:val="auto"/>
                <w:szCs w:val="21"/>
                <w:highlight w:val="none"/>
              </w:rPr>
              <w:t>（2）</w:t>
            </w:r>
            <w:r>
              <w:rPr>
                <w:color w:val="auto"/>
                <w:szCs w:val="21"/>
                <w:highlight w:val="none"/>
              </w:rPr>
              <w:t>排水</w:t>
            </w:r>
          </w:p>
          <w:p w14:paraId="103C184A">
            <w:pPr>
              <w:tabs>
                <w:tab w:val="left" w:pos="630"/>
              </w:tabs>
              <w:spacing w:line="360" w:lineRule="auto"/>
              <w:ind w:firstLine="420" w:firstLineChars="200"/>
              <w:rPr>
                <w:color w:val="auto"/>
                <w:szCs w:val="21"/>
                <w:highlight w:val="none"/>
              </w:rPr>
            </w:pPr>
            <w:r>
              <w:rPr>
                <w:rFonts w:hint="eastAsia"/>
                <w:color w:val="auto"/>
                <w:szCs w:val="21"/>
                <w:highlight w:val="none"/>
              </w:rPr>
              <w:t>本项目煤泥浮选废水循环使用，洒水降尘用水自然蒸发，厂区初期雨水经收集池沉淀后回用洒水降尘，无废水排放，主要为生活污水。</w:t>
            </w:r>
          </w:p>
          <w:p w14:paraId="620A3A17">
            <w:pPr>
              <w:tabs>
                <w:tab w:val="left" w:pos="630"/>
              </w:tabs>
              <w:spacing w:line="360" w:lineRule="auto"/>
              <w:ind w:firstLine="420" w:firstLineChars="200"/>
              <w:rPr>
                <w:color w:val="auto"/>
                <w:szCs w:val="21"/>
                <w:highlight w:val="none"/>
              </w:rPr>
            </w:pPr>
            <w:r>
              <w:rPr>
                <w:rFonts w:hint="eastAsia"/>
                <w:color w:val="auto"/>
                <w:szCs w:val="21"/>
                <w:highlight w:val="none"/>
              </w:rPr>
              <w:t>①</w:t>
            </w:r>
            <w:r>
              <w:rPr>
                <w:color w:val="auto"/>
                <w:szCs w:val="21"/>
                <w:highlight w:val="none"/>
              </w:rPr>
              <w:t>生活</w:t>
            </w:r>
            <w:r>
              <w:rPr>
                <w:rFonts w:hint="eastAsia"/>
                <w:color w:val="auto"/>
                <w:szCs w:val="21"/>
                <w:highlight w:val="none"/>
              </w:rPr>
              <w:t>污水</w:t>
            </w:r>
          </w:p>
          <w:p w14:paraId="087906B5">
            <w:pPr>
              <w:tabs>
                <w:tab w:val="left" w:pos="630"/>
              </w:tabs>
              <w:spacing w:line="360" w:lineRule="auto"/>
              <w:ind w:firstLine="420" w:firstLineChars="200"/>
              <w:rPr>
                <w:color w:val="auto"/>
                <w:szCs w:val="21"/>
                <w:highlight w:val="none"/>
              </w:rPr>
            </w:pPr>
            <w:r>
              <w:rPr>
                <w:color w:val="auto"/>
                <w:szCs w:val="21"/>
                <w:highlight w:val="none"/>
              </w:rPr>
              <w:t>生活</w:t>
            </w:r>
            <w:r>
              <w:rPr>
                <w:rFonts w:hint="eastAsia"/>
                <w:color w:val="auto"/>
                <w:szCs w:val="21"/>
                <w:highlight w:val="none"/>
              </w:rPr>
              <w:t>污水产</w:t>
            </w:r>
            <w:r>
              <w:rPr>
                <w:color w:val="auto"/>
                <w:szCs w:val="21"/>
                <w:highlight w:val="none"/>
              </w:rPr>
              <w:t>生量按用水量的80%计，</w:t>
            </w:r>
            <w:r>
              <w:rPr>
                <w:rFonts w:hint="eastAsia"/>
                <w:color w:val="auto"/>
                <w:szCs w:val="21"/>
                <w:highlight w:val="none"/>
              </w:rPr>
              <w:t>生活污水产生量1.02t/d，245.8t/a产生的</w:t>
            </w:r>
            <w:r>
              <w:rPr>
                <w:color w:val="auto"/>
                <w:szCs w:val="21"/>
                <w:highlight w:val="none"/>
              </w:rPr>
              <w:t>生活污水排入</w:t>
            </w:r>
            <w:r>
              <w:rPr>
                <w:rFonts w:hint="eastAsia"/>
                <w:color w:val="auto"/>
                <w:szCs w:val="21"/>
                <w:highlight w:val="none"/>
              </w:rPr>
              <w:t>防渗旱厕，定期清掏，外运堆肥，不外排</w:t>
            </w:r>
            <w:r>
              <w:rPr>
                <w:color w:val="auto"/>
                <w:szCs w:val="21"/>
                <w:highlight w:val="none"/>
              </w:rPr>
              <w:t>。</w:t>
            </w:r>
          </w:p>
          <w:p w14:paraId="24210FC8">
            <w:pPr>
              <w:tabs>
                <w:tab w:val="left" w:pos="630"/>
              </w:tabs>
              <w:adjustRightInd w:val="0"/>
              <w:snapToGrid w:val="0"/>
              <w:spacing w:line="360" w:lineRule="auto"/>
              <w:ind w:firstLine="420" w:firstLineChars="200"/>
              <w:rPr>
                <w:color w:val="auto"/>
                <w:szCs w:val="21"/>
                <w:highlight w:val="none"/>
              </w:rPr>
            </w:pPr>
            <w:r>
              <w:rPr>
                <w:rFonts w:hint="eastAsia"/>
                <w:color w:val="auto"/>
                <w:szCs w:val="21"/>
                <w:highlight w:val="none"/>
              </w:rPr>
              <w:t>②初期雨水</w:t>
            </w:r>
          </w:p>
          <w:p w14:paraId="07F330CA">
            <w:pPr>
              <w:pStyle w:val="31"/>
              <w:adjustRightInd w:val="0"/>
              <w:snapToGrid w:val="0"/>
              <w:spacing w:line="360" w:lineRule="auto"/>
              <w:ind w:firstLine="420" w:firstLineChars="200"/>
              <w:rPr>
                <w:rFonts w:hint="eastAsia"/>
                <w:color w:val="auto"/>
                <w:highlight w:val="none"/>
              </w:rPr>
            </w:pPr>
            <w:r>
              <w:rPr>
                <w:rFonts w:hint="eastAsia"/>
                <w:color w:val="auto"/>
                <w:highlight w:val="none"/>
              </w:rPr>
              <w:t>本项目厂区四周设置雨水导流槽，将初期雨水收集至</w:t>
            </w:r>
            <w:r>
              <w:rPr>
                <w:rFonts w:hint="eastAsia" w:ascii="Times New Roman" w:hAnsi="Times New Roman"/>
                <w:color w:val="auto"/>
                <w:highlight w:val="none"/>
              </w:rPr>
              <w:t>150</w:t>
            </w:r>
            <w:r>
              <w:rPr>
                <w:rFonts w:ascii="Times New Roman" w:hAnsi="Times New Roman"/>
                <w:color w:val="auto"/>
                <w:highlight w:val="none"/>
              </w:rPr>
              <w:t>m</w:t>
            </w:r>
            <w:r>
              <w:rPr>
                <w:rFonts w:ascii="Times New Roman" w:hAnsi="Times New Roman"/>
                <w:color w:val="auto"/>
                <w:highlight w:val="none"/>
                <w:vertAlign w:val="superscript"/>
              </w:rPr>
              <w:t>3</w:t>
            </w:r>
            <w:r>
              <w:rPr>
                <w:rFonts w:hint="eastAsia"/>
                <w:color w:val="auto"/>
                <w:highlight w:val="none"/>
              </w:rPr>
              <w:t>雨水收集池内回用洒水降尘，初期雨水产生量为</w:t>
            </w:r>
            <w:r>
              <w:rPr>
                <w:rFonts w:hint="eastAsia" w:ascii="Times New Roman" w:hAnsi="Times New Roman"/>
                <w:color w:val="auto"/>
                <w:highlight w:val="none"/>
                <w:lang w:val="en-US" w:eastAsia="zh-CN"/>
              </w:rPr>
              <w:t>6.942t</w:t>
            </w:r>
            <w:r>
              <w:rPr>
                <w:rFonts w:ascii="Times New Roman" w:hAnsi="Times New Roman"/>
                <w:color w:val="auto"/>
                <w:highlight w:val="none"/>
              </w:rPr>
              <w:t>/</w:t>
            </w:r>
            <w:r>
              <w:rPr>
                <w:rFonts w:hint="eastAsia" w:ascii="Times New Roman" w:hAnsi="Times New Roman"/>
                <w:color w:val="auto"/>
                <w:highlight w:val="none"/>
              </w:rPr>
              <w:t>d</w:t>
            </w:r>
            <w:r>
              <w:rPr>
                <w:rFonts w:ascii="Times New Roman" w:hAnsi="Times New Roman"/>
                <w:color w:val="auto"/>
                <w:highlight w:val="none"/>
              </w:rPr>
              <w:t>，</w:t>
            </w:r>
            <w:r>
              <w:rPr>
                <w:rFonts w:hint="eastAsia" w:ascii="Times New Roman" w:hAnsi="Times New Roman"/>
                <w:color w:val="auto"/>
                <w:highlight w:val="none"/>
                <w:lang w:val="en-US" w:eastAsia="zh-CN"/>
              </w:rPr>
              <w:t>1457.9t</w:t>
            </w:r>
            <w:r>
              <w:rPr>
                <w:rFonts w:hint="eastAsia" w:ascii="Times New Roman" w:hAnsi="Times New Roman"/>
                <w:color w:val="auto"/>
                <w:highlight w:val="none"/>
              </w:rPr>
              <w:t>/a</w:t>
            </w:r>
            <w:r>
              <w:rPr>
                <w:rFonts w:hint="eastAsia"/>
                <w:color w:val="auto"/>
                <w:highlight w:val="none"/>
              </w:rPr>
              <w:t>，全部回用于洒水降尘及浮选用水，不外排。</w:t>
            </w:r>
          </w:p>
          <w:p w14:paraId="050F697F">
            <w:pPr>
              <w:pStyle w:val="31"/>
              <w:adjustRightInd w:val="0"/>
              <w:snapToGrid w:val="0"/>
              <w:spacing w:line="360" w:lineRule="auto"/>
              <w:ind w:firstLine="420" w:firstLineChars="200"/>
              <w:rPr>
                <w:rFonts w:hint="default" w:eastAsia="宋体"/>
                <w:color w:val="auto"/>
                <w:highlight w:val="none"/>
                <w:lang w:val="en-US" w:eastAsia="zh-CN"/>
              </w:rPr>
            </w:pPr>
            <w:r>
              <w:rPr>
                <w:rFonts w:hint="eastAsia"/>
                <w:color w:val="auto"/>
                <w:highlight w:val="none"/>
                <w:lang w:val="en-US" w:eastAsia="zh-CN"/>
              </w:rPr>
              <w:t>③车间冲洗废水</w:t>
            </w:r>
          </w:p>
          <w:p w14:paraId="588F1B58">
            <w:pPr>
              <w:spacing w:line="360" w:lineRule="auto"/>
              <w:ind w:firstLine="420" w:firstLineChars="200"/>
              <w:rPr>
                <w:rFonts w:hint="default"/>
                <w:color w:val="auto"/>
                <w:highlight w:val="none"/>
                <w:lang w:val="en-US" w:eastAsia="zh-CN"/>
              </w:rPr>
            </w:pPr>
            <w:r>
              <w:rPr>
                <w:rFonts w:hint="eastAsia"/>
                <w:color w:val="auto"/>
                <w:highlight w:val="none"/>
                <w:lang w:val="en-US" w:eastAsia="zh-CN"/>
              </w:rPr>
              <w:t>车间地面冲洗用水约5t/d，1200t/d。废水量约为80%，产生量为4t/d，960t/a，全部回用于生产用水，不外排。</w:t>
            </w:r>
          </w:p>
          <w:p w14:paraId="4FAD090C">
            <w:pPr>
              <w:pStyle w:val="31"/>
              <w:adjustRightInd w:val="0"/>
              <w:snapToGrid w:val="0"/>
              <w:spacing w:line="360" w:lineRule="auto"/>
              <w:ind w:firstLine="420" w:firstLineChars="200"/>
              <w:rPr>
                <w:color w:val="auto"/>
                <w:highlight w:val="none"/>
              </w:rPr>
            </w:pPr>
            <w:r>
              <w:rPr>
                <w:rFonts w:hint="eastAsia"/>
                <w:color w:val="auto"/>
                <w:highlight w:val="none"/>
              </w:rPr>
              <w:t>项目水平衡图</w:t>
            </w:r>
            <w:r>
              <w:rPr>
                <w:rFonts w:ascii="Times New Roman" w:hAnsi="Times New Roman"/>
                <w:color w:val="auto"/>
                <w:highlight w:val="none"/>
              </w:rPr>
              <w:t>见图2-1。</w:t>
            </w:r>
          </w:p>
          <w:p w14:paraId="475D328B">
            <w:pPr>
              <w:adjustRightInd w:val="0"/>
              <w:snapToGrid w:val="0"/>
              <w:jc w:val="center"/>
              <w:rPr>
                <w:b/>
                <w:bCs/>
                <w:color w:val="auto"/>
                <w:sz w:val="24"/>
                <w:highlight w:val="none"/>
              </w:rPr>
            </w:pPr>
            <w:r>
              <w:rPr>
                <w:color w:val="auto"/>
                <w:highlight w:val="none"/>
              </w:rPr>
              <w:drawing>
                <wp:inline distT="0" distB="0" distL="114300" distR="114300">
                  <wp:extent cx="3091180" cy="2760980"/>
                  <wp:effectExtent l="0" t="0" r="1397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3091180" cy="2760980"/>
                          </a:xfrm>
                          <a:prstGeom prst="rect">
                            <a:avLst/>
                          </a:prstGeom>
                          <a:noFill/>
                          <a:ln>
                            <a:noFill/>
                          </a:ln>
                        </pic:spPr>
                      </pic:pic>
                    </a:graphicData>
                  </a:graphic>
                </wp:inline>
              </w:drawing>
            </w:r>
          </w:p>
          <w:p w14:paraId="0DF66B4C">
            <w:pPr>
              <w:jc w:val="center"/>
              <w:rPr>
                <w:b/>
                <w:bCs/>
                <w:color w:val="auto"/>
                <w:szCs w:val="21"/>
                <w:highlight w:val="none"/>
              </w:rPr>
            </w:pPr>
            <w:r>
              <w:rPr>
                <w:rFonts w:hint="eastAsia"/>
                <w:b/>
                <w:bCs/>
                <w:color w:val="auto"/>
                <w:szCs w:val="21"/>
                <w:highlight w:val="none"/>
              </w:rPr>
              <w:t>图2-1非冬季水平衡图单位：m</w:t>
            </w:r>
            <w:r>
              <w:rPr>
                <w:rFonts w:hint="eastAsia"/>
                <w:b/>
                <w:bCs/>
                <w:color w:val="auto"/>
                <w:szCs w:val="21"/>
                <w:highlight w:val="none"/>
                <w:vertAlign w:val="superscript"/>
              </w:rPr>
              <w:t>3</w:t>
            </w:r>
            <w:r>
              <w:rPr>
                <w:rFonts w:hint="eastAsia"/>
                <w:b/>
                <w:bCs/>
                <w:color w:val="auto"/>
                <w:szCs w:val="21"/>
                <w:highlight w:val="none"/>
              </w:rPr>
              <w:t>/d</w:t>
            </w:r>
          </w:p>
          <w:p w14:paraId="4C6B432A">
            <w:pPr>
              <w:jc w:val="center"/>
              <w:rPr>
                <w:color w:val="auto"/>
                <w:highlight w:val="none"/>
              </w:rPr>
            </w:pPr>
            <w:r>
              <w:rPr>
                <w:color w:val="auto"/>
                <w:highlight w:val="none"/>
              </w:rPr>
              <w:drawing>
                <wp:inline distT="0" distB="0" distL="114300" distR="114300">
                  <wp:extent cx="3281680" cy="2366645"/>
                  <wp:effectExtent l="0" t="0" r="13970" b="146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a:stretch>
                            <a:fillRect/>
                          </a:stretch>
                        </pic:blipFill>
                        <pic:spPr>
                          <a:xfrm>
                            <a:off x="0" y="0"/>
                            <a:ext cx="3281680" cy="2366645"/>
                          </a:xfrm>
                          <a:prstGeom prst="rect">
                            <a:avLst/>
                          </a:prstGeom>
                          <a:noFill/>
                          <a:ln>
                            <a:noFill/>
                          </a:ln>
                        </pic:spPr>
                      </pic:pic>
                    </a:graphicData>
                  </a:graphic>
                </wp:inline>
              </w:drawing>
            </w:r>
          </w:p>
          <w:p w14:paraId="634DEB93">
            <w:pPr>
              <w:jc w:val="center"/>
              <w:rPr>
                <w:color w:val="auto"/>
                <w:szCs w:val="21"/>
                <w:highlight w:val="none"/>
              </w:rPr>
            </w:pPr>
            <w:r>
              <w:rPr>
                <w:rFonts w:hint="eastAsia"/>
                <w:b/>
                <w:bCs/>
                <w:color w:val="auto"/>
                <w:szCs w:val="21"/>
                <w:highlight w:val="none"/>
              </w:rPr>
              <w:t>图2-2冬季水平衡图单位：m</w:t>
            </w:r>
            <w:r>
              <w:rPr>
                <w:rFonts w:hint="eastAsia"/>
                <w:b/>
                <w:bCs/>
                <w:color w:val="auto"/>
                <w:szCs w:val="21"/>
                <w:highlight w:val="none"/>
                <w:vertAlign w:val="superscript"/>
              </w:rPr>
              <w:t>3</w:t>
            </w:r>
            <w:r>
              <w:rPr>
                <w:rFonts w:hint="eastAsia"/>
                <w:b/>
                <w:bCs/>
                <w:color w:val="auto"/>
                <w:szCs w:val="21"/>
                <w:highlight w:val="none"/>
              </w:rPr>
              <w:t>/d</w:t>
            </w:r>
          </w:p>
          <w:p w14:paraId="712BCCBA">
            <w:pPr>
              <w:pStyle w:val="37"/>
              <w:spacing w:line="360" w:lineRule="auto"/>
              <w:ind w:firstLine="420" w:firstLineChars="200"/>
              <w:rPr>
                <w:color w:val="auto"/>
                <w:sz w:val="21"/>
                <w:szCs w:val="21"/>
                <w:highlight w:val="none"/>
              </w:rPr>
            </w:pPr>
            <w:r>
              <w:rPr>
                <w:color w:val="auto"/>
                <w:sz w:val="21"/>
                <w:szCs w:val="21"/>
                <w:highlight w:val="none"/>
              </w:rPr>
              <w:t>（3）供热</w:t>
            </w:r>
          </w:p>
          <w:p w14:paraId="57E2A916">
            <w:pPr>
              <w:pStyle w:val="37"/>
              <w:spacing w:line="360" w:lineRule="auto"/>
              <w:ind w:firstLine="420" w:firstLineChars="200"/>
              <w:rPr>
                <w:color w:val="auto"/>
                <w:sz w:val="21"/>
                <w:szCs w:val="21"/>
                <w:highlight w:val="none"/>
              </w:rPr>
            </w:pPr>
            <w:r>
              <w:rPr>
                <w:color w:val="auto"/>
                <w:sz w:val="21"/>
                <w:szCs w:val="21"/>
                <w:highlight w:val="none"/>
              </w:rPr>
              <w:t>本项目</w:t>
            </w:r>
            <w:r>
              <w:rPr>
                <w:rFonts w:hint="eastAsia"/>
                <w:color w:val="auto"/>
                <w:sz w:val="21"/>
                <w:szCs w:val="21"/>
                <w:highlight w:val="none"/>
              </w:rPr>
              <w:t>冬季供暖为电采暖</w:t>
            </w:r>
            <w:r>
              <w:rPr>
                <w:color w:val="auto"/>
                <w:sz w:val="21"/>
                <w:szCs w:val="21"/>
                <w:highlight w:val="none"/>
              </w:rPr>
              <w:t>。</w:t>
            </w:r>
          </w:p>
          <w:p w14:paraId="2C0FA8A4">
            <w:pPr>
              <w:pStyle w:val="37"/>
              <w:spacing w:line="360" w:lineRule="auto"/>
              <w:ind w:firstLine="420" w:firstLineChars="200"/>
              <w:rPr>
                <w:color w:val="auto"/>
                <w:sz w:val="21"/>
                <w:szCs w:val="21"/>
                <w:highlight w:val="none"/>
              </w:rPr>
            </w:pPr>
            <w:r>
              <w:rPr>
                <w:rFonts w:hint="eastAsia"/>
                <w:color w:val="auto"/>
                <w:sz w:val="21"/>
                <w:szCs w:val="21"/>
                <w:highlight w:val="none"/>
              </w:rPr>
              <w:t>（4）</w:t>
            </w:r>
            <w:r>
              <w:rPr>
                <w:color w:val="auto"/>
                <w:sz w:val="21"/>
                <w:szCs w:val="21"/>
                <w:highlight w:val="none"/>
              </w:rPr>
              <w:t>供电</w:t>
            </w:r>
          </w:p>
          <w:p w14:paraId="3FC07F0E">
            <w:pPr>
              <w:pStyle w:val="37"/>
              <w:spacing w:line="360" w:lineRule="auto"/>
              <w:ind w:firstLine="420" w:firstLineChars="200"/>
              <w:rPr>
                <w:color w:val="auto"/>
                <w:sz w:val="21"/>
                <w:szCs w:val="21"/>
                <w:highlight w:val="none"/>
              </w:rPr>
            </w:pPr>
            <w:r>
              <w:rPr>
                <w:color w:val="auto"/>
                <w:sz w:val="21"/>
                <w:szCs w:val="21"/>
                <w:highlight w:val="none"/>
              </w:rPr>
              <w:t>本项目供电由当地供电局提供</w:t>
            </w:r>
            <w:r>
              <w:rPr>
                <w:rFonts w:hint="eastAsia"/>
                <w:color w:val="auto"/>
                <w:sz w:val="21"/>
                <w:szCs w:val="21"/>
                <w:highlight w:val="none"/>
              </w:rPr>
              <w:t>。</w:t>
            </w:r>
          </w:p>
          <w:p w14:paraId="4DDB51F5">
            <w:pPr>
              <w:widowControl/>
              <w:spacing w:line="360" w:lineRule="auto"/>
              <w:jc w:val="left"/>
              <w:rPr>
                <w:b/>
                <w:color w:val="auto"/>
                <w:kern w:val="0"/>
                <w:szCs w:val="21"/>
                <w:highlight w:val="none"/>
              </w:rPr>
            </w:pPr>
            <w:r>
              <w:rPr>
                <w:rFonts w:hint="eastAsia"/>
                <w:b/>
                <w:color w:val="auto"/>
                <w:kern w:val="0"/>
                <w:szCs w:val="21"/>
                <w:highlight w:val="none"/>
              </w:rPr>
              <w:t>9、平面布置</w:t>
            </w:r>
          </w:p>
          <w:p w14:paraId="11B19A8D">
            <w:pPr>
              <w:keepNext w:val="0"/>
              <w:keepLines w:val="0"/>
              <w:widowControl/>
              <w:suppressLineNumbers w:val="0"/>
              <w:spacing w:line="360" w:lineRule="auto"/>
              <w:ind w:firstLine="420" w:firstLineChars="200"/>
              <w:jc w:val="left"/>
              <w:rPr>
                <w:color w:val="auto"/>
                <w:szCs w:val="21"/>
                <w:highlight w:val="none"/>
              </w:rPr>
            </w:pPr>
            <w:r>
              <w:rPr>
                <w:rFonts w:ascii="宋体" w:hAnsi="宋体" w:eastAsia="宋体" w:cs="宋体"/>
                <w:color w:val="auto"/>
                <w:kern w:val="0"/>
                <w:sz w:val="21"/>
                <w:szCs w:val="21"/>
                <w:highlight w:val="none"/>
                <w:lang w:val="en-US" w:eastAsia="zh-CN" w:bidi="ar"/>
              </w:rPr>
              <w:t>本项目生产相关工序车间布局紧凑、流程连贯，其中生产车间位于厂区西南侧，浓缩车间紧邻其东侧，尾矿车间位于浓缩车间北侧，形成连贯的生产作业区域；破碎车间、人造土壤基质生产线及粉煤灰筒仓布局于厂区东侧，其中人造土壤基质生产线位于破碎车间南侧，粉煤灰筒仓位于破碎车间西侧，保障该工序作业顺畅；物料棚位于厂区中心位置，便于各车间物料流转。厂区平面布置充分考虑生产流程连贯性、空间利用科学性，总体布局合理、功能衔接顺畅，整体环境和谐。</w:t>
            </w:r>
          </w:p>
          <w:p w14:paraId="4BC2E52B">
            <w:pPr>
              <w:widowControl/>
              <w:spacing w:line="360" w:lineRule="auto"/>
              <w:jc w:val="left"/>
              <w:rPr>
                <w:color w:val="auto"/>
                <w:szCs w:val="21"/>
                <w:highlight w:val="none"/>
              </w:rPr>
            </w:pPr>
            <w:r>
              <w:rPr>
                <w:rFonts w:hint="eastAsia"/>
                <w:b/>
                <w:color w:val="auto"/>
                <w:kern w:val="0"/>
                <w:szCs w:val="21"/>
                <w:highlight w:val="none"/>
              </w:rPr>
              <w:t>10、</w:t>
            </w:r>
            <w:r>
              <w:rPr>
                <w:b/>
                <w:color w:val="auto"/>
                <w:kern w:val="0"/>
                <w:szCs w:val="21"/>
                <w:highlight w:val="none"/>
              </w:rPr>
              <w:t xml:space="preserve">环保投资 </w:t>
            </w:r>
          </w:p>
          <w:p w14:paraId="586ED64E">
            <w:pPr>
              <w:widowControl/>
              <w:spacing w:line="360" w:lineRule="auto"/>
              <w:ind w:firstLine="420" w:firstLineChars="200"/>
              <w:jc w:val="left"/>
              <w:rPr>
                <w:color w:val="auto"/>
                <w:kern w:val="0"/>
                <w:szCs w:val="21"/>
                <w:highlight w:val="none"/>
              </w:rPr>
            </w:pPr>
            <w:r>
              <w:rPr>
                <w:color w:val="auto"/>
                <w:kern w:val="0"/>
                <w:szCs w:val="21"/>
                <w:highlight w:val="none"/>
              </w:rPr>
              <w:t>本项目环保投资具体情况见表2-</w:t>
            </w:r>
            <w:r>
              <w:rPr>
                <w:rFonts w:hint="eastAsia"/>
                <w:color w:val="auto"/>
                <w:kern w:val="0"/>
                <w:szCs w:val="21"/>
                <w:highlight w:val="none"/>
              </w:rPr>
              <w:t>16</w:t>
            </w:r>
            <w:r>
              <w:rPr>
                <w:color w:val="auto"/>
                <w:kern w:val="0"/>
                <w:szCs w:val="21"/>
                <w:highlight w:val="none"/>
              </w:rPr>
              <w:t>。</w:t>
            </w:r>
          </w:p>
          <w:p w14:paraId="2AFC9531">
            <w:pPr>
              <w:jc w:val="center"/>
              <w:rPr>
                <w:b/>
                <w:bCs/>
                <w:color w:val="auto"/>
                <w:szCs w:val="21"/>
                <w:highlight w:val="none"/>
              </w:rPr>
            </w:pPr>
            <w:r>
              <w:rPr>
                <w:b/>
                <w:bCs/>
                <w:color w:val="auto"/>
                <w:szCs w:val="21"/>
                <w:highlight w:val="none"/>
              </w:rPr>
              <w:t>表2-</w:t>
            </w:r>
            <w:r>
              <w:rPr>
                <w:rFonts w:hint="eastAsia"/>
                <w:b/>
                <w:bCs/>
                <w:color w:val="auto"/>
                <w:szCs w:val="21"/>
                <w:highlight w:val="none"/>
              </w:rPr>
              <w:t>16</w:t>
            </w:r>
            <w:r>
              <w:rPr>
                <w:b/>
                <w:bCs/>
                <w:color w:val="auto"/>
                <w:szCs w:val="21"/>
                <w:highlight w:val="none"/>
              </w:rPr>
              <w:t xml:space="preserve">  环保投资一览表</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0"/>
              <w:gridCol w:w="1785"/>
              <w:gridCol w:w="4608"/>
              <w:gridCol w:w="1352"/>
            </w:tblGrid>
            <w:tr w14:paraId="66FB0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75" w:type="dxa"/>
                  <w:gridSpan w:val="2"/>
                  <w:vAlign w:val="center"/>
                </w:tcPr>
                <w:p w14:paraId="443DE698">
                  <w:pPr>
                    <w:pStyle w:val="41"/>
                    <w:rPr>
                      <w:color w:val="auto"/>
                      <w:sz w:val="18"/>
                      <w:szCs w:val="18"/>
                      <w:highlight w:val="none"/>
                    </w:rPr>
                  </w:pPr>
                  <w:r>
                    <w:rPr>
                      <w:color w:val="auto"/>
                      <w:sz w:val="18"/>
                      <w:szCs w:val="18"/>
                      <w:highlight w:val="none"/>
                    </w:rPr>
                    <w:t>类别</w:t>
                  </w:r>
                </w:p>
              </w:tc>
              <w:tc>
                <w:tcPr>
                  <w:tcW w:w="4608" w:type="dxa"/>
                  <w:tcBorders>
                    <w:bottom w:val="single" w:color="auto" w:sz="4" w:space="0"/>
                  </w:tcBorders>
                  <w:vAlign w:val="center"/>
                </w:tcPr>
                <w:p w14:paraId="03B44C60">
                  <w:pPr>
                    <w:pStyle w:val="41"/>
                    <w:rPr>
                      <w:color w:val="auto"/>
                      <w:sz w:val="18"/>
                      <w:szCs w:val="18"/>
                      <w:highlight w:val="none"/>
                    </w:rPr>
                  </w:pPr>
                  <w:r>
                    <w:rPr>
                      <w:color w:val="auto"/>
                      <w:sz w:val="18"/>
                      <w:szCs w:val="18"/>
                      <w:highlight w:val="none"/>
                    </w:rPr>
                    <w:t>防治措施</w:t>
                  </w:r>
                </w:p>
              </w:tc>
              <w:tc>
                <w:tcPr>
                  <w:tcW w:w="1352" w:type="dxa"/>
                  <w:tcBorders>
                    <w:bottom w:val="single" w:color="auto" w:sz="4" w:space="0"/>
                  </w:tcBorders>
                  <w:vAlign w:val="center"/>
                </w:tcPr>
                <w:p w14:paraId="5C2ECF8A">
                  <w:pPr>
                    <w:pStyle w:val="41"/>
                    <w:rPr>
                      <w:color w:val="auto"/>
                      <w:sz w:val="18"/>
                      <w:szCs w:val="18"/>
                      <w:highlight w:val="none"/>
                    </w:rPr>
                  </w:pPr>
                  <w:r>
                    <w:rPr>
                      <w:color w:val="auto"/>
                      <w:sz w:val="18"/>
                      <w:szCs w:val="18"/>
                      <w:highlight w:val="none"/>
                    </w:rPr>
                    <w:t>投资（万元）</w:t>
                  </w:r>
                </w:p>
              </w:tc>
            </w:tr>
            <w:tr w14:paraId="7023A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0" w:type="dxa"/>
                  <w:vMerge w:val="restart"/>
                  <w:vAlign w:val="center"/>
                </w:tcPr>
                <w:p w14:paraId="2945B3D9">
                  <w:pPr>
                    <w:pStyle w:val="41"/>
                    <w:rPr>
                      <w:rFonts w:hint="eastAsia" w:eastAsia="宋体"/>
                      <w:color w:val="auto"/>
                      <w:sz w:val="18"/>
                      <w:szCs w:val="18"/>
                      <w:highlight w:val="none"/>
                      <w:lang w:val="en-US" w:eastAsia="zh-CN"/>
                    </w:rPr>
                  </w:pPr>
                  <w:r>
                    <w:rPr>
                      <w:rFonts w:hint="eastAsia"/>
                      <w:color w:val="auto"/>
                      <w:sz w:val="18"/>
                      <w:szCs w:val="18"/>
                      <w:highlight w:val="none"/>
                      <w:lang w:val="en-US" w:eastAsia="zh-CN"/>
                    </w:rPr>
                    <w:t>施工期</w:t>
                  </w:r>
                </w:p>
              </w:tc>
              <w:tc>
                <w:tcPr>
                  <w:tcW w:w="1785" w:type="dxa"/>
                  <w:vAlign w:val="center"/>
                </w:tcPr>
                <w:p w14:paraId="31350B2C">
                  <w:pPr>
                    <w:pStyle w:val="41"/>
                    <w:rPr>
                      <w:color w:val="auto"/>
                      <w:sz w:val="18"/>
                      <w:szCs w:val="18"/>
                      <w:highlight w:val="none"/>
                    </w:rPr>
                  </w:pPr>
                  <w:r>
                    <w:rPr>
                      <w:color w:val="auto"/>
                      <w:sz w:val="18"/>
                      <w:szCs w:val="18"/>
                      <w:highlight w:val="none"/>
                    </w:rPr>
                    <w:t>废气治理措施</w:t>
                  </w:r>
                </w:p>
              </w:tc>
              <w:tc>
                <w:tcPr>
                  <w:tcW w:w="4608" w:type="dxa"/>
                  <w:tcBorders>
                    <w:bottom w:val="single" w:color="auto" w:sz="4" w:space="0"/>
                  </w:tcBorders>
                  <w:vAlign w:val="center"/>
                </w:tcPr>
                <w:p w14:paraId="53C43609">
                  <w:pPr>
                    <w:pStyle w:val="41"/>
                    <w:rPr>
                      <w:rFonts w:hint="eastAsia" w:eastAsia="宋体"/>
                      <w:color w:val="auto"/>
                      <w:sz w:val="18"/>
                      <w:szCs w:val="18"/>
                      <w:highlight w:val="none"/>
                      <w:lang w:val="en-US" w:eastAsia="zh-CN"/>
                    </w:rPr>
                  </w:pPr>
                  <w:r>
                    <w:rPr>
                      <w:rFonts w:hint="eastAsia" w:cs="Times New Roman"/>
                      <w:color w:val="auto"/>
                      <w:sz w:val="18"/>
                      <w:szCs w:val="18"/>
                      <w:highlight w:val="none"/>
                      <w:lang w:val="en-US" w:eastAsia="zh-CN"/>
                    </w:rPr>
                    <w:t>围挡、运输车辆苫盖、施工材料苫盖</w:t>
                  </w:r>
                </w:p>
              </w:tc>
              <w:tc>
                <w:tcPr>
                  <w:tcW w:w="1352" w:type="dxa"/>
                  <w:tcBorders>
                    <w:bottom w:val="single" w:color="auto" w:sz="4" w:space="0"/>
                  </w:tcBorders>
                  <w:vAlign w:val="center"/>
                </w:tcPr>
                <w:p w14:paraId="4469EC2C">
                  <w:pPr>
                    <w:pStyle w:val="41"/>
                    <w:rPr>
                      <w:color w:val="auto"/>
                      <w:sz w:val="18"/>
                      <w:szCs w:val="18"/>
                      <w:highlight w:val="none"/>
                    </w:rPr>
                  </w:pPr>
                  <w:r>
                    <w:rPr>
                      <w:rFonts w:hint="eastAsia" w:cs="Times New Roman"/>
                      <w:color w:val="auto"/>
                      <w:sz w:val="18"/>
                      <w:szCs w:val="18"/>
                      <w:highlight w:val="none"/>
                      <w:lang w:val="en-US" w:eastAsia="zh-CN"/>
                    </w:rPr>
                    <w:t>5</w:t>
                  </w:r>
                </w:p>
              </w:tc>
            </w:tr>
            <w:tr w14:paraId="1FCA9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0" w:type="dxa"/>
                  <w:vMerge w:val="continue"/>
                  <w:vAlign w:val="center"/>
                </w:tcPr>
                <w:p w14:paraId="6C67D5CC">
                  <w:pPr>
                    <w:pStyle w:val="41"/>
                    <w:rPr>
                      <w:color w:val="auto"/>
                      <w:sz w:val="18"/>
                      <w:szCs w:val="18"/>
                      <w:highlight w:val="none"/>
                    </w:rPr>
                  </w:pPr>
                </w:p>
              </w:tc>
              <w:tc>
                <w:tcPr>
                  <w:tcW w:w="1785" w:type="dxa"/>
                  <w:vAlign w:val="center"/>
                </w:tcPr>
                <w:p w14:paraId="05EBDCEE">
                  <w:pPr>
                    <w:pStyle w:val="41"/>
                    <w:rPr>
                      <w:color w:val="auto"/>
                      <w:sz w:val="18"/>
                      <w:szCs w:val="18"/>
                      <w:highlight w:val="none"/>
                    </w:rPr>
                  </w:pPr>
                  <w:r>
                    <w:rPr>
                      <w:color w:val="auto"/>
                      <w:sz w:val="18"/>
                      <w:szCs w:val="18"/>
                      <w:highlight w:val="none"/>
                    </w:rPr>
                    <w:t>废水治理措施</w:t>
                  </w:r>
                </w:p>
              </w:tc>
              <w:tc>
                <w:tcPr>
                  <w:tcW w:w="4608" w:type="dxa"/>
                  <w:tcBorders>
                    <w:bottom w:val="single" w:color="auto" w:sz="4" w:space="0"/>
                  </w:tcBorders>
                  <w:vAlign w:val="center"/>
                </w:tcPr>
                <w:p w14:paraId="47BF85C3">
                  <w:pPr>
                    <w:pStyle w:val="41"/>
                    <w:jc w:val="center"/>
                    <w:rPr>
                      <w:color w:val="auto"/>
                      <w:sz w:val="18"/>
                      <w:szCs w:val="18"/>
                      <w:highlight w:val="none"/>
                    </w:rPr>
                  </w:pPr>
                  <w:r>
                    <w:rPr>
                      <w:rFonts w:hint="eastAsia" w:cs="Times New Roman"/>
                      <w:color w:val="auto"/>
                      <w:sz w:val="18"/>
                      <w:szCs w:val="18"/>
                      <w:highlight w:val="none"/>
                      <w:lang w:val="en-US" w:eastAsia="zh-CN"/>
                    </w:rPr>
                    <w:t>高噪声设备围挡</w:t>
                  </w:r>
                </w:p>
              </w:tc>
              <w:tc>
                <w:tcPr>
                  <w:tcW w:w="1352" w:type="dxa"/>
                  <w:tcBorders>
                    <w:bottom w:val="single" w:color="auto" w:sz="4" w:space="0"/>
                  </w:tcBorders>
                  <w:vAlign w:val="center"/>
                </w:tcPr>
                <w:p w14:paraId="1805A30F">
                  <w:pPr>
                    <w:pStyle w:val="41"/>
                    <w:rPr>
                      <w:color w:val="auto"/>
                      <w:sz w:val="18"/>
                      <w:szCs w:val="18"/>
                      <w:highlight w:val="none"/>
                    </w:rPr>
                  </w:pPr>
                  <w:r>
                    <w:rPr>
                      <w:rFonts w:hint="eastAsia" w:cs="Times New Roman"/>
                      <w:color w:val="auto"/>
                      <w:sz w:val="18"/>
                      <w:szCs w:val="18"/>
                      <w:highlight w:val="none"/>
                      <w:lang w:val="en-US" w:eastAsia="zh-CN"/>
                    </w:rPr>
                    <w:t>3</w:t>
                  </w:r>
                </w:p>
              </w:tc>
            </w:tr>
            <w:tr w14:paraId="53C0F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0" w:type="dxa"/>
                  <w:vMerge w:val="continue"/>
                  <w:vAlign w:val="center"/>
                </w:tcPr>
                <w:p w14:paraId="768321C2">
                  <w:pPr>
                    <w:pStyle w:val="41"/>
                    <w:rPr>
                      <w:color w:val="auto"/>
                      <w:sz w:val="18"/>
                      <w:szCs w:val="18"/>
                      <w:highlight w:val="none"/>
                    </w:rPr>
                  </w:pPr>
                </w:p>
              </w:tc>
              <w:tc>
                <w:tcPr>
                  <w:tcW w:w="1785" w:type="dxa"/>
                  <w:vAlign w:val="center"/>
                </w:tcPr>
                <w:p w14:paraId="2419BDB7">
                  <w:pPr>
                    <w:pStyle w:val="41"/>
                    <w:rPr>
                      <w:color w:val="auto"/>
                      <w:sz w:val="18"/>
                      <w:szCs w:val="18"/>
                      <w:highlight w:val="none"/>
                    </w:rPr>
                  </w:pPr>
                  <w:r>
                    <w:rPr>
                      <w:color w:val="auto"/>
                      <w:sz w:val="18"/>
                      <w:szCs w:val="18"/>
                      <w:highlight w:val="none"/>
                    </w:rPr>
                    <w:t>噪声治理措施</w:t>
                  </w:r>
                </w:p>
              </w:tc>
              <w:tc>
                <w:tcPr>
                  <w:tcW w:w="4608" w:type="dxa"/>
                  <w:tcBorders>
                    <w:bottom w:val="single" w:color="auto" w:sz="4" w:space="0"/>
                  </w:tcBorders>
                  <w:vAlign w:val="center"/>
                </w:tcPr>
                <w:p w14:paraId="38EAD1E2">
                  <w:pPr>
                    <w:pStyle w:val="41"/>
                    <w:rPr>
                      <w:color w:val="auto"/>
                      <w:sz w:val="18"/>
                      <w:szCs w:val="18"/>
                      <w:highlight w:val="none"/>
                    </w:rPr>
                  </w:pPr>
                  <w:r>
                    <w:rPr>
                      <w:rFonts w:hint="eastAsia" w:cs="Times New Roman"/>
                      <w:color w:val="auto"/>
                      <w:sz w:val="18"/>
                      <w:szCs w:val="18"/>
                      <w:highlight w:val="none"/>
                      <w:lang w:val="en-US" w:eastAsia="zh-CN"/>
                    </w:rPr>
                    <w:t>临时防渗旱厕、临时沉淀池</w:t>
                  </w:r>
                </w:p>
              </w:tc>
              <w:tc>
                <w:tcPr>
                  <w:tcW w:w="1352" w:type="dxa"/>
                  <w:tcBorders>
                    <w:bottom w:val="single" w:color="auto" w:sz="4" w:space="0"/>
                  </w:tcBorders>
                  <w:vAlign w:val="center"/>
                </w:tcPr>
                <w:p w14:paraId="2925E3B5">
                  <w:pPr>
                    <w:pStyle w:val="41"/>
                    <w:rPr>
                      <w:color w:val="auto"/>
                      <w:sz w:val="18"/>
                      <w:szCs w:val="18"/>
                      <w:highlight w:val="none"/>
                    </w:rPr>
                  </w:pPr>
                  <w:r>
                    <w:rPr>
                      <w:rFonts w:hint="eastAsia" w:cs="Times New Roman"/>
                      <w:color w:val="auto"/>
                      <w:sz w:val="18"/>
                      <w:szCs w:val="18"/>
                      <w:highlight w:val="none"/>
                      <w:lang w:val="en-US" w:eastAsia="zh-CN"/>
                    </w:rPr>
                    <w:t>1</w:t>
                  </w:r>
                </w:p>
              </w:tc>
            </w:tr>
            <w:tr w14:paraId="434A9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0" w:type="dxa"/>
                  <w:vMerge w:val="continue"/>
                  <w:vAlign w:val="center"/>
                </w:tcPr>
                <w:p w14:paraId="350FCCF4">
                  <w:pPr>
                    <w:pStyle w:val="41"/>
                    <w:rPr>
                      <w:color w:val="auto"/>
                      <w:sz w:val="18"/>
                      <w:szCs w:val="18"/>
                      <w:highlight w:val="none"/>
                    </w:rPr>
                  </w:pPr>
                </w:p>
              </w:tc>
              <w:tc>
                <w:tcPr>
                  <w:tcW w:w="1785" w:type="dxa"/>
                  <w:vAlign w:val="center"/>
                </w:tcPr>
                <w:p w14:paraId="2888423F">
                  <w:pPr>
                    <w:pStyle w:val="41"/>
                    <w:rPr>
                      <w:color w:val="auto"/>
                      <w:sz w:val="18"/>
                      <w:szCs w:val="18"/>
                      <w:highlight w:val="none"/>
                    </w:rPr>
                  </w:pPr>
                  <w:r>
                    <w:rPr>
                      <w:color w:val="auto"/>
                      <w:sz w:val="18"/>
                      <w:szCs w:val="18"/>
                      <w:highlight w:val="none"/>
                    </w:rPr>
                    <w:t>固废治理措施</w:t>
                  </w:r>
                </w:p>
              </w:tc>
              <w:tc>
                <w:tcPr>
                  <w:tcW w:w="4608" w:type="dxa"/>
                  <w:tcBorders>
                    <w:bottom w:val="single" w:color="auto" w:sz="4" w:space="0"/>
                  </w:tcBorders>
                  <w:vAlign w:val="center"/>
                </w:tcPr>
                <w:p w14:paraId="77F02DBB">
                  <w:pPr>
                    <w:pStyle w:val="41"/>
                    <w:rPr>
                      <w:color w:val="auto"/>
                      <w:sz w:val="18"/>
                      <w:szCs w:val="18"/>
                      <w:highlight w:val="none"/>
                    </w:rPr>
                  </w:pPr>
                  <w:r>
                    <w:rPr>
                      <w:rFonts w:hint="eastAsia" w:cs="Times New Roman"/>
                      <w:color w:val="auto"/>
                      <w:sz w:val="18"/>
                      <w:szCs w:val="18"/>
                      <w:highlight w:val="none"/>
                      <w:lang w:val="en-US" w:eastAsia="zh-CN"/>
                    </w:rPr>
                    <w:t>建筑垃圾、拆除设备运输、处理</w:t>
                  </w:r>
                </w:p>
              </w:tc>
              <w:tc>
                <w:tcPr>
                  <w:tcW w:w="1352" w:type="dxa"/>
                  <w:tcBorders>
                    <w:bottom w:val="single" w:color="auto" w:sz="4" w:space="0"/>
                  </w:tcBorders>
                  <w:vAlign w:val="center"/>
                </w:tcPr>
                <w:p w14:paraId="4C26DD2C">
                  <w:pPr>
                    <w:pStyle w:val="41"/>
                    <w:rPr>
                      <w:color w:val="auto"/>
                      <w:sz w:val="18"/>
                      <w:szCs w:val="18"/>
                      <w:highlight w:val="none"/>
                    </w:rPr>
                  </w:pPr>
                  <w:r>
                    <w:rPr>
                      <w:rFonts w:hint="eastAsia" w:cs="Times New Roman"/>
                      <w:color w:val="auto"/>
                      <w:sz w:val="18"/>
                      <w:szCs w:val="18"/>
                      <w:highlight w:val="none"/>
                      <w:lang w:val="en-US" w:eastAsia="zh-CN"/>
                    </w:rPr>
                    <w:t>2</w:t>
                  </w:r>
                </w:p>
              </w:tc>
            </w:tr>
            <w:tr w14:paraId="2C060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restart"/>
                  <w:vAlign w:val="center"/>
                </w:tcPr>
                <w:p w14:paraId="7A63B3F7">
                  <w:pPr>
                    <w:pStyle w:val="41"/>
                    <w:rPr>
                      <w:rFonts w:hint="eastAsia" w:eastAsia="宋体"/>
                      <w:color w:val="auto"/>
                      <w:sz w:val="18"/>
                      <w:szCs w:val="18"/>
                      <w:highlight w:val="none"/>
                      <w:lang w:val="en-US" w:eastAsia="zh-CN"/>
                    </w:rPr>
                  </w:pPr>
                  <w:r>
                    <w:rPr>
                      <w:rFonts w:hint="eastAsia"/>
                      <w:color w:val="auto"/>
                      <w:sz w:val="18"/>
                      <w:szCs w:val="18"/>
                      <w:highlight w:val="none"/>
                      <w:lang w:val="en-US" w:eastAsia="zh-CN"/>
                    </w:rPr>
                    <w:t>运营期</w:t>
                  </w:r>
                </w:p>
              </w:tc>
              <w:tc>
                <w:tcPr>
                  <w:tcW w:w="1785" w:type="dxa"/>
                  <w:vMerge w:val="restart"/>
                  <w:shd w:val="clear" w:color="auto" w:fill="auto"/>
                  <w:vAlign w:val="center"/>
                </w:tcPr>
                <w:p w14:paraId="4BDE3634">
                  <w:pPr>
                    <w:pStyle w:val="41"/>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废气治理措施</w:t>
                  </w:r>
                </w:p>
              </w:tc>
              <w:tc>
                <w:tcPr>
                  <w:tcW w:w="4608" w:type="dxa"/>
                  <w:vAlign w:val="center"/>
                </w:tcPr>
                <w:p w14:paraId="37A30478">
                  <w:pPr>
                    <w:pStyle w:val="41"/>
                    <w:rPr>
                      <w:color w:val="auto"/>
                      <w:sz w:val="18"/>
                      <w:szCs w:val="18"/>
                      <w:highlight w:val="none"/>
                    </w:rPr>
                  </w:pPr>
                  <w:r>
                    <w:rPr>
                      <w:rFonts w:hint="eastAsia"/>
                      <w:color w:val="auto"/>
                      <w:sz w:val="18"/>
                      <w:szCs w:val="18"/>
                      <w:highlight w:val="none"/>
                    </w:rPr>
                    <w:t>防风抑尘网、集气罩+布袋除尘器+15m排气筒</w:t>
                  </w:r>
                </w:p>
              </w:tc>
              <w:tc>
                <w:tcPr>
                  <w:tcW w:w="1352" w:type="dxa"/>
                  <w:vAlign w:val="center"/>
                </w:tcPr>
                <w:p w14:paraId="6C135968">
                  <w:pPr>
                    <w:pStyle w:val="41"/>
                    <w:rPr>
                      <w:color w:val="auto"/>
                      <w:sz w:val="18"/>
                      <w:szCs w:val="18"/>
                      <w:highlight w:val="none"/>
                    </w:rPr>
                  </w:pPr>
                  <w:r>
                    <w:rPr>
                      <w:rFonts w:hint="eastAsia"/>
                      <w:color w:val="auto"/>
                      <w:sz w:val="18"/>
                      <w:szCs w:val="18"/>
                      <w:highlight w:val="none"/>
                    </w:rPr>
                    <w:t>20</w:t>
                  </w:r>
                </w:p>
              </w:tc>
            </w:tr>
            <w:tr w14:paraId="724AC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3909F14A">
                  <w:pPr>
                    <w:pStyle w:val="41"/>
                    <w:rPr>
                      <w:color w:val="auto"/>
                      <w:sz w:val="18"/>
                      <w:szCs w:val="18"/>
                      <w:highlight w:val="none"/>
                    </w:rPr>
                  </w:pPr>
                </w:p>
              </w:tc>
              <w:tc>
                <w:tcPr>
                  <w:tcW w:w="1785" w:type="dxa"/>
                  <w:vMerge w:val="continue"/>
                  <w:shd w:val="clear" w:color="auto" w:fill="auto"/>
                  <w:vAlign w:val="center"/>
                </w:tcPr>
                <w:p w14:paraId="50EAEE70">
                  <w:pPr>
                    <w:pStyle w:val="41"/>
                    <w:rPr>
                      <w:rFonts w:ascii="Times New Roman" w:hAnsi="Times New Roman" w:eastAsia="宋体" w:cs="Times New Roman"/>
                      <w:color w:val="auto"/>
                      <w:kern w:val="2"/>
                      <w:sz w:val="18"/>
                      <w:szCs w:val="18"/>
                      <w:highlight w:val="none"/>
                      <w:lang w:val="en-US" w:eastAsia="zh-CN" w:bidi="ar-SA"/>
                    </w:rPr>
                  </w:pPr>
                </w:p>
              </w:tc>
              <w:tc>
                <w:tcPr>
                  <w:tcW w:w="4608" w:type="dxa"/>
                  <w:vAlign w:val="center"/>
                </w:tcPr>
                <w:p w14:paraId="319C9DF1">
                  <w:pPr>
                    <w:pStyle w:val="41"/>
                    <w:rPr>
                      <w:color w:val="auto"/>
                      <w:sz w:val="18"/>
                      <w:szCs w:val="18"/>
                      <w:highlight w:val="none"/>
                    </w:rPr>
                  </w:pPr>
                  <w:r>
                    <w:rPr>
                      <w:rFonts w:hint="eastAsia"/>
                      <w:color w:val="auto"/>
                      <w:sz w:val="18"/>
                      <w:szCs w:val="18"/>
                      <w:highlight w:val="none"/>
                    </w:rPr>
                    <w:t>洒水车</w:t>
                  </w:r>
                </w:p>
              </w:tc>
              <w:tc>
                <w:tcPr>
                  <w:tcW w:w="1352" w:type="dxa"/>
                  <w:vAlign w:val="center"/>
                </w:tcPr>
                <w:p w14:paraId="3526D165">
                  <w:pPr>
                    <w:pStyle w:val="41"/>
                    <w:rPr>
                      <w:color w:val="auto"/>
                      <w:sz w:val="18"/>
                      <w:szCs w:val="18"/>
                      <w:highlight w:val="none"/>
                    </w:rPr>
                  </w:pPr>
                  <w:r>
                    <w:rPr>
                      <w:rFonts w:hint="eastAsia"/>
                      <w:color w:val="auto"/>
                      <w:sz w:val="18"/>
                      <w:szCs w:val="18"/>
                      <w:highlight w:val="none"/>
                    </w:rPr>
                    <w:t>3</w:t>
                  </w:r>
                </w:p>
              </w:tc>
            </w:tr>
            <w:tr w14:paraId="4AF9E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4AEA28EC">
                  <w:pPr>
                    <w:pStyle w:val="41"/>
                    <w:rPr>
                      <w:color w:val="auto"/>
                      <w:sz w:val="18"/>
                      <w:szCs w:val="18"/>
                      <w:highlight w:val="none"/>
                    </w:rPr>
                  </w:pPr>
                </w:p>
              </w:tc>
              <w:tc>
                <w:tcPr>
                  <w:tcW w:w="1785" w:type="dxa"/>
                  <w:vMerge w:val="restart"/>
                  <w:shd w:val="clear" w:color="auto" w:fill="auto"/>
                  <w:vAlign w:val="center"/>
                </w:tcPr>
                <w:p w14:paraId="2EB71DC6">
                  <w:pPr>
                    <w:pStyle w:val="41"/>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废水治理措施</w:t>
                  </w:r>
                </w:p>
              </w:tc>
              <w:tc>
                <w:tcPr>
                  <w:tcW w:w="4608" w:type="dxa"/>
                  <w:vAlign w:val="center"/>
                </w:tcPr>
                <w:p w14:paraId="2BDBCCB4">
                  <w:pPr>
                    <w:jc w:val="center"/>
                    <w:rPr>
                      <w:color w:val="auto"/>
                      <w:sz w:val="18"/>
                      <w:szCs w:val="18"/>
                      <w:highlight w:val="none"/>
                    </w:rPr>
                  </w:pPr>
                  <w:r>
                    <w:rPr>
                      <w:rFonts w:hint="eastAsia"/>
                      <w:color w:val="auto"/>
                      <w:sz w:val="18"/>
                      <w:szCs w:val="18"/>
                      <w:highlight w:val="none"/>
                    </w:rPr>
                    <w:t>雨水收集池</w:t>
                  </w:r>
                  <w:r>
                    <w:rPr>
                      <w:rFonts w:hint="eastAsia"/>
                      <w:color w:val="auto"/>
                      <w:kern w:val="0"/>
                      <w:sz w:val="18"/>
                      <w:szCs w:val="18"/>
                      <w:highlight w:val="none"/>
                    </w:rPr>
                    <w:t>（包含防渗措施）、雨水导流沟（包含防渗措施）</w:t>
                  </w:r>
                </w:p>
              </w:tc>
              <w:tc>
                <w:tcPr>
                  <w:tcW w:w="1352" w:type="dxa"/>
                  <w:vAlign w:val="center"/>
                </w:tcPr>
                <w:p w14:paraId="13A5178E">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r>
            <w:tr w14:paraId="01371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35C1FDEA">
                  <w:pPr>
                    <w:pStyle w:val="41"/>
                    <w:rPr>
                      <w:color w:val="auto"/>
                      <w:sz w:val="18"/>
                      <w:szCs w:val="18"/>
                      <w:highlight w:val="none"/>
                    </w:rPr>
                  </w:pPr>
                </w:p>
              </w:tc>
              <w:tc>
                <w:tcPr>
                  <w:tcW w:w="1785" w:type="dxa"/>
                  <w:vMerge w:val="continue"/>
                  <w:shd w:val="clear" w:color="auto" w:fill="auto"/>
                  <w:vAlign w:val="center"/>
                </w:tcPr>
                <w:p w14:paraId="72FA1C94">
                  <w:pPr>
                    <w:pStyle w:val="41"/>
                    <w:rPr>
                      <w:rFonts w:ascii="Times New Roman" w:hAnsi="Times New Roman" w:eastAsia="宋体" w:cs="Times New Roman"/>
                      <w:color w:val="auto"/>
                      <w:kern w:val="2"/>
                      <w:sz w:val="18"/>
                      <w:szCs w:val="18"/>
                      <w:highlight w:val="none"/>
                      <w:lang w:val="en-US" w:eastAsia="zh-CN" w:bidi="ar-SA"/>
                    </w:rPr>
                  </w:pPr>
                </w:p>
              </w:tc>
              <w:tc>
                <w:tcPr>
                  <w:tcW w:w="4608" w:type="dxa"/>
                  <w:vAlign w:val="center"/>
                </w:tcPr>
                <w:p w14:paraId="1EBE960C">
                  <w:pPr>
                    <w:jc w:val="center"/>
                    <w:rPr>
                      <w:color w:val="auto"/>
                      <w:sz w:val="18"/>
                      <w:szCs w:val="18"/>
                      <w:highlight w:val="none"/>
                    </w:rPr>
                  </w:pPr>
                  <w:r>
                    <w:rPr>
                      <w:rFonts w:hint="eastAsia"/>
                      <w:color w:val="auto"/>
                      <w:sz w:val="18"/>
                      <w:szCs w:val="18"/>
                      <w:highlight w:val="none"/>
                    </w:rPr>
                    <w:t>防渗旱厕</w:t>
                  </w:r>
                </w:p>
              </w:tc>
              <w:tc>
                <w:tcPr>
                  <w:tcW w:w="1352" w:type="dxa"/>
                  <w:vAlign w:val="center"/>
                </w:tcPr>
                <w:p w14:paraId="0E0EC6BE">
                  <w:pPr>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0.5</w:t>
                  </w:r>
                </w:p>
              </w:tc>
            </w:tr>
            <w:tr w14:paraId="7CBC7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6482382C">
                  <w:pPr>
                    <w:pStyle w:val="41"/>
                    <w:rPr>
                      <w:color w:val="auto"/>
                      <w:sz w:val="18"/>
                      <w:szCs w:val="18"/>
                      <w:highlight w:val="none"/>
                    </w:rPr>
                  </w:pPr>
                </w:p>
              </w:tc>
              <w:tc>
                <w:tcPr>
                  <w:tcW w:w="1785" w:type="dxa"/>
                  <w:shd w:val="clear" w:color="auto" w:fill="auto"/>
                  <w:vAlign w:val="center"/>
                </w:tcPr>
                <w:p w14:paraId="3CFE1735">
                  <w:pPr>
                    <w:pStyle w:val="41"/>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噪声治理措施</w:t>
                  </w:r>
                </w:p>
              </w:tc>
              <w:tc>
                <w:tcPr>
                  <w:tcW w:w="4608" w:type="dxa"/>
                  <w:vAlign w:val="center"/>
                </w:tcPr>
                <w:p w14:paraId="735B2AE4">
                  <w:pPr>
                    <w:pStyle w:val="41"/>
                    <w:rPr>
                      <w:color w:val="auto"/>
                      <w:sz w:val="18"/>
                      <w:szCs w:val="18"/>
                      <w:highlight w:val="none"/>
                    </w:rPr>
                  </w:pPr>
                  <w:r>
                    <w:rPr>
                      <w:color w:val="auto"/>
                      <w:sz w:val="18"/>
                      <w:szCs w:val="18"/>
                      <w:highlight w:val="none"/>
                    </w:rPr>
                    <w:t>选取低噪声设备</w:t>
                  </w:r>
                  <w:r>
                    <w:rPr>
                      <w:rFonts w:hint="eastAsia"/>
                      <w:color w:val="auto"/>
                      <w:sz w:val="18"/>
                      <w:szCs w:val="18"/>
                      <w:highlight w:val="none"/>
                      <w:lang w:eastAsia="zh-CN"/>
                    </w:rPr>
                    <w:t>、基础减振、</w:t>
                  </w:r>
                  <w:r>
                    <w:rPr>
                      <w:rFonts w:hint="default"/>
                      <w:color w:val="auto"/>
                      <w:kern w:val="2"/>
                      <w:sz w:val="18"/>
                      <w:szCs w:val="18"/>
                      <w:highlight w:val="none"/>
                      <w:lang w:eastAsia="zh-CN"/>
                    </w:rPr>
                    <w:t>风机安装</w:t>
                  </w:r>
                  <w:r>
                    <w:rPr>
                      <w:rFonts w:hint="default"/>
                      <w:color w:val="auto"/>
                      <w:sz w:val="18"/>
                      <w:szCs w:val="18"/>
                      <w:highlight w:val="none"/>
                      <w:lang w:eastAsia="zh-CN"/>
                    </w:rPr>
                    <w:t>消声器、水泵设置隔声罩等</w:t>
                  </w:r>
                  <w:r>
                    <w:rPr>
                      <w:rFonts w:hint="eastAsia"/>
                      <w:color w:val="auto"/>
                      <w:sz w:val="18"/>
                      <w:szCs w:val="18"/>
                      <w:highlight w:val="none"/>
                    </w:rPr>
                    <w:t>、定期维护</w:t>
                  </w:r>
                </w:p>
              </w:tc>
              <w:tc>
                <w:tcPr>
                  <w:tcW w:w="1352" w:type="dxa"/>
                  <w:vAlign w:val="center"/>
                </w:tcPr>
                <w:p w14:paraId="5D0A67C1">
                  <w:pPr>
                    <w:pStyle w:val="41"/>
                    <w:rPr>
                      <w:color w:val="auto"/>
                      <w:sz w:val="18"/>
                      <w:szCs w:val="18"/>
                      <w:highlight w:val="none"/>
                    </w:rPr>
                  </w:pPr>
                  <w:r>
                    <w:rPr>
                      <w:rFonts w:hint="eastAsia"/>
                      <w:color w:val="auto"/>
                      <w:sz w:val="18"/>
                      <w:szCs w:val="18"/>
                      <w:highlight w:val="none"/>
                    </w:rPr>
                    <w:t>5</w:t>
                  </w:r>
                </w:p>
              </w:tc>
            </w:tr>
            <w:tr w14:paraId="66F53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2A684A8F">
                  <w:pPr>
                    <w:pStyle w:val="41"/>
                    <w:rPr>
                      <w:color w:val="auto"/>
                      <w:sz w:val="18"/>
                      <w:szCs w:val="18"/>
                      <w:highlight w:val="none"/>
                    </w:rPr>
                  </w:pPr>
                </w:p>
              </w:tc>
              <w:tc>
                <w:tcPr>
                  <w:tcW w:w="1785" w:type="dxa"/>
                  <w:vMerge w:val="restart"/>
                  <w:shd w:val="clear" w:color="auto" w:fill="auto"/>
                  <w:vAlign w:val="center"/>
                </w:tcPr>
                <w:p w14:paraId="4621F068">
                  <w:pPr>
                    <w:pStyle w:val="41"/>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固废治理措施</w:t>
                  </w:r>
                </w:p>
              </w:tc>
              <w:tc>
                <w:tcPr>
                  <w:tcW w:w="4608" w:type="dxa"/>
                  <w:vAlign w:val="center"/>
                </w:tcPr>
                <w:p w14:paraId="73A7E0D4">
                  <w:pPr>
                    <w:pStyle w:val="41"/>
                    <w:rPr>
                      <w:color w:val="auto"/>
                      <w:sz w:val="18"/>
                      <w:szCs w:val="18"/>
                      <w:highlight w:val="none"/>
                    </w:rPr>
                  </w:pPr>
                  <w:r>
                    <w:rPr>
                      <w:color w:val="auto"/>
                      <w:kern w:val="0"/>
                      <w:sz w:val="18"/>
                      <w:szCs w:val="18"/>
                      <w:highlight w:val="none"/>
                    </w:rPr>
                    <w:t>生活垃圾</w:t>
                  </w:r>
                  <w:r>
                    <w:rPr>
                      <w:rFonts w:hint="eastAsia"/>
                      <w:color w:val="auto"/>
                      <w:kern w:val="0"/>
                      <w:sz w:val="18"/>
                      <w:szCs w:val="18"/>
                      <w:highlight w:val="none"/>
                    </w:rPr>
                    <w:t>收集箱</w:t>
                  </w:r>
                </w:p>
              </w:tc>
              <w:tc>
                <w:tcPr>
                  <w:tcW w:w="1352" w:type="dxa"/>
                  <w:vAlign w:val="center"/>
                </w:tcPr>
                <w:p w14:paraId="67AD051A">
                  <w:pPr>
                    <w:pStyle w:val="41"/>
                    <w:rPr>
                      <w:rFonts w:hint="default" w:eastAsia="宋体"/>
                      <w:color w:val="auto"/>
                      <w:sz w:val="18"/>
                      <w:szCs w:val="18"/>
                      <w:highlight w:val="none"/>
                      <w:lang w:val="en-US" w:eastAsia="zh-CN"/>
                    </w:rPr>
                  </w:pPr>
                  <w:r>
                    <w:rPr>
                      <w:rFonts w:hint="eastAsia"/>
                      <w:color w:val="auto"/>
                      <w:sz w:val="18"/>
                      <w:szCs w:val="18"/>
                      <w:highlight w:val="none"/>
                      <w:lang w:val="en-US" w:eastAsia="zh-CN"/>
                    </w:rPr>
                    <w:t>0.5</w:t>
                  </w:r>
                </w:p>
              </w:tc>
            </w:tr>
            <w:tr w14:paraId="73667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68CE4D03">
                  <w:pPr>
                    <w:pStyle w:val="41"/>
                    <w:rPr>
                      <w:color w:val="auto"/>
                      <w:sz w:val="18"/>
                      <w:szCs w:val="18"/>
                      <w:highlight w:val="none"/>
                    </w:rPr>
                  </w:pPr>
                </w:p>
              </w:tc>
              <w:tc>
                <w:tcPr>
                  <w:tcW w:w="1785" w:type="dxa"/>
                  <w:vMerge w:val="continue"/>
                  <w:shd w:val="clear" w:color="auto" w:fill="auto"/>
                  <w:vAlign w:val="center"/>
                </w:tcPr>
                <w:p w14:paraId="75434B6D">
                  <w:pPr>
                    <w:pStyle w:val="41"/>
                    <w:rPr>
                      <w:rFonts w:ascii="Times New Roman" w:hAnsi="Times New Roman" w:eastAsia="宋体" w:cs="Times New Roman"/>
                      <w:color w:val="auto"/>
                      <w:kern w:val="2"/>
                      <w:sz w:val="18"/>
                      <w:szCs w:val="18"/>
                      <w:highlight w:val="none"/>
                      <w:lang w:val="en-US" w:eastAsia="zh-CN" w:bidi="ar-SA"/>
                    </w:rPr>
                  </w:pPr>
                </w:p>
              </w:tc>
              <w:tc>
                <w:tcPr>
                  <w:tcW w:w="4608" w:type="dxa"/>
                  <w:vAlign w:val="center"/>
                </w:tcPr>
                <w:p w14:paraId="4D60F5C2">
                  <w:pPr>
                    <w:pStyle w:val="41"/>
                    <w:rPr>
                      <w:color w:val="auto"/>
                      <w:kern w:val="0"/>
                      <w:sz w:val="18"/>
                      <w:szCs w:val="18"/>
                      <w:highlight w:val="none"/>
                    </w:rPr>
                  </w:pPr>
                  <w:r>
                    <w:rPr>
                      <w:rFonts w:hint="eastAsia"/>
                      <w:color w:val="auto"/>
                      <w:kern w:val="0"/>
                      <w:sz w:val="18"/>
                      <w:szCs w:val="18"/>
                      <w:highlight w:val="none"/>
                    </w:rPr>
                    <w:t>危险废物贮存点（包含防渗措施）</w:t>
                  </w:r>
                </w:p>
              </w:tc>
              <w:tc>
                <w:tcPr>
                  <w:tcW w:w="1352" w:type="dxa"/>
                  <w:vAlign w:val="center"/>
                </w:tcPr>
                <w:p w14:paraId="1F1E89C7">
                  <w:pPr>
                    <w:pStyle w:val="41"/>
                    <w:rPr>
                      <w:color w:val="auto"/>
                      <w:sz w:val="18"/>
                      <w:szCs w:val="18"/>
                      <w:highlight w:val="none"/>
                    </w:rPr>
                  </w:pPr>
                  <w:r>
                    <w:rPr>
                      <w:rFonts w:hint="eastAsia"/>
                      <w:color w:val="auto"/>
                      <w:sz w:val="18"/>
                      <w:szCs w:val="18"/>
                      <w:highlight w:val="none"/>
                    </w:rPr>
                    <w:t>1</w:t>
                  </w:r>
                </w:p>
              </w:tc>
            </w:tr>
            <w:tr w14:paraId="1EA2E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Merge w:val="continue"/>
                  <w:vAlign w:val="center"/>
                </w:tcPr>
                <w:p w14:paraId="4235C0D9">
                  <w:pPr>
                    <w:pStyle w:val="41"/>
                    <w:rPr>
                      <w:color w:val="auto"/>
                      <w:sz w:val="18"/>
                      <w:szCs w:val="18"/>
                      <w:highlight w:val="none"/>
                    </w:rPr>
                  </w:pPr>
                </w:p>
              </w:tc>
              <w:tc>
                <w:tcPr>
                  <w:tcW w:w="1785" w:type="dxa"/>
                  <w:shd w:val="clear" w:color="auto" w:fill="auto"/>
                  <w:vAlign w:val="center"/>
                </w:tcPr>
                <w:p w14:paraId="75E9BA9F">
                  <w:pPr>
                    <w:pStyle w:val="41"/>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土壤</w:t>
                  </w:r>
                  <w:r>
                    <w:rPr>
                      <w:rFonts w:hint="eastAsia"/>
                      <w:color w:val="auto"/>
                      <w:sz w:val="18"/>
                      <w:szCs w:val="18"/>
                      <w:highlight w:val="none"/>
                      <w:lang w:eastAsia="zh-CN"/>
                    </w:rPr>
                    <w:t>、</w:t>
                  </w:r>
                  <w:r>
                    <w:rPr>
                      <w:rFonts w:hint="eastAsia"/>
                      <w:color w:val="auto"/>
                      <w:sz w:val="18"/>
                      <w:szCs w:val="18"/>
                      <w:highlight w:val="none"/>
                      <w:lang w:val="en-US" w:eastAsia="zh-CN"/>
                    </w:rPr>
                    <w:t>地下水</w:t>
                  </w:r>
                  <w:r>
                    <w:rPr>
                      <w:rFonts w:hint="eastAsia"/>
                      <w:color w:val="auto"/>
                      <w:sz w:val="18"/>
                      <w:szCs w:val="18"/>
                      <w:highlight w:val="none"/>
                    </w:rPr>
                    <w:t>治理措施</w:t>
                  </w:r>
                </w:p>
              </w:tc>
              <w:tc>
                <w:tcPr>
                  <w:tcW w:w="4608" w:type="dxa"/>
                  <w:vAlign w:val="center"/>
                </w:tcPr>
                <w:p w14:paraId="619D0813">
                  <w:pPr>
                    <w:pStyle w:val="41"/>
                    <w:rPr>
                      <w:color w:val="auto"/>
                      <w:kern w:val="0"/>
                      <w:sz w:val="18"/>
                      <w:szCs w:val="18"/>
                      <w:highlight w:val="none"/>
                    </w:rPr>
                  </w:pPr>
                  <w:r>
                    <w:rPr>
                      <w:rFonts w:hint="eastAsia"/>
                      <w:color w:val="auto"/>
                      <w:kern w:val="0"/>
                      <w:sz w:val="18"/>
                      <w:szCs w:val="18"/>
                      <w:highlight w:val="none"/>
                    </w:rPr>
                    <w:t>厂区地面硬化</w:t>
                  </w:r>
                </w:p>
              </w:tc>
              <w:tc>
                <w:tcPr>
                  <w:tcW w:w="1352" w:type="dxa"/>
                  <w:vAlign w:val="center"/>
                </w:tcPr>
                <w:p w14:paraId="0733B6EF">
                  <w:pPr>
                    <w:pStyle w:val="41"/>
                    <w:rPr>
                      <w:rFonts w:hint="default" w:eastAsia="宋体"/>
                      <w:color w:val="auto"/>
                      <w:sz w:val="18"/>
                      <w:szCs w:val="18"/>
                      <w:highlight w:val="none"/>
                      <w:lang w:val="en-US" w:eastAsia="zh-CN"/>
                    </w:rPr>
                  </w:pPr>
                  <w:r>
                    <w:rPr>
                      <w:rFonts w:hint="eastAsia"/>
                      <w:color w:val="auto"/>
                      <w:sz w:val="18"/>
                      <w:szCs w:val="18"/>
                      <w:highlight w:val="none"/>
                      <w:lang w:val="en-US" w:eastAsia="zh-CN"/>
                    </w:rPr>
                    <w:t>20</w:t>
                  </w:r>
                </w:p>
              </w:tc>
            </w:tr>
            <w:tr w14:paraId="6D5A5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390" w:type="dxa"/>
                  <w:vMerge w:val="continue"/>
                  <w:vAlign w:val="center"/>
                </w:tcPr>
                <w:p w14:paraId="5CE420A8">
                  <w:pPr>
                    <w:pStyle w:val="41"/>
                    <w:rPr>
                      <w:color w:val="auto"/>
                      <w:sz w:val="18"/>
                      <w:szCs w:val="18"/>
                      <w:highlight w:val="none"/>
                    </w:rPr>
                  </w:pPr>
                </w:p>
              </w:tc>
              <w:tc>
                <w:tcPr>
                  <w:tcW w:w="1785" w:type="dxa"/>
                  <w:shd w:val="clear" w:color="auto" w:fill="auto"/>
                  <w:vAlign w:val="center"/>
                </w:tcPr>
                <w:p w14:paraId="5176EE49">
                  <w:pPr>
                    <w:pStyle w:val="41"/>
                    <w:rPr>
                      <w:color w:val="auto"/>
                      <w:sz w:val="18"/>
                      <w:szCs w:val="18"/>
                      <w:highlight w:val="none"/>
                    </w:rPr>
                  </w:pPr>
                  <w:r>
                    <w:rPr>
                      <w:color w:val="auto"/>
                      <w:sz w:val="18"/>
                      <w:szCs w:val="18"/>
                      <w:highlight w:val="none"/>
                    </w:rPr>
                    <w:t>环保设施</w:t>
                  </w:r>
                </w:p>
                <w:p w14:paraId="0E8F1811">
                  <w:pPr>
                    <w:pStyle w:val="41"/>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运行费用</w:t>
                  </w:r>
                </w:p>
              </w:tc>
              <w:tc>
                <w:tcPr>
                  <w:tcW w:w="4608" w:type="dxa"/>
                  <w:vAlign w:val="center"/>
                </w:tcPr>
                <w:p w14:paraId="439492F0">
                  <w:pPr>
                    <w:pStyle w:val="41"/>
                    <w:rPr>
                      <w:color w:val="auto"/>
                      <w:sz w:val="18"/>
                      <w:szCs w:val="18"/>
                      <w:highlight w:val="none"/>
                    </w:rPr>
                  </w:pPr>
                  <w:r>
                    <w:rPr>
                      <w:color w:val="auto"/>
                      <w:sz w:val="18"/>
                      <w:szCs w:val="18"/>
                      <w:highlight w:val="none"/>
                    </w:rPr>
                    <w:t>环保设施的运行、维护、维修费用</w:t>
                  </w:r>
                </w:p>
              </w:tc>
              <w:tc>
                <w:tcPr>
                  <w:tcW w:w="1352" w:type="dxa"/>
                  <w:vAlign w:val="center"/>
                </w:tcPr>
                <w:p w14:paraId="55780EF7">
                  <w:pPr>
                    <w:pStyle w:val="41"/>
                    <w:rPr>
                      <w:color w:val="auto"/>
                      <w:sz w:val="18"/>
                      <w:szCs w:val="18"/>
                      <w:highlight w:val="none"/>
                    </w:rPr>
                  </w:pPr>
                  <w:r>
                    <w:rPr>
                      <w:rFonts w:hint="eastAsia"/>
                      <w:color w:val="auto"/>
                      <w:sz w:val="18"/>
                      <w:szCs w:val="18"/>
                      <w:highlight w:val="none"/>
                    </w:rPr>
                    <w:t>10</w:t>
                  </w:r>
                </w:p>
              </w:tc>
            </w:tr>
            <w:tr w14:paraId="43812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90" w:type="dxa"/>
                  <w:vAlign w:val="center"/>
                </w:tcPr>
                <w:p w14:paraId="572B47FB">
                  <w:pPr>
                    <w:pStyle w:val="41"/>
                    <w:rPr>
                      <w:color w:val="auto"/>
                      <w:sz w:val="18"/>
                      <w:szCs w:val="18"/>
                      <w:highlight w:val="none"/>
                    </w:rPr>
                  </w:pPr>
                </w:p>
              </w:tc>
              <w:tc>
                <w:tcPr>
                  <w:tcW w:w="1785" w:type="dxa"/>
                  <w:shd w:val="clear" w:color="auto" w:fill="auto"/>
                  <w:vAlign w:val="center"/>
                </w:tcPr>
                <w:p w14:paraId="705B257A">
                  <w:pPr>
                    <w:pStyle w:val="41"/>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日常</w:t>
                  </w:r>
                </w:p>
              </w:tc>
              <w:tc>
                <w:tcPr>
                  <w:tcW w:w="4608" w:type="dxa"/>
                  <w:vAlign w:val="center"/>
                </w:tcPr>
                <w:p w14:paraId="77A99EC2">
                  <w:pPr>
                    <w:pStyle w:val="41"/>
                    <w:rPr>
                      <w:color w:val="auto"/>
                      <w:sz w:val="18"/>
                      <w:szCs w:val="18"/>
                      <w:highlight w:val="none"/>
                    </w:rPr>
                  </w:pPr>
                  <w:r>
                    <w:rPr>
                      <w:rFonts w:hint="eastAsia"/>
                      <w:color w:val="auto"/>
                      <w:sz w:val="18"/>
                      <w:szCs w:val="18"/>
                      <w:highlight w:val="none"/>
                    </w:rPr>
                    <w:t>例行监测</w:t>
                  </w:r>
                </w:p>
              </w:tc>
              <w:tc>
                <w:tcPr>
                  <w:tcW w:w="1352" w:type="dxa"/>
                  <w:vAlign w:val="center"/>
                </w:tcPr>
                <w:p w14:paraId="7F3DF85E">
                  <w:pPr>
                    <w:pStyle w:val="41"/>
                    <w:rPr>
                      <w:color w:val="auto"/>
                      <w:sz w:val="18"/>
                      <w:szCs w:val="18"/>
                      <w:highlight w:val="none"/>
                    </w:rPr>
                  </w:pPr>
                  <w:r>
                    <w:rPr>
                      <w:rFonts w:hint="eastAsia"/>
                      <w:color w:val="auto"/>
                      <w:sz w:val="18"/>
                      <w:szCs w:val="18"/>
                      <w:highlight w:val="none"/>
                    </w:rPr>
                    <w:t>5</w:t>
                  </w:r>
                </w:p>
              </w:tc>
            </w:tr>
            <w:tr w14:paraId="437E5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783" w:type="dxa"/>
                  <w:gridSpan w:val="3"/>
                  <w:vAlign w:val="center"/>
                </w:tcPr>
                <w:p w14:paraId="171FB0B7">
                  <w:pPr>
                    <w:pStyle w:val="41"/>
                    <w:rPr>
                      <w:color w:val="auto"/>
                      <w:sz w:val="18"/>
                      <w:szCs w:val="18"/>
                      <w:highlight w:val="none"/>
                    </w:rPr>
                  </w:pPr>
                  <w:r>
                    <w:rPr>
                      <w:color w:val="auto"/>
                      <w:sz w:val="18"/>
                      <w:szCs w:val="18"/>
                      <w:highlight w:val="none"/>
                    </w:rPr>
                    <w:t>环保投资（万元）</w:t>
                  </w:r>
                </w:p>
              </w:tc>
              <w:tc>
                <w:tcPr>
                  <w:tcW w:w="1352" w:type="dxa"/>
                  <w:vAlign w:val="center"/>
                </w:tcPr>
                <w:p w14:paraId="0907C61B">
                  <w:pPr>
                    <w:pStyle w:val="41"/>
                    <w:rPr>
                      <w:rFonts w:hint="default" w:eastAsia="宋体"/>
                      <w:color w:val="auto"/>
                      <w:sz w:val="18"/>
                      <w:szCs w:val="18"/>
                      <w:highlight w:val="none"/>
                      <w:lang w:val="en-US" w:eastAsia="zh-CN"/>
                    </w:rPr>
                  </w:pPr>
                  <w:r>
                    <w:rPr>
                      <w:rFonts w:hint="eastAsia"/>
                      <w:color w:val="auto"/>
                      <w:sz w:val="18"/>
                      <w:szCs w:val="18"/>
                      <w:highlight w:val="none"/>
                      <w:lang w:val="en-US" w:eastAsia="zh-CN"/>
                    </w:rPr>
                    <w:t>91</w:t>
                  </w:r>
                </w:p>
              </w:tc>
            </w:tr>
            <w:tr w14:paraId="5FA7A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783" w:type="dxa"/>
                  <w:gridSpan w:val="3"/>
                  <w:vAlign w:val="center"/>
                </w:tcPr>
                <w:p w14:paraId="7ACAA1F0">
                  <w:pPr>
                    <w:pStyle w:val="41"/>
                    <w:rPr>
                      <w:color w:val="auto"/>
                      <w:sz w:val="18"/>
                      <w:szCs w:val="18"/>
                      <w:highlight w:val="none"/>
                    </w:rPr>
                  </w:pPr>
                  <w:r>
                    <w:rPr>
                      <w:rFonts w:hint="eastAsia"/>
                      <w:color w:val="auto"/>
                      <w:sz w:val="18"/>
                      <w:szCs w:val="18"/>
                      <w:highlight w:val="none"/>
                    </w:rPr>
                    <w:t>总</w:t>
                  </w:r>
                  <w:r>
                    <w:rPr>
                      <w:color w:val="auto"/>
                      <w:sz w:val="18"/>
                      <w:szCs w:val="18"/>
                      <w:highlight w:val="none"/>
                    </w:rPr>
                    <w:t>投资（万元）</w:t>
                  </w:r>
                </w:p>
              </w:tc>
              <w:tc>
                <w:tcPr>
                  <w:tcW w:w="1352" w:type="dxa"/>
                  <w:vAlign w:val="center"/>
                </w:tcPr>
                <w:p w14:paraId="72790103">
                  <w:pPr>
                    <w:pStyle w:val="41"/>
                    <w:rPr>
                      <w:color w:val="auto"/>
                      <w:sz w:val="18"/>
                      <w:szCs w:val="18"/>
                      <w:highlight w:val="none"/>
                    </w:rPr>
                  </w:pPr>
                  <w:r>
                    <w:rPr>
                      <w:rFonts w:hint="eastAsia"/>
                      <w:color w:val="auto"/>
                      <w:sz w:val="18"/>
                      <w:szCs w:val="18"/>
                      <w:highlight w:val="none"/>
                    </w:rPr>
                    <w:t>500</w:t>
                  </w:r>
                </w:p>
              </w:tc>
            </w:tr>
            <w:tr w14:paraId="074E9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783" w:type="dxa"/>
                  <w:gridSpan w:val="3"/>
                  <w:vAlign w:val="center"/>
                </w:tcPr>
                <w:p w14:paraId="5F627990">
                  <w:pPr>
                    <w:pStyle w:val="41"/>
                    <w:rPr>
                      <w:color w:val="auto"/>
                      <w:sz w:val="18"/>
                      <w:szCs w:val="18"/>
                      <w:highlight w:val="none"/>
                    </w:rPr>
                  </w:pPr>
                  <w:r>
                    <w:rPr>
                      <w:color w:val="auto"/>
                      <w:sz w:val="18"/>
                      <w:szCs w:val="18"/>
                      <w:highlight w:val="none"/>
                    </w:rPr>
                    <w:t>占总投资比例（%）</w:t>
                  </w:r>
                </w:p>
              </w:tc>
              <w:tc>
                <w:tcPr>
                  <w:tcW w:w="1352" w:type="dxa"/>
                  <w:vAlign w:val="center"/>
                </w:tcPr>
                <w:p w14:paraId="51CD68D0">
                  <w:pPr>
                    <w:pStyle w:val="41"/>
                    <w:rPr>
                      <w:rFonts w:hint="default" w:eastAsia="宋体"/>
                      <w:color w:val="auto"/>
                      <w:sz w:val="18"/>
                      <w:szCs w:val="18"/>
                      <w:highlight w:val="none"/>
                      <w:lang w:val="en-US" w:eastAsia="zh-CN"/>
                    </w:rPr>
                  </w:pPr>
                  <w:r>
                    <w:rPr>
                      <w:rFonts w:hint="eastAsia"/>
                      <w:color w:val="auto"/>
                      <w:sz w:val="18"/>
                      <w:szCs w:val="18"/>
                      <w:highlight w:val="none"/>
                      <w:lang w:val="en-US" w:eastAsia="zh-CN"/>
                    </w:rPr>
                    <w:t>18.2</w:t>
                  </w:r>
                </w:p>
              </w:tc>
            </w:tr>
          </w:tbl>
          <w:p w14:paraId="7E3C5BDF">
            <w:pPr>
              <w:pStyle w:val="37"/>
              <w:spacing w:line="360" w:lineRule="auto"/>
              <w:ind w:firstLine="0"/>
              <w:rPr>
                <w:color w:val="auto"/>
                <w:highlight w:val="none"/>
              </w:rPr>
            </w:pPr>
          </w:p>
        </w:tc>
      </w:tr>
      <w:tr w14:paraId="62C45F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731" w:type="dxa"/>
            <w:vAlign w:val="center"/>
          </w:tcPr>
          <w:p w14:paraId="3A094BF5">
            <w:pPr>
              <w:pStyle w:val="19"/>
              <w:adjustRightInd w:val="0"/>
              <w:snapToGrid w:val="0"/>
              <w:spacing w:before="0" w:beforeAutospacing="0" w:after="0" w:afterAutospacing="0"/>
              <w:jc w:val="center"/>
              <w:rPr>
                <w:rFonts w:ascii="Times New Roman" w:hAnsi="Times New Roman"/>
                <w:color w:val="auto"/>
                <w:szCs w:val="24"/>
                <w:highlight w:val="none"/>
              </w:rPr>
            </w:pPr>
            <w:r>
              <w:rPr>
                <w:rFonts w:ascii="Times New Roman" w:hAnsi="Times New Roman"/>
                <w:color w:val="auto"/>
                <w:szCs w:val="24"/>
                <w:highlight w:val="none"/>
              </w:rPr>
              <w:t>工艺流程和产排污环节</w:t>
            </w:r>
          </w:p>
        </w:tc>
        <w:tc>
          <w:tcPr>
            <w:tcW w:w="8285" w:type="dxa"/>
          </w:tcPr>
          <w:p w14:paraId="5D0B763F">
            <w:pPr>
              <w:spacing w:line="360" w:lineRule="auto"/>
              <w:rPr>
                <w:b/>
                <w:bCs/>
                <w:color w:val="auto"/>
                <w:szCs w:val="21"/>
                <w:highlight w:val="none"/>
              </w:rPr>
            </w:pPr>
            <w:r>
              <w:rPr>
                <w:rFonts w:hint="eastAsia"/>
                <w:b/>
                <w:bCs/>
                <w:color w:val="auto"/>
                <w:szCs w:val="21"/>
                <w:highlight w:val="none"/>
              </w:rPr>
              <w:t>1、</w:t>
            </w:r>
            <w:r>
              <w:rPr>
                <w:b/>
                <w:bCs/>
                <w:color w:val="auto"/>
                <w:szCs w:val="21"/>
                <w:highlight w:val="none"/>
              </w:rPr>
              <w:t>施工期工艺流程分析</w:t>
            </w:r>
          </w:p>
          <w:p w14:paraId="59CF8BEE">
            <w:pPr>
              <w:widowControl/>
              <w:spacing w:line="360" w:lineRule="auto"/>
              <w:ind w:firstLine="420" w:firstLineChars="200"/>
              <w:rPr>
                <w:color w:val="auto"/>
                <w:szCs w:val="21"/>
                <w:highlight w:val="none"/>
              </w:rPr>
            </w:pPr>
            <w:r>
              <w:rPr>
                <w:rFonts w:hint="eastAsia"/>
                <w:color w:val="auto"/>
                <w:sz w:val="21"/>
                <w:szCs w:val="21"/>
                <w:highlight w:val="none"/>
                <w:lang w:val="en-US" w:eastAsia="zh-CN"/>
              </w:rPr>
              <w:t>本项目已建设部分建筑及设备，</w:t>
            </w:r>
            <w:r>
              <w:rPr>
                <w:color w:val="auto"/>
                <w:szCs w:val="21"/>
                <w:highlight w:val="none"/>
              </w:rPr>
              <w:t>施工期主要分为</w:t>
            </w:r>
            <w:r>
              <w:rPr>
                <w:rFonts w:hint="eastAsia"/>
                <w:color w:val="auto"/>
                <w:szCs w:val="21"/>
                <w:highlight w:val="none"/>
                <w:lang w:val="en-US" w:eastAsia="zh-CN"/>
              </w:rPr>
              <w:t>现有生产车间扩建，原有生产线设备拆除，</w:t>
            </w:r>
            <w:r>
              <w:rPr>
                <w:color w:val="auto"/>
                <w:szCs w:val="21"/>
                <w:highlight w:val="none"/>
              </w:rPr>
              <w:t>场地平整、基础工程、主体工程、装饰工程、安装工程等，其建设过程中产生的噪声、扬尘、施工废气、固体废物、施工废水等污染物，其污染物排放量随工序的施工强度变化而变化，施工期结束后环境影响也随之消除。</w:t>
            </w:r>
          </w:p>
          <w:p w14:paraId="71047077">
            <w:pPr>
              <w:widowControl/>
              <w:spacing w:line="360" w:lineRule="auto"/>
              <w:ind w:firstLine="420" w:firstLineChars="200"/>
              <w:rPr>
                <w:color w:val="auto"/>
                <w:szCs w:val="21"/>
                <w:highlight w:val="none"/>
              </w:rPr>
            </w:pPr>
            <w:r>
              <w:rPr>
                <w:color w:val="auto"/>
                <w:szCs w:val="21"/>
                <w:highlight w:val="none"/>
              </w:rPr>
              <w:t>施工期的具体工艺流程及产污环节见下图。</w:t>
            </w:r>
          </w:p>
          <w:p w14:paraId="573775EA">
            <w:pPr>
              <w:pStyle w:val="31"/>
              <w:jc w:val="center"/>
              <w:rPr>
                <w:color w:val="auto"/>
                <w:sz w:val="24"/>
                <w:szCs w:val="24"/>
                <w:highlight w:val="none"/>
              </w:rPr>
            </w:pPr>
            <w:r>
              <w:rPr>
                <w:color w:val="auto"/>
                <w:highlight w:val="none"/>
              </w:rPr>
              <w:drawing>
                <wp:inline distT="0" distB="0" distL="114300" distR="114300">
                  <wp:extent cx="4294505" cy="2169795"/>
                  <wp:effectExtent l="0" t="0" r="10795"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tretch>
                            <a:fillRect/>
                          </a:stretch>
                        </pic:blipFill>
                        <pic:spPr>
                          <a:xfrm>
                            <a:off x="0" y="0"/>
                            <a:ext cx="4294505" cy="2169795"/>
                          </a:xfrm>
                          <a:prstGeom prst="rect">
                            <a:avLst/>
                          </a:prstGeom>
                          <a:noFill/>
                          <a:ln>
                            <a:noFill/>
                          </a:ln>
                        </pic:spPr>
                      </pic:pic>
                    </a:graphicData>
                  </a:graphic>
                </wp:inline>
              </w:drawing>
            </w:r>
          </w:p>
          <w:p w14:paraId="0C8031C3">
            <w:pPr>
              <w:jc w:val="center"/>
              <w:rPr>
                <w:b/>
                <w:bCs/>
                <w:snapToGrid w:val="0"/>
                <w:color w:val="auto"/>
                <w:szCs w:val="21"/>
                <w:highlight w:val="none"/>
              </w:rPr>
            </w:pPr>
            <w:r>
              <w:rPr>
                <w:rFonts w:hint="eastAsia"/>
                <w:b/>
                <w:bCs/>
                <w:snapToGrid w:val="0"/>
                <w:color w:val="auto"/>
                <w:szCs w:val="21"/>
                <w:highlight w:val="none"/>
              </w:rPr>
              <w:t>图2-3施工期工艺流程及产污环节图</w:t>
            </w:r>
          </w:p>
          <w:p w14:paraId="2B1465A4">
            <w:pPr>
              <w:pStyle w:val="12"/>
              <w:widowControl/>
              <w:spacing w:after="0" w:line="360" w:lineRule="auto"/>
              <w:ind w:left="0" w:leftChars="0" w:firstLine="422" w:firstLineChars="200"/>
              <w:rPr>
                <w:color w:val="auto"/>
                <w:szCs w:val="21"/>
                <w:highlight w:val="none"/>
              </w:rPr>
            </w:pPr>
            <w:r>
              <w:rPr>
                <w:b/>
                <w:bCs/>
                <w:color w:val="auto"/>
                <w:szCs w:val="21"/>
                <w:highlight w:val="none"/>
              </w:rPr>
              <w:t>施工期主要污染工序：</w:t>
            </w:r>
          </w:p>
          <w:p w14:paraId="362B9665">
            <w:pPr>
              <w:widowControl/>
              <w:spacing w:line="360" w:lineRule="auto"/>
              <w:ind w:firstLine="420" w:firstLineChars="200"/>
              <w:rPr>
                <w:color w:val="auto"/>
                <w:szCs w:val="21"/>
                <w:highlight w:val="none"/>
              </w:rPr>
            </w:pPr>
            <w:r>
              <w:rPr>
                <w:color w:val="auto"/>
                <w:szCs w:val="21"/>
                <w:highlight w:val="none"/>
              </w:rPr>
              <w:t>（1）废气</w:t>
            </w:r>
          </w:p>
          <w:p w14:paraId="6723736C">
            <w:pPr>
              <w:widowControl/>
              <w:spacing w:line="360" w:lineRule="auto"/>
              <w:ind w:firstLine="420" w:firstLineChars="200"/>
              <w:rPr>
                <w:color w:val="auto"/>
                <w:szCs w:val="21"/>
                <w:highlight w:val="none"/>
              </w:rPr>
            </w:pPr>
            <w:r>
              <w:rPr>
                <w:color w:val="auto"/>
                <w:szCs w:val="21"/>
                <w:highlight w:val="none"/>
              </w:rPr>
              <w:t>主要为</w:t>
            </w:r>
            <w:r>
              <w:rPr>
                <w:rFonts w:hint="eastAsia"/>
                <w:color w:val="auto"/>
                <w:szCs w:val="21"/>
                <w:highlight w:val="none"/>
                <w:lang w:val="en-US" w:eastAsia="zh-CN"/>
              </w:rPr>
              <w:t>现有生产车间扩建，原有生产线设备拆除，</w:t>
            </w:r>
            <w:r>
              <w:rPr>
                <w:color w:val="auto"/>
                <w:szCs w:val="21"/>
                <w:highlight w:val="none"/>
              </w:rPr>
              <w:t>场地平整、基础开挖、建筑材料运输及装卸、堆存等过程产生的扬尘，施工机械和施工运输车辆产生的机动车尾气。</w:t>
            </w:r>
          </w:p>
          <w:p w14:paraId="67C833E0">
            <w:pPr>
              <w:widowControl/>
              <w:spacing w:line="360" w:lineRule="auto"/>
              <w:ind w:firstLine="420" w:firstLineChars="200"/>
              <w:rPr>
                <w:color w:val="auto"/>
                <w:szCs w:val="21"/>
                <w:highlight w:val="none"/>
              </w:rPr>
            </w:pPr>
            <w:r>
              <w:rPr>
                <w:color w:val="auto"/>
                <w:szCs w:val="21"/>
                <w:highlight w:val="none"/>
              </w:rPr>
              <w:t>（2）废水</w:t>
            </w:r>
          </w:p>
          <w:p w14:paraId="57B5B853">
            <w:pPr>
              <w:widowControl/>
              <w:spacing w:line="360" w:lineRule="auto"/>
              <w:ind w:firstLine="420" w:firstLineChars="200"/>
              <w:rPr>
                <w:color w:val="auto"/>
                <w:szCs w:val="21"/>
                <w:highlight w:val="none"/>
              </w:rPr>
            </w:pPr>
            <w:r>
              <w:rPr>
                <w:color w:val="auto"/>
                <w:szCs w:val="21"/>
                <w:highlight w:val="none"/>
              </w:rPr>
              <w:t>主要是在建设施工过程中产生的泥浆废水、混凝土养护废水、各种车辆冲洗废水，施工人员产生的生活污水。</w:t>
            </w:r>
          </w:p>
          <w:p w14:paraId="36D5267C">
            <w:pPr>
              <w:widowControl/>
              <w:spacing w:line="360" w:lineRule="auto"/>
              <w:ind w:firstLine="420" w:firstLineChars="200"/>
              <w:rPr>
                <w:color w:val="auto"/>
                <w:szCs w:val="21"/>
                <w:highlight w:val="none"/>
              </w:rPr>
            </w:pPr>
            <w:r>
              <w:rPr>
                <w:color w:val="auto"/>
                <w:szCs w:val="21"/>
                <w:highlight w:val="none"/>
              </w:rPr>
              <w:t>（3）噪声</w:t>
            </w:r>
          </w:p>
          <w:p w14:paraId="79CB9814">
            <w:pPr>
              <w:widowControl/>
              <w:spacing w:line="360" w:lineRule="auto"/>
              <w:ind w:firstLine="420" w:firstLineChars="200"/>
              <w:rPr>
                <w:color w:val="auto"/>
                <w:szCs w:val="21"/>
                <w:highlight w:val="none"/>
              </w:rPr>
            </w:pPr>
            <w:r>
              <w:rPr>
                <w:color w:val="auto"/>
                <w:szCs w:val="21"/>
                <w:highlight w:val="none"/>
              </w:rPr>
              <w:t>主要是施工过程中装载机、推土机、挖掘机、轮式机、起重机、钻机、搅拌机、运输车辆等运行时产生的噪声。</w:t>
            </w:r>
          </w:p>
          <w:p w14:paraId="280A4B90">
            <w:pPr>
              <w:widowControl/>
              <w:spacing w:line="360" w:lineRule="auto"/>
              <w:ind w:firstLine="420" w:firstLineChars="200"/>
              <w:rPr>
                <w:color w:val="auto"/>
                <w:szCs w:val="21"/>
                <w:highlight w:val="none"/>
              </w:rPr>
            </w:pPr>
            <w:r>
              <w:rPr>
                <w:color w:val="auto"/>
                <w:szCs w:val="21"/>
                <w:highlight w:val="none"/>
              </w:rPr>
              <w:t>（4）固体废物</w:t>
            </w:r>
          </w:p>
          <w:p w14:paraId="1D907E86">
            <w:pPr>
              <w:widowControl/>
              <w:spacing w:line="360" w:lineRule="auto"/>
              <w:ind w:firstLine="420" w:firstLineChars="200"/>
              <w:rPr>
                <w:color w:val="auto"/>
                <w:szCs w:val="21"/>
                <w:highlight w:val="none"/>
              </w:rPr>
            </w:pPr>
            <w:r>
              <w:rPr>
                <w:rFonts w:hint="eastAsia"/>
                <w:color w:val="auto"/>
                <w:szCs w:val="21"/>
                <w:highlight w:val="none"/>
              </w:rPr>
              <w:t>本项目区域地势平坦，无弃土外运，</w:t>
            </w:r>
            <w:r>
              <w:rPr>
                <w:color w:val="auto"/>
                <w:szCs w:val="21"/>
                <w:highlight w:val="none"/>
              </w:rPr>
              <w:t>主要为建筑废弃材料和施工人员生活垃圾。</w:t>
            </w:r>
          </w:p>
          <w:p w14:paraId="402EEACC">
            <w:pPr>
              <w:widowControl/>
              <w:spacing w:line="360" w:lineRule="auto"/>
              <w:rPr>
                <w:color w:val="auto"/>
                <w:szCs w:val="21"/>
                <w:highlight w:val="none"/>
              </w:rPr>
            </w:pPr>
            <w:r>
              <w:rPr>
                <w:rFonts w:hint="eastAsia"/>
                <w:color w:val="auto"/>
                <w:szCs w:val="21"/>
                <w:highlight w:val="none"/>
              </w:rPr>
              <w:t>2</w:t>
            </w:r>
            <w:r>
              <w:rPr>
                <w:color w:val="auto"/>
                <w:szCs w:val="21"/>
                <w:highlight w:val="none"/>
              </w:rPr>
              <w:t>、运营期</w:t>
            </w:r>
          </w:p>
          <w:p w14:paraId="0BC30B14">
            <w:pPr>
              <w:widowControl/>
              <w:spacing w:line="360" w:lineRule="auto"/>
              <w:ind w:firstLine="420" w:firstLineChars="200"/>
              <w:rPr>
                <w:color w:val="auto"/>
                <w:szCs w:val="21"/>
                <w:highlight w:val="none"/>
              </w:rPr>
            </w:pPr>
            <w:r>
              <w:rPr>
                <w:color w:val="auto"/>
                <w:szCs w:val="21"/>
                <w:highlight w:val="none"/>
              </w:rPr>
              <w:t>（1）工艺流程</w:t>
            </w:r>
          </w:p>
          <w:p w14:paraId="1BCBC1C0">
            <w:pPr>
              <w:widowControl/>
              <w:spacing w:line="360" w:lineRule="auto"/>
              <w:ind w:firstLine="420" w:firstLineChars="200"/>
              <w:rPr>
                <w:color w:val="auto"/>
                <w:szCs w:val="21"/>
                <w:highlight w:val="none"/>
              </w:rPr>
            </w:pPr>
            <w:r>
              <w:rPr>
                <w:color w:val="auto"/>
                <w:szCs w:val="21"/>
                <w:highlight w:val="none"/>
              </w:rPr>
              <w:t>1）煤泥浮选生产工艺流程</w:t>
            </w:r>
          </w:p>
          <w:p w14:paraId="1BF2733C">
            <w:pPr>
              <w:widowControl/>
              <w:spacing w:line="360" w:lineRule="auto"/>
              <w:ind w:firstLine="420" w:firstLineChars="200"/>
              <w:rPr>
                <w:color w:val="auto"/>
                <w:szCs w:val="21"/>
                <w:highlight w:val="none"/>
              </w:rPr>
            </w:pPr>
            <w:r>
              <w:rPr>
                <w:rFonts w:hint="eastAsia"/>
                <w:color w:val="auto"/>
                <w:szCs w:val="21"/>
                <w:highlight w:val="none"/>
              </w:rPr>
              <w:t xml:space="preserve">①煤泥通过汽车运输至厂内物料棚进行暂存。该工序由于煤泥含水率较高，暂存过程中不会产生粉尘污染。 </w:t>
            </w:r>
          </w:p>
          <w:p w14:paraId="2222EBD7">
            <w:pPr>
              <w:widowControl/>
              <w:spacing w:line="360" w:lineRule="auto"/>
              <w:ind w:firstLine="420" w:firstLineChars="200"/>
              <w:rPr>
                <w:color w:val="auto"/>
                <w:szCs w:val="21"/>
                <w:highlight w:val="none"/>
              </w:rPr>
            </w:pPr>
            <w:r>
              <w:rPr>
                <w:rFonts w:hint="eastAsia"/>
                <w:color w:val="auto"/>
                <w:szCs w:val="21"/>
                <w:highlight w:val="none"/>
              </w:rPr>
              <w:t>②物料经脱泥筛脱泥后，筛下水泵送至一次浮选机，浮选机刮出的煤水泵送至二/三次浮选机，三次浮选机刮出的精矿泵送至精矿压滤机脱水成最终浮精煤,一次浮选机尾水至电煤浮选机，电煤浮选机刮出的煤水泵送至压滤机脱水成最终中煤产品，四次浮选机尾水至浓缩池沉淀处理，沉淀污泥泵至尾矿压滤机脱水成污泥废品；溢流水至循环水池，经泵送至各需水端:</w:t>
            </w:r>
          </w:p>
          <w:p w14:paraId="15AE047E">
            <w:pPr>
              <w:widowControl/>
              <w:spacing w:line="360" w:lineRule="auto"/>
              <w:ind w:firstLine="420" w:firstLineChars="200"/>
              <w:rPr>
                <w:color w:val="auto"/>
                <w:szCs w:val="21"/>
                <w:highlight w:val="none"/>
              </w:rPr>
            </w:pPr>
            <w:r>
              <w:rPr>
                <w:rFonts w:hint="eastAsia"/>
                <w:color w:val="auto"/>
                <w:szCs w:val="21"/>
                <w:highlight w:val="none"/>
              </w:rPr>
              <w:t>装载机将煤泥上料至受料坑，然后进入前处理池通过加水混合制浆，经截粗筛处理后，筛上物经脱泥筛脱水后进入螺旋分选机，分选出精煤、中煤和尾煤泥，精煤通过精煤筛滤水后进入脱水机，由脱水机脱水后通过全封闭运输皮带运至物料棚进行暂存后外售，脱下来的水进入浓缩罐，然后通过压滤机压滤后由全封闭皮带输</w:t>
            </w:r>
            <w:r>
              <w:rPr>
                <w:rFonts w:hint="eastAsia"/>
                <w:color w:val="auto"/>
                <w:szCs w:val="21"/>
                <w:highlight w:val="none"/>
                <w:lang w:val="en-US" w:eastAsia="zh-CN"/>
              </w:rPr>
              <w:t>送</w:t>
            </w:r>
            <w:r>
              <w:rPr>
                <w:rFonts w:hint="eastAsia"/>
                <w:color w:val="auto"/>
                <w:szCs w:val="21"/>
                <w:highlight w:val="none"/>
              </w:rPr>
              <w:t>机送至</w:t>
            </w:r>
            <w:r>
              <w:rPr>
                <w:rFonts w:hint="eastAsia"/>
                <w:color w:val="auto"/>
                <w:szCs w:val="21"/>
                <w:highlight w:val="none"/>
                <w:lang w:val="en-US" w:eastAsia="zh-CN"/>
              </w:rPr>
              <w:t>物料棚</w:t>
            </w:r>
            <w:r>
              <w:rPr>
                <w:rFonts w:hint="eastAsia"/>
                <w:color w:val="auto"/>
                <w:szCs w:val="21"/>
                <w:highlight w:val="none"/>
              </w:rPr>
              <w:t>进行暂存后外售，压滤机产生的水回到清水池；中煤经中煤筛滤水后通过全封闭运输皮带运至</w:t>
            </w:r>
            <w:r>
              <w:rPr>
                <w:rFonts w:hint="eastAsia"/>
                <w:color w:val="auto"/>
                <w:szCs w:val="21"/>
                <w:highlight w:val="none"/>
                <w:lang w:val="en-US" w:eastAsia="zh-CN"/>
              </w:rPr>
              <w:t>物料棚</w:t>
            </w:r>
            <w:r>
              <w:rPr>
                <w:rFonts w:hint="eastAsia"/>
                <w:color w:val="auto"/>
                <w:szCs w:val="21"/>
                <w:highlight w:val="none"/>
              </w:rPr>
              <w:t>进行暂存后外售，中煤筛滤下的水进入细渣筛；尾煤泥经细渣筛滤水后通过全封闭运输皮带运至物料棚，筛下物水回到脱泥筛进行脱水；上述泥浆进入浓缩池，絮凝剂有吸附作用，使絮体生长变大，产生煤泥，由刮泥机将煤泥推入排泥管，进入泥斗，经过压滤机压滤后由全封闭运输皮带运至物料棚进行暂存，压滤废水返回至清水池沉淀后回用于生产。该工序精煤、中煤、尾煤泥含水率较高，生产过程中不会产生粉尘。</w:t>
            </w:r>
          </w:p>
          <w:p w14:paraId="4CF4A3E9">
            <w:pPr>
              <w:widowControl/>
              <w:spacing w:line="360" w:lineRule="auto"/>
              <w:ind w:firstLine="420" w:firstLineChars="200"/>
              <w:rPr>
                <w:color w:val="auto"/>
                <w:szCs w:val="21"/>
                <w:highlight w:val="none"/>
              </w:rPr>
            </w:pPr>
            <w:r>
              <w:rPr>
                <w:color w:val="auto"/>
                <w:szCs w:val="21"/>
                <w:highlight w:val="none"/>
              </w:rPr>
              <w:t>煤泥浮选工艺流程及产污环节见图2-</w:t>
            </w:r>
            <w:r>
              <w:rPr>
                <w:rFonts w:hint="eastAsia"/>
                <w:color w:val="auto"/>
                <w:szCs w:val="21"/>
                <w:highlight w:val="none"/>
              </w:rPr>
              <w:t>4</w:t>
            </w:r>
            <w:r>
              <w:rPr>
                <w:color w:val="auto"/>
                <w:szCs w:val="21"/>
                <w:highlight w:val="none"/>
              </w:rPr>
              <w:t>。</w:t>
            </w:r>
          </w:p>
          <w:p w14:paraId="63D801A7">
            <w:pPr>
              <w:widowControl/>
              <w:spacing w:line="360" w:lineRule="auto"/>
              <w:jc w:val="center"/>
              <w:rPr>
                <w:color w:val="auto"/>
                <w:highlight w:val="none"/>
              </w:rPr>
            </w:pPr>
            <w:r>
              <w:rPr>
                <w:color w:val="auto"/>
                <w:highlight w:val="none"/>
              </w:rPr>
              <w:drawing>
                <wp:inline distT="0" distB="0" distL="114300" distR="114300">
                  <wp:extent cx="5067300" cy="4438650"/>
                  <wp:effectExtent l="0" t="0" r="0" b="0"/>
                  <wp:docPr id="8"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2"/>
                          <pic:cNvPicPr>
                            <a:picLocks noChangeAspect="1"/>
                          </pic:cNvPicPr>
                        </pic:nvPicPr>
                        <pic:blipFill>
                          <a:blip r:embed="rId16"/>
                          <a:stretch>
                            <a:fillRect/>
                          </a:stretch>
                        </pic:blipFill>
                        <pic:spPr>
                          <a:xfrm>
                            <a:off x="0" y="0"/>
                            <a:ext cx="5067300" cy="4438650"/>
                          </a:xfrm>
                          <a:prstGeom prst="rect">
                            <a:avLst/>
                          </a:prstGeom>
                        </pic:spPr>
                      </pic:pic>
                    </a:graphicData>
                  </a:graphic>
                </wp:inline>
              </w:drawing>
            </w:r>
          </w:p>
          <w:p w14:paraId="42BC8D6D">
            <w:pPr>
              <w:pStyle w:val="64"/>
              <w:adjustRightInd w:val="0"/>
              <w:snapToGrid w:val="0"/>
              <w:spacing w:line="360" w:lineRule="auto"/>
              <w:ind w:left="2699"/>
              <w:rPr>
                <w:rFonts w:ascii="Times New Roman" w:hAnsi="Times New Roman" w:eastAsia="宋体" w:cs="Times New Roman"/>
                <w:b/>
                <w:bCs/>
                <w:color w:val="auto"/>
                <w:sz w:val="21"/>
                <w:szCs w:val="21"/>
                <w:highlight w:val="none"/>
                <w:lang w:eastAsia="zh-CN"/>
              </w:rPr>
            </w:pPr>
            <w:r>
              <w:rPr>
                <w:rFonts w:ascii="Times New Roman" w:hAnsi="Times New Roman" w:eastAsia="宋体" w:cs="Times New Roman"/>
                <w:b/>
                <w:bCs/>
                <w:color w:val="auto"/>
                <w:spacing w:val="-3"/>
                <w:sz w:val="21"/>
                <w:szCs w:val="21"/>
                <w:highlight w:val="none"/>
                <w:lang w:eastAsia="zh-CN"/>
              </w:rPr>
              <w:t>图2-</w:t>
            </w:r>
            <w:r>
              <w:rPr>
                <w:rFonts w:hint="eastAsia" w:ascii="Times New Roman" w:hAnsi="Times New Roman" w:eastAsia="宋体" w:cs="Times New Roman"/>
                <w:b/>
                <w:bCs/>
                <w:color w:val="auto"/>
                <w:spacing w:val="-3"/>
                <w:sz w:val="21"/>
                <w:szCs w:val="21"/>
                <w:highlight w:val="none"/>
                <w:lang w:eastAsia="zh-CN"/>
              </w:rPr>
              <w:t>4</w:t>
            </w:r>
            <w:r>
              <w:rPr>
                <w:rFonts w:ascii="Times New Roman" w:hAnsi="Times New Roman" w:eastAsia="宋体" w:cs="Times New Roman"/>
                <w:b/>
                <w:bCs/>
                <w:color w:val="auto"/>
                <w:spacing w:val="-3"/>
                <w:sz w:val="21"/>
                <w:szCs w:val="21"/>
                <w:highlight w:val="none"/>
                <w:lang w:eastAsia="zh-CN"/>
              </w:rPr>
              <w:t xml:space="preserve">  煤泥浮选工艺流程图</w:t>
            </w:r>
          </w:p>
          <w:p w14:paraId="0E89FBAB">
            <w:pPr>
              <w:widowControl/>
              <w:spacing w:line="360" w:lineRule="auto"/>
              <w:ind w:firstLine="420" w:firstLineChars="200"/>
              <w:jc w:val="left"/>
              <w:rPr>
                <w:color w:val="auto"/>
                <w:kern w:val="0"/>
                <w:szCs w:val="21"/>
                <w:highlight w:val="none"/>
              </w:rPr>
            </w:pPr>
            <w:r>
              <w:rPr>
                <w:rFonts w:hint="eastAsia"/>
                <w:color w:val="auto"/>
                <w:kern w:val="0"/>
                <w:szCs w:val="21"/>
                <w:highlight w:val="none"/>
              </w:rPr>
              <w:t>2</w:t>
            </w:r>
            <w:r>
              <w:rPr>
                <w:color w:val="auto"/>
                <w:kern w:val="0"/>
                <w:szCs w:val="21"/>
                <w:highlight w:val="none"/>
              </w:rPr>
              <w:t>）</w:t>
            </w:r>
            <w:r>
              <w:rPr>
                <w:rFonts w:hint="eastAsia"/>
                <w:color w:val="auto"/>
                <w:kern w:val="0"/>
                <w:szCs w:val="21"/>
                <w:highlight w:val="none"/>
              </w:rPr>
              <w:t>人造土壤基质</w:t>
            </w:r>
            <w:r>
              <w:rPr>
                <w:rFonts w:hint="eastAsia" w:ascii="宋体" w:hAnsi="宋体" w:cs="宋体"/>
                <w:color w:val="auto"/>
                <w:kern w:val="0"/>
                <w:szCs w:val="21"/>
                <w:highlight w:val="none"/>
              </w:rPr>
              <w:t>生产工艺流程</w:t>
            </w:r>
          </w:p>
          <w:p w14:paraId="27832B2C">
            <w:pPr>
              <w:widowControl/>
              <w:spacing w:line="360" w:lineRule="auto"/>
              <w:ind w:firstLine="420" w:firstLineChars="200"/>
              <w:jc w:val="left"/>
              <w:rPr>
                <w:rFonts w:ascii="宋体" w:hAnsi="宋体" w:cs="宋体"/>
                <w:color w:val="auto"/>
                <w:kern w:val="0"/>
                <w:szCs w:val="21"/>
                <w:highlight w:val="none"/>
              </w:rPr>
            </w:pPr>
            <w:r>
              <w:rPr>
                <w:rFonts w:hint="eastAsia" w:ascii="宋体" w:hAnsi="宋体" w:cs="宋体"/>
                <w:color w:val="auto"/>
                <w:kern w:val="0"/>
                <w:szCs w:val="21"/>
                <w:highlight w:val="none"/>
              </w:rPr>
              <w:t>粉煤灰经罐车运输至厂区内，通过气力输送的方式将粉煤灰输送至筒仓内备用，秸秆经破碎车间粉碎机处理后经皮带输送机输送至上料仓，骨料、尾矿泥、水处理污泥、有机肥、炉渣、脱硫石膏通过铲车装卸到上料仓内，通过密闭输送至计量系统，同时粉煤灰也通过密闭输送至计量系统，通过密闭输送至计量系统一同进入底料搅拌机内搅拌，搅拌均匀后的物料通过皮带输送机装车。</w:t>
            </w:r>
          </w:p>
          <w:p w14:paraId="6CF5199B">
            <w:pPr>
              <w:widowControl/>
              <w:spacing w:line="360" w:lineRule="auto"/>
              <w:jc w:val="left"/>
              <w:rPr>
                <w:color w:val="auto"/>
                <w:highlight w:val="none"/>
              </w:rPr>
            </w:pPr>
            <w:r>
              <w:rPr>
                <w:color w:val="auto"/>
                <w:highlight w:val="none"/>
              </w:rPr>
              <w:drawing>
                <wp:inline distT="0" distB="0" distL="114300" distR="114300">
                  <wp:extent cx="5147310" cy="2853055"/>
                  <wp:effectExtent l="0" t="0" r="15240" b="4445"/>
                  <wp:docPr id="19" name="图片 1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3"/>
                          <pic:cNvPicPr>
                            <a:picLocks noChangeAspect="1"/>
                          </pic:cNvPicPr>
                        </pic:nvPicPr>
                        <pic:blipFill>
                          <a:blip r:embed="rId17"/>
                          <a:stretch>
                            <a:fillRect/>
                          </a:stretch>
                        </pic:blipFill>
                        <pic:spPr>
                          <a:xfrm>
                            <a:off x="0" y="0"/>
                            <a:ext cx="5147310" cy="2853055"/>
                          </a:xfrm>
                          <a:prstGeom prst="rect">
                            <a:avLst/>
                          </a:prstGeom>
                        </pic:spPr>
                      </pic:pic>
                    </a:graphicData>
                  </a:graphic>
                </wp:inline>
              </w:drawing>
            </w:r>
          </w:p>
          <w:p w14:paraId="67FCA090">
            <w:pPr>
              <w:widowControl/>
              <w:spacing w:line="360" w:lineRule="auto"/>
              <w:jc w:val="center"/>
              <w:rPr>
                <w:rFonts w:ascii="宋体" w:hAnsi="宋体" w:cs="宋体"/>
                <w:b/>
                <w:bCs/>
                <w:color w:val="auto"/>
                <w:kern w:val="0"/>
                <w:szCs w:val="21"/>
                <w:highlight w:val="none"/>
              </w:rPr>
            </w:pPr>
            <w:r>
              <w:rPr>
                <w:rFonts w:hint="eastAsia" w:ascii="宋体" w:hAnsi="宋体" w:cs="宋体"/>
                <w:b/>
                <w:bCs/>
                <w:color w:val="auto"/>
                <w:kern w:val="0"/>
                <w:szCs w:val="21"/>
                <w:highlight w:val="none"/>
              </w:rPr>
              <w:t xml:space="preserve">图 </w:t>
            </w:r>
            <w:r>
              <w:rPr>
                <w:b/>
                <w:bCs/>
                <w:color w:val="auto"/>
                <w:kern w:val="0"/>
                <w:szCs w:val="21"/>
                <w:highlight w:val="none"/>
              </w:rPr>
              <w:t>2-</w:t>
            </w:r>
            <w:r>
              <w:rPr>
                <w:rFonts w:hint="eastAsia"/>
                <w:b/>
                <w:bCs/>
                <w:color w:val="auto"/>
                <w:kern w:val="0"/>
                <w:szCs w:val="21"/>
                <w:highlight w:val="none"/>
              </w:rPr>
              <w:t>5</w:t>
            </w:r>
            <w:r>
              <w:rPr>
                <w:rStyle w:val="40"/>
                <w:rFonts w:hint="eastAsia"/>
                <w:b/>
                <w:bCs/>
                <w:color w:val="auto"/>
                <w:szCs w:val="21"/>
                <w:highlight w:val="none"/>
              </w:rPr>
              <w:t>人造土壤基质</w:t>
            </w:r>
            <w:r>
              <w:rPr>
                <w:rFonts w:hint="eastAsia" w:ascii="宋体" w:hAnsi="宋体" w:cs="宋体"/>
                <w:b/>
                <w:bCs/>
                <w:color w:val="auto"/>
                <w:kern w:val="0"/>
                <w:szCs w:val="21"/>
                <w:highlight w:val="none"/>
              </w:rPr>
              <w:t>生产工艺流程及产污环节图</w:t>
            </w:r>
          </w:p>
          <w:p w14:paraId="46AB9328">
            <w:pPr>
              <w:widowControl/>
              <w:spacing w:line="360" w:lineRule="auto"/>
              <w:ind w:firstLine="420" w:firstLineChars="200"/>
              <w:rPr>
                <w:color w:val="auto"/>
                <w:kern w:val="0"/>
                <w:szCs w:val="21"/>
                <w:highlight w:val="none"/>
              </w:rPr>
            </w:pPr>
            <w:r>
              <w:rPr>
                <w:rFonts w:hint="eastAsia"/>
                <w:color w:val="auto"/>
                <w:kern w:val="0"/>
                <w:szCs w:val="21"/>
                <w:highlight w:val="none"/>
              </w:rPr>
              <w:t>3）秸秆粉碎工艺流程</w:t>
            </w:r>
          </w:p>
          <w:p w14:paraId="06EB49F5">
            <w:pPr>
              <w:widowControl/>
              <w:spacing w:line="360" w:lineRule="auto"/>
              <w:ind w:firstLine="420"/>
              <w:rPr>
                <w:color w:val="auto"/>
                <w:kern w:val="0"/>
                <w:szCs w:val="21"/>
                <w:highlight w:val="none"/>
              </w:rPr>
            </w:pPr>
            <w:r>
              <w:rPr>
                <w:color w:val="auto"/>
                <w:kern w:val="0"/>
                <w:szCs w:val="21"/>
                <w:highlight w:val="none"/>
              </w:rPr>
              <w:t>回收的秸秆进厂后</w:t>
            </w:r>
            <w:r>
              <w:rPr>
                <w:rFonts w:hint="eastAsia"/>
                <w:color w:val="auto"/>
                <w:kern w:val="0"/>
                <w:szCs w:val="21"/>
                <w:highlight w:val="none"/>
              </w:rPr>
              <w:t>暂存在物料棚，经铲车送至破碎车间圆盘粉碎机内，粉碎处理后的秸秆通过密闭输送带进入搅拌机内与其他物料混合。</w:t>
            </w:r>
          </w:p>
          <w:p w14:paraId="0BEF0C69">
            <w:pPr>
              <w:widowControl/>
              <w:spacing w:line="360" w:lineRule="auto"/>
              <w:jc w:val="center"/>
              <w:rPr>
                <w:rFonts w:ascii="宋体" w:hAnsi="宋体" w:cs="宋体"/>
                <w:b/>
                <w:bCs/>
                <w:color w:val="auto"/>
                <w:kern w:val="0"/>
                <w:szCs w:val="21"/>
                <w:highlight w:val="none"/>
              </w:rPr>
            </w:pPr>
            <w:r>
              <w:rPr>
                <w:color w:val="auto"/>
                <w:highlight w:val="none"/>
              </w:rPr>
              <w:drawing>
                <wp:inline distT="0" distB="0" distL="114300" distR="114300">
                  <wp:extent cx="4600575" cy="1228725"/>
                  <wp:effectExtent l="0" t="0" r="9525" b="952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8"/>
                          <a:stretch>
                            <a:fillRect/>
                          </a:stretch>
                        </pic:blipFill>
                        <pic:spPr>
                          <a:xfrm>
                            <a:off x="0" y="0"/>
                            <a:ext cx="4600575" cy="1228725"/>
                          </a:xfrm>
                          <a:prstGeom prst="rect">
                            <a:avLst/>
                          </a:prstGeom>
                          <a:noFill/>
                          <a:ln>
                            <a:noFill/>
                          </a:ln>
                        </pic:spPr>
                      </pic:pic>
                    </a:graphicData>
                  </a:graphic>
                </wp:inline>
              </w:drawing>
            </w:r>
          </w:p>
          <w:p w14:paraId="78877457">
            <w:pPr>
              <w:widowControl/>
              <w:spacing w:line="360" w:lineRule="auto"/>
              <w:jc w:val="center"/>
              <w:rPr>
                <w:color w:val="auto"/>
                <w:kern w:val="0"/>
                <w:szCs w:val="21"/>
                <w:highlight w:val="none"/>
              </w:rPr>
            </w:pPr>
            <w:r>
              <w:rPr>
                <w:rFonts w:hint="eastAsia" w:ascii="宋体" w:hAnsi="宋体" w:cs="宋体"/>
                <w:b/>
                <w:bCs/>
                <w:color w:val="auto"/>
                <w:kern w:val="0"/>
                <w:szCs w:val="21"/>
                <w:highlight w:val="none"/>
              </w:rPr>
              <w:t>图</w:t>
            </w:r>
            <w:r>
              <w:rPr>
                <w:b/>
                <w:bCs/>
                <w:color w:val="auto"/>
                <w:kern w:val="0"/>
                <w:szCs w:val="21"/>
                <w:highlight w:val="none"/>
              </w:rPr>
              <w:t>2-</w:t>
            </w:r>
            <w:r>
              <w:rPr>
                <w:rFonts w:hint="eastAsia"/>
                <w:b/>
                <w:bCs/>
                <w:color w:val="auto"/>
                <w:kern w:val="0"/>
                <w:szCs w:val="21"/>
                <w:highlight w:val="none"/>
              </w:rPr>
              <w:t xml:space="preserve">6 </w:t>
            </w:r>
            <w:r>
              <w:rPr>
                <w:rStyle w:val="40"/>
                <w:rFonts w:hint="eastAsia"/>
                <w:b/>
                <w:bCs/>
                <w:color w:val="auto"/>
                <w:szCs w:val="21"/>
                <w:highlight w:val="none"/>
              </w:rPr>
              <w:t>秸秆粉碎</w:t>
            </w:r>
            <w:r>
              <w:rPr>
                <w:rFonts w:hint="eastAsia" w:ascii="宋体" w:hAnsi="宋体" w:cs="宋体"/>
                <w:b/>
                <w:bCs/>
                <w:color w:val="auto"/>
                <w:kern w:val="0"/>
                <w:szCs w:val="21"/>
                <w:highlight w:val="none"/>
              </w:rPr>
              <w:t>工艺流程及产污环节图</w:t>
            </w:r>
          </w:p>
          <w:p w14:paraId="09DD8F09">
            <w:pPr>
              <w:widowControl/>
              <w:spacing w:line="360" w:lineRule="auto"/>
              <w:jc w:val="left"/>
              <w:rPr>
                <w:color w:val="auto"/>
                <w:szCs w:val="21"/>
                <w:highlight w:val="none"/>
              </w:rPr>
            </w:pPr>
            <w:r>
              <w:rPr>
                <w:rFonts w:hint="eastAsia" w:ascii="宋体" w:hAnsi="宋体" w:cs="宋体"/>
                <w:b/>
                <w:bCs/>
                <w:color w:val="auto"/>
                <w:kern w:val="0"/>
                <w:szCs w:val="21"/>
                <w:highlight w:val="none"/>
              </w:rPr>
              <w:t xml:space="preserve">营运期主要污染物： </w:t>
            </w:r>
          </w:p>
          <w:p w14:paraId="7FD8078B">
            <w:pPr>
              <w:widowControl/>
              <w:spacing w:line="360" w:lineRule="auto"/>
              <w:ind w:firstLine="420" w:firstLineChars="200"/>
              <w:jc w:val="left"/>
              <w:rPr>
                <w:color w:val="auto"/>
                <w:kern w:val="0"/>
                <w:szCs w:val="21"/>
                <w:highlight w:val="none"/>
              </w:rPr>
            </w:pPr>
            <w:r>
              <w:rPr>
                <w:color w:val="auto"/>
                <w:kern w:val="0"/>
                <w:szCs w:val="21"/>
                <w:highlight w:val="none"/>
              </w:rPr>
              <w:t xml:space="preserve">（1）废气 </w:t>
            </w:r>
          </w:p>
          <w:p w14:paraId="281C493F">
            <w:pPr>
              <w:widowControl/>
              <w:spacing w:line="360" w:lineRule="auto"/>
              <w:ind w:firstLine="420" w:firstLineChars="200"/>
              <w:jc w:val="left"/>
              <w:rPr>
                <w:rFonts w:ascii="宋体" w:hAnsi="宋体" w:cs="宋体"/>
                <w:color w:val="auto"/>
                <w:kern w:val="0"/>
                <w:szCs w:val="21"/>
                <w:highlight w:val="none"/>
              </w:rPr>
            </w:pPr>
            <w:r>
              <w:rPr>
                <w:rFonts w:hint="eastAsia"/>
                <w:color w:val="auto"/>
                <w:kern w:val="0"/>
                <w:szCs w:val="21"/>
                <w:highlight w:val="none"/>
              </w:rPr>
              <w:t>本</w:t>
            </w:r>
            <w:r>
              <w:rPr>
                <w:color w:val="auto"/>
                <w:kern w:val="0"/>
                <w:szCs w:val="21"/>
                <w:highlight w:val="none"/>
              </w:rPr>
              <w:t>项目废气主要为</w:t>
            </w:r>
            <w:r>
              <w:rPr>
                <w:rFonts w:hint="eastAsia" w:ascii="宋体" w:hAnsi="宋体" w:cs="宋体"/>
                <w:color w:val="auto"/>
                <w:kern w:val="0"/>
                <w:szCs w:val="21"/>
                <w:highlight w:val="none"/>
              </w:rPr>
              <w:t xml:space="preserve">生产过程原料贮存、装卸粉尘；粉煤灰筒仓呼吸粉尘；运输扬尘；上料粉尘；秸秆粉碎粉尘；煤泥浮选工序药剂投加产生的挥发性有机物。 </w:t>
            </w:r>
          </w:p>
          <w:p w14:paraId="0F2B4C90">
            <w:pPr>
              <w:widowControl/>
              <w:numPr>
                <w:ilvl w:val="0"/>
                <w:numId w:val="2"/>
              </w:numPr>
              <w:spacing w:line="360" w:lineRule="auto"/>
              <w:ind w:firstLine="420" w:firstLineChars="200"/>
              <w:jc w:val="left"/>
              <w:rPr>
                <w:color w:val="auto"/>
                <w:kern w:val="0"/>
                <w:szCs w:val="21"/>
                <w:highlight w:val="none"/>
              </w:rPr>
            </w:pPr>
            <w:r>
              <w:rPr>
                <w:color w:val="auto"/>
                <w:kern w:val="0"/>
                <w:szCs w:val="21"/>
                <w:highlight w:val="none"/>
              </w:rPr>
              <w:t xml:space="preserve">废水 </w:t>
            </w:r>
          </w:p>
          <w:p w14:paraId="38730568">
            <w:pPr>
              <w:widowControl/>
              <w:spacing w:line="360" w:lineRule="auto"/>
              <w:ind w:firstLine="420" w:firstLineChars="200"/>
              <w:rPr>
                <w:color w:val="auto"/>
                <w:kern w:val="0"/>
                <w:szCs w:val="21"/>
                <w:highlight w:val="none"/>
              </w:rPr>
            </w:pPr>
            <w:r>
              <w:rPr>
                <w:color w:val="auto"/>
                <w:kern w:val="0"/>
                <w:szCs w:val="21"/>
                <w:highlight w:val="none"/>
              </w:rPr>
              <w:t>本项目废水为员工生活污水和生产废水，堆场抑尘用水全部蒸发损耗不外排；煤泥生产废水循环利用不外排；装卸料、落料点的抑尘用水蒸发损耗不外排；</w:t>
            </w:r>
            <w:r>
              <w:rPr>
                <w:color w:val="auto"/>
                <w:spacing w:val="-5"/>
                <w:highlight w:val="none"/>
              </w:rPr>
              <w:t>生活废水排入</w:t>
            </w:r>
            <w:r>
              <w:rPr>
                <w:rFonts w:hint="eastAsia"/>
                <w:color w:val="auto"/>
                <w:spacing w:val="-5"/>
                <w:highlight w:val="none"/>
              </w:rPr>
              <w:t>防渗旱厕，定期清掏，外运堆肥，不外排</w:t>
            </w:r>
            <w:r>
              <w:rPr>
                <w:color w:val="auto"/>
                <w:kern w:val="0"/>
                <w:szCs w:val="21"/>
                <w:highlight w:val="none"/>
              </w:rPr>
              <w:t>。</w:t>
            </w:r>
          </w:p>
          <w:p w14:paraId="5A4AD0BA">
            <w:pPr>
              <w:widowControl/>
              <w:numPr>
                <w:ilvl w:val="0"/>
                <w:numId w:val="2"/>
              </w:numPr>
              <w:spacing w:line="360" w:lineRule="auto"/>
              <w:ind w:firstLine="420" w:firstLineChars="200"/>
              <w:jc w:val="left"/>
              <w:rPr>
                <w:color w:val="auto"/>
                <w:kern w:val="0"/>
                <w:szCs w:val="21"/>
                <w:highlight w:val="none"/>
              </w:rPr>
            </w:pPr>
            <w:r>
              <w:rPr>
                <w:color w:val="auto"/>
                <w:kern w:val="0"/>
                <w:szCs w:val="21"/>
                <w:highlight w:val="none"/>
              </w:rPr>
              <w:t xml:space="preserve">噪声 </w:t>
            </w:r>
          </w:p>
          <w:p w14:paraId="5323B8AB">
            <w:pPr>
              <w:widowControl/>
              <w:spacing w:line="360" w:lineRule="auto"/>
              <w:ind w:firstLine="420" w:firstLineChars="200"/>
              <w:rPr>
                <w:color w:val="auto"/>
                <w:kern w:val="0"/>
                <w:szCs w:val="21"/>
                <w:highlight w:val="none"/>
              </w:rPr>
            </w:pPr>
            <w:r>
              <w:rPr>
                <w:color w:val="auto"/>
                <w:kern w:val="0"/>
                <w:szCs w:val="21"/>
                <w:highlight w:val="none"/>
              </w:rPr>
              <w:t>本项目主要产生噪声设备为：</w:t>
            </w:r>
            <w:r>
              <w:rPr>
                <w:rFonts w:hint="eastAsia" w:ascii="宋体" w:hAnsi="宋体" w:cs="宋体"/>
                <w:color w:val="auto"/>
                <w:kern w:val="0"/>
                <w:szCs w:val="21"/>
                <w:highlight w:val="none"/>
              </w:rPr>
              <w:t>浮选机、压滤机、皮带输送机、水泵、风机、圆盘破碎机等</w:t>
            </w:r>
            <w:r>
              <w:rPr>
                <w:color w:val="auto"/>
                <w:kern w:val="0"/>
                <w:szCs w:val="21"/>
                <w:highlight w:val="none"/>
              </w:rPr>
              <w:t xml:space="preserve">。 </w:t>
            </w:r>
          </w:p>
          <w:p w14:paraId="697EAE7A">
            <w:pPr>
              <w:widowControl/>
              <w:numPr>
                <w:ilvl w:val="0"/>
                <w:numId w:val="2"/>
              </w:numPr>
              <w:spacing w:line="360" w:lineRule="auto"/>
              <w:ind w:firstLine="420" w:firstLineChars="200"/>
              <w:jc w:val="left"/>
              <w:rPr>
                <w:color w:val="auto"/>
                <w:kern w:val="0"/>
                <w:szCs w:val="21"/>
                <w:highlight w:val="none"/>
              </w:rPr>
            </w:pPr>
            <w:r>
              <w:rPr>
                <w:color w:val="auto"/>
                <w:kern w:val="0"/>
                <w:szCs w:val="21"/>
                <w:highlight w:val="none"/>
              </w:rPr>
              <w:t xml:space="preserve">固体废物 </w:t>
            </w:r>
          </w:p>
          <w:p w14:paraId="230902A7">
            <w:pPr>
              <w:widowControl/>
              <w:spacing w:line="360" w:lineRule="auto"/>
              <w:ind w:firstLine="420" w:firstLineChars="200"/>
              <w:rPr>
                <w:color w:val="auto"/>
                <w:highlight w:val="none"/>
              </w:rPr>
            </w:pPr>
            <w:r>
              <w:rPr>
                <w:color w:val="auto"/>
                <w:kern w:val="0"/>
                <w:szCs w:val="21"/>
                <w:highlight w:val="none"/>
              </w:rPr>
              <w:t>本项目固体废物主要为尾煤泥、</w:t>
            </w:r>
            <w:r>
              <w:rPr>
                <w:rFonts w:hint="eastAsia" w:ascii="宋体" w:hAnsi="宋体" w:cs="宋体"/>
                <w:color w:val="auto"/>
                <w:kern w:val="0"/>
                <w:szCs w:val="21"/>
                <w:highlight w:val="none"/>
              </w:rPr>
              <w:t>废机油、废弃含油抹布手套、废机油桶、</w:t>
            </w:r>
            <w:r>
              <w:rPr>
                <w:rFonts w:hint="eastAsia"/>
                <w:bCs/>
                <w:color w:val="auto"/>
                <w:szCs w:val="21"/>
                <w:highlight w:val="none"/>
              </w:rPr>
              <w:t>起泡剂、捕收剂废包装桶</w:t>
            </w:r>
            <w:r>
              <w:rPr>
                <w:rFonts w:hint="eastAsia" w:ascii="宋体" w:hAnsi="宋体" w:cs="宋体"/>
                <w:color w:val="auto"/>
                <w:kern w:val="0"/>
                <w:szCs w:val="21"/>
                <w:highlight w:val="none"/>
              </w:rPr>
              <w:t>、废布袋和员工生活垃圾</w:t>
            </w:r>
            <w:r>
              <w:rPr>
                <w:color w:val="auto"/>
                <w:kern w:val="0"/>
                <w:szCs w:val="21"/>
                <w:highlight w:val="none"/>
              </w:rPr>
              <w:t>。</w:t>
            </w:r>
          </w:p>
        </w:tc>
      </w:tr>
      <w:tr w14:paraId="3B82ED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58865F3C">
            <w:pPr>
              <w:pStyle w:val="19"/>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bCs/>
                <w:color w:val="auto"/>
                <w:kern w:val="2"/>
                <w:sz w:val="21"/>
                <w:szCs w:val="21"/>
                <w:highlight w:val="none"/>
              </w:rPr>
              <w:t>与项目有关的原有环境污染问题</w:t>
            </w:r>
          </w:p>
        </w:tc>
        <w:tc>
          <w:tcPr>
            <w:tcW w:w="8285" w:type="dxa"/>
            <w:vAlign w:val="center"/>
          </w:tcPr>
          <w:p w14:paraId="764C43C2">
            <w:pPr>
              <w:adjustRightInd w:val="0"/>
              <w:snapToGrid w:val="0"/>
              <w:spacing w:line="360" w:lineRule="auto"/>
              <w:ind w:firstLine="420" w:firstLineChars="200"/>
              <w:rPr>
                <w:color w:val="auto"/>
                <w:szCs w:val="21"/>
                <w:highlight w:val="none"/>
              </w:rPr>
            </w:pPr>
            <w:r>
              <w:rPr>
                <w:rFonts w:hint="eastAsia"/>
                <w:color w:val="auto"/>
                <w:szCs w:val="21"/>
                <w:highlight w:val="none"/>
              </w:rPr>
              <w:t>鸡西市焦诚矸石加工厂原有厂区占地面积1000</w:t>
            </w:r>
            <w:r>
              <w:rPr>
                <w:color w:val="auto"/>
                <w:szCs w:val="21"/>
                <w:highlight w:val="none"/>
              </w:rPr>
              <w:t>m</w:t>
            </w:r>
            <w:r>
              <w:rPr>
                <w:color w:val="auto"/>
                <w:szCs w:val="21"/>
                <w:highlight w:val="none"/>
                <w:vertAlign w:val="superscript"/>
              </w:rPr>
              <w:t>2</w:t>
            </w:r>
            <w:r>
              <w:rPr>
                <w:rFonts w:hint="eastAsia"/>
                <w:color w:val="auto"/>
                <w:szCs w:val="21"/>
                <w:highlight w:val="none"/>
              </w:rPr>
              <w:t>，现有</w:t>
            </w:r>
            <w:r>
              <w:rPr>
                <w:color w:val="auto"/>
                <w:szCs w:val="21"/>
                <w:highlight w:val="none"/>
              </w:rPr>
              <w:t>1</w:t>
            </w:r>
            <w:r>
              <w:rPr>
                <w:rFonts w:hint="eastAsia"/>
                <w:color w:val="auto"/>
                <w:szCs w:val="21"/>
                <w:highlight w:val="none"/>
              </w:rPr>
              <w:t>条矸石加工生产线，年产优质矸石6万t，劣质矸石23.4万t。</w:t>
            </w:r>
          </w:p>
          <w:p w14:paraId="6347DA76">
            <w:pPr>
              <w:jc w:val="center"/>
              <w:rPr>
                <w:color w:val="auto"/>
                <w:szCs w:val="21"/>
                <w:highlight w:val="none"/>
              </w:rPr>
            </w:pPr>
            <w:r>
              <w:rPr>
                <w:b/>
                <w:bCs/>
                <w:color w:val="auto"/>
                <w:szCs w:val="21"/>
                <w:highlight w:val="none"/>
              </w:rPr>
              <w:t>表2-</w:t>
            </w:r>
            <w:r>
              <w:rPr>
                <w:rFonts w:hint="eastAsia"/>
                <w:b/>
                <w:bCs/>
                <w:color w:val="auto"/>
                <w:szCs w:val="21"/>
                <w:highlight w:val="none"/>
              </w:rPr>
              <w:t>17原项目建设</w:t>
            </w:r>
            <w:r>
              <w:rPr>
                <w:b/>
                <w:bCs/>
                <w:color w:val="auto"/>
                <w:szCs w:val="21"/>
                <w:highlight w:val="none"/>
              </w:rPr>
              <w:t>情况</w:t>
            </w:r>
          </w:p>
          <w:tbl>
            <w:tblPr>
              <w:tblStyle w:val="23"/>
              <w:tblW w:w="8135"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369"/>
              <w:gridCol w:w="5650"/>
            </w:tblGrid>
            <w:tr w14:paraId="120A08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tcBorders>
                    <w:tl2br w:val="nil"/>
                    <w:tr2bl w:val="nil"/>
                  </w:tcBorders>
                  <w:vAlign w:val="center"/>
                </w:tcPr>
                <w:p w14:paraId="167D0AFD">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工程组成</w:t>
                  </w:r>
                </w:p>
              </w:tc>
              <w:tc>
                <w:tcPr>
                  <w:tcW w:w="1350" w:type="dxa"/>
                  <w:tcBorders>
                    <w:tl2br w:val="nil"/>
                    <w:tr2bl w:val="nil"/>
                  </w:tcBorders>
                  <w:vAlign w:val="center"/>
                </w:tcPr>
                <w:p w14:paraId="63F46B90">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建设内容</w:t>
                  </w:r>
                </w:p>
              </w:tc>
              <w:tc>
                <w:tcPr>
                  <w:tcW w:w="5570" w:type="dxa"/>
                  <w:tcBorders>
                    <w:tl2br w:val="nil"/>
                    <w:tr2bl w:val="nil"/>
                  </w:tcBorders>
                  <w:vAlign w:val="center"/>
                </w:tcPr>
                <w:p w14:paraId="30044230">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原项目建设规模及内容</w:t>
                  </w:r>
                </w:p>
              </w:tc>
            </w:tr>
            <w:tr w14:paraId="295D09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tcBorders>
                    <w:tl2br w:val="nil"/>
                    <w:tr2bl w:val="nil"/>
                  </w:tcBorders>
                  <w:vAlign w:val="center"/>
                </w:tcPr>
                <w:p w14:paraId="132D20EE">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主体工程</w:t>
                  </w:r>
                </w:p>
              </w:tc>
              <w:tc>
                <w:tcPr>
                  <w:tcW w:w="1350" w:type="dxa"/>
                  <w:tcBorders>
                    <w:tl2br w:val="nil"/>
                    <w:tr2bl w:val="nil"/>
                  </w:tcBorders>
                  <w:vAlign w:val="center"/>
                </w:tcPr>
                <w:p w14:paraId="4E96692D">
                  <w:pPr>
                    <w:adjustRightInd w:val="0"/>
                    <w:snapToGrid w:val="0"/>
                    <w:spacing w:line="240" w:lineRule="auto"/>
                    <w:jc w:val="center"/>
                    <w:rPr>
                      <w:bCs/>
                      <w:color w:val="auto"/>
                      <w:sz w:val="18"/>
                      <w:szCs w:val="18"/>
                      <w:highlight w:val="none"/>
                    </w:rPr>
                  </w:pPr>
                  <w:r>
                    <w:rPr>
                      <w:rFonts w:hint="eastAsia"/>
                      <w:bCs/>
                      <w:color w:val="auto"/>
                      <w:sz w:val="18"/>
                      <w:szCs w:val="18"/>
                      <w:highlight w:val="none"/>
                    </w:rPr>
                    <w:t>主厂房</w:t>
                  </w:r>
                </w:p>
              </w:tc>
              <w:tc>
                <w:tcPr>
                  <w:tcW w:w="5570" w:type="dxa"/>
                  <w:tcBorders>
                    <w:tl2br w:val="nil"/>
                    <w:tr2bl w:val="nil"/>
                  </w:tcBorders>
                  <w:vAlign w:val="center"/>
                </w:tcPr>
                <w:p w14:paraId="273F52A4">
                  <w:pPr>
                    <w:adjustRightInd w:val="0"/>
                    <w:snapToGrid w:val="0"/>
                    <w:spacing w:line="240" w:lineRule="auto"/>
                    <w:jc w:val="center"/>
                    <w:rPr>
                      <w:bCs/>
                      <w:color w:val="auto"/>
                      <w:sz w:val="18"/>
                      <w:szCs w:val="18"/>
                      <w:highlight w:val="none"/>
                    </w:rPr>
                  </w:pPr>
                  <w:r>
                    <w:rPr>
                      <w:bCs/>
                      <w:color w:val="auto"/>
                      <w:sz w:val="18"/>
                      <w:szCs w:val="18"/>
                      <w:highlight w:val="none"/>
                    </w:rPr>
                    <w:t>建筑面积</w:t>
                  </w:r>
                  <w:r>
                    <w:rPr>
                      <w:rFonts w:hint="eastAsia"/>
                      <w:bCs/>
                      <w:color w:val="auto"/>
                      <w:sz w:val="18"/>
                      <w:szCs w:val="18"/>
                      <w:highlight w:val="none"/>
                    </w:rPr>
                    <w:t>60</w:t>
                  </w:r>
                  <w:r>
                    <w:rPr>
                      <w:bCs/>
                      <w:color w:val="auto"/>
                      <w:sz w:val="18"/>
                      <w:szCs w:val="18"/>
                      <w:highlight w:val="none"/>
                    </w:rPr>
                    <w:t>0m</w:t>
                  </w:r>
                  <w:r>
                    <w:rPr>
                      <w:bCs/>
                      <w:color w:val="auto"/>
                      <w:sz w:val="18"/>
                      <w:szCs w:val="18"/>
                      <w:highlight w:val="none"/>
                      <w:vertAlign w:val="superscript"/>
                    </w:rPr>
                    <w:t>2</w:t>
                  </w:r>
                  <w:r>
                    <w:rPr>
                      <w:bCs/>
                      <w:color w:val="auto"/>
                      <w:sz w:val="18"/>
                      <w:szCs w:val="18"/>
                      <w:highlight w:val="none"/>
                    </w:rPr>
                    <w:t>。</w:t>
                  </w:r>
                  <w:r>
                    <w:rPr>
                      <w:rFonts w:hint="eastAsia"/>
                      <w:bCs/>
                      <w:color w:val="auto"/>
                      <w:sz w:val="18"/>
                      <w:szCs w:val="18"/>
                      <w:highlight w:val="none"/>
                    </w:rPr>
                    <w:t>钢结构+保温板。</w:t>
                  </w:r>
                </w:p>
              </w:tc>
            </w:tr>
            <w:tr w14:paraId="3C79E9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restart"/>
                  <w:tcBorders>
                    <w:tl2br w:val="nil"/>
                    <w:tr2bl w:val="nil"/>
                  </w:tcBorders>
                  <w:vAlign w:val="center"/>
                </w:tcPr>
                <w:p w14:paraId="109F578E">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公用工程</w:t>
                  </w:r>
                </w:p>
              </w:tc>
              <w:tc>
                <w:tcPr>
                  <w:tcW w:w="1350" w:type="dxa"/>
                  <w:tcBorders>
                    <w:tl2br w:val="nil"/>
                    <w:tr2bl w:val="nil"/>
                  </w:tcBorders>
                  <w:vAlign w:val="center"/>
                </w:tcPr>
                <w:p w14:paraId="078439D9">
                  <w:pPr>
                    <w:adjustRightInd w:val="0"/>
                    <w:snapToGrid w:val="0"/>
                    <w:spacing w:line="240" w:lineRule="auto"/>
                    <w:jc w:val="center"/>
                    <w:rPr>
                      <w:bCs/>
                      <w:color w:val="auto"/>
                      <w:sz w:val="18"/>
                      <w:szCs w:val="18"/>
                      <w:highlight w:val="none"/>
                    </w:rPr>
                  </w:pPr>
                  <w:r>
                    <w:rPr>
                      <w:bCs/>
                      <w:color w:val="auto"/>
                      <w:sz w:val="18"/>
                      <w:szCs w:val="18"/>
                      <w:highlight w:val="none"/>
                    </w:rPr>
                    <w:t>供水系统</w:t>
                  </w:r>
                </w:p>
              </w:tc>
              <w:tc>
                <w:tcPr>
                  <w:tcW w:w="5570" w:type="dxa"/>
                  <w:tcBorders>
                    <w:tl2br w:val="nil"/>
                    <w:tr2bl w:val="nil"/>
                  </w:tcBorders>
                  <w:vAlign w:val="center"/>
                </w:tcPr>
                <w:p w14:paraId="0BD49C5C">
                  <w:pPr>
                    <w:adjustRightInd w:val="0"/>
                    <w:snapToGrid w:val="0"/>
                    <w:spacing w:line="240" w:lineRule="auto"/>
                    <w:jc w:val="center"/>
                    <w:rPr>
                      <w:bCs/>
                      <w:color w:val="auto"/>
                      <w:sz w:val="18"/>
                      <w:szCs w:val="18"/>
                      <w:highlight w:val="none"/>
                    </w:rPr>
                  </w:pPr>
                  <w:r>
                    <w:rPr>
                      <w:rFonts w:hint="eastAsia"/>
                      <w:bCs/>
                      <w:color w:val="auto"/>
                      <w:sz w:val="18"/>
                      <w:szCs w:val="18"/>
                      <w:highlight w:val="none"/>
                    </w:rPr>
                    <w:t>生产用水为矿井水，生活用水为外购用水</w:t>
                  </w:r>
                  <w:r>
                    <w:rPr>
                      <w:bCs/>
                      <w:color w:val="auto"/>
                      <w:sz w:val="18"/>
                      <w:szCs w:val="18"/>
                      <w:highlight w:val="none"/>
                    </w:rPr>
                    <w:t>。</w:t>
                  </w:r>
                </w:p>
              </w:tc>
            </w:tr>
            <w:tr w14:paraId="6E5145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7A8C1431">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69094D10">
                  <w:pPr>
                    <w:adjustRightInd w:val="0"/>
                    <w:snapToGrid w:val="0"/>
                    <w:spacing w:line="240" w:lineRule="auto"/>
                    <w:jc w:val="center"/>
                    <w:rPr>
                      <w:bCs/>
                      <w:color w:val="auto"/>
                      <w:sz w:val="18"/>
                      <w:szCs w:val="18"/>
                      <w:highlight w:val="none"/>
                    </w:rPr>
                  </w:pPr>
                  <w:r>
                    <w:rPr>
                      <w:bCs/>
                      <w:color w:val="auto"/>
                      <w:sz w:val="18"/>
                      <w:szCs w:val="18"/>
                      <w:highlight w:val="none"/>
                    </w:rPr>
                    <w:t>排水系统</w:t>
                  </w:r>
                </w:p>
              </w:tc>
              <w:tc>
                <w:tcPr>
                  <w:tcW w:w="5570" w:type="dxa"/>
                  <w:tcBorders>
                    <w:tl2br w:val="nil"/>
                    <w:tr2bl w:val="nil"/>
                  </w:tcBorders>
                  <w:vAlign w:val="center"/>
                </w:tcPr>
                <w:p w14:paraId="38DFFD3C">
                  <w:pPr>
                    <w:adjustRightInd w:val="0"/>
                    <w:snapToGrid w:val="0"/>
                    <w:spacing w:line="240" w:lineRule="auto"/>
                    <w:jc w:val="center"/>
                    <w:rPr>
                      <w:bCs/>
                      <w:color w:val="auto"/>
                      <w:sz w:val="18"/>
                      <w:szCs w:val="18"/>
                      <w:highlight w:val="none"/>
                    </w:rPr>
                  </w:pPr>
                  <w:r>
                    <w:rPr>
                      <w:rFonts w:hint="eastAsia"/>
                      <w:bCs/>
                      <w:color w:val="auto"/>
                      <w:sz w:val="18"/>
                      <w:szCs w:val="18"/>
                      <w:highlight w:val="none"/>
                    </w:rPr>
                    <w:t>生产用水回用于生产，生活污水用于洒水降尘</w:t>
                  </w:r>
                  <w:r>
                    <w:rPr>
                      <w:rFonts w:hint="eastAsia"/>
                      <w:color w:val="auto"/>
                      <w:sz w:val="18"/>
                      <w:szCs w:val="18"/>
                      <w:highlight w:val="none"/>
                    </w:rPr>
                    <w:t>。</w:t>
                  </w:r>
                </w:p>
              </w:tc>
            </w:tr>
            <w:tr w14:paraId="5DBC2C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17BA0AB7">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7C52E894">
                  <w:pPr>
                    <w:adjustRightInd w:val="0"/>
                    <w:snapToGrid w:val="0"/>
                    <w:spacing w:line="240" w:lineRule="auto"/>
                    <w:jc w:val="center"/>
                    <w:rPr>
                      <w:bCs/>
                      <w:color w:val="auto"/>
                      <w:sz w:val="18"/>
                      <w:szCs w:val="18"/>
                      <w:highlight w:val="none"/>
                    </w:rPr>
                  </w:pPr>
                  <w:r>
                    <w:rPr>
                      <w:bCs/>
                      <w:color w:val="auto"/>
                      <w:sz w:val="18"/>
                      <w:szCs w:val="18"/>
                      <w:highlight w:val="none"/>
                    </w:rPr>
                    <w:t>供电系统</w:t>
                  </w:r>
                </w:p>
              </w:tc>
              <w:tc>
                <w:tcPr>
                  <w:tcW w:w="5570" w:type="dxa"/>
                  <w:tcBorders>
                    <w:tl2br w:val="nil"/>
                    <w:tr2bl w:val="nil"/>
                  </w:tcBorders>
                  <w:vAlign w:val="center"/>
                </w:tcPr>
                <w:p w14:paraId="023E6788">
                  <w:pPr>
                    <w:adjustRightInd w:val="0"/>
                    <w:snapToGrid w:val="0"/>
                    <w:spacing w:line="240" w:lineRule="auto"/>
                    <w:jc w:val="center"/>
                    <w:rPr>
                      <w:bCs/>
                      <w:color w:val="auto"/>
                      <w:sz w:val="18"/>
                      <w:szCs w:val="18"/>
                      <w:highlight w:val="none"/>
                    </w:rPr>
                  </w:pPr>
                  <w:r>
                    <w:rPr>
                      <w:bCs/>
                      <w:color w:val="auto"/>
                      <w:sz w:val="18"/>
                      <w:szCs w:val="18"/>
                      <w:highlight w:val="none"/>
                    </w:rPr>
                    <w:t>由</w:t>
                  </w:r>
                  <w:r>
                    <w:rPr>
                      <w:rFonts w:hint="eastAsia"/>
                      <w:bCs/>
                      <w:color w:val="auto"/>
                      <w:sz w:val="18"/>
                      <w:szCs w:val="18"/>
                      <w:highlight w:val="none"/>
                    </w:rPr>
                    <w:t>恒山区电业局供电</w:t>
                  </w:r>
                  <w:r>
                    <w:rPr>
                      <w:bCs/>
                      <w:color w:val="auto"/>
                      <w:sz w:val="18"/>
                      <w:szCs w:val="18"/>
                      <w:highlight w:val="none"/>
                    </w:rPr>
                    <w:t>。</w:t>
                  </w:r>
                </w:p>
              </w:tc>
            </w:tr>
            <w:tr w14:paraId="22640A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00B7E578">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5D5077F2">
                  <w:pPr>
                    <w:adjustRightInd w:val="0"/>
                    <w:snapToGrid w:val="0"/>
                    <w:spacing w:line="240" w:lineRule="auto"/>
                    <w:jc w:val="center"/>
                    <w:rPr>
                      <w:bCs/>
                      <w:color w:val="auto"/>
                      <w:sz w:val="18"/>
                      <w:szCs w:val="18"/>
                      <w:highlight w:val="none"/>
                    </w:rPr>
                  </w:pPr>
                  <w:r>
                    <w:rPr>
                      <w:bCs/>
                      <w:color w:val="auto"/>
                      <w:sz w:val="18"/>
                      <w:szCs w:val="18"/>
                      <w:highlight w:val="none"/>
                    </w:rPr>
                    <w:t>供热供暖</w:t>
                  </w:r>
                </w:p>
              </w:tc>
              <w:tc>
                <w:tcPr>
                  <w:tcW w:w="5570" w:type="dxa"/>
                  <w:tcBorders>
                    <w:tl2br w:val="nil"/>
                    <w:tr2bl w:val="nil"/>
                  </w:tcBorders>
                  <w:vAlign w:val="center"/>
                </w:tcPr>
                <w:p w14:paraId="661B5D71">
                  <w:pPr>
                    <w:adjustRightInd w:val="0"/>
                    <w:snapToGrid w:val="0"/>
                    <w:spacing w:line="240" w:lineRule="auto"/>
                    <w:jc w:val="center"/>
                    <w:rPr>
                      <w:bCs/>
                      <w:color w:val="auto"/>
                      <w:sz w:val="18"/>
                      <w:szCs w:val="18"/>
                      <w:highlight w:val="none"/>
                    </w:rPr>
                  </w:pPr>
                  <w:r>
                    <w:rPr>
                      <w:rFonts w:hint="eastAsia"/>
                      <w:bCs/>
                      <w:color w:val="auto"/>
                      <w:sz w:val="18"/>
                      <w:szCs w:val="18"/>
                      <w:highlight w:val="none"/>
                    </w:rPr>
                    <w:t>采暖为电取暖。</w:t>
                  </w:r>
                </w:p>
              </w:tc>
            </w:tr>
            <w:tr w14:paraId="202C8C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restart"/>
                  <w:tcBorders>
                    <w:tl2br w:val="nil"/>
                    <w:tr2bl w:val="nil"/>
                  </w:tcBorders>
                  <w:vAlign w:val="center"/>
                </w:tcPr>
                <w:p w14:paraId="6F061515">
                  <w:pPr>
                    <w:adjustRightInd w:val="0"/>
                    <w:snapToGrid w:val="0"/>
                    <w:spacing w:line="240" w:lineRule="auto"/>
                    <w:jc w:val="center"/>
                    <w:rPr>
                      <w:rFonts w:ascii="宋体" w:hAnsi="宋体" w:cs="宋体"/>
                      <w:bCs/>
                      <w:color w:val="auto"/>
                      <w:sz w:val="18"/>
                      <w:szCs w:val="18"/>
                      <w:highlight w:val="none"/>
                    </w:rPr>
                  </w:pPr>
                  <w:r>
                    <w:rPr>
                      <w:rFonts w:hint="eastAsia" w:ascii="宋体" w:hAnsi="宋体" w:cs="宋体"/>
                      <w:bCs/>
                      <w:color w:val="auto"/>
                      <w:sz w:val="18"/>
                      <w:szCs w:val="18"/>
                      <w:highlight w:val="none"/>
                    </w:rPr>
                    <w:t>环保工程</w:t>
                  </w:r>
                </w:p>
              </w:tc>
              <w:tc>
                <w:tcPr>
                  <w:tcW w:w="1350" w:type="dxa"/>
                  <w:tcBorders>
                    <w:tl2br w:val="nil"/>
                    <w:tr2bl w:val="nil"/>
                  </w:tcBorders>
                  <w:vAlign w:val="center"/>
                </w:tcPr>
                <w:p w14:paraId="3CBC859A">
                  <w:pPr>
                    <w:pStyle w:val="31"/>
                    <w:adjustRightInd w:val="0"/>
                    <w:snapToGrid w:val="0"/>
                    <w:jc w:val="center"/>
                    <w:textAlignment w:val="auto"/>
                    <w:rPr>
                      <w:rFonts w:ascii="Times New Roman" w:hAnsi="Times New Roman"/>
                      <w:bCs/>
                      <w:color w:val="auto"/>
                      <w:sz w:val="18"/>
                      <w:szCs w:val="18"/>
                      <w:highlight w:val="none"/>
                    </w:rPr>
                  </w:pPr>
                  <w:r>
                    <w:rPr>
                      <w:rFonts w:ascii="Times New Roman" w:hAnsi="Times New Roman"/>
                      <w:color w:val="auto"/>
                      <w:sz w:val="18"/>
                      <w:szCs w:val="18"/>
                      <w:highlight w:val="none"/>
                    </w:rPr>
                    <w:t>废水治理措施</w:t>
                  </w:r>
                </w:p>
              </w:tc>
              <w:tc>
                <w:tcPr>
                  <w:tcW w:w="5570" w:type="dxa"/>
                  <w:tcBorders>
                    <w:tl2br w:val="nil"/>
                    <w:tr2bl w:val="nil"/>
                  </w:tcBorders>
                  <w:vAlign w:val="center"/>
                </w:tcPr>
                <w:p w14:paraId="46DA38ED">
                  <w:pPr>
                    <w:adjustRightInd w:val="0"/>
                    <w:snapToGrid w:val="0"/>
                    <w:spacing w:line="240" w:lineRule="auto"/>
                    <w:jc w:val="center"/>
                    <w:rPr>
                      <w:bCs/>
                      <w:color w:val="auto"/>
                      <w:sz w:val="18"/>
                      <w:szCs w:val="18"/>
                      <w:highlight w:val="none"/>
                    </w:rPr>
                  </w:pPr>
                  <w:r>
                    <w:rPr>
                      <w:rFonts w:hint="eastAsia"/>
                      <w:bCs/>
                      <w:color w:val="auto"/>
                      <w:sz w:val="18"/>
                      <w:szCs w:val="18"/>
                      <w:highlight w:val="none"/>
                    </w:rPr>
                    <w:t>生产用水回用于生产，生活污水用于洒水降尘</w:t>
                  </w:r>
                  <w:r>
                    <w:rPr>
                      <w:rFonts w:hint="eastAsia"/>
                      <w:color w:val="auto"/>
                      <w:sz w:val="18"/>
                      <w:szCs w:val="18"/>
                      <w:highlight w:val="none"/>
                    </w:rPr>
                    <w:t>。</w:t>
                  </w:r>
                </w:p>
              </w:tc>
            </w:tr>
            <w:tr w14:paraId="48632C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37BF61E3">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79041F95">
                  <w:pPr>
                    <w:pStyle w:val="31"/>
                    <w:adjustRightInd w:val="0"/>
                    <w:snapToGrid w:val="0"/>
                    <w:jc w:val="center"/>
                    <w:textAlignment w:val="auto"/>
                    <w:rPr>
                      <w:rFonts w:ascii="Times New Roman" w:hAnsi="Times New Roman"/>
                      <w:bCs/>
                      <w:color w:val="auto"/>
                      <w:sz w:val="18"/>
                      <w:szCs w:val="18"/>
                      <w:highlight w:val="none"/>
                    </w:rPr>
                  </w:pPr>
                  <w:r>
                    <w:rPr>
                      <w:rFonts w:ascii="Times New Roman" w:hAnsi="Times New Roman"/>
                      <w:color w:val="auto"/>
                      <w:sz w:val="18"/>
                      <w:szCs w:val="18"/>
                      <w:highlight w:val="none"/>
                    </w:rPr>
                    <w:t>废气治理措施</w:t>
                  </w:r>
                </w:p>
              </w:tc>
              <w:tc>
                <w:tcPr>
                  <w:tcW w:w="5570" w:type="dxa"/>
                  <w:tcBorders>
                    <w:tl2br w:val="nil"/>
                    <w:tr2bl w:val="nil"/>
                  </w:tcBorders>
                  <w:vAlign w:val="center"/>
                </w:tcPr>
                <w:p w14:paraId="17E42C65">
                  <w:pPr>
                    <w:adjustRightInd w:val="0"/>
                    <w:snapToGrid w:val="0"/>
                    <w:jc w:val="center"/>
                    <w:rPr>
                      <w:color w:val="auto"/>
                      <w:sz w:val="18"/>
                      <w:szCs w:val="18"/>
                      <w:highlight w:val="none"/>
                    </w:rPr>
                  </w:pPr>
                  <w:r>
                    <w:rPr>
                      <w:color w:val="auto"/>
                      <w:sz w:val="18"/>
                      <w:szCs w:val="18"/>
                      <w:highlight w:val="none"/>
                    </w:rPr>
                    <w:t>储存原料场和成品场设置防风抑尘网和喷水车</w:t>
                  </w:r>
                  <w:r>
                    <w:rPr>
                      <w:rFonts w:hint="eastAsia"/>
                      <w:color w:val="auto"/>
                      <w:sz w:val="18"/>
                      <w:szCs w:val="18"/>
                      <w:highlight w:val="none"/>
                    </w:rPr>
                    <w:t>，</w:t>
                  </w:r>
                  <w:r>
                    <w:rPr>
                      <w:color w:val="auto"/>
                      <w:sz w:val="18"/>
                      <w:szCs w:val="18"/>
                      <w:highlight w:val="none"/>
                    </w:rPr>
                    <w:t>防治粉尘污染。</w:t>
                  </w:r>
                </w:p>
              </w:tc>
            </w:tr>
            <w:tr w14:paraId="52FF59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1ED8A50F">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2726FA34">
                  <w:pPr>
                    <w:pStyle w:val="31"/>
                    <w:adjustRightInd w:val="0"/>
                    <w:snapToGrid w:val="0"/>
                    <w:jc w:val="center"/>
                    <w:textAlignment w:val="auto"/>
                    <w:rPr>
                      <w:rFonts w:ascii="Times New Roman" w:hAnsi="Times New Roman"/>
                      <w:bCs/>
                      <w:color w:val="auto"/>
                      <w:sz w:val="18"/>
                      <w:szCs w:val="18"/>
                      <w:highlight w:val="none"/>
                    </w:rPr>
                  </w:pPr>
                  <w:r>
                    <w:rPr>
                      <w:rFonts w:ascii="Times New Roman" w:hAnsi="Times New Roman"/>
                      <w:color w:val="auto"/>
                      <w:sz w:val="18"/>
                      <w:szCs w:val="18"/>
                      <w:highlight w:val="none"/>
                    </w:rPr>
                    <w:t>噪声治理措施</w:t>
                  </w:r>
                </w:p>
              </w:tc>
              <w:tc>
                <w:tcPr>
                  <w:tcW w:w="5570" w:type="dxa"/>
                  <w:tcBorders>
                    <w:tl2br w:val="nil"/>
                    <w:tr2bl w:val="nil"/>
                  </w:tcBorders>
                  <w:vAlign w:val="center"/>
                </w:tcPr>
                <w:p w14:paraId="5497BE52">
                  <w:pPr>
                    <w:adjustRightInd w:val="0"/>
                    <w:snapToGrid w:val="0"/>
                    <w:spacing w:line="240" w:lineRule="auto"/>
                    <w:jc w:val="center"/>
                    <w:rPr>
                      <w:bCs/>
                      <w:color w:val="auto"/>
                      <w:sz w:val="18"/>
                      <w:szCs w:val="18"/>
                      <w:highlight w:val="none"/>
                    </w:rPr>
                  </w:pPr>
                  <w:r>
                    <w:rPr>
                      <w:bCs/>
                      <w:color w:val="auto"/>
                      <w:sz w:val="18"/>
                      <w:szCs w:val="18"/>
                      <w:highlight w:val="none"/>
                    </w:rPr>
                    <w:t>基础减震</w:t>
                  </w:r>
                  <w:r>
                    <w:rPr>
                      <w:rFonts w:hint="eastAsia"/>
                      <w:bCs/>
                      <w:color w:val="auto"/>
                      <w:sz w:val="18"/>
                      <w:szCs w:val="18"/>
                      <w:highlight w:val="none"/>
                    </w:rPr>
                    <w:t>、隔声等设施</w:t>
                  </w:r>
                  <w:r>
                    <w:rPr>
                      <w:bCs/>
                      <w:color w:val="auto"/>
                      <w:sz w:val="18"/>
                      <w:szCs w:val="18"/>
                      <w:highlight w:val="none"/>
                    </w:rPr>
                    <w:t>。</w:t>
                  </w:r>
                </w:p>
              </w:tc>
            </w:tr>
            <w:tr w14:paraId="6E6E96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100" w:type="dxa"/>
                  <w:vMerge w:val="continue"/>
                  <w:tcBorders>
                    <w:tl2br w:val="nil"/>
                    <w:tr2bl w:val="nil"/>
                  </w:tcBorders>
                  <w:vAlign w:val="center"/>
                </w:tcPr>
                <w:p w14:paraId="74E7FDB0">
                  <w:pPr>
                    <w:adjustRightInd w:val="0"/>
                    <w:snapToGrid w:val="0"/>
                    <w:spacing w:line="240" w:lineRule="auto"/>
                    <w:jc w:val="center"/>
                    <w:rPr>
                      <w:rFonts w:ascii="宋体" w:hAnsi="宋体" w:cs="宋体"/>
                      <w:bCs/>
                      <w:color w:val="auto"/>
                      <w:sz w:val="18"/>
                      <w:szCs w:val="18"/>
                      <w:highlight w:val="none"/>
                    </w:rPr>
                  </w:pPr>
                </w:p>
              </w:tc>
              <w:tc>
                <w:tcPr>
                  <w:tcW w:w="1350" w:type="dxa"/>
                  <w:tcBorders>
                    <w:tl2br w:val="nil"/>
                    <w:tr2bl w:val="nil"/>
                  </w:tcBorders>
                  <w:vAlign w:val="center"/>
                </w:tcPr>
                <w:p w14:paraId="47D28725">
                  <w:pPr>
                    <w:pStyle w:val="31"/>
                    <w:adjustRightInd w:val="0"/>
                    <w:snapToGrid w:val="0"/>
                    <w:jc w:val="center"/>
                    <w:textAlignment w:val="auto"/>
                    <w:rPr>
                      <w:rFonts w:ascii="Times New Roman" w:hAnsi="Times New Roman"/>
                      <w:bCs/>
                      <w:color w:val="auto"/>
                      <w:sz w:val="18"/>
                      <w:szCs w:val="18"/>
                      <w:highlight w:val="none"/>
                    </w:rPr>
                  </w:pPr>
                  <w:r>
                    <w:rPr>
                      <w:rFonts w:ascii="Times New Roman" w:hAnsi="Times New Roman"/>
                      <w:color w:val="auto"/>
                      <w:sz w:val="18"/>
                      <w:szCs w:val="18"/>
                      <w:highlight w:val="none"/>
                    </w:rPr>
                    <w:t>固体废物治理措施</w:t>
                  </w:r>
                </w:p>
              </w:tc>
              <w:tc>
                <w:tcPr>
                  <w:tcW w:w="5570" w:type="dxa"/>
                  <w:tcBorders>
                    <w:tl2br w:val="nil"/>
                    <w:tr2bl w:val="nil"/>
                  </w:tcBorders>
                  <w:vAlign w:val="center"/>
                </w:tcPr>
                <w:p w14:paraId="1EBC2B47">
                  <w:pPr>
                    <w:adjustRightInd w:val="0"/>
                    <w:snapToGrid w:val="0"/>
                    <w:spacing w:line="240" w:lineRule="auto"/>
                    <w:jc w:val="center"/>
                    <w:rPr>
                      <w:bCs/>
                      <w:color w:val="auto"/>
                      <w:sz w:val="18"/>
                      <w:szCs w:val="18"/>
                      <w:highlight w:val="none"/>
                    </w:rPr>
                  </w:pPr>
                  <w:r>
                    <w:rPr>
                      <w:bCs/>
                      <w:color w:val="auto"/>
                      <w:sz w:val="18"/>
                      <w:szCs w:val="18"/>
                      <w:highlight w:val="none"/>
                    </w:rPr>
                    <w:t>生活垃圾集中收集，由市政环卫部门统一处理</w:t>
                  </w:r>
                  <w:r>
                    <w:rPr>
                      <w:rFonts w:hint="eastAsia"/>
                      <w:bCs/>
                      <w:color w:val="auto"/>
                      <w:sz w:val="18"/>
                      <w:szCs w:val="18"/>
                      <w:highlight w:val="none"/>
                    </w:rPr>
                    <w:t>，矸石泥和劣质矸石外卖用于制砖。</w:t>
                  </w:r>
                </w:p>
              </w:tc>
            </w:tr>
          </w:tbl>
          <w:p w14:paraId="78B0E37A">
            <w:pPr>
              <w:adjustRightInd w:val="0"/>
              <w:snapToGrid w:val="0"/>
              <w:spacing w:line="360" w:lineRule="auto"/>
              <w:rPr>
                <w:b/>
                <w:bCs/>
                <w:color w:val="auto"/>
                <w:szCs w:val="21"/>
                <w:highlight w:val="none"/>
              </w:rPr>
            </w:pPr>
            <w:r>
              <w:rPr>
                <w:b/>
                <w:bCs/>
                <w:color w:val="auto"/>
                <w:szCs w:val="21"/>
                <w:highlight w:val="none"/>
              </w:rPr>
              <w:t>1、</w:t>
            </w:r>
            <w:r>
              <w:rPr>
                <w:rFonts w:hint="eastAsia"/>
                <w:b/>
                <w:bCs/>
                <w:color w:val="auto"/>
                <w:szCs w:val="21"/>
                <w:highlight w:val="none"/>
              </w:rPr>
              <w:t>环保</w:t>
            </w:r>
            <w:r>
              <w:rPr>
                <w:b/>
                <w:bCs/>
                <w:color w:val="auto"/>
                <w:szCs w:val="21"/>
                <w:highlight w:val="none"/>
              </w:rPr>
              <w:t>手续履行情况</w:t>
            </w:r>
          </w:p>
          <w:p w14:paraId="0BE62B2B">
            <w:pPr>
              <w:jc w:val="center"/>
              <w:rPr>
                <w:b/>
                <w:bCs/>
                <w:color w:val="auto"/>
                <w:szCs w:val="21"/>
                <w:highlight w:val="none"/>
              </w:rPr>
            </w:pPr>
            <w:r>
              <w:rPr>
                <w:b/>
                <w:bCs/>
                <w:color w:val="auto"/>
                <w:szCs w:val="21"/>
                <w:highlight w:val="none"/>
              </w:rPr>
              <w:t>表2-</w:t>
            </w:r>
            <w:r>
              <w:rPr>
                <w:rFonts w:hint="eastAsia"/>
                <w:b/>
                <w:bCs/>
                <w:color w:val="auto"/>
                <w:szCs w:val="21"/>
                <w:highlight w:val="none"/>
              </w:rPr>
              <w:t>18</w:t>
            </w:r>
            <w:r>
              <w:rPr>
                <w:b/>
                <w:bCs/>
                <w:color w:val="auto"/>
                <w:szCs w:val="21"/>
                <w:highlight w:val="none"/>
              </w:rPr>
              <w:t xml:space="preserve">  环评情况</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2889"/>
              <w:gridCol w:w="1497"/>
              <w:gridCol w:w="1627"/>
              <w:gridCol w:w="1469"/>
            </w:tblGrid>
            <w:tr w14:paraId="5111A8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vAlign w:val="center"/>
                </w:tcPr>
                <w:p w14:paraId="51EA6476">
                  <w:pPr>
                    <w:jc w:val="center"/>
                    <w:rPr>
                      <w:color w:val="auto"/>
                      <w:sz w:val="18"/>
                      <w:szCs w:val="18"/>
                      <w:highlight w:val="none"/>
                    </w:rPr>
                  </w:pPr>
                  <w:r>
                    <w:rPr>
                      <w:color w:val="auto"/>
                      <w:sz w:val="18"/>
                      <w:szCs w:val="18"/>
                      <w:highlight w:val="none"/>
                    </w:rPr>
                    <w:t>序号</w:t>
                  </w:r>
                </w:p>
              </w:tc>
              <w:tc>
                <w:tcPr>
                  <w:tcW w:w="1775" w:type="pct"/>
                  <w:vAlign w:val="center"/>
                </w:tcPr>
                <w:p w14:paraId="4FE04FD0">
                  <w:pPr>
                    <w:jc w:val="center"/>
                    <w:rPr>
                      <w:color w:val="auto"/>
                      <w:sz w:val="18"/>
                      <w:szCs w:val="18"/>
                      <w:highlight w:val="none"/>
                    </w:rPr>
                  </w:pPr>
                  <w:r>
                    <w:rPr>
                      <w:color w:val="auto"/>
                      <w:sz w:val="18"/>
                      <w:szCs w:val="18"/>
                      <w:highlight w:val="none"/>
                    </w:rPr>
                    <w:t>项目名称</w:t>
                  </w:r>
                </w:p>
              </w:tc>
              <w:tc>
                <w:tcPr>
                  <w:tcW w:w="919" w:type="pct"/>
                  <w:vAlign w:val="center"/>
                </w:tcPr>
                <w:p w14:paraId="0A58AC35">
                  <w:pPr>
                    <w:jc w:val="center"/>
                    <w:rPr>
                      <w:color w:val="auto"/>
                      <w:sz w:val="18"/>
                      <w:szCs w:val="18"/>
                      <w:highlight w:val="none"/>
                    </w:rPr>
                  </w:pPr>
                  <w:r>
                    <w:rPr>
                      <w:color w:val="auto"/>
                      <w:sz w:val="18"/>
                      <w:szCs w:val="18"/>
                      <w:highlight w:val="none"/>
                    </w:rPr>
                    <w:t>审批部门</w:t>
                  </w:r>
                </w:p>
              </w:tc>
              <w:tc>
                <w:tcPr>
                  <w:tcW w:w="999" w:type="pct"/>
                  <w:vAlign w:val="center"/>
                </w:tcPr>
                <w:p w14:paraId="5E0AA5D1">
                  <w:pPr>
                    <w:jc w:val="center"/>
                    <w:rPr>
                      <w:color w:val="auto"/>
                      <w:sz w:val="18"/>
                      <w:szCs w:val="18"/>
                      <w:highlight w:val="none"/>
                    </w:rPr>
                  </w:pPr>
                  <w:r>
                    <w:rPr>
                      <w:color w:val="auto"/>
                      <w:sz w:val="18"/>
                      <w:szCs w:val="18"/>
                      <w:highlight w:val="none"/>
                    </w:rPr>
                    <w:t>环评批复</w:t>
                  </w:r>
                </w:p>
              </w:tc>
              <w:tc>
                <w:tcPr>
                  <w:tcW w:w="902" w:type="pct"/>
                  <w:vAlign w:val="center"/>
                </w:tcPr>
                <w:p w14:paraId="46CDA163">
                  <w:pPr>
                    <w:jc w:val="center"/>
                    <w:rPr>
                      <w:color w:val="auto"/>
                      <w:sz w:val="18"/>
                      <w:szCs w:val="18"/>
                      <w:highlight w:val="none"/>
                    </w:rPr>
                  </w:pPr>
                  <w:r>
                    <w:rPr>
                      <w:color w:val="auto"/>
                      <w:sz w:val="18"/>
                      <w:szCs w:val="18"/>
                      <w:highlight w:val="none"/>
                    </w:rPr>
                    <w:t>批复</w:t>
                  </w:r>
                  <w:r>
                    <w:rPr>
                      <w:rFonts w:hint="eastAsia"/>
                      <w:color w:val="auto"/>
                      <w:sz w:val="18"/>
                      <w:szCs w:val="18"/>
                      <w:highlight w:val="none"/>
                    </w:rPr>
                    <w:t>时间</w:t>
                  </w:r>
                </w:p>
              </w:tc>
            </w:tr>
            <w:tr w14:paraId="509F77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2" w:type="pct"/>
                  <w:vAlign w:val="center"/>
                </w:tcPr>
                <w:p w14:paraId="679BFEFB">
                  <w:pPr>
                    <w:jc w:val="center"/>
                    <w:rPr>
                      <w:color w:val="auto"/>
                      <w:sz w:val="18"/>
                      <w:szCs w:val="18"/>
                      <w:highlight w:val="none"/>
                    </w:rPr>
                  </w:pPr>
                  <w:r>
                    <w:rPr>
                      <w:color w:val="auto"/>
                      <w:sz w:val="18"/>
                      <w:szCs w:val="18"/>
                      <w:highlight w:val="none"/>
                    </w:rPr>
                    <w:cr/>
                  </w:r>
                  <w:r>
                    <w:rPr>
                      <w:color w:val="auto"/>
                      <w:sz w:val="18"/>
                      <w:szCs w:val="18"/>
                      <w:highlight w:val="none"/>
                    </w:rPr>
                    <w:t>1</w:t>
                  </w:r>
                </w:p>
              </w:tc>
              <w:tc>
                <w:tcPr>
                  <w:tcW w:w="1775" w:type="pct"/>
                  <w:vAlign w:val="center"/>
                </w:tcPr>
                <w:p w14:paraId="2A435EE9">
                  <w:pPr>
                    <w:jc w:val="center"/>
                    <w:rPr>
                      <w:color w:val="auto"/>
                      <w:sz w:val="18"/>
                      <w:szCs w:val="18"/>
                      <w:highlight w:val="none"/>
                    </w:rPr>
                  </w:pPr>
                  <w:r>
                    <w:rPr>
                      <w:rFonts w:hint="eastAsia"/>
                      <w:color w:val="auto"/>
                      <w:sz w:val="18"/>
                      <w:szCs w:val="18"/>
                      <w:highlight w:val="none"/>
                    </w:rPr>
                    <w:t>矸石综合利用项目环境影响报告表</w:t>
                  </w:r>
                </w:p>
              </w:tc>
              <w:tc>
                <w:tcPr>
                  <w:tcW w:w="919" w:type="pct"/>
                  <w:vAlign w:val="center"/>
                </w:tcPr>
                <w:p w14:paraId="2C1F34A7">
                  <w:pPr>
                    <w:jc w:val="center"/>
                    <w:rPr>
                      <w:color w:val="auto"/>
                      <w:sz w:val="18"/>
                      <w:szCs w:val="18"/>
                      <w:highlight w:val="none"/>
                    </w:rPr>
                  </w:pPr>
                  <w:r>
                    <w:rPr>
                      <w:rFonts w:hint="eastAsia"/>
                      <w:color w:val="auto"/>
                      <w:sz w:val="18"/>
                      <w:szCs w:val="18"/>
                      <w:highlight w:val="none"/>
                    </w:rPr>
                    <w:t>鸡西市</w:t>
                  </w:r>
                  <w:r>
                    <w:rPr>
                      <w:color w:val="auto"/>
                      <w:sz w:val="18"/>
                      <w:szCs w:val="18"/>
                      <w:highlight w:val="none"/>
                    </w:rPr>
                    <w:t>环境保护局</w:t>
                  </w:r>
                </w:p>
              </w:tc>
              <w:tc>
                <w:tcPr>
                  <w:tcW w:w="999" w:type="pct"/>
                  <w:vAlign w:val="center"/>
                </w:tcPr>
                <w:p w14:paraId="051C7B54">
                  <w:pPr>
                    <w:jc w:val="center"/>
                    <w:rPr>
                      <w:color w:val="auto"/>
                      <w:sz w:val="18"/>
                      <w:szCs w:val="18"/>
                      <w:highlight w:val="none"/>
                    </w:rPr>
                  </w:pPr>
                  <w:r>
                    <w:rPr>
                      <w:rFonts w:hint="eastAsia"/>
                      <w:color w:val="auto"/>
                      <w:sz w:val="18"/>
                      <w:szCs w:val="18"/>
                      <w:highlight w:val="none"/>
                    </w:rPr>
                    <w:t>鸡环建审</w:t>
                  </w:r>
                  <w:r>
                    <w:rPr>
                      <w:rFonts w:hint="eastAsia"/>
                      <w:color w:val="auto"/>
                      <w:sz w:val="18"/>
                      <w:szCs w:val="18"/>
                      <w:highlight w:val="none"/>
                      <w:lang w:eastAsia="zh-CN"/>
                    </w:rPr>
                    <w:t>〔2013〕24号</w:t>
                  </w:r>
                </w:p>
              </w:tc>
              <w:tc>
                <w:tcPr>
                  <w:tcW w:w="902" w:type="pct"/>
                  <w:vAlign w:val="center"/>
                </w:tcPr>
                <w:p w14:paraId="792A4C6B">
                  <w:pPr>
                    <w:jc w:val="center"/>
                    <w:rPr>
                      <w:color w:val="auto"/>
                      <w:sz w:val="18"/>
                      <w:szCs w:val="18"/>
                      <w:highlight w:val="none"/>
                    </w:rPr>
                  </w:pPr>
                  <w:r>
                    <w:rPr>
                      <w:rFonts w:hint="eastAsia"/>
                      <w:color w:val="auto"/>
                      <w:sz w:val="18"/>
                      <w:szCs w:val="18"/>
                      <w:highlight w:val="none"/>
                    </w:rPr>
                    <w:t>2013年8月18日</w:t>
                  </w:r>
                </w:p>
              </w:tc>
            </w:tr>
          </w:tbl>
          <w:p w14:paraId="1EDBEAB4">
            <w:pPr>
              <w:jc w:val="center"/>
              <w:rPr>
                <w:b/>
                <w:bCs/>
                <w:color w:val="auto"/>
                <w:szCs w:val="21"/>
                <w:highlight w:val="none"/>
              </w:rPr>
            </w:pPr>
            <w:r>
              <w:rPr>
                <w:b/>
                <w:bCs/>
                <w:color w:val="auto"/>
                <w:szCs w:val="21"/>
                <w:highlight w:val="none"/>
              </w:rPr>
              <w:t>表2-</w:t>
            </w:r>
            <w:r>
              <w:rPr>
                <w:rFonts w:hint="eastAsia"/>
                <w:b/>
                <w:bCs/>
                <w:color w:val="auto"/>
                <w:szCs w:val="21"/>
                <w:highlight w:val="none"/>
              </w:rPr>
              <w:t>19</w:t>
            </w:r>
            <w:r>
              <w:rPr>
                <w:b/>
                <w:bCs/>
                <w:color w:val="auto"/>
                <w:szCs w:val="21"/>
                <w:highlight w:val="none"/>
              </w:rPr>
              <w:t xml:space="preserve">  验收情况</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5"/>
              <w:gridCol w:w="2833"/>
              <w:gridCol w:w="992"/>
              <w:gridCol w:w="2600"/>
              <w:gridCol w:w="1105"/>
            </w:tblGrid>
            <w:tr w14:paraId="0A3145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01C9532B">
                  <w:pPr>
                    <w:jc w:val="center"/>
                    <w:rPr>
                      <w:color w:val="auto"/>
                      <w:sz w:val="18"/>
                      <w:szCs w:val="18"/>
                      <w:highlight w:val="none"/>
                    </w:rPr>
                  </w:pPr>
                  <w:r>
                    <w:rPr>
                      <w:color w:val="auto"/>
                      <w:sz w:val="18"/>
                      <w:szCs w:val="18"/>
                      <w:highlight w:val="none"/>
                    </w:rPr>
                    <w:t>序号</w:t>
                  </w:r>
                </w:p>
              </w:tc>
              <w:tc>
                <w:tcPr>
                  <w:tcW w:w="1740" w:type="pct"/>
                  <w:vAlign w:val="center"/>
                </w:tcPr>
                <w:p w14:paraId="0735C8B5">
                  <w:pPr>
                    <w:jc w:val="center"/>
                    <w:rPr>
                      <w:color w:val="auto"/>
                      <w:sz w:val="18"/>
                      <w:szCs w:val="18"/>
                      <w:highlight w:val="none"/>
                    </w:rPr>
                  </w:pPr>
                  <w:r>
                    <w:rPr>
                      <w:color w:val="auto"/>
                      <w:sz w:val="18"/>
                      <w:szCs w:val="18"/>
                      <w:highlight w:val="none"/>
                    </w:rPr>
                    <w:t>项目名称</w:t>
                  </w:r>
                </w:p>
              </w:tc>
              <w:tc>
                <w:tcPr>
                  <w:tcW w:w="610" w:type="pct"/>
                  <w:vAlign w:val="center"/>
                </w:tcPr>
                <w:p w14:paraId="4815D1B2">
                  <w:pPr>
                    <w:jc w:val="center"/>
                    <w:rPr>
                      <w:color w:val="auto"/>
                      <w:sz w:val="18"/>
                      <w:szCs w:val="18"/>
                      <w:highlight w:val="none"/>
                    </w:rPr>
                  </w:pPr>
                  <w:r>
                    <w:rPr>
                      <w:color w:val="auto"/>
                      <w:sz w:val="18"/>
                      <w:szCs w:val="18"/>
                      <w:highlight w:val="none"/>
                    </w:rPr>
                    <w:t>审批部门</w:t>
                  </w:r>
                </w:p>
              </w:tc>
              <w:tc>
                <w:tcPr>
                  <w:tcW w:w="1597" w:type="pct"/>
                  <w:vAlign w:val="center"/>
                </w:tcPr>
                <w:p w14:paraId="3A8D4CE2">
                  <w:pPr>
                    <w:jc w:val="center"/>
                    <w:rPr>
                      <w:color w:val="auto"/>
                      <w:sz w:val="18"/>
                      <w:szCs w:val="18"/>
                      <w:highlight w:val="none"/>
                    </w:rPr>
                  </w:pPr>
                  <w:r>
                    <w:rPr>
                      <w:color w:val="auto"/>
                      <w:sz w:val="18"/>
                      <w:szCs w:val="18"/>
                      <w:highlight w:val="none"/>
                    </w:rPr>
                    <w:t>验收批复</w:t>
                  </w:r>
                </w:p>
              </w:tc>
              <w:tc>
                <w:tcPr>
                  <w:tcW w:w="679" w:type="pct"/>
                  <w:vAlign w:val="center"/>
                </w:tcPr>
                <w:p w14:paraId="733F27B1">
                  <w:pPr>
                    <w:jc w:val="center"/>
                    <w:rPr>
                      <w:color w:val="auto"/>
                      <w:sz w:val="18"/>
                      <w:szCs w:val="18"/>
                      <w:highlight w:val="none"/>
                    </w:rPr>
                  </w:pPr>
                  <w:r>
                    <w:rPr>
                      <w:color w:val="auto"/>
                      <w:sz w:val="18"/>
                      <w:szCs w:val="18"/>
                      <w:highlight w:val="none"/>
                    </w:rPr>
                    <w:t>验收</w:t>
                  </w:r>
                  <w:r>
                    <w:rPr>
                      <w:rFonts w:hint="eastAsia"/>
                      <w:color w:val="auto"/>
                      <w:sz w:val="18"/>
                      <w:szCs w:val="18"/>
                      <w:highlight w:val="none"/>
                    </w:rPr>
                    <w:t>时间</w:t>
                  </w:r>
                </w:p>
              </w:tc>
            </w:tr>
            <w:tr w14:paraId="696C91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5514778B">
                  <w:pPr>
                    <w:jc w:val="center"/>
                    <w:rPr>
                      <w:color w:val="auto"/>
                      <w:sz w:val="18"/>
                      <w:szCs w:val="18"/>
                      <w:highlight w:val="none"/>
                    </w:rPr>
                  </w:pPr>
                  <w:r>
                    <w:rPr>
                      <w:color w:val="auto"/>
                      <w:sz w:val="18"/>
                      <w:szCs w:val="18"/>
                      <w:highlight w:val="none"/>
                    </w:rPr>
                    <w:cr/>
                  </w:r>
                  <w:r>
                    <w:rPr>
                      <w:color w:val="auto"/>
                      <w:sz w:val="18"/>
                      <w:szCs w:val="18"/>
                      <w:highlight w:val="none"/>
                    </w:rPr>
                    <w:t>1</w:t>
                  </w:r>
                </w:p>
              </w:tc>
              <w:tc>
                <w:tcPr>
                  <w:tcW w:w="1740" w:type="pct"/>
                  <w:vAlign w:val="center"/>
                </w:tcPr>
                <w:p w14:paraId="653DDDCA">
                  <w:pPr>
                    <w:jc w:val="center"/>
                    <w:rPr>
                      <w:color w:val="auto"/>
                      <w:sz w:val="18"/>
                      <w:szCs w:val="18"/>
                      <w:highlight w:val="none"/>
                    </w:rPr>
                  </w:pPr>
                  <w:r>
                    <w:rPr>
                      <w:rFonts w:hint="eastAsia"/>
                      <w:color w:val="auto"/>
                      <w:sz w:val="18"/>
                      <w:szCs w:val="18"/>
                      <w:highlight w:val="none"/>
                    </w:rPr>
                    <w:t>矸石综合利用项目竣工保护验收监测报告表</w:t>
                  </w:r>
                </w:p>
              </w:tc>
              <w:tc>
                <w:tcPr>
                  <w:tcW w:w="610" w:type="pct"/>
                  <w:vAlign w:val="center"/>
                </w:tcPr>
                <w:p w14:paraId="5EB664DA">
                  <w:pPr>
                    <w:jc w:val="center"/>
                    <w:rPr>
                      <w:color w:val="auto"/>
                      <w:sz w:val="18"/>
                      <w:szCs w:val="18"/>
                      <w:highlight w:val="none"/>
                    </w:rPr>
                  </w:pPr>
                  <w:r>
                    <w:rPr>
                      <w:rFonts w:hint="eastAsia"/>
                      <w:color w:val="auto"/>
                      <w:sz w:val="18"/>
                      <w:szCs w:val="18"/>
                      <w:highlight w:val="none"/>
                    </w:rPr>
                    <w:t>自主验收</w:t>
                  </w:r>
                </w:p>
              </w:tc>
              <w:tc>
                <w:tcPr>
                  <w:tcW w:w="1597" w:type="pct"/>
                  <w:vAlign w:val="center"/>
                </w:tcPr>
                <w:p w14:paraId="4D7A19EE">
                  <w:pPr>
                    <w:jc w:val="center"/>
                    <w:rPr>
                      <w:color w:val="auto"/>
                      <w:sz w:val="18"/>
                      <w:szCs w:val="18"/>
                      <w:highlight w:val="none"/>
                    </w:rPr>
                  </w:pPr>
                  <w:r>
                    <w:rPr>
                      <w:rFonts w:hint="eastAsia"/>
                      <w:color w:val="auto"/>
                      <w:sz w:val="18"/>
                      <w:szCs w:val="18"/>
                      <w:highlight w:val="none"/>
                    </w:rPr>
                    <w:t>矸石综合利用项目竣工保护验收意见</w:t>
                  </w:r>
                </w:p>
              </w:tc>
              <w:tc>
                <w:tcPr>
                  <w:tcW w:w="679" w:type="pct"/>
                  <w:vAlign w:val="center"/>
                </w:tcPr>
                <w:p w14:paraId="4A76CBEC">
                  <w:pPr>
                    <w:jc w:val="center"/>
                    <w:rPr>
                      <w:color w:val="auto"/>
                      <w:sz w:val="18"/>
                      <w:szCs w:val="18"/>
                      <w:highlight w:val="none"/>
                    </w:rPr>
                  </w:pPr>
                  <w:r>
                    <w:rPr>
                      <w:rFonts w:hint="eastAsia"/>
                      <w:color w:val="auto"/>
                      <w:sz w:val="18"/>
                      <w:szCs w:val="18"/>
                      <w:highlight w:val="none"/>
                    </w:rPr>
                    <w:t>2019年8月12日</w:t>
                  </w:r>
                </w:p>
              </w:tc>
            </w:tr>
          </w:tbl>
          <w:p w14:paraId="4CB2B2E2">
            <w:pPr>
              <w:wordWrap w:val="0"/>
              <w:spacing w:line="360" w:lineRule="auto"/>
              <w:ind w:firstLine="420" w:firstLineChars="200"/>
              <w:rPr>
                <w:color w:val="auto"/>
                <w:szCs w:val="21"/>
                <w:highlight w:val="none"/>
              </w:rPr>
            </w:pPr>
            <w:r>
              <w:rPr>
                <w:rFonts w:hint="eastAsia"/>
                <w:bCs/>
                <w:color w:val="auto"/>
                <w:szCs w:val="21"/>
                <w:highlight w:val="none"/>
              </w:rPr>
              <w:t>原项目于2020年4月23日进行排污许可登记，登记编号为91230300077793280P001W，有效期限至2025年4月22日。企业现为停产状态。</w:t>
            </w:r>
          </w:p>
          <w:p w14:paraId="01A3DEBF">
            <w:pPr>
              <w:adjustRightInd w:val="0"/>
              <w:snapToGrid w:val="0"/>
              <w:spacing w:line="360" w:lineRule="auto"/>
              <w:rPr>
                <w:b/>
                <w:bCs/>
                <w:color w:val="auto"/>
                <w:szCs w:val="21"/>
                <w:highlight w:val="none"/>
              </w:rPr>
            </w:pPr>
            <w:r>
              <w:rPr>
                <w:b/>
                <w:bCs/>
                <w:color w:val="auto"/>
                <w:szCs w:val="21"/>
                <w:highlight w:val="none"/>
              </w:rPr>
              <w:t>2</w:t>
            </w:r>
            <w:r>
              <w:rPr>
                <w:rFonts w:hint="eastAsia"/>
                <w:b/>
                <w:bCs/>
                <w:color w:val="auto"/>
                <w:szCs w:val="21"/>
                <w:highlight w:val="none"/>
              </w:rPr>
              <w:t>、现有项目污染情况</w:t>
            </w:r>
          </w:p>
          <w:p w14:paraId="6F1E7983">
            <w:pPr>
              <w:adjustRightInd w:val="0"/>
              <w:snapToGrid w:val="0"/>
              <w:spacing w:line="360" w:lineRule="auto"/>
              <w:ind w:firstLine="420" w:firstLineChars="200"/>
              <w:rPr>
                <w:color w:val="auto"/>
                <w:szCs w:val="21"/>
                <w:highlight w:val="none"/>
              </w:rPr>
            </w:pPr>
            <w:bookmarkStart w:id="28" w:name="_Toc514763832"/>
            <w:r>
              <w:rPr>
                <w:rFonts w:hint="eastAsia"/>
                <w:color w:val="auto"/>
                <w:szCs w:val="21"/>
                <w:highlight w:val="none"/>
              </w:rPr>
              <w:t>（</w:t>
            </w:r>
            <w:r>
              <w:rPr>
                <w:color w:val="auto"/>
                <w:szCs w:val="21"/>
                <w:highlight w:val="none"/>
              </w:rPr>
              <w:t>1</w:t>
            </w:r>
            <w:r>
              <w:rPr>
                <w:rFonts w:hint="eastAsia"/>
                <w:color w:val="auto"/>
                <w:szCs w:val="21"/>
                <w:highlight w:val="none"/>
              </w:rPr>
              <w:t>）</w:t>
            </w:r>
            <w:r>
              <w:rPr>
                <w:color w:val="auto"/>
                <w:szCs w:val="21"/>
                <w:highlight w:val="none"/>
              </w:rPr>
              <w:t>废水</w:t>
            </w:r>
          </w:p>
          <w:p w14:paraId="5B03AA8E">
            <w:pPr>
              <w:adjustRightInd w:val="0"/>
              <w:snapToGrid w:val="0"/>
              <w:spacing w:line="360" w:lineRule="auto"/>
              <w:ind w:firstLine="420" w:firstLineChars="200"/>
              <w:rPr>
                <w:color w:val="auto"/>
                <w:szCs w:val="21"/>
                <w:highlight w:val="none"/>
              </w:rPr>
            </w:pPr>
            <w:r>
              <w:rPr>
                <w:color w:val="auto"/>
                <w:szCs w:val="21"/>
                <w:highlight w:val="none"/>
              </w:rPr>
              <w:t>生产废水每周期产生量为150m</w:t>
            </w:r>
            <w:r>
              <w:rPr>
                <w:rFonts w:hint="eastAsia"/>
                <w:color w:val="auto"/>
                <w:szCs w:val="21"/>
                <w:highlight w:val="none"/>
                <w:vertAlign w:val="superscript"/>
              </w:rPr>
              <w:t>3</w:t>
            </w:r>
            <w:r>
              <w:rPr>
                <w:rFonts w:hint="eastAsia"/>
                <w:color w:val="auto"/>
                <w:szCs w:val="21"/>
                <w:highlight w:val="none"/>
              </w:rPr>
              <w:t>，</w:t>
            </w:r>
            <w:r>
              <w:rPr>
                <w:color w:val="auto"/>
                <w:szCs w:val="21"/>
                <w:highlight w:val="none"/>
              </w:rPr>
              <w:t>经压滤机处理</w:t>
            </w:r>
            <w:r>
              <w:rPr>
                <w:rFonts w:hint="eastAsia"/>
                <w:color w:val="auto"/>
                <w:szCs w:val="21"/>
                <w:highlight w:val="none"/>
              </w:rPr>
              <w:t>，</w:t>
            </w:r>
            <w:r>
              <w:rPr>
                <w:color w:val="auto"/>
                <w:szCs w:val="21"/>
                <w:highlight w:val="none"/>
              </w:rPr>
              <w:t>压滤机滤液返回循环水池</w:t>
            </w:r>
            <w:r>
              <w:rPr>
                <w:rFonts w:hint="eastAsia"/>
                <w:color w:val="auto"/>
                <w:szCs w:val="21"/>
                <w:highlight w:val="none"/>
              </w:rPr>
              <w:t>，</w:t>
            </w:r>
            <w:r>
              <w:rPr>
                <w:color w:val="auto"/>
                <w:szCs w:val="21"/>
                <w:highlight w:val="none"/>
              </w:rPr>
              <w:t>循环使用</w:t>
            </w:r>
            <w:r>
              <w:rPr>
                <w:rFonts w:hint="eastAsia"/>
                <w:color w:val="auto"/>
                <w:szCs w:val="21"/>
                <w:highlight w:val="none"/>
              </w:rPr>
              <w:t>，</w:t>
            </w:r>
            <w:r>
              <w:rPr>
                <w:color w:val="auto"/>
                <w:szCs w:val="21"/>
                <w:highlight w:val="none"/>
              </w:rPr>
              <w:t>不外排。矸石堆四周修建了防渗排水沟</w:t>
            </w:r>
            <w:r>
              <w:rPr>
                <w:rFonts w:hint="eastAsia"/>
                <w:color w:val="auto"/>
                <w:szCs w:val="21"/>
                <w:highlight w:val="none"/>
              </w:rPr>
              <w:t>，</w:t>
            </w:r>
            <w:r>
              <w:rPr>
                <w:color w:val="auto"/>
                <w:szCs w:val="21"/>
                <w:highlight w:val="none"/>
              </w:rPr>
              <w:t>淋溶水收集打入污水处理系统处理后循环使用。</w:t>
            </w:r>
            <w:r>
              <w:rPr>
                <w:rFonts w:hint="eastAsia"/>
                <w:color w:val="auto"/>
                <w:szCs w:val="21"/>
                <w:highlight w:val="none"/>
              </w:rPr>
              <w:t>生活用水用于洒水降尘。</w:t>
            </w:r>
          </w:p>
          <w:p w14:paraId="6A99E99F">
            <w:pPr>
              <w:adjustRightInd w:val="0"/>
              <w:snapToGrid w:val="0"/>
              <w:spacing w:line="360" w:lineRule="auto"/>
              <w:ind w:firstLine="420" w:firstLineChars="200"/>
              <w:rPr>
                <w:color w:val="auto"/>
                <w:szCs w:val="21"/>
                <w:highlight w:val="none"/>
              </w:rPr>
            </w:pPr>
            <w:r>
              <w:rPr>
                <w:rFonts w:hint="eastAsia"/>
                <w:color w:val="auto"/>
                <w:szCs w:val="21"/>
                <w:highlight w:val="none"/>
              </w:rPr>
              <w:t>（</w:t>
            </w:r>
            <w:r>
              <w:rPr>
                <w:color w:val="auto"/>
                <w:szCs w:val="21"/>
                <w:highlight w:val="none"/>
              </w:rPr>
              <w:t>2</w:t>
            </w:r>
            <w:r>
              <w:rPr>
                <w:rFonts w:hint="eastAsia"/>
                <w:color w:val="auto"/>
                <w:szCs w:val="21"/>
                <w:highlight w:val="none"/>
              </w:rPr>
              <w:t>）</w:t>
            </w:r>
            <w:r>
              <w:rPr>
                <w:color w:val="auto"/>
                <w:szCs w:val="21"/>
                <w:highlight w:val="none"/>
              </w:rPr>
              <w:t>废气</w:t>
            </w:r>
            <w:bookmarkEnd w:id="28"/>
          </w:p>
          <w:p w14:paraId="5AF4103D">
            <w:pPr>
              <w:adjustRightInd w:val="0"/>
              <w:snapToGrid w:val="0"/>
              <w:spacing w:line="360" w:lineRule="auto"/>
              <w:ind w:firstLine="420" w:firstLineChars="200"/>
              <w:rPr>
                <w:color w:val="auto"/>
                <w:szCs w:val="21"/>
                <w:highlight w:val="none"/>
              </w:rPr>
            </w:pPr>
            <w:r>
              <w:rPr>
                <w:rFonts w:hint="eastAsia"/>
                <w:color w:val="auto"/>
                <w:szCs w:val="21"/>
                <w:highlight w:val="none"/>
              </w:rPr>
              <w:t>根据验收监测数据，无组织废气监测下风向点位的颗粒物最大排放浓度为0.397mg/m</w:t>
            </w:r>
            <w:r>
              <w:rPr>
                <w:rFonts w:hint="eastAsia"/>
                <w:color w:val="auto"/>
                <w:szCs w:val="21"/>
                <w:highlight w:val="none"/>
                <w:vertAlign w:val="superscript"/>
              </w:rPr>
              <w:t>3</w:t>
            </w:r>
            <w:r>
              <w:rPr>
                <w:rFonts w:hint="eastAsia"/>
                <w:color w:val="auto"/>
                <w:szCs w:val="21"/>
                <w:highlight w:val="none"/>
              </w:rPr>
              <w:t>，满足</w:t>
            </w:r>
            <w:r>
              <w:rPr>
                <w:color w:val="auto"/>
                <w:szCs w:val="21"/>
                <w:highlight w:val="none"/>
              </w:rPr>
              <w:t>《大气污染物综合排放标准》（GB16297-1996）</w:t>
            </w:r>
            <w:r>
              <w:rPr>
                <w:rFonts w:hint="eastAsia"/>
                <w:color w:val="auto"/>
                <w:szCs w:val="21"/>
                <w:highlight w:val="none"/>
              </w:rPr>
              <w:t>表2无组织排放监控浓度标准限值。</w:t>
            </w:r>
            <w:bookmarkStart w:id="29" w:name="_Toc514763833"/>
          </w:p>
          <w:p w14:paraId="2243B82F">
            <w:pPr>
              <w:adjustRightInd w:val="0"/>
              <w:snapToGrid w:val="0"/>
              <w:spacing w:line="360" w:lineRule="auto"/>
              <w:ind w:firstLine="420" w:firstLineChars="200"/>
              <w:rPr>
                <w:color w:val="auto"/>
                <w:szCs w:val="21"/>
                <w:highlight w:val="none"/>
              </w:rPr>
            </w:pPr>
            <w:r>
              <w:rPr>
                <w:rFonts w:hint="eastAsia"/>
                <w:color w:val="auto"/>
                <w:szCs w:val="21"/>
                <w:highlight w:val="none"/>
              </w:rPr>
              <w:t>（</w:t>
            </w:r>
            <w:r>
              <w:rPr>
                <w:color w:val="auto"/>
                <w:szCs w:val="21"/>
                <w:highlight w:val="none"/>
              </w:rPr>
              <w:t>3</w:t>
            </w:r>
            <w:r>
              <w:rPr>
                <w:rFonts w:hint="eastAsia"/>
                <w:color w:val="auto"/>
                <w:szCs w:val="21"/>
                <w:highlight w:val="none"/>
              </w:rPr>
              <w:t>）</w:t>
            </w:r>
            <w:r>
              <w:rPr>
                <w:color w:val="auto"/>
                <w:szCs w:val="21"/>
                <w:highlight w:val="none"/>
              </w:rPr>
              <w:t>噪声</w:t>
            </w:r>
            <w:bookmarkEnd w:id="29"/>
          </w:p>
          <w:p w14:paraId="043AB746">
            <w:pPr>
              <w:adjustRightInd w:val="0"/>
              <w:snapToGrid w:val="0"/>
              <w:spacing w:line="360" w:lineRule="auto"/>
              <w:ind w:firstLine="420" w:firstLineChars="200"/>
              <w:rPr>
                <w:color w:val="auto"/>
                <w:szCs w:val="21"/>
                <w:highlight w:val="none"/>
              </w:rPr>
            </w:pPr>
            <w:bookmarkStart w:id="30" w:name="_Toc514763834"/>
            <w:r>
              <w:rPr>
                <w:rFonts w:hint="eastAsia"/>
                <w:color w:val="auto"/>
                <w:szCs w:val="21"/>
                <w:highlight w:val="none"/>
              </w:rPr>
              <w:t>根据验收监测数据</w:t>
            </w:r>
            <w:r>
              <w:rPr>
                <w:rFonts w:hint="eastAsia"/>
                <w:bCs/>
                <w:color w:val="auto"/>
                <w:szCs w:val="21"/>
                <w:highlight w:val="none"/>
              </w:rPr>
              <w:t>，四周厂界昼间噪声监测值昼间在50.6-55.8dB(A)之间，夜间在41.1-46.9dB(A)之间，符合《工业企业厂界环境噪声排放标准》(GB12348-2008)中的3类标准要求。</w:t>
            </w:r>
          </w:p>
          <w:p w14:paraId="7AD0456B">
            <w:pPr>
              <w:adjustRightInd w:val="0"/>
              <w:snapToGrid w:val="0"/>
              <w:spacing w:line="360" w:lineRule="auto"/>
              <w:ind w:firstLine="420" w:firstLineChars="200"/>
              <w:rPr>
                <w:color w:val="auto"/>
                <w:szCs w:val="21"/>
                <w:highlight w:val="none"/>
              </w:rPr>
            </w:pPr>
            <w:r>
              <w:rPr>
                <w:rFonts w:hint="eastAsia"/>
                <w:color w:val="auto"/>
                <w:szCs w:val="21"/>
                <w:highlight w:val="none"/>
              </w:rPr>
              <w:t>（</w:t>
            </w:r>
            <w:r>
              <w:rPr>
                <w:color w:val="auto"/>
                <w:szCs w:val="21"/>
                <w:highlight w:val="none"/>
              </w:rPr>
              <w:t>4</w:t>
            </w:r>
            <w:r>
              <w:rPr>
                <w:rFonts w:hint="eastAsia"/>
                <w:color w:val="auto"/>
                <w:szCs w:val="21"/>
                <w:highlight w:val="none"/>
              </w:rPr>
              <w:t>）</w:t>
            </w:r>
            <w:r>
              <w:rPr>
                <w:color w:val="auto"/>
                <w:szCs w:val="21"/>
                <w:highlight w:val="none"/>
              </w:rPr>
              <w:t>固体废物</w:t>
            </w:r>
            <w:bookmarkEnd w:id="30"/>
          </w:p>
          <w:p w14:paraId="2B6D5276">
            <w:pPr>
              <w:adjustRightInd w:val="0"/>
              <w:snapToGrid w:val="0"/>
              <w:spacing w:line="360" w:lineRule="auto"/>
              <w:ind w:firstLine="420" w:firstLineChars="200"/>
              <w:rPr>
                <w:color w:val="auto"/>
                <w:szCs w:val="21"/>
                <w:highlight w:val="none"/>
              </w:rPr>
            </w:pPr>
            <w:r>
              <w:rPr>
                <w:color w:val="auto"/>
                <w:szCs w:val="21"/>
                <w:highlight w:val="none"/>
              </w:rPr>
              <w:t>项目运行期间产生的固体废物主要为劣质矸石泥和生活垃圾。固体废物劣质</w:t>
            </w:r>
            <w:r>
              <w:rPr>
                <w:rFonts w:hint="eastAsia"/>
                <w:color w:val="auto"/>
                <w:szCs w:val="21"/>
                <w:highlight w:val="none"/>
              </w:rPr>
              <w:t>矸</w:t>
            </w:r>
            <w:r>
              <w:rPr>
                <w:color w:val="auto"/>
                <w:szCs w:val="21"/>
                <w:highlight w:val="none"/>
              </w:rPr>
              <w:t>石泥存放在防渗池中</w:t>
            </w:r>
            <w:r>
              <w:rPr>
                <w:rFonts w:hint="eastAsia"/>
                <w:color w:val="auto"/>
                <w:szCs w:val="21"/>
                <w:highlight w:val="none"/>
              </w:rPr>
              <w:t>，</w:t>
            </w:r>
            <w:r>
              <w:rPr>
                <w:color w:val="auto"/>
                <w:szCs w:val="21"/>
                <w:highlight w:val="none"/>
              </w:rPr>
              <w:t>定时由密山市国密烧结有限公司购买</w:t>
            </w:r>
            <w:r>
              <w:rPr>
                <w:rFonts w:hint="eastAsia"/>
                <w:color w:val="auto"/>
                <w:szCs w:val="21"/>
                <w:highlight w:val="none"/>
              </w:rPr>
              <w:t>。</w:t>
            </w:r>
            <w:r>
              <w:rPr>
                <w:color w:val="auto"/>
                <w:szCs w:val="21"/>
                <w:highlight w:val="none"/>
              </w:rPr>
              <w:t>生活垃圾由市政部门统一清运处理。</w:t>
            </w:r>
          </w:p>
          <w:p w14:paraId="1603BC36">
            <w:pPr>
              <w:adjustRightInd w:val="0"/>
              <w:snapToGrid w:val="0"/>
              <w:spacing w:line="360" w:lineRule="auto"/>
              <w:ind w:firstLine="420" w:firstLineChars="200"/>
              <w:rPr>
                <w:color w:val="auto"/>
                <w:szCs w:val="21"/>
                <w:highlight w:val="none"/>
              </w:rPr>
            </w:pPr>
            <w:r>
              <w:rPr>
                <w:color w:val="auto"/>
                <w:szCs w:val="21"/>
                <w:highlight w:val="none"/>
              </w:rPr>
              <w:t>3</w:t>
            </w:r>
            <w:r>
              <w:rPr>
                <w:rFonts w:hint="eastAsia"/>
                <w:color w:val="auto"/>
                <w:szCs w:val="21"/>
                <w:highlight w:val="none"/>
              </w:rPr>
              <w:t>、现有环境问题</w:t>
            </w:r>
          </w:p>
          <w:p w14:paraId="6D019C92">
            <w:pPr>
              <w:keepNext w:val="0"/>
              <w:keepLines w:val="0"/>
              <w:pageBreakBefore w:val="0"/>
              <w:widowControl/>
              <w:numPr>
                <w:ilvl w:val="-1"/>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①本项目已完成部分生产车间建设及设备安装工作，但未正式投产运营。项目施工阶段主要进行厂房建设与设备安装，施工阶段对周边环境有一定影响，现已及时停止建设。</w:t>
            </w:r>
            <w:r>
              <w:rPr>
                <w:rFonts w:hint="default" w:ascii="Times New Roman" w:hAnsi="Times New Roman" w:eastAsia="宋体" w:cs="Times New Roman"/>
                <w:color w:val="auto"/>
                <w:kern w:val="2"/>
                <w:szCs w:val="21"/>
                <w:highlight w:val="none"/>
                <w:u w:val="none"/>
                <w:lang w:val="en-US" w:eastAsia="zh-CN"/>
              </w:rPr>
              <w:t>根据附件10《鸡西市生态环境局行政处罚决定书》</w:t>
            </w:r>
            <w:r>
              <w:rPr>
                <w:rFonts w:hint="default" w:ascii="Times New Roman" w:hAnsi="Times New Roman" w:eastAsia="宋体" w:cs="Times New Roman"/>
                <w:color w:val="auto"/>
                <w:sz w:val="21"/>
                <w:szCs w:val="21"/>
                <w:highlight w:val="none"/>
                <w:u w:val="none"/>
                <w:lang w:val="en-US" w:eastAsia="zh-CN"/>
              </w:rPr>
              <w:t>，本项目已处罚。</w:t>
            </w:r>
          </w:p>
          <w:p w14:paraId="3B75A331">
            <w:pPr>
              <w:adjustRightInd w:val="0"/>
              <w:snapToGrid w:val="0"/>
              <w:spacing w:line="360" w:lineRule="auto"/>
              <w:ind w:firstLine="420" w:firstLineChars="200"/>
              <w:rPr>
                <w:rFonts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②</w:t>
            </w:r>
            <w:r>
              <w:rPr>
                <w:rFonts w:hint="default" w:ascii="Times New Roman" w:hAnsi="Times New Roman" w:eastAsia="宋体" w:cs="Times New Roman"/>
                <w:color w:val="auto"/>
                <w:szCs w:val="21"/>
                <w:highlight w:val="none"/>
              </w:rPr>
              <w:t>厂区内未设置危废贮存点。</w:t>
            </w:r>
          </w:p>
          <w:p w14:paraId="76FBA445">
            <w:pPr>
              <w:adjustRightInd w:val="0"/>
              <w:snapToGrid w:val="0"/>
              <w:spacing w:line="360" w:lineRule="auto"/>
              <w:ind w:firstLine="420" w:firstLineChars="200"/>
              <w:rPr>
                <w:rFonts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③</w:t>
            </w:r>
            <w:r>
              <w:rPr>
                <w:rFonts w:hint="default" w:ascii="Times New Roman" w:hAnsi="Times New Roman" w:eastAsia="宋体" w:cs="Times New Roman"/>
                <w:color w:val="auto"/>
                <w:szCs w:val="21"/>
                <w:highlight w:val="none"/>
              </w:rPr>
              <w:t>原有排污许可登记已到期。</w:t>
            </w:r>
          </w:p>
          <w:p w14:paraId="3488BAA4">
            <w:pPr>
              <w:adjustRightInd w:val="0"/>
              <w:snapToGrid w:val="0"/>
              <w:spacing w:line="360" w:lineRule="auto"/>
              <w:ind w:firstLine="420" w:firstLineChars="200"/>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w:t>
            </w:r>
            <w:r>
              <w:rPr>
                <w:rFonts w:hint="default" w:ascii="Times New Roman" w:hAnsi="Times New Roman" w:eastAsia="宋体" w:cs="Times New Roman"/>
                <w:color w:val="auto"/>
                <w:szCs w:val="21"/>
                <w:highlight w:val="none"/>
              </w:rPr>
              <w:t>、以新带老整改措施</w:t>
            </w:r>
          </w:p>
          <w:p w14:paraId="6D14EB65">
            <w:pPr>
              <w:overflowPunct w:val="0"/>
              <w:adjustRightInd w:val="0"/>
              <w:snapToGrid w:val="0"/>
              <w:spacing w:line="360" w:lineRule="auto"/>
              <w:ind w:firstLine="420" w:firstLineChars="200"/>
              <w:rPr>
                <w:rFonts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①新建危废贮存点。</w:t>
            </w:r>
          </w:p>
          <w:p w14:paraId="38E38592">
            <w:pPr>
              <w:keepNext w:val="0"/>
              <w:keepLines w:val="0"/>
              <w:pageBreakBefore w:val="0"/>
              <w:widowControl/>
              <w:numPr>
                <w:ilvl w:val="-1"/>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②改扩建完成后依相关标准进行排污登记。</w:t>
            </w:r>
          </w:p>
          <w:p w14:paraId="55B96D92">
            <w:pPr>
              <w:adjustRightInd w:val="0"/>
              <w:snapToGrid w:val="0"/>
              <w:spacing w:line="360" w:lineRule="auto"/>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③</w:t>
            </w:r>
            <w:r>
              <w:rPr>
                <w:rFonts w:hint="default" w:ascii="Times New Roman" w:hAnsi="Times New Roman" w:eastAsia="宋体" w:cs="Times New Roman"/>
                <w:color w:val="auto"/>
                <w:sz w:val="21"/>
                <w:szCs w:val="21"/>
                <w:highlight w:val="none"/>
                <w:u w:val="none"/>
                <w:lang w:val="en-US" w:eastAsia="zh-CN"/>
              </w:rPr>
              <w:t>现已停工</w:t>
            </w:r>
            <w:r>
              <w:rPr>
                <w:rFonts w:hint="eastAsia"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US" w:eastAsia="zh-CN"/>
              </w:rPr>
              <w:t>补办环境影响评价审批手续。</w:t>
            </w:r>
          </w:p>
          <w:p w14:paraId="072CEAA7">
            <w:pPr>
              <w:overflowPunct w:val="0"/>
              <w:spacing w:line="360" w:lineRule="auto"/>
              <w:ind w:firstLine="420" w:firstLineChars="200"/>
              <w:rPr>
                <w:rFonts w:hint="eastAsia"/>
                <w:color w:val="auto"/>
                <w:szCs w:val="21"/>
                <w:highlight w:val="none"/>
              </w:rPr>
            </w:pPr>
          </w:p>
          <w:p w14:paraId="1516E20C">
            <w:pPr>
              <w:overflowPunct w:val="0"/>
              <w:spacing w:line="360" w:lineRule="auto"/>
              <w:rPr>
                <w:color w:val="auto"/>
                <w:szCs w:val="21"/>
                <w:highlight w:val="none"/>
              </w:rPr>
            </w:pPr>
          </w:p>
          <w:p w14:paraId="52AC4E79">
            <w:pPr>
              <w:overflowPunct w:val="0"/>
              <w:spacing w:line="360" w:lineRule="auto"/>
              <w:ind w:firstLine="420" w:firstLineChars="200"/>
              <w:rPr>
                <w:color w:val="auto"/>
                <w:szCs w:val="21"/>
                <w:highlight w:val="none"/>
              </w:rPr>
            </w:pPr>
          </w:p>
          <w:p w14:paraId="22710C25">
            <w:pPr>
              <w:overflowPunct w:val="0"/>
              <w:spacing w:line="360" w:lineRule="auto"/>
              <w:ind w:firstLine="420" w:firstLineChars="200"/>
              <w:rPr>
                <w:color w:val="auto"/>
                <w:szCs w:val="21"/>
                <w:highlight w:val="none"/>
              </w:rPr>
            </w:pPr>
          </w:p>
        </w:tc>
      </w:tr>
    </w:tbl>
    <w:p w14:paraId="35BC104B">
      <w:pPr>
        <w:pStyle w:val="19"/>
        <w:jc w:val="center"/>
        <w:rPr>
          <w:rFonts w:ascii="Times New Roman" w:hAnsi="Times New Roman"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FB56692">
      <w:pPr>
        <w:pStyle w:val="19"/>
        <w:ind w:firstLine="420"/>
        <w:jc w:val="center"/>
        <w:outlineLvl w:val="0"/>
        <w:rPr>
          <w:rFonts w:ascii="Times New Roman" w:hAnsi="Times New Roman" w:eastAsia="黑体"/>
          <w:snapToGrid w:val="0"/>
          <w:color w:val="auto"/>
          <w:sz w:val="30"/>
          <w:szCs w:val="30"/>
          <w:highlight w:val="none"/>
        </w:rPr>
      </w:pPr>
      <w:bookmarkStart w:id="31" w:name="_Toc22134"/>
      <w:bookmarkStart w:id="32" w:name="_Toc13180"/>
      <w:bookmarkStart w:id="33" w:name="_Toc11818"/>
      <w:bookmarkStart w:id="34" w:name="_Toc7395"/>
      <w:bookmarkStart w:id="35" w:name="_Toc6147"/>
      <w:r>
        <w:rPr>
          <w:rFonts w:ascii="Times New Roman" w:hAnsi="Times New Roman" w:eastAsia="黑体"/>
          <w:snapToGrid w:val="0"/>
          <w:color w:val="auto"/>
          <w:sz w:val="30"/>
          <w:szCs w:val="30"/>
          <w:highlight w:val="none"/>
        </w:rPr>
        <w:t>三、区域环境质量现状、环境保护目标及评价标准</w:t>
      </w:r>
      <w:bookmarkEnd w:id="31"/>
      <w:bookmarkEnd w:id="32"/>
      <w:bookmarkEnd w:id="33"/>
      <w:bookmarkEnd w:id="34"/>
      <w:bookmarkEnd w:id="35"/>
    </w:p>
    <w:tbl>
      <w:tblPr>
        <w:tblStyle w:val="22"/>
        <w:tblW w:w="89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8"/>
        <w:gridCol w:w="8283"/>
      </w:tblGrid>
      <w:tr w14:paraId="4383C5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61" w:hRule="atLeast"/>
          <w:jc w:val="center"/>
        </w:trPr>
        <w:tc>
          <w:tcPr>
            <w:tcW w:w="678" w:type="dxa"/>
            <w:vAlign w:val="center"/>
          </w:tcPr>
          <w:p w14:paraId="0358638F">
            <w:pPr>
              <w:adjustRightInd w:val="0"/>
              <w:snapToGrid w:val="0"/>
              <w:jc w:val="center"/>
              <w:rPr>
                <w:color w:val="auto"/>
                <w:kern w:val="0"/>
                <w:sz w:val="24"/>
                <w:highlight w:val="none"/>
              </w:rPr>
            </w:pPr>
            <w:r>
              <w:rPr>
                <w:color w:val="auto"/>
                <w:kern w:val="0"/>
                <w:sz w:val="24"/>
                <w:highlight w:val="none"/>
              </w:rPr>
              <w:t>区域</w:t>
            </w:r>
          </w:p>
          <w:p w14:paraId="18BC6B43">
            <w:pPr>
              <w:adjustRightInd w:val="0"/>
              <w:snapToGrid w:val="0"/>
              <w:jc w:val="center"/>
              <w:rPr>
                <w:color w:val="auto"/>
                <w:kern w:val="0"/>
                <w:sz w:val="24"/>
                <w:highlight w:val="none"/>
              </w:rPr>
            </w:pPr>
            <w:r>
              <w:rPr>
                <w:color w:val="auto"/>
                <w:kern w:val="0"/>
                <w:sz w:val="24"/>
                <w:highlight w:val="none"/>
              </w:rPr>
              <w:t>环境</w:t>
            </w:r>
          </w:p>
          <w:p w14:paraId="143E4F9C">
            <w:pPr>
              <w:adjustRightInd w:val="0"/>
              <w:snapToGrid w:val="0"/>
              <w:jc w:val="center"/>
              <w:rPr>
                <w:color w:val="auto"/>
                <w:kern w:val="0"/>
                <w:sz w:val="24"/>
                <w:highlight w:val="none"/>
              </w:rPr>
            </w:pPr>
            <w:r>
              <w:rPr>
                <w:color w:val="auto"/>
                <w:kern w:val="0"/>
                <w:sz w:val="24"/>
                <w:highlight w:val="none"/>
              </w:rPr>
              <w:t>质量</w:t>
            </w:r>
          </w:p>
          <w:p w14:paraId="6E065844">
            <w:pPr>
              <w:adjustRightInd w:val="0"/>
              <w:snapToGrid w:val="0"/>
              <w:jc w:val="center"/>
              <w:rPr>
                <w:color w:val="auto"/>
                <w:kern w:val="0"/>
                <w:sz w:val="24"/>
                <w:highlight w:val="none"/>
              </w:rPr>
            </w:pPr>
            <w:r>
              <w:rPr>
                <w:color w:val="auto"/>
                <w:kern w:val="0"/>
                <w:sz w:val="24"/>
                <w:highlight w:val="none"/>
              </w:rPr>
              <w:t>现状</w:t>
            </w:r>
          </w:p>
        </w:tc>
        <w:tc>
          <w:tcPr>
            <w:tcW w:w="8283" w:type="dxa"/>
          </w:tcPr>
          <w:p w14:paraId="395D99B7">
            <w:pPr>
              <w:widowControl/>
              <w:spacing w:line="360" w:lineRule="auto"/>
              <w:ind w:firstLine="422" w:firstLineChars="200"/>
              <w:rPr>
                <w:b/>
                <w:bCs/>
                <w:color w:val="auto"/>
                <w:szCs w:val="21"/>
                <w:highlight w:val="none"/>
              </w:rPr>
            </w:pPr>
            <w:r>
              <w:rPr>
                <w:b/>
                <w:bCs/>
                <w:color w:val="auto"/>
                <w:szCs w:val="21"/>
                <w:highlight w:val="none"/>
              </w:rPr>
              <w:t>1、大气环境</w:t>
            </w:r>
          </w:p>
          <w:p w14:paraId="48D00E44">
            <w:pPr>
              <w:adjustRightInd w:val="0"/>
              <w:snapToGrid w:val="0"/>
              <w:spacing w:line="360" w:lineRule="auto"/>
              <w:ind w:firstLine="420" w:firstLineChars="200"/>
              <w:rPr>
                <w:color w:val="auto"/>
                <w:highlight w:val="none"/>
              </w:rPr>
            </w:pPr>
            <w:r>
              <w:rPr>
                <w:color w:val="auto"/>
                <w:highlight w:val="none"/>
              </w:rPr>
              <w:t>根据《</w:t>
            </w:r>
            <w:bookmarkStart w:id="36" w:name="OLE_LINK1"/>
            <w:bookmarkStart w:id="37" w:name="OLE_LINK2"/>
            <w:r>
              <w:rPr>
                <w:color w:val="auto"/>
                <w:highlight w:val="none"/>
              </w:rPr>
              <w:t>202</w:t>
            </w:r>
            <w:r>
              <w:rPr>
                <w:rFonts w:hint="eastAsia"/>
                <w:color w:val="auto"/>
                <w:highlight w:val="none"/>
              </w:rPr>
              <w:t>5</w:t>
            </w:r>
            <w:r>
              <w:rPr>
                <w:color w:val="auto"/>
                <w:highlight w:val="none"/>
              </w:rPr>
              <w:t>年黑龙江省生态环境质量状况</w:t>
            </w:r>
            <w:bookmarkEnd w:id="36"/>
            <w:bookmarkEnd w:id="37"/>
            <w:r>
              <w:rPr>
                <w:color w:val="auto"/>
                <w:highlight w:val="none"/>
              </w:rPr>
              <w:t>》（202</w:t>
            </w:r>
            <w:r>
              <w:rPr>
                <w:rFonts w:hint="eastAsia"/>
                <w:color w:val="auto"/>
                <w:highlight w:val="none"/>
              </w:rPr>
              <w:t>6</w:t>
            </w:r>
            <w:r>
              <w:rPr>
                <w:color w:val="auto"/>
                <w:highlight w:val="none"/>
              </w:rPr>
              <w:t>年1月）中公布的数据。202</w:t>
            </w:r>
            <w:r>
              <w:rPr>
                <w:rFonts w:hint="eastAsia"/>
                <w:color w:val="auto"/>
                <w:highlight w:val="none"/>
              </w:rPr>
              <w:t>5</w:t>
            </w:r>
            <w:r>
              <w:rPr>
                <w:color w:val="auto"/>
                <w:highlight w:val="none"/>
              </w:rPr>
              <w:t>年鸡西市各项污染物年均浓度综合情况如下表。</w:t>
            </w:r>
          </w:p>
          <w:p w14:paraId="3A760189">
            <w:pPr>
              <w:adjustRightInd w:val="0"/>
              <w:snapToGrid w:val="0"/>
              <w:jc w:val="center"/>
              <w:rPr>
                <w:b/>
                <w:bCs/>
                <w:color w:val="auto"/>
                <w:szCs w:val="21"/>
                <w:highlight w:val="none"/>
              </w:rPr>
            </w:pPr>
            <w:r>
              <w:rPr>
                <w:b/>
                <w:bCs/>
                <w:color w:val="auto"/>
                <w:szCs w:val="21"/>
                <w:highlight w:val="none"/>
              </w:rPr>
              <w:t>表3-</w:t>
            </w:r>
            <w:r>
              <w:rPr>
                <w:rFonts w:hint="eastAsia"/>
                <w:b/>
                <w:bCs/>
                <w:color w:val="auto"/>
                <w:szCs w:val="21"/>
                <w:highlight w:val="none"/>
              </w:rPr>
              <w:t>1 鸡西市</w:t>
            </w:r>
            <w:r>
              <w:rPr>
                <w:b/>
                <w:bCs/>
                <w:color w:val="auto"/>
                <w:szCs w:val="21"/>
                <w:highlight w:val="none"/>
              </w:rPr>
              <w:t>202</w:t>
            </w:r>
            <w:r>
              <w:rPr>
                <w:rFonts w:hint="eastAsia"/>
                <w:b/>
                <w:bCs/>
                <w:color w:val="auto"/>
                <w:szCs w:val="21"/>
                <w:highlight w:val="none"/>
              </w:rPr>
              <w:t>5</w:t>
            </w:r>
            <w:r>
              <w:rPr>
                <w:b/>
                <w:bCs/>
                <w:color w:val="auto"/>
                <w:szCs w:val="21"/>
                <w:highlight w:val="none"/>
              </w:rPr>
              <w:t>年环境空气质量统计表   单位：μg/m</w:t>
            </w:r>
            <w:r>
              <w:rPr>
                <w:b/>
                <w:bCs/>
                <w:color w:val="auto"/>
                <w:szCs w:val="21"/>
                <w:highlight w:val="none"/>
                <w:vertAlign w:val="superscript"/>
              </w:rPr>
              <w:t>3</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0"/>
              <w:gridCol w:w="3028"/>
              <w:gridCol w:w="1062"/>
              <w:gridCol w:w="840"/>
              <w:gridCol w:w="951"/>
              <w:gridCol w:w="1204"/>
            </w:tblGrid>
            <w:tr w14:paraId="4BE9323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op w:val="single" w:color="auto" w:sz="12" w:space="0"/>
                  </w:tcBorders>
                  <w:vAlign w:val="center"/>
                </w:tcPr>
                <w:p w14:paraId="4E8449BE">
                  <w:pPr>
                    <w:adjustRightInd w:val="0"/>
                    <w:jc w:val="center"/>
                    <w:textAlignment w:val="baseline"/>
                    <w:rPr>
                      <w:color w:val="auto"/>
                      <w:sz w:val="18"/>
                      <w:szCs w:val="18"/>
                      <w:highlight w:val="none"/>
                    </w:rPr>
                  </w:pPr>
                  <w:r>
                    <w:rPr>
                      <w:color w:val="auto"/>
                      <w:sz w:val="18"/>
                      <w:szCs w:val="18"/>
                      <w:highlight w:val="none"/>
                    </w:rPr>
                    <w:t>污染物</w:t>
                  </w:r>
                </w:p>
              </w:tc>
              <w:tc>
                <w:tcPr>
                  <w:tcW w:w="2979" w:type="dxa"/>
                  <w:tcBorders>
                    <w:top w:val="single" w:color="auto" w:sz="12" w:space="0"/>
                  </w:tcBorders>
                  <w:vAlign w:val="center"/>
                </w:tcPr>
                <w:p w14:paraId="34D0F00D">
                  <w:pPr>
                    <w:adjustRightInd w:val="0"/>
                    <w:jc w:val="center"/>
                    <w:textAlignment w:val="baseline"/>
                    <w:rPr>
                      <w:color w:val="auto"/>
                      <w:sz w:val="18"/>
                      <w:szCs w:val="18"/>
                      <w:highlight w:val="none"/>
                    </w:rPr>
                  </w:pPr>
                  <w:r>
                    <w:rPr>
                      <w:color w:val="auto"/>
                      <w:sz w:val="18"/>
                      <w:szCs w:val="18"/>
                      <w:highlight w:val="none"/>
                    </w:rPr>
                    <w:t>年评价指标</w:t>
                  </w:r>
                </w:p>
              </w:tc>
              <w:tc>
                <w:tcPr>
                  <w:tcW w:w="1045" w:type="dxa"/>
                  <w:tcBorders>
                    <w:top w:val="single" w:color="auto" w:sz="12" w:space="0"/>
                  </w:tcBorders>
                  <w:vAlign w:val="center"/>
                </w:tcPr>
                <w:p w14:paraId="438074C0">
                  <w:pPr>
                    <w:adjustRightInd w:val="0"/>
                    <w:jc w:val="center"/>
                    <w:textAlignment w:val="baseline"/>
                    <w:rPr>
                      <w:color w:val="auto"/>
                      <w:sz w:val="18"/>
                      <w:szCs w:val="18"/>
                      <w:highlight w:val="none"/>
                    </w:rPr>
                  </w:pPr>
                  <w:r>
                    <w:rPr>
                      <w:color w:val="auto"/>
                      <w:sz w:val="18"/>
                      <w:szCs w:val="18"/>
                      <w:highlight w:val="none"/>
                    </w:rPr>
                    <w:t>现状浓度</w:t>
                  </w:r>
                </w:p>
              </w:tc>
              <w:tc>
                <w:tcPr>
                  <w:tcW w:w="826" w:type="dxa"/>
                  <w:tcBorders>
                    <w:top w:val="single" w:color="auto" w:sz="12" w:space="0"/>
                  </w:tcBorders>
                  <w:vAlign w:val="center"/>
                </w:tcPr>
                <w:p w14:paraId="6307AFAD">
                  <w:pPr>
                    <w:adjustRightInd w:val="0"/>
                    <w:jc w:val="center"/>
                    <w:textAlignment w:val="baseline"/>
                    <w:rPr>
                      <w:color w:val="auto"/>
                      <w:sz w:val="18"/>
                      <w:szCs w:val="18"/>
                      <w:highlight w:val="none"/>
                    </w:rPr>
                  </w:pPr>
                  <w:r>
                    <w:rPr>
                      <w:color w:val="auto"/>
                      <w:sz w:val="18"/>
                      <w:szCs w:val="18"/>
                      <w:highlight w:val="none"/>
                    </w:rPr>
                    <w:t>标准值</w:t>
                  </w:r>
                </w:p>
              </w:tc>
              <w:tc>
                <w:tcPr>
                  <w:tcW w:w="936" w:type="dxa"/>
                  <w:tcBorders>
                    <w:top w:val="single" w:color="auto" w:sz="12" w:space="0"/>
                  </w:tcBorders>
                  <w:vAlign w:val="center"/>
                </w:tcPr>
                <w:p w14:paraId="7E3E6BFD">
                  <w:pPr>
                    <w:adjustRightInd w:val="0"/>
                    <w:jc w:val="center"/>
                    <w:textAlignment w:val="baseline"/>
                    <w:rPr>
                      <w:color w:val="auto"/>
                      <w:sz w:val="18"/>
                      <w:szCs w:val="18"/>
                      <w:highlight w:val="none"/>
                    </w:rPr>
                  </w:pPr>
                  <w:r>
                    <w:rPr>
                      <w:color w:val="auto"/>
                      <w:sz w:val="18"/>
                      <w:szCs w:val="18"/>
                      <w:highlight w:val="none"/>
                    </w:rPr>
                    <w:t>占标率%</w:t>
                  </w:r>
                </w:p>
              </w:tc>
              <w:tc>
                <w:tcPr>
                  <w:tcW w:w="1185" w:type="dxa"/>
                  <w:tcBorders>
                    <w:top w:val="single" w:color="auto" w:sz="12" w:space="0"/>
                  </w:tcBorders>
                  <w:vAlign w:val="center"/>
                </w:tcPr>
                <w:p w14:paraId="2ED4CBB3">
                  <w:pPr>
                    <w:adjustRightInd w:val="0"/>
                    <w:jc w:val="center"/>
                    <w:textAlignment w:val="baseline"/>
                    <w:rPr>
                      <w:color w:val="auto"/>
                      <w:sz w:val="18"/>
                      <w:szCs w:val="18"/>
                      <w:highlight w:val="none"/>
                    </w:rPr>
                  </w:pPr>
                  <w:r>
                    <w:rPr>
                      <w:color w:val="auto"/>
                      <w:sz w:val="18"/>
                      <w:szCs w:val="18"/>
                      <w:highlight w:val="none"/>
                    </w:rPr>
                    <w:t>达标情况</w:t>
                  </w:r>
                </w:p>
              </w:tc>
            </w:tr>
            <w:tr w14:paraId="0688AA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1BF39C80">
                  <w:pPr>
                    <w:adjustRightInd w:val="0"/>
                    <w:jc w:val="center"/>
                    <w:textAlignment w:val="baseline"/>
                    <w:rPr>
                      <w:color w:val="auto"/>
                      <w:sz w:val="18"/>
                      <w:szCs w:val="18"/>
                      <w:highlight w:val="none"/>
                    </w:rPr>
                  </w:pPr>
                  <w:r>
                    <w:rPr>
                      <w:color w:val="auto"/>
                      <w:sz w:val="18"/>
                      <w:szCs w:val="18"/>
                      <w:highlight w:val="none"/>
                    </w:rPr>
                    <w:t>PM</w:t>
                  </w:r>
                  <w:r>
                    <w:rPr>
                      <w:color w:val="auto"/>
                      <w:sz w:val="18"/>
                      <w:szCs w:val="18"/>
                      <w:highlight w:val="none"/>
                      <w:vertAlign w:val="subscript"/>
                    </w:rPr>
                    <w:t>2.5</w:t>
                  </w:r>
                </w:p>
              </w:tc>
              <w:tc>
                <w:tcPr>
                  <w:tcW w:w="2979" w:type="dxa"/>
                  <w:vAlign w:val="center"/>
                </w:tcPr>
                <w:p w14:paraId="5AEFECC0">
                  <w:pPr>
                    <w:adjustRightInd w:val="0"/>
                    <w:jc w:val="center"/>
                    <w:textAlignment w:val="baseline"/>
                    <w:rPr>
                      <w:color w:val="auto"/>
                      <w:sz w:val="18"/>
                      <w:szCs w:val="18"/>
                      <w:highlight w:val="none"/>
                    </w:rPr>
                  </w:pPr>
                  <w:r>
                    <w:rPr>
                      <w:color w:val="auto"/>
                      <w:sz w:val="18"/>
                      <w:szCs w:val="18"/>
                      <w:highlight w:val="none"/>
                    </w:rPr>
                    <w:t>年平均质量浓度</w:t>
                  </w:r>
                </w:p>
              </w:tc>
              <w:tc>
                <w:tcPr>
                  <w:tcW w:w="1045" w:type="dxa"/>
                  <w:vAlign w:val="center"/>
                </w:tcPr>
                <w:p w14:paraId="5D3D68A9">
                  <w:pPr>
                    <w:adjustRightInd w:val="0"/>
                    <w:jc w:val="center"/>
                    <w:textAlignment w:val="baseline"/>
                    <w:rPr>
                      <w:color w:val="auto"/>
                      <w:sz w:val="18"/>
                      <w:szCs w:val="18"/>
                      <w:highlight w:val="none"/>
                    </w:rPr>
                  </w:pPr>
                  <w:r>
                    <w:rPr>
                      <w:rFonts w:hint="eastAsia"/>
                      <w:color w:val="auto"/>
                      <w:sz w:val="18"/>
                      <w:szCs w:val="18"/>
                      <w:highlight w:val="none"/>
                    </w:rPr>
                    <w:t>26</w:t>
                  </w:r>
                </w:p>
              </w:tc>
              <w:tc>
                <w:tcPr>
                  <w:tcW w:w="826" w:type="dxa"/>
                  <w:vAlign w:val="center"/>
                </w:tcPr>
                <w:p w14:paraId="0101B572">
                  <w:pPr>
                    <w:adjustRightInd w:val="0"/>
                    <w:jc w:val="center"/>
                    <w:textAlignment w:val="baseline"/>
                    <w:rPr>
                      <w:color w:val="auto"/>
                      <w:sz w:val="18"/>
                      <w:szCs w:val="18"/>
                      <w:highlight w:val="none"/>
                    </w:rPr>
                  </w:pPr>
                  <w:r>
                    <w:rPr>
                      <w:color w:val="auto"/>
                      <w:sz w:val="18"/>
                      <w:szCs w:val="18"/>
                      <w:highlight w:val="none"/>
                    </w:rPr>
                    <w:t>3</w:t>
                  </w:r>
                  <w:r>
                    <w:rPr>
                      <w:rFonts w:hint="eastAsia"/>
                      <w:color w:val="auto"/>
                      <w:sz w:val="18"/>
                      <w:szCs w:val="18"/>
                      <w:highlight w:val="none"/>
                    </w:rPr>
                    <w:t>0</w:t>
                  </w:r>
                </w:p>
              </w:tc>
              <w:tc>
                <w:tcPr>
                  <w:tcW w:w="936" w:type="dxa"/>
                  <w:vAlign w:val="center"/>
                </w:tcPr>
                <w:p w14:paraId="6AEC46A9">
                  <w:pPr>
                    <w:adjustRightInd w:val="0"/>
                    <w:jc w:val="center"/>
                    <w:textAlignment w:val="baseline"/>
                    <w:rPr>
                      <w:color w:val="auto"/>
                      <w:sz w:val="18"/>
                      <w:szCs w:val="18"/>
                      <w:highlight w:val="none"/>
                    </w:rPr>
                  </w:pPr>
                  <w:r>
                    <w:rPr>
                      <w:rFonts w:hint="eastAsia"/>
                      <w:color w:val="auto"/>
                      <w:sz w:val="18"/>
                      <w:szCs w:val="18"/>
                      <w:highlight w:val="none"/>
                    </w:rPr>
                    <w:t>86.6</w:t>
                  </w:r>
                </w:p>
              </w:tc>
              <w:tc>
                <w:tcPr>
                  <w:tcW w:w="1185" w:type="dxa"/>
                  <w:vAlign w:val="center"/>
                </w:tcPr>
                <w:p w14:paraId="3E9B663C">
                  <w:pPr>
                    <w:adjustRightInd w:val="0"/>
                    <w:jc w:val="center"/>
                    <w:textAlignment w:val="baseline"/>
                    <w:rPr>
                      <w:color w:val="auto"/>
                      <w:sz w:val="18"/>
                      <w:szCs w:val="18"/>
                      <w:highlight w:val="none"/>
                    </w:rPr>
                  </w:pPr>
                  <w:r>
                    <w:rPr>
                      <w:rFonts w:hint="eastAsia"/>
                      <w:color w:val="auto"/>
                      <w:sz w:val="18"/>
                      <w:szCs w:val="18"/>
                      <w:highlight w:val="none"/>
                    </w:rPr>
                    <w:t>达</w:t>
                  </w:r>
                  <w:r>
                    <w:rPr>
                      <w:color w:val="auto"/>
                      <w:sz w:val="18"/>
                      <w:szCs w:val="18"/>
                      <w:highlight w:val="none"/>
                    </w:rPr>
                    <w:t>标</w:t>
                  </w:r>
                </w:p>
              </w:tc>
            </w:tr>
            <w:tr w14:paraId="27C30B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46423DFB">
                  <w:pPr>
                    <w:adjustRightInd w:val="0"/>
                    <w:jc w:val="center"/>
                    <w:textAlignment w:val="baseline"/>
                    <w:rPr>
                      <w:color w:val="auto"/>
                      <w:sz w:val="18"/>
                      <w:szCs w:val="18"/>
                      <w:highlight w:val="none"/>
                    </w:rPr>
                  </w:pPr>
                  <w:r>
                    <w:rPr>
                      <w:color w:val="auto"/>
                      <w:sz w:val="18"/>
                      <w:szCs w:val="18"/>
                      <w:highlight w:val="none"/>
                    </w:rPr>
                    <w:t>PM</w:t>
                  </w:r>
                  <w:r>
                    <w:rPr>
                      <w:color w:val="auto"/>
                      <w:sz w:val="18"/>
                      <w:szCs w:val="18"/>
                      <w:highlight w:val="none"/>
                      <w:vertAlign w:val="subscript"/>
                    </w:rPr>
                    <w:t>10</w:t>
                  </w:r>
                </w:p>
              </w:tc>
              <w:tc>
                <w:tcPr>
                  <w:tcW w:w="2979" w:type="dxa"/>
                  <w:vAlign w:val="center"/>
                </w:tcPr>
                <w:p w14:paraId="5CC8F0D1">
                  <w:pPr>
                    <w:adjustRightInd w:val="0"/>
                    <w:jc w:val="center"/>
                    <w:textAlignment w:val="baseline"/>
                    <w:rPr>
                      <w:color w:val="auto"/>
                      <w:sz w:val="18"/>
                      <w:szCs w:val="18"/>
                      <w:highlight w:val="none"/>
                    </w:rPr>
                  </w:pPr>
                  <w:r>
                    <w:rPr>
                      <w:color w:val="auto"/>
                      <w:sz w:val="18"/>
                      <w:szCs w:val="18"/>
                      <w:highlight w:val="none"/>
                    </w:rPr>
                    <w:t>年平均质量浓度</w:t>
                  </w:r>
                </w:p>
              </w:tc>
              <w:tc>
                <w:tcPr>
                  <w:tcW w:w="1045" w:type="dxa"/>
                  <w:vAlign w:val="center"/>
                </w:tcPr>
                <w:p w14:paraId="7C2B8C7B">
                  <w:pPr>
                    <w:adjustRightInd w:val="0"/>
                    <w:jc w:val="center"/>
                    <w:textAlignment w:val="baseline"/>
                    <w:rPr>
                      <w:color w:val="auto"/>
                      <w:sz w:val="18"/>
                      <w:szCs w:val="18"/>
                      <w:highlight w:val="none"/>
                    </w:rPr>
                  </w:pPr>
                  <w:r>
                    <w:rPr>
                      <w:rFonts w:hint="eastAsia"/>
                      <w:color w:val="auto"/>
                      <w:sz w:val="18"/>
                      <w:szCs w:val="18"/>
                      <w:highlight w:val="none"/>
                    </w:rPr>
                    <w:t>43</w:t>
                  </w:r>
                </w:p>
              </w:tc>
              <w:tc>
                <w:tcPr>
                  <w:tcW w:w="826" w:type="dxa"/>
                  <w:vAlign w:val="center"/>
                </w:tcPr>
                <w:p w14:paraId="5863D51A">
                  <w:pPr>
                    <w:adjustRightInd w:val="0"/>
                    <w:jc w:val="center"/>
                    <w:textAlignment w:val="baseline"/>
                    <w:rPr>
                      <w:color w:val="auto"/>
                      <w:sz w:val="18"/>
                      <w:szCs w:val="18"/>
                      <w:highlight w:val="none"/>
                    </w:rPr>
                  </w:pPr>
                  <w:r>
                    <w:rPr>
                      <w:rFonts w:hint="eastAsia"/>
                      <w:color w:val="auto"/>
                      <w:sz w:val="18"/>
                      <w:szCs w:val="18"/>
                      <w:highlight w:val="none"/>
                    </w:rPr>
                    <w:t>6</w:t>
                  </w:r>
                  <w:r>
                    <w:rPr>
                      <w:color w:val="auto"/>
                      <w:sz w:val="18"/>
                      <w:szCs w:val="18"/>
                      <w:highlight w:val="none"/>
                    </w:rPr>
                    <w:t>0</w:t>
                  </w:r>
                </w:p>
              </w:tc>
              <w:tc>
                <w:tcPr>
                  <w:tcW w:w="936" w:type="dxa"/>
                  <w:vAlign w:val="center"/>
                </w:tcPr>
                <w:p w14:paraId="1C706D92">
                  <w:pPr>
                    <w:adjustRightInd w:val="0"/>
                    <w:jc w:val="center"/>
                    <w:textAlignment w:val="baseline"/>
                    <w:rPr>
                      <w:color w:val="auto"/>
                      <w:sz w:val="18"/>
                      <w:szCs w:val="18"/>
                      <w:highlight w:val="none"/>
                    </w:rPr>
                  </w:pPr>
                  <w:r>
                    <w:rPr>
                      <w:rFonts w:hint="eastAsia"/>
                      <w:color w:val="auto"/>
                      <w:sz w:val="18"/>
                      <w:szCs w:val="18"/>
                      <w:highlight w:val="none"/>
                    </w:rPr>
                    <w:t>71.6</w:t>
                  </w:r>
                </w:p>
              </w:tc>
              <w:tc>
                <w:tcPr>
                  <w:tcW w:w="1185" w:type="dxa"/>
                  <w:vAlign w:val="center"/>
                </w:tcPr>
                <w:p w14:paraId="755D4373">
                  <w:pPr>
                    <w:adjustRightInd w:val="0"/>
                    <w:jc w:val="center"/>
                    <w:textAlignment w:val="baseline"/>
                    <w:rPr>
                      <w:color w:val="auto"/>
                      <w:sz w:val="18"/>
                      <w:szCs w:val="18"/>
                      <w:highlight w:val="none"/>
                    </w:rPr>
                  </w:pPr>
                  <w:r>
                    <w:rPr>
                      <w:color w:val="auto"/>
                      <w:sz w:val="18"/>
                      <w:szCs w:val="18"/>
                      <w:highlight w:val="none"/>
                    </w:rPr>
                    <w:t>达标</w:t>
                  </w:r>
                </w:p>
              </w:tc>
            </w:tr>
            <w:tr w14:paraId="0B31640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7A06372A">
                  <w:pPr>
                    <w:adjustRightInd w:val="0"/>
                    <w:jc w:val="center"/>
                    <w:textAlignment w:val="baseline"/>
                    <w:rPr>
                      <w:color w:val="auto"/>
                      <w:sz w:val="18"/>
                      <w:szCs w:val="18"/>
                      <w:highlight w:val="none"/>
                    </w:rPr>
                  </w:pPr>
                  <w:r>
                    <w:rPr>
                      <w:color w:val="auto"/>
                      <w:sz w:val="18"/>
                      <w:szCs w:val="18"/>
                      <w:highlight w:val="none"/>
                    </w:rPr>
                    <w:t>NO</w:t>
                  </w:r>
                  <w:r>
                    <w:rPr>
                      <w:color w:val="auto"/>
                      <w:sz w:val="18"/>
                      <w:szCs w:val="18"/>
                      <w:highlight w:val="none"/>
                      <w:vertAlign w:val="subscript"/>
                    </w:rPr>
                    <w:t>2</w:t>
                  </w:r>
                </w:p>
              </w:tc>
              <w:tc>
                <w:tcPr>
                  <w:tcW w:w="2979" w:type="dxa"/>
                  <w:vAlign w:val="center"/>
                </w:tcPr>
                <w:p w14:paraId="4690B776">
                  <w:pPr>
                    <w:adjustRightInd w:val="0"/>
                    <w:jc w:val="center"/>
                    <w:textAlignment w:val="baseline"/>
                    <w:rPr>
                      <w:color w:val="auto"/>
                      <w:sz w:val="18"/>
                      <w:szCs w:val="18"/>
                      <w:highlight w:val="none"/>
                    </w:rPr>
                  </w:pPr>
                  <w:r>
                    <w:rPr>
                      <w:color w:val="auto"/>
                      <w:sz w:val="18"/>
                      <w:szCs w:val="18"/>
                      <w:highlight w:val="none"/>
                    </w:rPr>
                    <w:t>年平均质量浓度</w:t>
                  </w:r>
                </w:p>
              </w:tc>
              <w:tc>
                <w:tcPr>
                  <w:tcW w:w="1045" w:type="dxa"/>
                  <w:vAlign w:val="center"/>
                </w:tcPr>
                <w:p w14:paraId="38F9E91C">
                  <w:pPr>
                    <w:adjustRightInd w:val="0"/>
                    <w:jc w:val="center"/>
                    <w:textAlignment w:val="baseline"/>
                    <w:rPr>
                      <w:color w:val="auto"/>
                      <w:sz w:val="18"/>
                      <w:szCs w:val="18"/>
                      <w:highlight w:val="none"/>
                    </w:rPr>
                  </w:pPr>
                  <w:r>
                    <w:rPr>
                      <w:rFonts w:hint="eastAsia"/>
                      <w:color w:val="auto"/>
                      <w:sz w:val="18"/>
                      <w:szCs w:val="18"/>
                      <w:highlight w:val="none"/>
                    </w:rPr>
                    <w:t>17</w:t>
                  </w:r>
                </w:p>
              </w:tc>
              <w:tc>
                <w:tcPr>
                  <w:tcW w:w="826" w:type="dxa"/>
                  <w:vAlign w:val="center"/>
                </w:tcPr>
                <w:p w14:paraId="047BC721">
                  <w:pPr>
                    <w:adjustRightInd w:val="0"/>
                    <w:jc w:val="center"/>
                    <w:textAlignment w:val="baseline"/>
                    <w:rPr>
                      <w:color w:val="auto"/>
                      <w:sz w:val="18"/>
                      <w:szCs w:val="18"/>
                      <w:highlight w:val="none"/>
                    </w:rPr>
                  </w:pPr>
                  <w:r>
                    <w:rPr>
                      <w:color w:val="auto"/>
                      <w:sz w:val="18"/>
                      <w:szCs w:val="18"/>
                      <w:highlight w:val="none"/>
                    </w:rPr>
                    <w:t>40</w:t>
                  </w:r>
                </w:p>
              </w:tc>
              <w:tc>
                <w:tcPr>
                  <w:tcW w:w="936" w:type="dxa"/>
                  <w:vAlign w:val="center"/>
                </w:tcPr>
                <w:p w14:paraId="0390FDBA">
                  <w:pPr>
                    <w:adjustRightInd w:val="0"/>
                    <w:jc w:val="center"/>
                    <w:textAlignment w:val="baseline"/>
                    <w:rPr>
                      <w:color w:val="auto"/>
                      <w:sz w:val="18"/>
                      <w:szCs w:val="18"/>
                      <w:highlight w:val="none"/>
                    </w:rPr>
                  </w:pPr>
                  <w:r>
                    <w:rPr>
                      <w:rFonts w:hint="eastAsia"/>
                      <w:color w:val="auto"/>
                      <w:sz w:val="18"/>
                      <w:szCs w:val="18"/>
                      <w:highlight w:val="none"/>
                    </w:rPr>
                    <w:t>42.5</w:t>
                  </w:r>
                </w:p>
              </w:tc>
              <w:tc>
                <w:tcPr>
                  <w:tcW w:w="1185" w:type="dxa"/>
                  <w:vAlign w:val="center"/>
                </w:tcPr>
                <w:p w14:paraId="6A20C841">
                  <w:pPr>
                    <w:adjustRightInd w:val="0"/>
                    <w:jc w:val="center"/>
                    <w:textAlignment w:val="baseline"/>
                    <w:rPr>
                      <w:color w:val="auto"/>
                      <w:sz w:val="18"/>
                      <w:szCs w:val="18"/>
                      <w:highlight w:val="none"/>
                    </w:rPr>
                  </w:pPr>
                  <w:r>
                    <w:rPr>
                      <w:color w:val="auto"/>
                      <w:sz w:val="18"/>
                      <w:szCs w:val="18"/>
                      <w:highlight w:val="none"/>
                    </w:rPr>
                    <w:t>达标</w:t>
                  </w:r>
                </w:p>
              </w:tc>
            </w:tr>
            <w:tr w14:paraId="4B8C48C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3DB77B44">
                  <w:pPr>
                    <w:adjustRightInd w:val="0"/>
                    <w:jc w:val="center"/>
                    <w:textAlignment w:val="baseline"/>
                    <w:rPr>
                      <w:color w:val="auto"/>
                      <w:sz w:val="18"/>
                      <w:szCs w:val="18"/>
                      <w:highlight w:val="none"/>
                    </w:rPr>
                  </w:pPr>
                  <w:r>
                    <w:rPr>
                      <w:color w:val="auto"/>
                      <w:sz w:val="18"/>
                      <w:szCs w:val="18"/>
                      <w:highlight w:val="none"/>
                    </w:rPr>
                    <w:t>SO</w:t>
                  </w:r>
                  <w:r>
                    <w:rPr>
                      <w:color w:val="auto"/>
                      <w:sz w:val="18"/>
                      <w:szCs w:val="18"/>
                      <w:highlight w:val="none"/>
                      <w:vertAlign w:val="subscript"/>
                    </w:rPr>
                    <w:t>2</w:t>
                  </w:r>
                </w:p>
              </w:tc>
              <w:tc>
                <w:tcPr>
                  <w:tcW w:w="2979" w:type="dxa"/>
                  <w:vAlign w:val="center"/>
                </w:tcPr>
                <w:p w14:paraId="48D024D1">
                  <w:pPr>
                    <w:adjustRightInd w:val="0"/>
                    <w:jc w:val="center"/>
                    <w:textAlignment w:val="baseline"/>
                    <w:rPr>
                      <w:color w:val="auto"/>
                      <w:sz w:val="18"/>
                      <w:szCs w:val="18"/>
                      <w:highlight w:val="none"/>
                    </w:rPr>
                  </w:pPr>
                  <w:r>
                    <w:rPr>
                      <w:color w:val="auto"/>
                      <w:sz w:val="18"/>
                      <w:szCs w:val="18"/>
                      <w:highlight w:val="none"/>
                    </w:rPr>
                    <w:t>年平均质量浓度</w:t>
                  </w:r>
                </w:p>
              </w:tc>
              <w:tc>
                <w:tcPr>
                  <w:tcW w:w="1045" w:type="dxa"/>
                  <w:vAlign w:val="center"/>
                </w:tcPr>
                <w:p w14:paraId="7831A0CC">
                  <w:pPr>
                    <w:adjustRightInd w:val="0"/>
                    <w:jc w:val="center"/>
                    <w:textAlignment w:val="baseline"/>
                    <w:rPr>
                      <w:color w:val="auto"/>
                      <w:sz w:val="18"/>
                      <w:szCs w:val="18"/>
                      <w:highlight w:val="none"/>
                    </w:rPr>
                  </w:pPr>
                  <w:r>
                    <w:rPr>
                      <w:rFonts w:hint="eastAsia"/>
                      <w:color w:val="auto"/>
                      <w:sz w:val="18"/>
                      <w:szCs w:val="18"/>
                      <w:highlight w:val="none"/>
                    </w:rPr>
                    <w:t>8</w:t>
                  </w:r>
                </w:p>
              </w:tc>
              <w:tc>
                <w:tcPr>
                  <w:tcW w:w="826" w:type="dxa"/>
                  <w:vAlign w:val="center"/>
                </w:tcPr>
                <w:p w14:paraId="120DF0AA">
                  <w:pPr>
                    <w:adjustRightInd w:val="0"/>
                    <w:jc w:val="center"/>
                    <w:textAlignment w:val="baseline"/>
                    <w:rPr>
                      <w:color w:val="auto"/>
                      <w:sz w:val="18"/>
                      <w:szCs w:val="18"/>
                      <w:highlight w:val="none"/>
                    </w:rPr>
                  </w:pPr>
                  <w:r>
                    <w:rPr>
                      <w:color w:val="auto"/>
                      <w:sz w:val="18"/>
                      <w:szCs w:val="18"/>
                      <w:highlight w:val="none"/>
                    </w:rPr>
                    <w:t>60</w:t>
                  </w:r>
                </w:p>
              </w:tc>
              <w:tc>
                <w:tcPr>
                  <w:tcW w:w="936" w:type="dxa"/>
                  <w:vAlign w:val="center"/>
                </w:tcPr>
                <w:p w14:paraId="14A30C34">
                  <w:pPr>
                    <w:adjustRightInd w:val="0"/>
                    <w:jc w:val="center"/>
                    <w:textAlignment w:val="baseline"/>
                    <w:rPr>
                      <w:color w:val="auto"/>
                      <w:sz w:val="18"/>
                      <w:szCs w:val="18"/>
                      <w:highlight w:val="none"/>
                    </w:rPr>
                  </w:pPr>
                  <w:r>
                    <w:rPr>
                      <w:color w:val="auto"/>
                      <w:sz w:val="18"/>
                      <w:szCs w:val="18"/>
                      <w:highlight w:val="none"/>
                    </w:rPr>
                    <w:t>13.3</w:t>
                  </w:r>
                </w:p>
              </w:tc>
              <w:tc>
                <w:tcPr>
                  <w:tcW w:w="1185" w:type="dxa"/>
                  <w:vAlign w:val="center"/>
                </w:tcPr>
                <w:p w14:paraId="1E665DBC">
                  <w:pPr>
                    <w:adjustRightInd w:val="0"/>
                    <w:jc w:val="center"/>
                    <w:textAlignment w:val="baseline"/>
                    <w:rPr>
                      <w:color w:val="auto"/>
                      <w:sz w:val="18"/>
                      <w:szCs w:val="18"/>
                      <w:highlight w:val="none"/>
                    </w:rPr>
                  </w:pPr>
                  <w:r>
                    <w:rPr>
                      <w:color w:val="auto"/>
                      <w:sz w:val="18"/>
                      <w:szCs w:val="18"/>
                      <w:highlight w:val="none"/>
                    </w:rPr>
                    <w:t>达标</w:t>
                  </w:r>
                </w:p>
              </w:tc>
            </w:tr>
            <w:tr w14:paraId="64ADD0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518CC5A5">
                  <w:pPr>
                    <w:adjustRightInd w:val="0"/>
                    <w:jc w:val="center"/>
                    <w:textAlignment w:val="baseline"/>
                    <w:rPr>
                      <w:color w:val="auto"/>
                      <w:sz w:val="18"/>
                      <w:szCs w:val="18"/>
                      <w:highlight w:val="none"/>
                    </w:rPr>
                  </w:pPr>
                  <w:r>
                    <w:rPr>
                      <w:color w:val="auto"/>
                      <w:sz w:val="18"/>
                      <w:szCs w:val="18"/>
                      <w:highlight w:val="none"/>
                    </w:rPr>
                    <w:t>CO</w:t>
                  </w:r>
                </w:p>
              </w:tc>
              <w:tc>
                <w:tcPr>
                  <w:tcW w:w="2979" w:type="dxa"/>
                  <w:vAlign w:val="center"/>
                </w:tcPr>
                <w:p w14:paraId="3B0FE50C">
                  <w:pPr>
                    <w:adjustRightInd w:val="0"/>
                    <w:jc w:val="center"/>
                    <w:textAlignment w:val="baseline"/>
                    <w:rPr>
                      <w:color w:val="auto"/>
                      <w:sz w:val="18"/>
                      <w:szCs w:val="18"/>
                      <w:highlight w:val="none"/>
                    </w:rPr>
                  </w:pPr>
                  <w:r>
                    <w:rPr>
                      <w:rFonts w:hint="eastAsia"/>
                      <w:color w:val="auto"/>
                      <w:sz w:val="18"/>
                      <w:szCs w:val="18"/>
                      <w:highlight w:val="none"/>
                    </w:rPr>
                    <w:t>第95百分位数日平均浓度（</w:t>
                  </w:r>
                  <w:r>
                    <w:rPr>
                      <w:color w:val="auto"/>
                      <w:sz w:val="18"/>
                      <w:szCs w:val="18"/>
                      <w:highlight w:val="none"/>
                    </w:rPr>
                    <w:t>mg/m</w:t>
                  </w:r>
                  <w:r>
                    <w:rPr>
                      <w:color w:val="auto"/>
                      <w:sz w:val="18"/>
                      <w:szCs w:val="18"/>
                      <w:highlight w:val="none"/>
                      <w:vertAlign w:val="superscript"/>
                    </w:rPr>
                    <w:t>3</w:t>
                  </w:r>
                  <w:r>
                    <w:rPr>
                      <w:rFonts w:hint="eastAsia"/>
                      <w:color w:val="auto"/>
                      <w:sz w:val="18"/>
                      <w:szCs w:val="18"/>
                      <w:highlight w:val="none"/>
                    </w:rPr>
                    <w:t>）</w:t>
                  </w:r>
                </w:p>
              </w:tc>
              <w:tc>
                <w:tcPr>
                  <w:tcW w:w="1045" w:type="dxa"/>
                  <w:vAlign w:val="center"/>
                </w:tcPr>
                <w:p w14:paraId="681AB263">
                  <w:pPr>
                    <w:adjustRightInd w:val="0"/>
                    <w:jc w:val="center"/>
                    <w:textAlignment w:val="baseline"/>
                    <w:rPr>
                      <w:color w:val="auto"/>
                      <w:sz w:val="18"/>
                      <w:szCs w:val="18"/>
                      <w:highlight w:val="none"/>
                    </w:rPr>
                  </w:pPr>
                  <w:r>
                    <w:rPr>
                      <w:rFonts w:hint="eastAsia"/>
                      <w:color w:val="auto"/>
                      <w:sz w:val="18"/>
                      <w:szCs w:val="18"/>
                      <w:highlight w:val="none"/>
                    </w:rPr>
                    <w:t>0.9</w:t>
                  </w:r>
                </w:p>
              </w:tc>
              <w:tc>
                <w:tcPr>
                  <w:tcW w:w="826" w:type="dxa"/>
                  <w:vAlign w:val="center"/>
                </w:tcPr>
                <w:p w14:paraId="5ABC1F52">
                  <w:pPr>
                    <w:adjustRightInd w:val="0"/>
                    <w:jc w:val="center"/>
                    <w:textAlignment w:val="baseline"/>
                    <w:rPr>
                      <w:color w:val="auto"/>
                      <w:sz w:val="18"/>
                      <w:szCs w:val="18"/>
                      <w:highlight w:val="none"/>
                    </w:rPr>
                  </w:pPr>
                  <w:r>
                    <w:rPr>
                      <w:color w:val="auto"/>
                      <w:sz w:val="18"/>
                      <w:szCs w:val="18"/>
                      <w:highlight w:val="none"/>
                    </w:rPr>
                    <w:t>4.0</w:t>
                  </w:r>
                </w:p>
              </w:tc>
              <w:tc>
                <w:tcPr>
                  <w:tcW w:w="936" w:type="dxa"/>
                  <w:vAlign w:val="center"/>
                </w:tcPr>
                <w:p w14:paraId="3399C824">
                  <w:pPr>
                    <w:adjustRightInd w:val="0"/>
                    <w:jc w:val="center"/>
                    <w:textAlignment w:val="baseline"/>
                    <w:rPr>
                      <w:color w:val="auto"/>
                      <w:sz w:val="18"/>
                      <w:szCs w:val="18"/>
                      <w:highlight w:val="none"/>
                    </w:rPr>
                  </w:pPr>
                  <w:r>
                    <w:rPr>
                      <w:rFonts w:hint="eastAsia"/>
                      <w:color w:val="auto"/>
                      <w:sz w:val="18"/>
                      <w:szCs w:val="18"/>
                      <w:highlight w:val="none"/>
                    </w:rPr>
                    <w:t>22.5</w:t>
                  </w:r>
                </w:p>
              </w:tc>
              <w:tc>
                <w:tcPr>
                  <w:tcW w:w="1185" w:type="dxa"/>
                  <w:vAlign w:val="center"/>
                </w:tcPr>
                <w:p w14:paraId="7E8D3344">
                  <w:pPr>
                    <w:adjustRightInd w:val="0"/>
                    <w:jc w:val="center"/>
                    <w:textAlignment w:val="baseline"/>
                    <w:rPr>
                      <w:color w:val="auto"/>
                      <w:sz w:val="18"/>
                      <w:szCs w:val="18"/>
                      <w:highlight w:val="none"/>
                    </w:rPr>
                  </w:pPr>
                  <w:r>
                    <w:rPr>
                      <w:color w:val="auto"/>
                      <w:sz w:val="18"/>
                      <w:szCs w:val="18"/>
                      <w:highlight w:val="none"/>
                    </w:rPr>
                    <w:t>达标</w:t>
                  </w:r>
                </w:p>
              </w:tc>
            </w:tr>
            <w:tr w14:paraId="05D8F0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bottom w:val="single" w:color="auto" w:sz="12" w:space="0"/>
                  </w:tcBorders>
                  <w:vAlign w:val="center"/>
                </w:tcPr>
                <w:p w14:paraId="18AB6892">
                  <w:pPr>
                    <w:adjustRightInd w:val="0"/>
                    <w:jc w:val="center"/>
                    <w:textAlignment w:val="baseline"/>
                    <w:rPr>
                      <w:color w:val="auto"/>
                      <w:sz w:val="18"/>
                      <w:szCs w:val="18"/>
                      <w:highlight w:val="none"/>
                    </w:rPr>
                  </w:pPr>
                  <w:r>
                    <w:rPr>
                      <w:rFonts w:hint="eastAsia"/>
                      <w:color w:val="auto"/>
                      <w:sz w:val="18"/>
                      <w:szCs w:val="18"/>
                      <w:highlight w:val="none"/>
                    </w:rPr>
                    <w:t>O</w:t>
                  </w:r>
                  <w:r>
                    <w:rPr>
                      <w:rFonts w:hint="eastAsia"/>
                      <w:color w:val="auto"/>
                      <w:sz w:val="18"/>
                      <w:szCs w:val="18"/>
                      <w:highlight w:val="none"/>
                      <w:vertAlign w:val="subscript"/>
                    </w:rPr>
                    <w:t>3</w:t>
                  </w:r>
                </w:p>
              </w:tc>
              <w:tc>
                <w:tcPr>
                  <w:tcW w:w="2979" w:type="dxa"/>
                  <w:tcBorders>
                    <w:bottom w:val="single" w:color="auto" w:sz="12" w:space="0"/>
                  </w:tcBorders>
                  <w:vAlign w:val="center"/>
                </w:tcPr>
                <w:p w14:paraId="133FF1A0">
                  <w:pPr>
                    <w:adjustRightInd w:val="0"/>
                    <w:jc w:val="center"/>
                    <w:textAlignment w:val="baseline"/>
                    <w:rPr>
                      <w:color w:val="auto"/>
                      <w:sz w:val="18"/>
                      <w:szCs w:val="18"/>
                      <w:highlight w:val="none"/>
                    </w:rPr>
                  </w:pPr>
                  <w:r>
                    <w:rPr>
                      <w:rFonts w:hint="eastAsia"/>
                      <w:color w:val="auto"/>
                      <w:sz w:val="18"/>
                      <w:szCs w:val="18"/>
                      <w:highlight w:val="none"/>
                    </w:rPr>
                    <w:t>第90</w:t>
                  </w:r>
                  <w:r>
                    <w:rPr>
                      <w:color w:val="auto"/>
                      <w:sz w:val="18"/>
                      <w:szCs w:val="18"/>
                      <w:highlight w:val="none"/>
                    </w:rPr>
                    <w:t>百分位数8h平均</w:t>
                  </w:r>
                  <w:r>
                    <w:rPr>
                      <w:rFonts w:hint="eastAsia"/>
                      <w:color w:val="auto"/>
                      <w:sz w:val="18"/>
                      <w:szCs w:val="18"/>
                      <w:highlight w:val="none"/>
                    </w:rPr>
                    <w:t>质量</w:t>
                  </w:r>
                  <w:r>
                    <w:rPr>
                      <w:color w:val="auto"/>
                      <w:sz w:val="18"/>
                      <w:szCs w:val="18"/>
                      <w:highlight w:val="none"/>
                    </w:rPr>
                    <w:t>浓度</w:t>
                  </w:r>
                </w:p>
              </w:tc>
              <w:tc>
                <w:tcPr>
                  <w:tcW w:w="1045" w:type="dxa"/>
                  <w:tcBorders>
                    <w:bottom w:val="single" w:color="auto" w:sz="12" w:space="0"/>
                  </w:tcBorders>
                  <w:vAlign w:val="center"/>
                </w:tcPr>
                <w:p w14:paraId="68077FA7">
                  <w:pPr>
                    <w:adjustRightInd w:val="0"/>
                    <w:jc w:val="center"/>
                    <w:textAlignment w:val="baseline"/>
                    <w:rPr>
                      <w:color w:val="auto"/>
                      <w:sz w:val="18"/>
                      <w:szCs w:val="18"/>
                      <w:highlight w:val="none"/>
                    </w:rPr>
                  </w:pPr>
                  <w:r>
                    <w:rPr>
                      <w:rFonts w:hint="eastAsia"/>
                      <w:color w:val="auto"/>
                      <w:sz w:val="18"/>
                      <w:szCs w:val="18"/>
                      <w:highlight w:val="none"/>
                    </w:rPr>
                    <w:t>115</w:t>
                  </w:r>
                </w:p>
              </w:tc>
              <w:tc>
                <w:tcPr>
                  <w:tcW w:w="826" w:type="dxa"/>
                  <w:tcBorders>
                    <w:bottom w:val="single" w:color="auto" w:sz="12" w:space="0"/>
                  </w:tcBorders>
                  <w:vAlign w:val="center"/>
                </w:tcPr>
                <w:p w14:paraId="45773653">
                  <w:pPr>
                    <w:adjustRightInd w:val="0"/>
                    <w:jc w:val="center"/>
                    <w:textAlignment w:val="baseline"/>
                    <w:rPr>
                      <w:color w:val="auto"/>
                      <w:sz w:val="18"/>
                      <w:szCs w:val="18"/>
                      <w:highlight w:val="none"/>
                    </w:rPr>
                  </w:pPr>
                  <w:r>
                    <w:rPr>
                      <w:color w:val="auto"/>
                      <w:sz w:val="18"/>
                      <w:szCs w:val="18"/>
                      <w:highlight w:val="none"/>
                    </w:rPr>
                    <w:t>160</w:t>
                  </w:r>
                </w:p>
              </w:tc>
              <w:tc>
                <w:tcPr>
                  <w:tcW w:w="936" w:type="dxa"/>
                  <w:tcBorders>
                    <w:bottom w:val="single" w:color="auto" w:sz="12" w:space="0"/>
                  </w:tcBorders>
                  <w:vAlign w:val="center"/>
                </w:tcPr>
                <w:p w14:paraId="247DF34E">
                  <w:pPr>
                    <w:adjustRightInd w:val="0"/>
                    <w:jc w:val="center"/>
                    <w:textAlignment w:val="baseline"/>
                    <w:rPr>
                      <w:color w:val="auto"/>
                      <w:sz w:val="18"/>
                      <w:szCs w:val="18"/>
                      <w:highlight w:val="none"/>
                    </w:rPr>
                  </w:pPr>
                  <w:r>
                    <w:rPr>
                      <w:rFonts w:hint="eastAsia"/>
                      <w:color w:val="auto"/>
                      <w:sz w:val="18"/>
                      <w:szCs w:val="18"/>
                      <w:highlight w:val="none"/>
                    </w:rPr>
                    <w:t>71.8</w:t>
                  </w:r>
                </w:p>
              </w:tc>
              <w:tc>
                <w:tcPr>
                  <w:tcW w:w="1185" w:type="dxa"/>
                  <w:tcBorders>
                    <w:bottom w:val="single" w:color="auto" w:sz="12" w:space="0"/>
                  </w:tcBorders>
                  <w:vAlign w:val="center"/>
                </w:tcPr>
                <w:p w14:paraId="2AF42A14">
                  <w:pPr>
                    <w:adjustRightInd w:val="0"/>
                    <w:jc w:val="center"/>
                    <w:textAlignment w:val="baseline"/>
                    <w:rPr>
                      <w:color w:val="auto"/>
                      <w:sz w:val="18"/>
                      <w:szCs w:val="18"/>
                      <w:highlight w:val="none"/>
                    </w:rPr>
                  </w:pPr>
                  <w:r>
                    <w:rPr>
                      <w:color w:val="auto"/>
                      <w:sz w:val="18"/>
                      <w:szCs w:val="18"/>
                      <w:highlight w:val="none"/>
                    </w:rPr>
                    <w:t>达标</w:t>
                  </w:r>
                </w:p>
              </w:tc>
            </w:tr>
          </w:tbl>
          <w:p w14:paraId="1F987549">
            <w:pPr>
              <w:spacing w:line="360" w:lineRule="auto"/>
              <w:ind w:firstLine="420" w:firstLineChars="200"/>
              <w:rPr>
                <w:color w:val="auto"/>
                <w:kern w:val="0"/>
                <w:szCs w:val="21"/>
                <w:highlight w:val="none"/>
              </w:rPr>
            </w:pPr>
            <w:r>
              <w:rPr>
                <w:rFonts w:hint="eastAsia"/>
                <w:color w:val="auto"/>
                <w:szCs w:val="21"/>
                <w:highlight w:val="none"/>
              </w:rPr>
              <w:t>由表3-1可知，2025年鸡西市空气基本污染物中</w:t>
            </w:r>
            <w:r>
              <w:rPr>
                <w:color w:val="auto"/>
                <w:szCs w:val="21"/>
                <w:highlight w:val="none"/>
              </w:rPr>
              <w:t>PM</w:t>
            </w:r>
            <w:r>
              <w:rPr>
                <w:color w:val="auto"/>
                <w:szCs w:val="21"/>
                <w:highlight w:val="none"/>
                <w:vertAlign w:val="subscript"/>
              </w:rPr>
              <w:t>2.5</w:t>
            </w:r>
            <w:r>
              <w:rPr>
                <w:rFonts w:hint="eastAsia"/>
                <w:color w:val="auto"/>
                <w:szCs w:val="21"/>
                <w:highlight w:val="none"/>
              </w:rPr>
              <w:t>、</w:t>
            </w:r>
            <w:r>
              <w:rPr>
                <w:color w:val="auto"/>
                <w:szCs w:val="21"/>
                <w:highlight w:val="none"/>
              </w:rPr>
              <w:t>PM</w:t>
            </w:r>
            <w:r>
              <w:rPr>
                <w:color w:val="auto"/>
                <w:szCs w:val="21"/>
                <w:highlight w:val="none"/>
                <w:vertAlign w:val="subscript"/>
              </w:rPr>
              <w:t>10</w:t>
            </w:r>
            <w:r>
              <w:rPr>
                <w:rFonts w:hint="eastAsia"/>
                <w:color w:val="auto"/>
                <w:szCs w:val="21"/>
                <w:highlight w:val="none"/>
              </w:rPr>
              <w:t>、</w:t>
            </w:r>
            <w:r>
              <w:rPr>
                <w:color w:val="auto"/>
                <w:szCs w:val="21"/>
                <w:highlight w:val="none"/>
              </w:rPr>
              <w:t>SO</w:t>
            </w:r>
            <w:r>
              <w:rPr>
                <w:color w:val="auto"/>
                <w:szCs w:val="21"/>
                <w:highlight w:val="none"/>
                <w:vertAlign w:val="subscript"/>
              </w:rPr>
              <w:t>2</w:t>
            </w:r>
            <w:r>
              <w:rPr>
                <w:rFonts w:hint="eastAsia"/>
                <w:color w:val="auto"/>
                <w:szCs w:val="21"/>
                <w:highlight w:val="none"/>
              </w:rPr>
              <w:t>、</w:t>
            </w:r>
            <w:r>
              <w:rPr>
                <w:color w:val="auto"/>
                <w:szCs w:val="21"/>
                <w:highlight w:val="none"/>
              </w:rPr>
              <w:t>NO</w:t>
            </w:r>
            <w:r>
              <w:rPr>
                <w:color w:val="auto"/>
                <w:szCs w:val="21"/>
                <w:highlight w:val="none"/>
                <w:vertAlign w:val="subscript"/>
              </w:rPr>
              <w:t>2</w:t>
            </w:r>
            <w:r>
              <w:rPr>
                <w:rFonts w:hint="eastAsia"/>
                <w:color w:val="auto"/>
                <w:szCs w:val="21"/>
                <w:highlight w:val="none"/>
              </w:rPr>
              <w:t>年平均质量浓度及</w:t>
            </w:r>
            <w:r>
              <w:rPr>
                <w:color w:val="auto"/>
                <w:szCs w:val="21"/>
                <w:highlight w:val="none"/>
              </w:rPr>
              <w:t>CO</w:t>
            </w:r>
            <w:r>
              <w:rPr>
                <w:rFonts w:hint="eastAsia"/>
                <w:color w:val="auto"/>
                <w:szCs w:val="21"/>
                <w:highlight w:val="none"/>
              </w:rPr>
              <w:t>第95百分位数日平均浓度、O</w:t>
            </w:r>
            <w:r>
              <w:rPr>
                <w:rFonts w:hint="eastAsia"/>
                <w:color w:val="auto"/>
                <w:szCs w:val="21"/>
                <w:highlight w:val="none"/>
                <w:vertAlign w:val="subscript"/>
              </w:rPr>
              <w:t>3</w:t>
            </w:r>
            <w:r>
              <w:rPr>
                <w:rFonts w:hint="eastAsia"/>
                <w:color w:val="auto"/>
                <w:szCs w:val="21"/>
                <w:highlight w:val="none"/>
              </w:rPr>
              <w:t>第90</w:t>
            </w:r>
            <w:r>
              <w:rPr>
                <w:color w:val="auto"/>
                <w:szCs w:val="21"/>
                <w:highlight w:val="none"/>
              </w:rPr>
              <w:t>百分位数8h平均</w:t>
            </w:r>
            <w:r>
              <w:rPr>
                <w:rFonts w:hint="eastAsia"/>
                <w:color w:val="auto"/>
                <w:szCs w:val="21"/>
                <w:highlight w:val="none"/>
              </w:rPr>
              <w:t>质量</w:t>
            </w:r>
            <w:r>
              <w:rPr>
                <w:color w:val="auto"/>
                <w:szCs w:val="21"/>
                <w:highlight w:val="none"/>
              </w:rPr>
              <w:t>浓度</w:t>
            </w:r>
            <w:r>
              <w:rPr>
                <w:rFonts w:hint="eastAsia"/>
                <w:color w:val="auto"/>
                <w:szCs w:val="21"/>
                <w:highlight w:val="none"/>
              </w:rPr>
              <w:t>均满足</w:t>
            </w:r>
            <w:r>
              <w:rPr>
                <w:color w:val="auto"/>
                <w:kern w:val="0"/>
                <w:szCs w:val="21"/>
                <w:highlight w:val="none"/>
              </w:rPr>
              <w:t>《环境空气质量标准》（</w:t>
            </w:r>
            <w:r>
              <w:rPr>
                <w:rFonts w:hint="eastAsia"/>
                <w:color w:val="auto"/>
                <w:kern w:val="0"/>
                <w:szCs w:val="21"/>
                <w:highlight w:val="none"/>
              </w:rPr>
              <w:t>GB3095-2026</w:t>
            </w:r>
            <w:r>
              <w:rPr>
                <w:color w:val="auto"/>
                <w:kern w:val="0"/>
                <w:szCs w:val="21"/>
                <w:highlight w:val="none"/>
              </w:rPr>
              <w:t>）中的二级标准</w:t>
            </w:r>
            <w:r>
              <w:rPr>
                <w:rFonts w:hint="eastAsia"/>
                <w:color w:val="auto"/>
                <w:kern w:val="0"/>
                <w:szCs w:val="21"/>
                <w:highlight w:val="none"/>
              </w:rPr>
              <w:t>，因此判定本项目区域环境空气质量为达标区。</w:t>
            </w:r>
          </w:p>
          <w:p w14:paraId="67815E36">
            <w:pPr>
              <w:widowControl/>
              <w:spacing w:line="360" w:lineRule="auto"/>
              <w:ind w:firstLine="420" w:firstLineChars="200"/>
              <w:rPr>
                <w:color w:val="auto"/>
                <w:sz w:val="21"/>
                <w:szCs w:val="21"/>
                <w:highlight w:val="none"/>
              </w:rPr>
            </w:pPr>
            <w:r>
              <w:rPr>
                <w:rFonts w:hint="eastAsia"/>
                <w:color w:val="auto"/>
                <w:sz w:val="21"/>
                <w:szCs w:val="21"/>
                <w:highlight w:val="none"/>
              </w:rPr>
              <w:t>其他</w:t>
            </w:r>
            <w:r>
              <w:rPr>
                <w:color w:val="auto"/>
                <w:sz w:val="21"/>
                <w:szCs w:val="21"/>
                <w:highlight w:val="none"/>
              </w:rPr>
              <w:t>污染物</w:t>
            </w:r>
            <w:r>
              <w:rPr>
                <w:rFonts w:hint="eastAsia"/>
                <w:color w:val="auto"/>
                <w:sz w:val="21"/>
                <w:szCs w:val="21"/>
                <w:highlight w:val="none"/>
              </w:rPr>
              <w:t>：</w:t>
            </w:r>
          </w:p>
          <w:p w14:paraId="6EF347C5">
            <w:pPr>
              <w:pStyle w:val="8"/>
              <w:spacing w:line="360" w:lineRule="auto"/>
              <w:ind w:firstLineChars="200"/>
              <w:rPr>
                <w:color w:val="auto"/>
                <w:sz w:val="21"/>
                <w:szCs w:val="21"/>
                <w:highlight w:val="none"/>
              </w:rPr>
            </w:pPr>
            <w:r>
              <w:rPr>
                <w:color w:val="auto"/>
                <w:kern w:val="0"/>
                <w:sz w:val="21"/>
                <w:szCs w:val="21"/>
                <w:highlight w:val="none"/>
              </w:rPr>
              <w:t>本项目委托</w:t>
            </w:r>
            <w:r>
              <w:rPr>
                <w:rFonts w:hint="eastAsia"/>
                <w:color w:val="auto"/>
                <w:sz w:val="21"/>
                <w:szCs w:val="21"/>
                <w:highlight w:val="none"/>
              </w:rPr>
              <w:t>鸡西晟源环境检测</w:t>
            </w:r>
            <w:r>
              <w:rPr>
                <w:color w:val="auto"/>
                <w:sz w:val="21"/>
                <w:szCs w:val="21"/>
                <w:highlight w:val="none"/>
              </w:rPr>
              <w:t>有限公司对</w:t>
            </w:r>
            <w:r>
              <w:rPr>
                <w:rFonts w:hint="eastAsia"/>
                <w:color w:val="auto"/>
                <w:sz w:val="21"/>
                <w:szCs w:val="21"/>
                <w:highlight w:val="none"/>
              </w:rPr>
              <w:t>颗粒物</w:t>
            </w:r>
            <w:r>
              <w:rPr>
                <w:color w:val="auto"/>
                <w:sz w:val="21"/>
                <w:szCs w:val="21"/>
                <w:highlight w:val="none"/>
              </w:rPr>
              <w:t>环境空气质量进行监测，监测时间202</w:t>
            </w:r>
            <w:r>
              <w:rPr>
                <w:rFonts w:hint="eastAsia"/>
                <w:color w:val="auto"/>
                <w:sz w:val="21"/>
                <w:szCs w:val="21"/>
                <w:highlight w:val="none"/>
              </w:rPr>
              <w:t>5</w:t>
            </w:r>
            <w:r>
              <w:rPr>
                <w:color w:val="auto"/>
                <w:sz w:val="21"/>
                <w:szCs w:val="21"/>
                <w:highlight w:val="none"/>
              </w:rPr>
              <w:t>年</w:t>
            </w:r>
            <w:r>
              <w:rPr>
                <w:rFonts w:hint="eastAsia"/>
                <w:color w:val="auto"/>
                <w:sz w:val="21"/>
                <w:szCs w:val="21"/>
                <w:highlight w:val="none"/>
              </w:rPr>
              <w:t>11</w:t>
            </w:r>
            <w:r>
              <w:rPr>
                <w:color w:val="auto"/>
                <w:sz w:val="21"/>
                <w:szCs w:val="21"/>
                <w:highlight w:val="none"/>
              </w:rPr>
              <w:t>月</w:t>
            </w:r>
            <w:r>
              <w:rPr>
                <w:rFonts w:hint="eastAsia"/>
                <w:color w:val="auto"/>
                <w:sz w:val="21"/>
                <w:szCs w:val="21"/>
                <w:highlight w:val="none"/>
              </w:rPr>
              <w:t>30</w:t>
            </w:r>
            <w:r>
              <w:rPr>
                <w:color w:val="auto"/>
                <w:sz w:val="21"/>
                <w:szCs w:val="21"/>
                <w:highlight w:val="none"/>
              </w:rPr>
              <w:t>日-</w:t>
            </w:r>
            <w:r>
              <w:rPr>
                <w:rFonts w:hint="eastAsia"/>
                <w:color w:val="auto"/>
                <w:sz w:val="21"/>
                <w:szCs w:val="21"/>
                <w:highlight w:val="none"/>
              </w:rPr>
              <w:t>12</w:t>
            </w:r>
            <w:r>
              <w:rPr>
                <w:color w:val="auto"/>
                <w:sz w:val="21"/>
                <w:szCs w:val="21"/>
                <w:highlight w:val="none"/>
              </w:rPr>
              <w:t>月</w:t>
            </w:r>
            <w:r>
              <w:rPr>
                <w:rFonts w:hint="eastAsia"/>
                <w:color w:val="auto"/>
                <w:sz w:val="21"/>
                <w:szCs w:val="21"/>
                <w:highlight w:val="none"/>
              </w:rPr>
              <w:t>2</w:t>
            </w:r>
            <w:r>
              <w:rPr>
                <w:color w:val="auto"/>
                <w:sz w:val="21"/>
                <w:szCs w:val="21"/>
                <w:highlight w:val="none"/>
              </w:rPr>
              <w:t>日。</w:t>
            </w:r>
            <w:r>
              <w:rPr>
                <w:rFonts w:hint="eastAsia"/>
                <w:color w:val="auto"/>
                <w:kern w:val="0"/>
                <w:sz w:val="21"/>
                <w:szCs w:val="21"/>
                <w:highlight w:val="none"/>
              </w:rPr>
              <w:t>监测点位见图3-1</w:t>
            </w:r>
            <w:r>
              <w:rPr>
                <w:color w:val="auto"/>
                <w:sz w:val="21"/>
                <w:szCs w:val="21"/>
                <w:highlight w:val="none"/>
              </w:rPr>
              <w:t>。</w:t>
            </w:r>
          </w:p>
          <w:p w14:paraId="411A89E2">
            <w:pPr>
              <w:pStyle w:val="28"/>
              <w:spacing w:line="240" w:lineRule="auto"/>
              <w:ind w:firstLine="0" w:firstLineChars="0"/>
              <w:jc w:val="center"/>
              <w:rPr>
                <w:b/>
                <w:color w:val="auto"/>
                <w:sz w:val="21"/>
                <w:szCs w:val="21"/>
                <w:highlight w:val="none"/>
              </w:rPr>
            </w:pPr>
            <w:r>
              <w:rPr>
                <w:color w:val="auto"/>
                <w:sz w:val="21"/>
                <w:szCs w:val="21"/>
                <w:highlight w:val="none"/>
              </w:rPr>
              <mc:AlternateContent>
                <mc:Choice Requires="wps">
                  <w:drawing>
                    <wp:anchor distT="0" distB="0" distL="114300" distR="114300" simplePos="0" relativeHeight="251673600" behindDoc="0" locked="0" layoutInCell="1" allowOverlap="1">
                      <wp:simplePos x="0" y="0"/>
                      <wp:positionH relativeFrom="column">
                        <wp:posOffset>3967480</wp:posOffset>
                      </wp:positionH>
                      <wp:positionV relativeFrom="paragraph">
                        <wp:posOffset>2282825</wp:posOffset>
                      </wp:positionV>
                      <wp:extent cx="1130300" cy="855345"/>
                      <wp:effectExtent l="4445" t="4445" r="8255" b="16510"/>
                      <wp:wrapNone/>
                      <wp:docPr id="56" name="文本框 4"/>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55C93BAF">
                                  <w:pPr>
                                    <w:jc w:val="center"/>
                                  </w:pPr>
                                  <w:r>
                                    <w:rPr>
                                      <w:rFonts w:hint="eastAsia"/>
                                    </w:rPr>
                                    <w:t>图例</w:t>
                                  </w:r>
                                </w:p>
                                <w:p w14:paraId="11E5487A">
                                  <w:pPr>
                                    <w:jc w:val="center"/>
                                  </w:pPr>
                                  <w:r>
                                    <w:rPr>
                                      <w:rFonts w:hint="eastAsia"/>
                                    </w:rPr>
                                    <w:t xml:space="preserve">  项目位置</w:t>
                                  </w:r>
                                </w:p>
                                <w:p w14:paraId="05858BEE">
                                  <w:r>
                                    <w:drawing>
                                      <wp:inline distT="0" distB="0" distL="114300" distR="114300">
                                        <wp:extent cx="193040" cy="180340"/>
                                        <wp:effectExtent l="0" t="0" r="16510" b="1016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19"/>
                                                <a:stretch>
                                                  <a:fillRect/>
                                                </a:stretch>
                                              </pic:blipFill>
                                              <pic:spPr>
                                                <a:xfrm>
                                                  <a:off x="0" y="0"/>
                                                  <a:ext cx="193040" cy="180340"/>
                                                </a:xfrm>
                                                <a:prstGeom prst="rect">
                                                  <a:avLst/>
                                                </a:prstGeom>
                                                <a:noFill/>
                                                <a:ln>
                                                  <a:noFill/>
                                                </a:ln>
                                              </pic:spPr>
                                            </pic:pic>
                                          </a:graphicData>
                                        </a:graphic>
                                      </wp:inline>
                                    </w:drawing>
                                  </w:r>
                                  <w:r>
                                    <w:rPr>
                                      <w:rFonts w:hint="eastAsia"/>
                                    </w:rPr>
                                    <w:t xml:space="preserve"> 监测点位</w:t>
                                  </w:r>
                                </w:p>
                                <w:p w14:paraId="4007A53F">
                                  <w:pPr>
                                    <w:pStyle w:val="31"/>
                                    <w:rPr>
                                      <w:rFonts w:ascii="Times New Roman" w:hAnsi="Times New Roman"/>
                                    </w:rPr>
                                  </w:pPr>
                                  <w:r>
                                    <w:rPr>
                                      <w:rFonts w:ascii="Times New Roman" w:hAnsi="Times New Roman"/>
                                    </w:rPr>
                                    <w:t>比例尺：1:2256</w:t>
                                  </w:r>
                                </w:p>
                              </w:txbxContent>
                            </wps:txbx>
                            <wps:bodyPr upright="1"/>
                          </wps:wsp>
                        </a:graphicData>
                      </a:graphic>
                    </wp:anchor>
                  </w:drawing>
                </mc:Choice>
                <mc:Fallback>
                  <w:pict>
                    <v:shape id="文本框 4" o:spid="_x0000_s1026" o:spt="202" type="#_x0000_t202" style="position:absolute;left:0pt;margin-left:312.4pt;margin-top:179.75pt;height:67.35pt;width:89pt;z-index:251673600;mso-width-relative:page;mso-height-relative:page;" fillcolor="#FFFFFF" filled="t" stroked="t" coordsize="21600,21600" o:gfxdata="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VMq6NoAAAALAQAADwAAAAAA&#10;AAABACAAAAAiAAAAZHJzL2Rvd25yZXYueG1sUEsBAhQAFAAAAAgAh07iQCi356IRAgAARQQAAA4A&#10;AAAAAAAAAQAgAAAAKQEAAGRycy9lMm9Eb2MueG1sUEsFBgAAAAAGAAYAWQEAAKwFAAAAAA==&#10;">
                      <v:fill on="t" focussize="0,0"/>
                      <v:stroke color="#000000" joinstyle="miter"/>
                      <v:imagedata o:title=""/>
                      <o:lock v:ext="edit" aspectratio="f"/>
                      <v:textbox>
                        <w:txbxContent>
                          <w:p w14:paraId="55C93BAF">
                            <w:pPr>
                              <w:jc w:val="center"/>
                            </w:pPr>
                            <w:r>
                              <w:rPr>
                                <w:rFonts w:hint="eastAsia"/>
                              </w:rPr>
                              <w:t>图例</w:t>
                            </w:r>
                          </w:p>
                          <w:p w14:paraId="11E5487A">
                            <w:pPr>
                              <w:jc w:val="center"/>
                            </w:pPr>
                            <w:r>
                              <w:rPr>
                                <w:rFonts w:hint="eastAsia"/>
                              </w:rPr>
                              <w:t xml:space="preserve">  项目位置</w:t>
                            </w:r>
                          </w:p>
                          <w:p w14:paraId="05858BEE">
                            <w:r>
                              <w:drawing>
                                <wp:inline distT="0" distB="0" distL="114300" distR="114300">
                                  <wp:extent cx="193040" cy="180340"/>
                                  <wp:effectExtent l="0" t="0" r="16510" b="1016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19"/>
                                          <a:stretch>
                                            <a:fillRect/>
                                          </a:stretch>
                                        </pic:blipFill>
                                        <pic:spPr>
                                          <a:xfrm>
                                            <a:off x="0" y="0"/>
                                            <a:ext cx="193040" cy="180340"/>
                                          </a:xfrm>
                                          <a:prstGeom prst="rect">
                                            <a:avLst/>
                                          </a:prstGeom>
                                          <a:noFill/>
                                          <a:ln>
                                            <a:noFill/>
                                          </a:ln>
                                        </pic:spPr>
                                      </pic:pic>
                                    </a:graphicData>
                                  </a:graphic>
                                </wp:inline>
                              </w:drawing>
                            </w:r>
                            <w:r>
                              <w:rPr>
                                <w:rFonts w:hint="eastAsia"/>
                              </w:rPr>
                              <w:t xml:space="preserve"> 监测点位</w:t>
                            </w:r>
                          </w:p>
                          <w:p w14:paraId="4007A53F">
                            <w:pPr>
                              <w:pStyle w:val="31"/>
                              <w:rPr>
                                <w:rFonts w:ascii="Times New Roman" w:hAnsi="Times New Roman"/>
                              </w:rPr>
                            </w:pPr>
                            <w:r>
                              <w:rPr>
                                <w:rFonts w:ascii="Times New Roman" w:hAnsi="Times New Roman"/>
                              </w:rPr>
                              <w:t>比例尺：1:2256</w:t>
                            </w:r>
                          </w:p>
                        </w:txbxContent>
                      </v:textbox>
                    </v:shape>
                  </w:pict>
                </mc:Fallback>
              </mc:AlternateContent>
            </w:r>
            <w:r>
              <w:rPr>
                <w:color w:val="auto"/>
                <w:highlight w:val="none"/>
              </w:rPr>
              <w:drawing>
                <wp:anchor distT="0" distB="0" distL="114300" distR="114300" simplePos="0" relativeHeight="251675648" behindDoc="0" locked="0" layoutInCell="1" allowOverlap="1">
                  <wp:simplePos x="0" y="0"/>
                  <wp:positionH relativeFrom="column">
                    <wp:posOffset>4431665</wp:posOffset>
                  </wp:positionH>
                  <wp:positionV relativeFrom="paragraph">
                    <wp:posOffset>12065</wp:posOffset>
                  </wp:positionV>
                  <wp:extent cx="638175" cy="597535"/>
                  <wp:effectExtent l="0" t="0" r="9525" b="12065"/>
                  <wp:wrapNone/>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0"/>
                          <a:stretch>
                            <a:fillRect/>
                          </a:stretch>
                        </pic:blipFill>
                        <pic:spPr>
                          <a:xfrm>
                            <a:off x="0" y="0"/>
                            <a:ext cx="638175" cy="597535"/>
                          </a:xfrm>
                          <a:prstGeom prst="rect">
                            <a:avLst/>
                          </a:prstGeom>
                          <a:noFill/>
                          <a:ln>
                            <a:noFill/>
                          </a:ln>
                        </pic:spPr>
                      </pic:pic>
                    </a:graphicData>
                  </a:graphic>
                </wp:anchor>
              </w:drawing>
            </w:r>
            <w:r>
              <w:rPr>
                <w:rFonts w:hint="eastAsia"/>
                <w:color w:val="auto"/>
                <w:highlight w:val="none"/>
              </w:rPr>
              <w:drawing>
                <wp:anchor distT="0" distB="0" distL="114300" distR="114300" simplePos="0" relativeHeight="251674624" behindDoc="0" locked="0" layoutInCell="1" allowOverlap="1">
                  <wp:simplePos x="0" y="0"/>
                  <wp:positionH relativeFrom="column">
                    <wp:posOffset>3712210</wp:posOffset>
                  </wp:positionH>
                  <wp:positionV relativeFrom="paragraph">
                    <wp:posOffset>1515745</wp:posOffset>
                  </wp:positionV>
                  <wp:extent cx="202565" cy="190500"/>
                  <wp:effectExtent l="0" t="0" r="6985" b="0"/>
                  <wp:wrapNone/>
                  <wp:docPr id="80" name="图片 80" descr="172922171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729221719377"/>
                          <pic:cNvPicPr>
                            <a:picLocks noChangeAspect="1"/>
                          </pic:cNvPicPr>
                        </pic:nvPicPr>
                        <pic:blipFill>
                          <a:blip r:embed="rId21"/>
                          <a:stretch>
                            <a:fillRect/>
                          </a:stretch>
                        </pic:blipFill>
                        <pic:spPr>
                          <a:xfrm>
                            <a:off x="0" y="0"/>
                            <a:ext cx="202565" cy="190500"/>
                          </a:xfrm>
                          <a:prstGeom prst="rect">
                            <a:avLst/>
                          </a:prstGeom>
                        </pic:spPr>
                      </pic:pic>
                    </a:graphicData>
                  </a:graphic>
                </wp:anchor>
              </w:drawing>
            </w: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4055745</wp:posOffset>
                      </wp:positionH>
                      <wp:positionV relativeFrom="paragraph">
                        <wp:posOffset>2519680</wp:posOffset>
                      </wp:positionV>
                      <wp:extent cx="180975" cy="104775"/>
                      <wp:effectExtent l="9525" t="9525" r="19050" b="19050"/>
                      <wp:wrapNone/>
                      <wp:docPr id="62" name="矩形 21"/>
                      <wp:cNvGraphicFramePr/>
                      <a:graphic xmlns:a="http://schemas.openxmlformats.org/drawingml/2006/main">
                        <a:graphicData uri="http://schemas.microsoft.com/office/word/2010/wordprocessingShape">
                          <wps:wsp>
                            <wps:cNvSpPr/>
                            <wps:spPr>
                              <a:xfrm>
                                <a:off x="5528310" y="7299325"/>
                                <a:ext cx="180975" cy="1047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1" o:spid="_x0000_s1026" o:spt="1" style="position:absolute;left:0pt;margin-left:319.35pt;margin-top:198.4pt;height:8.25pt;width:14.25pt;z-index:251676672;v-text-anchor:middle;mso-width-relative:page;mso-height-relative:page;" filled="f" stroked="t" coordsize="21600,21600" o:gfxdata="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EJZRiPaAAAACwEAAA8AAAAAAAAAAQAg&#10;AAAAIgAAAGRycy9kb3ducmV2LnhtbFBLAQIUABQAAAAIAIdO4kCYR5BqfgIAAOYEAAAOAAAAAAAA&#10;AAEAIAAAACkBAABkcnMvZTJvRG9jLnhtbFBLBQYAAAAABgAGAFkBAAAZBgAAAAA=&#10;">
                      <v:fill on="f" focussize="0,0"/>
                      <v:stroke weight="1.5pt" color="#FF0000" miterlimit="8" joinstyle="miter"/>
                      <v:imagedata o:title=""/>
                      <o:lock v:ext="edit" aspectratio="f"/>
                    </v:rect>
                  </w:pict>
                </mc:Fallback>
              </mc:AlternateContent>
            </w:r>
            <w:r>
              <w:rPr>
                <w:color w:val="auto"/>
                <w:highlight w:val="none"/>
              </w:rPr>
              <w:drawing>
                <wp:inline distT="0" distB="0" distL="114300" distR="114300">
                  <wp:extent cx="5083810" cy="3140075"/>
                  <wp:effectExtent l="0" t="0" r="2540" b="317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2"/>
                          <a:stretch>
                            <a:fillRect/>
                          </a:stretch>
                        </pic:blipFill>
                        <pic:spPr>
                          <a:xfrm>
                            <a:off x="0" y="0"/>
                            <a:ext cx="5083810" cy="3140075"/>
                          </a:xfrm>
                          <a:prstGeom prst="rect">
                            <a:avLst/>
                          </a:prstGeom>
                          <a:noFill/>
                          <a:ln>
                            <a:noFill/>
                          </a:ln>
                        </pic:spPr>
                      </pic:pic>
                    </a:graphicData>
                  </a:graphic>
                </wp:inline>
              </w:drawing>
            </w:r>
            <w:r>
              <w:rPr>
                <w:b/>
                <w:color w:val="auto"/>
                <w:kern w:val="0"/>
                <w:sz w:val="21"/>
                <w:szCs w:val="21"/>
                <w:highlight w:val="none"/>
              </w:rPr>
              <w:t>图3-1 大气监测点位图</w:t>
            </w:r>
          </w:p>
          <w:p w14:paraId="2DCA39E2">
            <w:pPr>
              <w:widowControl/>
              <w:spacing w:line="360" w:lineRule="auto"/>
              <w:ind w:firstLine="420" w:firstLineChars="200"/>
              <w:rPr>
                <w:color w:val="auto"/>
                <w:szCs w:val="21"/>
                <w:highlight w:val="none"/>
              </w:rPr>
            </w:pPr>
            <w:r>
              <w:rPr>
                <w:color w:val="auto"/>
                <w:szCs w:val="21"/>
                <w:highlight w:val="none"/>
              </w:rPr>
              <w:t>监测点基本信息见表3-</w:t>
            </w:r>
            <w:r>
              <w:rPr>
                <w:rFonts w:hint="eastAsia"/>
                <w:color w:val="auto"/>
                <w:szCs w:val="21"/>
                <w:highlight w:val="none"/>
              </w:rPr>
              <w:t>2</w:t>
            </w:r>
            <w:r>
              <w:rPr>
                <w:color w:val="auto"/>
                <w:szCs w:val="21"/>
                <w:highlight w:val="none"/>
              </w:rPr>
              <w:t>，评价结果见表3-</w:t>
            </w:r>
            <w:r>
              <w:rPr>
                <w:rFonts w:hint="eastAsia"/>
                <w:color w:val="auto"/>
                <w:szCs w:val="21"/>
                <w:highlight w:val="none"/>
              </w:rPr>
              <w:t>3</w:t>
            </w:r>
            <w:r>
              <w:rPr>
                <w:color w:val="auto"/>
                <w:szCs w:val="21"/>
                <w:highlight w:val="none"/>
              </w:rPr>
              <w:t>。</w:t>
            </w:r>
          </w:p>
          <w:p w14:paraId="510A0D4A">
            <w:pPr>
              <w:adjustRightInd w:val="0"/>
              <w:snapToGrid w:val="0"/>
              <w:jc w:val="center"/>
              <w:rPr>
                <w:b/>
                <w:bCs/>
                <w:color w:val="auto"/>
                <w:kern w:val="0"/>
                <w:szCs w:val="21"/>
                <w:highlight w:val="none"/>
              </w:rPr>
            </w:pPr>
            <w:r>
              <w:rPr>
                <w:rFonts w:hint="eastAsia"/>
                <w:b/>
                <w:bCs/>
                <w:color w:val="auto"/>
                <w:kern w:val="0"/>
                <w:szCs w:val="21"/>
                <w:highlight w:val="none"/>
              </w:rPr>
              <w:t>表3-2  监测点基本信息表</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355"/>
              <w:gridCol w:w="1355"/>
              <w:gridCol w:w="1170"/>
              <w:gridCol w:w="1350"/>
              <w:gridCol w:w="1549"/>
            </w:tblGrid>
            <w:tr w14:paraId="38594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ign w:val="center"/>
                </w:tcPr>
                <w:p w14:paraId="6374307D">
                  <w:pPr>
                    <w:jc w:val="center"/>
                    <w:rPr>
                      <w:color w:val="auto"/>
                      <w:sz w:val="18"/>
                      <w:szCs w:val="18"/>
                      <w:highlight w:val="none"/>
                    </w:rPr>
                  </w:pPr>
                  <w:r>
                    <w:rPr>
                      <w:color w:val="auto"/>
                      <w:kern w:val="0"/>
                      <w:sz w:val="18"/>
                      <w:szCs w:val="18"/>
                      <w:highlight w:val="none"/>
                    </w:rPr>
                    <w:t>名称</w:t>
                  </w:r>
                </w:p>
              </w:tc>
              <w:tc>
                <w:tcPr>
                  <w:tcW w:w="1339" w:type="dxa"/>
                  <w:tcBorders>
                    <w:tl2br w:val="nil"/>
                    <w:tr2bl w:val="nil"/>
                  </w:tcBorders>
                  <w:noWrap/>
                  <w:vAlign w:val="center"/>
                </w:tcPr>
                <w:p w14:paraId="62D58721">
                  <w:pPr>
                    <w:jc w:val="center"/>
                    <w:rPr>
                      <w:color w:val="auto"/>
                      <w:sz w:val="18"/>
                      <w:szCs w:val="18"/>
                      <w:highlight w:val="none"/>
                    </w:rPr>
                  </w:pPr>
                  <w:r>
                    <w:rPr>
                      <w:color w:val="auto"/>
                      <w:kern w:val="0"/>
                      <w:sz w:val="18"/>
                      <w:szCs w:val="18"/>
                      <w:highlight w:val="none"/>
                    </w:rPr>
                    <w:t>坐标</w:t>
                  </w:r>
                  <w:r>
                    <w:rPr>
                      <w:rFonts w:hint="eastAsia"/>
                      <w:color w:val="auto"/>
                      <w:kern w:val="0"/>
                      <w:sz w:val="18"/>
                      <w:szCs w:val="18"/>
                      <w:highlight w:val="none"/>
                    </w:rPr>
                    <w:t>/°</w:t>
                  </w:r>
                </w:p>
              </w:tc>
              <w:tc>
                <w:tcPr>
                  <w:tcW w:w="1339" w:type="dxa"/>
                  <w:tcBorders>
                    <w:tl2br w:val="nil"/>
                    <w:tr2bl w:val="nil"/>
                  </w:tcBorders>
                  <w:noWrap/>
                  <w:vAlign w:val="center"/>
                </w:tcPr>
                <w:p w14:paraId="17394F0D">
                  <w:pPr>
                    <w:jc w:val="center"/>
                    <w:rPr>
                      <w:color w:val="auto"/>
                      <w:sz w:val="18"/>
                      <w:szCs w:val="18"/>
                      <w:highlight w:val="none"/>
                    </w:rPr>
                  </w:pPr>
                  <w:r>
                    <w:rPr>
                      <w:color w:val="auto"/>
                      <w:kern w:val="0"/>
                      <w:sz w:val="18"/>
                      <w:szCs w:val="18"/>
                      <w:highlight w:val="none"/>
                    </w:rPr>
                    <w:t>监测因子</w:t>
                  </w:r>
                </w:p>
              </w:tc>
              <w:tc>
                <w:tcPr>
                  <w:tcW w:w="1156" w:type="dxa"/>
                  <w:tcBorders>
                    <w:tl2br w:val="nil"/>
                    <w:tr2bl w:val="nil"/>
                  </w:tcBorders>
                  <w:noWrap/>
                  <w:vAlign w:val="center"/>
                </w:tcPr>
                <w:p w14:paraId="0C719833">
                  <w:pPr>
                    <w:jc w:val="center"/>
                    <w:rPr>
                      <w:color w:val="auto"/>
                      <w:sz w:val="18"/>
                      <w:szCs w:val="18"/>
                      <w:highlight w:val="none"/>
                    </w:rPr>
                  </w:pPr>
                  <w:r>
                    <w:rPr>
                      <w:color w:val="auto"/>
                      <w:kern w:val="0"/>
                      <w:sz w:val="18"/>
                      <w:szCs w:val="18"/>
                      <w:highlight w:val="none"/>
                    </w:rPr>
                    <w:t>监测时段</w:t>
                  </w:r>
                </w:p>
              </w:tc>
              <w:tc>
                <w:tcPr>
                  <w:tcW w:w="1334" w:type="dxa"/>
                  <w:tcBorders>
                    <w:tl2br w:val="nil"/>
                    <w:tr2bl w:val="nil"/>
                  </w:tcBorders>
                  <w:noWrap/>
                  <w:vAlign w:val="center"/>
                </w:tcPr>
                <w:p w14:paraId="2C781C22">
                  <w:pPr>
                    <w:jc w:val="center"/>
                    <w:rPr>
                      <w:color w:val="auto"/>
                      <w:sz w:val="18"/>
                      <w:szCs w:val="18"/>
                      <w:highlight w:val="none"/>
                    </w:rPr>
                  </w:pPr>
                  <w:r>
                    <w:rPr>
                      <w:color w:val="auto"/>
                      <w:kern w:val="0"/>
                      <w:sz w:val="18"/>
                      <w:szCs w:val="18"/>
                      <w:highlight w:val="none"/>
                    </w:rPr>
                    <w:t>相对厂址方位</w:t>
                  </w:r>
                </w:p>
              </w:tc>
              <w:tc>
                <w:tcPr>
                  <w:tcW w:w="1530" w:type="dxa"/>
                  <w:tcBorders>
                    <w:tl2br w:val="nil"/>
                    <w:tr2bl w:val="nil"/>
                  </w:tcBorders>
                  <w:noWrap/>
                  <w:vAlign w:val="center"/>
                </w:tcPr>
                <w:p w14:paraId="26897E97">
                  <w:pPr>
                    <w:jc w:val="center"/>
                    <w:rPr>
                      <w:color w:val="auto"/>
                      <w:sz w:val="18"/>
                      <w:szCs w:val="18"/>
                      <w:highlight w:val="none"/>
                    </w:rPr>
                  </w:pPr>
                  <w:r>
                    <w:rPr>
                      <w:color w:val="auto"/>
                      <w:kern w:val="0"/>
                      <w:sz w:val="18"/>
                      <w:szCs w:val="18"/>
                      <w:highlight w:val="none"/>
                    </w:rPr>
                    <w:t>相对厂界距离/m</w:t>
                  </w:r>
                </w:p>
              </w:tc>
            </w:tr>
            <w:tr w14:paraId="24C875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ign w:val="center"/>
                </w:tcPr>
                <w:p w14:paraId="7C1E1BE5">
                  <w:pPr>
                    <w:adjustRightInd w:val="0"/>
                    <w:snapToGrid w:val="0"/>
                    <w:jc w:val="center"/>
                    <w:rPr>
                      <w:color w:val="auto"/>
                      <w:sz w:val="18"/>
                      <w:szCs w:val="18"/>
                      <w:highlight w:val="none"/>
                    </w:rPr>
                  </w:pPr>
                  <w:r>
                    <w:rPr>
                      <w:rFonts w:hint="eastAsia"/>
                      <w:color w:val="auto"/>
                      <w:sz w:val="18"/>
                      <w:szCs w:val="18"/>
                      <w:highlight w:val="none"/>
                    </w:rPr>
                    <w:t>当季主导风向厂址下风向</w:t>
                  </w:r>
                </w:p>
              </w:tc>
              <w:tc>
                <w:tcPr>
                  <w:tcW w:w="1339" w:type="dxa"/>
                  <w:tcBorders>
                    <w:tl2br w:val="nil"/>
                    <w:tr2bl w:val="nil"/>
                  </w:tcBorders>
                  <w:noWrap/>
                  <w:vAlign w:val="center"/>
                </w:tcPr>
                <w:p w14:paraId="2912BE2D">
                  <w:pPr>
                    <w:widowControl/>
                    <w:jc w:val="center"/>
                    <w:rPr>
                      <w:color w:val="auto"/>
                      <w:sz w:val="18"/>
                      <w:szCs w:val="18"/>
                      <w:highlight w:val="none"/>
                    </w:rPr>
                  </w:pPr>
                  <w:r>
                    <w:rPr>
                      <w:rFonts w:hint="eastAsia"/>
                      <w:color w:val="auto"/>
                      <w:sz w:val="18"/>
                      <w:szCs w:val="18"/>
                      <w:highlight w:val="none"/>
                    </w:rPr>
                    <w:t>130.87399542</w:t>
                  </w:r>
                </w:p>
                <w:p w14:paraId="3BFD7594">
                  <w:pPr>
                    <w:widowControl/>
                    <w:jc w:val="center"/>
                    <w:rPr>
                      <w:color w:val="auto"/>
                      <w:sz w:val="18"/>
                      <w:szCs w:val="18"/>
                      <w:highlight w:val="none"/>
                    </w:rPr>
                  </w:pPr>
                  <w:r>
                    <w:rPr>
                      <w:rFonts w:hint="eastAsia"/>
                      <w:color w:val="auto"/>
                      <w:sz w:val="18"/>
                      <w:szCs w:val="18"/>
                      <w:highlight w:val="none"/>
                    </w:rPr>
                    <w:t>45.16694428</w:t>
                  </w:r>
                </w:p>
              </w:tc>
              <w:tc>
                <w:tcPr>
                  <w:tcW w:w="1339" w:type="dxa"/>
                  <w:tcBorders>
                    <w:tl2br w:val="nil"/>
                    <w:tr2bl w:val="nil"/>
                  </w:tcBorders>
                  <w:noWrap/>
                  <w:vAlign w:val="center"/>
                </w:tcPr>
                <w:p w14:paraId="06F86772">
                  <w:pPr>
                    <w:widowControl/>
                    <w:jc w:val="center"/>
                    <w:rPr>
                      <w:color w:val="auto"/>
                      <w:sz w:val="18"/>
                      <w:szCs w:val="18"/>
                      <w:highlight w:val="none"/>
                    </w:rPr>
                  </w:pPr>
                  <w:r>
                    <w:rPr>
                      <w:color w:val="auto"/>
                      <w:kern w:val="0"/>
                      <w:sz w:val="18"/>
                      <w:szCs w:val="18"/>
                      <w:highlight w:val="none"/>
                    </w:rPr>
                    <w:t>TSP</w:t>
                  </w:r>
                </w:p>
              </w:tc>
              <w:tc>
                <w:tcPr>
                  <w:tcW w:w="1156" w:type="dxa"/>
                  <w:tcBorders>
                    <w:tl2br w:val="nil"/>
                    <w:tr2bl w:val="nil"/>
                  </w:tcBorders>
                  <w:noWrap/>
                  <w:vAlign w:val="center"/>
                </w:tcPr>
                <w:p w14:paraId="53105491">
                  <w:pPr>
                    <w:widowControl/>
                    <w:jc w:val="center"/>
                    <w:rPr>
                      <w:color w:val="auto"/>
                      <w:sz w:val="18"/>
                      <w:szCs w:val="18"/>
                      <w:highlight w:val="none"/>
                    </w:rPr>
                  </w:pPr>
                  <w:r>
                    <w:rPr>
                      <w:rFonts w:hint="eastAsia"/>
                      <w:color w:val="auto"/>
                      <w:kern w:val="0"/>
                      <w:sz w:val="18"/>
                      <w:szCs w:val="18"/>
                      <w:highlight w:val="none"/>
                    </w:rPr>
                    <w:t>24小时平均</w:t>
                  </w:r>
                </w:p>
              </w:tc>
              <w:tc>
                <w:tcPr>
                  <w:tcW w:w="1334" w:type="dxa"/>
                  <w:tcBorders>
                    <w:tl2br w:val="nil"/>
                    <w:tr2bl w:val="nil"/>
                  </w:tcBorders>
                  <w:noWrap/>
                  <w:vAlign w:val="center"/>
                </w:tcPr>
                <w:p w14:paraId="2EDA8756">
                  <w:pPr>
                    <w:adjustRightInd w:val="0"/>
                    <w:snapToGrid w:val="0"/>
                    <w:jc w:val="center"/>
                    <w:rPr>
                      <w:color w:val="auto"/>
                      <w:sz w:val="18"/>
                      <w:szCs w:val="18"/>
                      <w:highlight w:val="none"/>
                    </w:rPr>
                  </w:pPr>
                  <w:r>
                    <w:rPr>
                      <w:rFonts w:hint="eastAsia"/>
                      <w:color w:val="auto"/>
                      <w:sz w:val="18"/>
                      <w:szCs w:val="18"/>
                      <w:highlight w:val="none"/>
                    </w:rPr>
                    <w:t>东</w:t>
                  </w:r>
                </w:p>
              </w:tc>
              <w:tc>
                <w:tcPr>
                  <w:tcW w:w="1530" w:type="dxa"/>
                  <w:tcBorders>
                    <w:tl2br w:val="nil"/>
                    <w:tr2bl w:val="nil"/>
                  </w:tcBorders>
                  <w:noWrap/>
                  <w:vAlign w:val="center"/>
                </w:tcPr>
                <w:p w14:paraId="5F307601">
                  <w:pPr>
                    <w:adjustRightInd w:val="0"/>
                    <w:snapToGrid w:val="0"/>
                    <w:jc w:val="center"/>
                    <w:rPr>
                      <w:color w:val="auto"/>
                      <w:sz w:val="18"/>
                      <w:szCs w:val="18"/>
                      <w:highlight w:val="none"/>
                    </w:rPr>
                  </w:pPr>
                  <w:r>
                    <w:rPr>
                      <w:rFonts w:hint="eastAsia"/>
                      <w:color w:val="auto"/>
                      <w:sz w:val="18"/>
                      <w:szCs w:val="18"/>
                      <w:highlight w:val="none"/>
                    </w:rPr>
                    <w:t>100</w:t>
                  </w:r>
                </w:p>
              </w:tc>
            </w:tr>
          </w:tbl>
          <w:p w14:paraId="17EBE325">
            <w:pPr>
              <w:pStyle w:val="38"/>
              <w:spacing w:beforeLines="0" w:afterLines="0"/>
              <w:ind w:firstLine="0" w:firstLineChars="0"/>
              <w:jc w:val="center"/>
              <w:rPr>
                <w:b/>
                <w:bCs/>
                <w:color w:val="auto"/>
                <w:sz w:val="21"/>
                <w:szCs w:val="21"/>
                <w:highlight w:val="none"/>
              </w:rPr>
            </w:pPr>
            <w:r>
              <w:rPr>
                <w:b/>
                <w:bCs/>
                <w:color w:val="auto"/>
                <w:sz w:val="21"/>
                <w:szCs w:val="21"/>
                <w:highlight w:val="none"/>
              </w:rPr>
              <w:t>表3-</w:t>
            </w:r>
            <w:r>
              <w:rPr>
                <w:rFonts w:hint="eastAsia"/>
                <w:b/>
                <w:bCs/>
                <w:color w:val="auto"/>
                <w:sz w:val="21"/>
                <w:szCs w:val="21"/>
                <w:highlight w:val="none"/>
              </w:rPr>
              <w:t>3</w:t>
            </w:r>
            <w:r>
              <w:rPr>
                <w:b/>
                <w:bCs/>
                <w:color w:val="auto"/>
                <w:sz w:val="21"/>
                <w:szCs w:val="21"/>
                <w:highlight w:val="none"/>
              </w:rPr>
              <w:t>监测结果</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1161"/>
              <w:gridCol w:w="1162"/>
              <w:gridCol w:w="1163"/>
              <w:gridCol w:w="1331"/>
              <w:gridCol w:w="993"/>
              <w:gridCol w:w="1164"/>
            </w:tblGrid>
            <w:tr w14:paraId="5517F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9" w:hRule="atLeast"/>
                <w:jc w:val="center"/>
              </w:trPr>
              <w:tc>
                <w:tcPr>
                  <w:tcW w:w="1142" w:type="dxa"/>
                  <w:tcBorders>
                    <w:tl2br w:val="nil"/>
                    <w:tr2bl w:val="nil"/>
                  </w:tcBorders>
                  <w:noWrap/>
                  <w:vAlign w:val="center"/>
                </w:tcPr>
                <w:p w14:paraId="174B9696">
                  <w:pPr>
                    <w:jc w:val="center"/>
                    <w:rPr>
                      <w:color w:val="auto"/>
                      <w:sz w:val="18"/>
                      <w:szCs w:val="18"/>
                      <w:highlight w:val="none"/>
                    </w:rPr>
                  </w:pPr>
                  <w:r>
                    <w:rPr>
                      <w:color w:val="auto"/>
                      <w:kern w:val="0"/>
                      <w:sz w:val="18"/>
                      <w:szCs w:val="18"/>
                      <w:highlight w:val="none"/>
                    </w:rPr>
                    <w:t>名称</w:t>
                  </w:r>
                </w:p>
              </w:tc>
              <w:tc>
                <w:tcPr>
                  <w:tcW w:w="1142" w:type="dxa"/>
                  <w:tcBorders>
                    <w:tl2br w:val="nil"/>
                    <w:tr2bl w:val="nil"/>
                  </w:tcBorders>
                  <w:noWrap/>
                  <w:vAlign w:val="center"/>
                </w:tcPr>
                <w:p w14:paraId="04C49074">
                  <w:pPr>
                    <w:jc w:val="center"/>
                    <w:rPr>
                      <w:color w:val="auto"/>
                      <w:sz w:val="18"/>
                      <w:szCs w:val="18"/>
                      <w:highlight w:val="none"/>
                    </w:rPr>
                  </w:pPr>
                  <w:r>
                    <w:rPr>
                      <w:color w:val="auto"/>
                      <w:kern w:val="0"/>
                      <w:sz w:val="18"/>
                      <w:szCs w:val="18"/>
                      <w:highlight w:val="none"/>
                    </w:rPr>
                    <w:t>污染物</w:t>
                  </w:r>
                </w:p>
              </w:tc>
              <w:tc>
                <w:tcPr>
                  <w:tcW w:w="1142" w:type="dxa"/>
                  <w:tcBorders>
                    <w:tl2br w:val="nil"/>
                    <w:tr2bl w:val="nil"/>
                  </w:tcBorders>
                  <w:noWrap/>
                  <w:vAlign w:val="center"/>
                </w:tcPr>
                <w:p w14:paraId="56DCC3CE">
                  <w:pPr>
                    <w:jc w:val="center"/>
                    <w:rPr>
                      <w:color w:val="auto"/>
                      <w:sz w:val="18"/>
                      <w:szCs w:val="18"/>
                      <w:highlight w:val="none"/>
                    </w:rPr>
                  </w:pPr>
                  <w:r>
                    <w:rPr>
                      <w:color w:val="auto"/>
                      <w:kern w:val="0"/>
                      <w:sz w:val="18"/>
                      <w:szCs w:val="18"/>
                      <w:highlight w:val="none"/>
                    </w:rPr>
                    <w:t>评价标准（μg/m</w:t>
                  </w:r>
                  <w:r>
                    <w:rPr>
                      <w:color w:val="auto"/>
                      <w:kern w:val="0"/>
                      <w:sz w:val="18"/>
                      <w:szCs w:val="18"/>
                      <w:highlight w:val="none"/>
                      <w:vertAlign w:val="superscript"/>
                    </w:rPr>
                    <w:t>3</w:t>
                  </w:r>
                  <w:r>
                    <w:rPr>
                      <w:color w:val="auto"/>
                      <w:kern w:val="0"/>
                      <w:sz w:val="18"/>
                      <w:szCs w:val="18"/>
                      <w:highlight w:val="none"/>
                    </w:rPr>
                    <w:t>）</w:t>
                  </w:r>
                </w:p>
              </w:tc>
              <w:tc>
                <w:tcPr>
                  <w:tcW w:w="1143" w:type="dxa"/>
                  <w:tcBorders>
                    <w:tl2br w:val="nil"/>
                    <w:tr2bl w:val="nil"/>
                  </w:tcBorders>
                  <w:noWrap/>
                  <w:vAlign w:val="center"/>
                </w:tcPr>
                <w:p w14:paraId="3444EE28">
                  <w:pPr>
                    <w:jc w:val="center"/>
                    <w:rPr>
                      <w:color w:val="auto"/>
                      <w:sz w:val="18"/>
                      <w:szCs w:val="18"/>
                      <w:highlight w:val="none"/>
                    </w:rPr>
                  </w:pPr>
                  <w:r>
                    <w:rPr>
                      <w:color w:val="auto"/>
                      <w:kern w:val="0"/>
                      <w:sz w:val="18"/>
                      <w:szCs w:val="18"/>
                      <w:highlight w:val="none"/>
                    </w:rPr>
                    <w:t>浓度范围（μg/m</w:t>
                  </w:r>
                  <w:r>
                    <w:rPr>
                      <w:color w:val="auto"/>
                      <w:kern w:val="0"/>
                      <w:sz w:val="18"/>
                      <w:szCs w:val="18"/>
                      <w:highlight w:val="none"/>
                      <w:vertAlign w:val="superscript"/>
                    </w:rPr>
                    <w:t>3</w:t>
                  </w:r>
                  <w:r>
                    <w:rPr>
                      <w:color w:val="auto"/>
                      <w:kern w:val="0"/>
                      <w:sz w:val="18"/>
                      <w:szCs w:val="18"/>
                      <w:highlight w:val="none"/>
                    </w:rPr>
                    <w:t>）</w:t>
                  </w:r>
                </w:p>
              </w:tc>
              <w:tc>
                <w:tcPr>
                  <w:tcW w:w="1309" w:type="dxa"/>
                  <w:tcBorders>
                    <w:tl2br w:val="nil"/>
                    <w:tr2bl w:val="nil"/>
                  </w:tcBorders>
                  <w:noWrap/>
                  <w:vAlign w:val="center"/>
                </w:tcPr>
                <w:p w14:paraId="253554F5">
                  <w:pPr>
                    <w:jc w:val="center"/>
                    <w:rPr>
                      <w:color w:val="auto"/>
                      <w:sz w:val="18"/>
                      <w:szCs w:val="18"/>
                      <w:highlight w:val="none"/>
                    </w:rPr>
                  </w:pPr>
                  <w:r>
                    <w:rPr>
                      <w:color w:val="auto"/>
                      <w:kern w:val="0"/>
                      <w:sz w:val="18"/>
                      <w:szCs w:val="18"/>
                      <w:highlight w:val="none"/>
                    </w:rPr>
                    <w:t>最大占标率%</w:t>
                  </w:r>
                </w:p>
              </w:tc>
              <w:tc>
                <w:tcPr>
                  <w:tcW w:w="976" w:type="dxa"/>
                  <w:tcBorders>
                    <w:tl2br w:val="nil"/>
                    <w:tr2bl w:val="nil"/>
                  </w:tcBorders>
                  <w:noWrap/>
                  <w:vAlign w:val="center"/>
                </w:tcPr>
                <w:p w14:paraId="5FB2724C">
                  <w:pPr>
                    <w:jc w:val="center"/>
                    <w:rPr>
                      <w:color w:val="auto"/>
                      <w:sz w:val="18"/>
                      <w:szCs w:val="18"/>
                      <w:highlight w:val="none"/>
                    </w:rPr>
                  </w:pPr>
                  <w:r>
                    <w:rPr>
                      <w:color w:val="auto"/>
                      <w:kern w:val="0"/>
                      <w:sz w:val="18"/>
                      <w:szCs w:val="18"/>
                      <w:highlight w:val="none"/>
                    </w:rPr>
                    <w:t>超标率%</w:t>
                  </w:r>
                </w:p>
              </w:tc>
              <w:tc>
                <w:tcPr>
                  <w:tcW w:w="1144" w:type="dxa"/>
                  <w:tcBorders>
                    <w:tl2br w:val="nil"/>
                    <w:tr2bl w:val="nil"/>
                  </w:tcBorders>
                  <w:noWrap/>
                  <w:vAlign w:val="center"/>
                </w:tcPr>
                <w:p w14:paraId="5B68AA38">
                  <w:pPr>
                    <w:jc w:val="center"/>
                    <w:rPr>
                      <w:color w:val="auto"/>
                      <w:sz w:val="18"/>
                      <w:szCs w:val="18"/>
                      <w:highlight w:val="none"/>
                    </w:rPr>
                  </w:pPr>
                  <w:r>
                    <w:rPr>
                      <w:color w:val="auto"/>
                      <w:kern w:val="0"/>
                      <w:sz w:val="18"/>
                      <w:szCs w:val="18"/>
                      <w:highlight w:val="none"/>
                    </w:rPr>
                    <w:t>达标情况</w:t>
                  </w:r>
                </w:p>
              </w:tc>
            </w:tr>
            <w:tr w14:paraId="69EC9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142" w:type="dxa"/>
                  <w:tcBorders>
                    <w:tl2br w:val="nil"/>
                    <w:tr2bl w:val="nil"/>
                  </w:tcBorders>
                  <w:noWrap/>
                  <w:vAlign w:val="center"/>
                </w:tcPr>
                <w:p w14:paraId="11DD3AB1">
                  <w:pPr>
                    <w:adjustRightInd w:val="0"/>
                    <w:snapToGrid w:val="0"/>
                    <w:jc w:val="center"/>
                    <w:rPr>
                      <w:color w:val="auto"/>
                      <w:sz w:val="18"/>
                      <w:szCs w:val="18"/>
                      <w:highlight w:val="none"/>
                    </w:rPr>
                  </w:pPr>
                  <w:r>
                    <w:rPr>
                      <w:rFonts w:hint="eastAsia"/>
                      <w:color w:val="auto"/>
                      <w:sz w:val="18"/>
                      <w:szCs w:val="18"/>
                      <w:highlight w:val="none"/>
                    </w:rPr>
                    <w:t>当季主导风向厂址下风向</w:t>
                  </w:r>
                </w:p>
              </w:tc>
              <w:tc>
                <w:tcPr>
                  <w:tcW w:w="1142" w:type="dxa"/>
                  <w:tcBorders>
                    <w:tl2br w:val="nil"/>
                    <w:tr2bl w:val="nil"/>
                  </w:tcBorders>
                  <w:noWrap/>
                  <w:vAlign w:val="center"/>
                </w:tcPr>
                <w:p w14:paraId="6FE53E0E">
                  <w:pPr>
                    <w:adjustRightInd w:val="0"/>
                    <w:snapToGrid w:val="0"/>
                    <w:jc w:val="center"/>
                    <w:rPr>
                      <w:color w:val="auto"/>
                      <w:sz w:val="18"/>
                      <w:szCs w:val="18"/>
                      <w:highlight w:val="none"/>
                    </w:rPr>
                  </w:pPr>
                  <w:r>
                    <w:rPr>
                      <w:rFonts w:hint="eastAsia"/>
                      <w:color w:val="auto"/>
                      <w:sz w:val="18"/>
                      <w:szCs w:val="18"/>
                      <w:highlight w:val="none"/>
                    </w:rPr>
                    <w:t>TSP</w:t>
                  </w:r>
                </w:p>
              </w:tc>
              <w:tc>
                <w:tcPr>
                  <w:tcW w:w="1142" w:type="dxa"/>
                  <w:tcBorders>
                    <w:tl2br w:val="nil"/>
                    <w:tr2bl w:val="nil"/>
                  </w:tcBorders>
                  <w:noWrap/>
                  <w:vAlign w:val="center"/>
                </w:tcPr>
                <w:p w14:paraId="59E95925">
                  <w:pPr>
                    <w:adjustRightInd w:val="0"/>
                    <w:snapToGrid w:val="0"/>
                    <w:jc w:val="center"/>
                    <w:rPr>
                      <w:color w:val="auto"/>
                      <w:sz w:val="18"/>
                      <w:szCs w:val="18"/>
                      <w:highlight w:val="none"/>
                    </w:rPr>
                  </w:pPr>
                  <w:r>
                    <w:rPr>
                      <w:rFonts w:hint="eastAsia"/>
                      <w:color w:val="auto"/>
                      <w:sz w:val="18"/>
                      <w:szCs w:val="18"/>
                      <w:highlight w:val="none"/>
                    </w:rPr>
                    <w:t>300</w:t>
                  </w:r>
                </w:p>
              </w:tc>
              <w:tc>
                <w:tcPr>
                  <w:tcW w:w="1143" w:type="dxa"/>
                  <w:tcBorders>
                    <w:tl2br w:val="nil"/>
                    <w:tr2bl w:val="nil"/>
                  </w:tcBorders>
                  <w:noWrap/>
                  <w:vAlign w:val="center"/>
                </w:tcPr>
                <w:p w14:paraId="2D495C4E">
                  <w:pPr>
                    <w:adjustRightInd w:val="0"/>
                    <w:snapToGrid w:val="0"/>
                    <w:jc w:val="center"/>
                    <w:rPr>
                      <w:color w:val="auto"/>
                      <w:sz w:val="18"/>
                      <w:szCs w:val="18"/>
                      <w:highlight w:val="none"/>
                    </w:rPr>
                  </w:pPr>
                  <w:r>
                    <w:rPr>
                      <w:rFonts w:hint="eastAsia"/>
                      <w:color w:val="auto"/>
                      <w:sz w:val="18"/>
                      <w:szCs w:val="18"/>
                      <w:highlight w:val="none"/>
                    </w:rPr>
                    <w:t>94-100</w:t>
                  </w:r>
                </w:p>
              </w:tc>
              <w:tc>
                <w:tcPr>
                  <w:tcW w:w="1309" w:type="dxa"/>
                  <w:tcBorders>
                    <w:tl2br w:val="nil"/>
                    <w:tr2bl w:val="nil"/>
                  </w:tcBorders>
                  <w:noWrap/>
                  <w:vAlign w:val="center"/>
                </w:tcPr>
                <w:p w14:paraId="70D28D43">
                  <w:pPr>
                    <w:adjustRightInd w:val="0"/>
                    <w:snapToGrid w:val="0"/>
                    <w:jc w:val="center"/>
                    <w:rPr>
                      <w:color w:val="auto"/>
                      <w:sz w:val="18"/>
                      <w:szCs w:val="18"/>
                      <w:highlight w:val="none"/>
                    </w:rPr>
                  </w:pPr>
                  <w:r>
                    <w:rPr>
                      <w:rFonts w:hint="eastAsia"/>
                      <w:color w:val="auto"/>
                      <w:sz w:val="18"/>
                      <w:szCs w:val="18"/>
                      <w:highlight w:val="none"/>
                    </w:rPr>
                    <w:t>33.3</w:t>
                  </w:r>
                </w:p>
              </w:tc>
              <w:tc>
                <w:tcPr>
                  <w:tcW w:w="976" w:type="dxa"/>
                  <w:tcBorders>
                    <w:tl2br w:val="nil"/>
                    <w:tr2bl w:val="nil"/>
                  </w:tcBorders>
                  <w:noWrap/>
                  <w:vAlign w:val="center"/>
                </w:tcPr>
                <w:p w14:paraId="443E6241">
                  <w:pPr>
                    <w:adjustRightInd w:val="0"/>
                    <w:snapToGrid w:val="0"/>
                    <w:jc w:val="center"/>
                    <w:rPr>
                      <w:color w:val="auto"/>
                      <w:sz w:val="18"/>
                      <w:szCs w:val="18"/>
                      <w:highlight w:val="none"/>
                    </w:rPr>
                  </w:pPr>
                  <w:r>
                    <w:rPr>
                      <w:rFonts w:hint="eastAsia"/>
                      <w:color w:val="auto"/>
                      <w:sz w:val="18"/>
                      <w:szCs w:val="18"/>
                      <w:highlight w:val="none"/>
                    </w:rPr>
                    <w:t>0</w:t>
                  </w:r>
                </w:p>
              </w:tc>
              <w:tc>
                <w:tcPr>
                  <w:tcW w:w="1144" w:type="dxa"/>
                  <w:tcBorders>
                    <w:tl2br w:val="nil"/>
                    <w:tr2bl w:val="nil"/>
                  </w:tcBorders>
                  <w:noWrap/>
                  <w:vAlign w:val="center"/>
                </w:tcPr>
                <w:p w14:paraId="15441086">
                  <w:pPr>
                    <w:adjustRightInd w:val="0"/>
                    <w:snapToGrid w:val="0"/>
                    <w:jc w:val="center"/>
                    <w:rPr>
                      <w:color w:val="auto"/>
                      <w:sz w:val="18"/>
                      <w:szCs w:val="18"/>
                      <w:highlight w:val="none"/>
                    </w:rPr>
                  </w:pPr>
                  <w:r>
                    <w:rPr>
                      <w:rFonts w:hint="eastAsia"/>
                      <w:color w:val="auto"/>
                      <w:sz w:val="18"/>
                      <w:szCs w:val="18"/>
                      <w:highlight w:val="none"/>
                    </w:rPr>
                    <w:t>达标</w:t>
                  </w:r>
                </w:p>
              </w:tc>
            </w:tr>
          </w:tbl>
          <w:p w14:paraId="64824C01">
            <w:pPr>
              <w:widowControl/>
              <w:spacing w:line="360" w:lineRule="auto"/>
              <w:ind w:firstLine="420" w:firstLineChars="200"/>
              <w:rPr>
                <w:color w:val="auto"/>
                <w:szCs w:val="21"/>
                <w:highlight w:val="none"/>
              </w:rPr>
            </w:pPr>
            <w:r>
              <w:rPr>
                <w:color w:val="auto"/>
                <w:szCs w:val="21"/>
                <w:highlight w:val="none"/>
              </w:rPr>
              <w:t>根据现状检测结果可知，项目所在地</w:t>
            </w:r>
            <w:r>
              <w:rPr>
                <w:rFonts w:hint="eastAsia"/>
                <w:color w:val="auto"/>
                <w:szCs w:val="21"/>
                <w:highlight w:val="none"/>
              </w:rPr>
              <w:t>TSP24小时平均值可满足《环境空气质量标准》（GB3095-2026）二级标准要求，区域环境空气质量良好。</w:t>
            </w:r>
          </w:p>
          <w:p w14:paraId="37A05925">
            <w:pPr>
              <w:widowControl/>
              <w:spacing w:line="360" w:lineRule="auto"/>
              <w:ind w:firstLine="422" w:firstLineChars="200"/>
              <w:rPr>
                <w:b/>
                <w:bCs/>
                <w:color w:val="auto"/>
                <w:szCs w:val="21"/>
                <w:highlight w:val="none"/>
              </w:rPr>
            </w:pPr>
            <w:r>
              <w:rPr>
                <w:b/>
                <w:bCs/>
                <w:color w:val="auto"/>
                <w:szCs w:val="21"/>
                <w:highlight w:val="none"/>
              </w:rPr>
              <w:t>2、地表水环境</w:t>
            </w:r>
          </w:p>
          <w:p w14:paraId="08C58210">
            <w:pPr>
              <w:widowControl/>
              <w:spacing w:line="360" w:lineRule="auto"/>
              <w:ind w:firstLine="420" w:firstLineChars="200"/>
              <w:rPr>
                <w:color w:val="auto"/>
                <w:kern w:val="0"/>
                <w:szCs w:val="21"/>
                <w:highlight w:val="none"/>
              </w:rPr>
            </w:pPr>
            <w:r>
              <w:rPr>
                <w:rFonts w:hint="eastAsia"/>
                <w:color w:val="auto"/>
                <w:kern w:val="0"/>
                <w:szCs w:val="21"/>
                <w:highlight w:val="none"/>
              </w:rPr>
              <w:t>本项目附近地表水体为小黄泥河，最终汇入穆棱河。根据鸡西市人民政府发布的《2025年1-</w:t>
            </w:r>
            <w:r>
              <w:rPr>
                <w:rFonts w:hint="eastAsia"/>
                <w:color w:val="auto"/>
                <w:kern w:val="0"/>
                <w:szCs w:val="21"/>
                <w:highlight w:val="none"/>
                <w:lang w:val="en-US" w:eastAsia="zh-CN"/>
              </w:rPr>
              <w:t>12</w:t>
            </w:r>
            <w:r>
              <w:rPr>
                <w:rFonts w:hint="eastAsia"/>
                <w:color w:val="auto"/>
                <w:kern w:val="0"/>
                <w:szCs w:val="21"/>
                <w:highlight w:val="none"/>
              </w:rPr>
              <w:t>月地表水国控考核断面水质信息公开》穆棱河水质类别达到Ⅲ类标准。</w:t>
            </w:r>
          </w:p>
          <w:p w14:paraId="2E28CB5D">
            <w:pPr>
              <w:widowControl/>
              <w:spacing w:line="360" w:lineRule="auto"/>
              <w:ind w:firstLine="422" w:firstLineChars="200"/>
              <w:rPr>
                <w:b/>
                <w:bCs/>
                <w:color w:val="auto"/>
                <w:szCs w:val="21"/>
                <w:highlight w:val="none"/>
              </w:rPr>
            </w:pPr>
            <w:r>
              <w:rPr>
                <w:b/>
                <w:bCs/>
                <w:color w:val="auto"/>
                <w:szCs w:val="21"/>
                <w:highlight w:val="none"/>
              </w:rPr>
              <w:t>3、声环境</w:t>
            </w:r>
          </w:p>
          <w:p w14:paraId="7871711F">
            <w:pPr>
              <w:widowControl/>
              <w:spacing w:line="360" w:lineRule="auto"/>
              <w:ind w:firstLine="420" w:firstLineChars="200"/>
              <w:rPr>
                <w:b/>
                <w:bCs/>
                <w:color w:val="auto"/>
                <w:szCs w:val="21"/>
                <w:highlight w:val="none"/>
              </w:rPr>
            </w:pPr>
            <w:r>
              <w:rPr>
                <w:rFonts w:hint="eastAsia"/>
                <w:color w:val="auto"/>
                <w:szCs w:val="21"/>
                <w:highlight w:val="none"/>
              </w:rPr>
              <w:t>根据《2025年黑龙江省生态环境质量状况》（2026年1月），鸡西市区域昼间声环境质量为二级，等效声级为53.2dB（A），道路交通昼间声环境质量为一级，等效声级为64.7dB（A），功能区昼间达标率87.7%，功能区夜间达标率97.6%。</w:t>
            </w:r>
            <w:r>
              <w:rPr>
                <w:color w:val="auto"/>
                <w:kern w:val="0"/>
                <w:szCs w:val="21"/>
                <w:highlight w:val="none"/>
              </w:rPr>
              <w:t>本项目厂界外周边50米范围内</w:t>
            </w:r>
            <w:r>
              <w:rPr>
                <w:rFonts w:hint="eastAsia"/>
                <w:color w:val="auto"/>
                <w:kern w:val="0"/>
                <w:szCs w:val="21"/>
                <w:highlight w:val="none"/>
              </w:rPr>
              <w:t>无</w:t>
            </w:r>
            <w:r>
              <w:rPr>
                <w:color w:val="auto"/>
                <w:kern w:val="0"/>
                <w:szCs w:val="21"/>
                <w:highlight w:val="none"/>
              </w:rPr>
              <w:t>声环境保护目标</w:t>
            </w:r>
            <w:r>
              <w:rPr>
                <w:rFonts w:hint="eastAsia"/>
                <w:color w:val="auto"/>
                <w:kern w:val="0"/>
                <w:szCs w:val="21"/>
                <w:highlight w:val="none"/>
              </w:rPr>
              <w:t>，故未进行现状监测。</w:t>
            </w:r>
          </w:p>
          <w:p w14:paraId="6A7C6DCC">
            <w:pPr>
              <w:pStyle w:val="38"/>
              <w:widowControl/>
              <w:adjustRightInd w:val="0"/>
              <w:snapToGrid w:val="0"/>
              <w:spacing w:beforeLines="0" w:afterLines="0" w:line="360" w:lineRule="auto"/>
              <w:ind w:firstLine="422"/>
              <w:rPr>
                <w:b/>
                <w:color w:val="auto"/>
                <w:sz w:val="21"/>
                <w:szCs w:val="21"/>
                <w:highlight w:val="none"/>
              </w:rPr>
            </w:pPr>
            <w:r>
              <w:rPr>
                <w:b/>
                <w:color w:val="auto"/>
                <w:sz w:val="21"/>
                <w:szCs w:val="21"/>
                <w:highlight w:val="none"/>
              </w:rPr>
              <w:t>4、生态环境</w:t>
            </w:r>
          </w:p>
          <w:p w14:paraId="796CF49B">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本项目</w:t>
            </w:r>
            <w:r>
              <w:rPr>
                <w:rFonts w:hint="eastAsia"/>
                <w:color w:val="auto"/>
                <w:kern w:val="0"/>
                <w:szCs w:val="21"/>
                <w:highlight w:val="none"/>
              </w:rPr>
              <w:t>用地性质为采矿用地</w:t>
            </w:r>
            <w:r>
              <w:rPr>
                <w:color w:val="auto"/>
                <w:kern w:val="0"/>
                <w:szCs w:val="21"/>
                <w:highlight w:val="none"/>
              </w:rPr>
              <w:t>，用地范围内无生态环境保护目标，因此不进行生态现状调查。</w:t>
            </w:r>
          </w:p>
          <w:p w14:paraId="1FDF54A4">
            <w:pPr>
              <w:adjustRightInd w:val="0"/>
              <w:snapToGrid w:val="0"/>
              <w:spacing w:line="360" w:lineRule="auto"/>
              <w:ind w:firstLine="422" w:firstLineChars="200"/>
              <w:rPr>
                <w:b/>
                <w:bCs/>
                <w:color w:val="auto"/>
                <w:highlight w:val="none"/>
              </w:rPr>
            </w:pPr>
            <w:r>
              <w:rPr>
                <w:b/>
                <w:bCs/>
                <w:color w:val="auto"/>
                <w:highlight w:val="none"/>
              </w:rPr>
              <w:t>5、地下水、土壤环境</w:t>
            </w:r>
          </w:p>
          <w:p w14:paraId="40E57453">
            <w:pPr>
              <w:adjustRightInd w:val="0"/>
              <w:snapToGrid w:val="0"/>
              <w:spacing w:line="360" w:lineRule="auto"/>
              <w:ind w:firstLine="420" w:firstLineChars="200"/>
              <w:rPr>
                <w:color w:val="auto"/>
                <w:highlight w:val="none"/>
              </w:rPr>
            </w:pPr>
            <w:r>
              <w:rPr>
                <w:color w:val="auto"/>
                <w:highlight w:val="none"/>
              </w:rPr>
              <w:t>本项目车间地面进行硬化及防渗处理，正常情况下不存在地下水环境污染途径，并且厂界外 500米范围内无地下水集中式饮用水水源、热水、矿泉水、温泉等特殊地下水源，根据《建设项目环境影响报告表编制技术（污染影响类）（试行）》，地下水、土壤环境原则上不开展环境质量现状调查</w:t>
            </w:r>
            <w:r>
              <w:rPr>
                <w:rFonts w:hint="eastAsia"/>
                <w:color w:val="auto"/>
                <w:highlight w:val="none"/>
              </w:rPr>
              <w:t>，</w:t>
            </w:r>
            <w:r>
              <w:rPr>
                <w:color w:val="auto"/>
                <w:highlight w:val="none"/>
              </w:rPr>
              <w:t>建设项目存在土壤、地下水环境污染途径的，应结合污染源、保护目标分布情况开展现状调查以留作背景值，</w:t>
            </w:r>
            <w:r>
              <w:rPr>
                <w:rFonts w:hint="eastAsia"/>
                <w:color w:val="auto"/>
                <w:highlight w:val="none"/>
                <w:lang w:eastAsia="zh-CN"/>
              </w:rPr>
              <w:t>根据现场调查，项目区域及距离项目地最近村庄，该地块地下水贫乏，故本次</w:t>
            </w:r>
            <w:r>
              <w:rPr>
                <w:rFonts w:hint="eastAsia"/>
                <w:color w:val="auto"/>
                <w:highlight w:val="none"/>
                <w:lang w:val="en-US" w:eastAsia="zh-CN"/>
              </w:rPr>
              <w:t>仅</w:t>
            </w:r>
            <w:r>
              <w:rPr>
                <w:color w:val="auto"/>
                <w:highlight w:val="none"/>
              </w:rPr>
              <w:t>对项目厂区内土壤进行监测。</w:t>
            </w:r>
          </w:p>
          <w:p w14:paraId="18E45392">
            <w:pPr>
              <w:adjustRightInd w:val="0"/>
              <w:snapToGrid w:val="0"/>
              <w:spacing w:line="360" w:lineRule="auto"/>
              <w:ind w:firstLine="420" w:firstLineChars="200"/>
              <w:rPr>
                <w:color w:val="auto"/>
                <w:highlight w:val="none"/>
              </w:rPr>
            </w:pPr>
            <w:r>
              <w:rPr>
                <w:color w:val="auto"/>
                <w:highlight w:val="none"/>
              </w:rPr>
              <w:t>（1）</w:t>
            </w:r>
            <w:r>
              <w:rPr>
                <w:rFonts w:hint="eastAsia"/>
                <w:color w:val="auto"/>
                <w:highlight w:val="none"/>
              </w:rPr>
              <w:t>土壤</w:t>
            </w:r>
            <w:r>
              <w:rPr>
                <w:color w:val="auto"/>
                <w:highlight w:val="none"/>
              </w:rPr>
              <w:t>现状监测</w:t>
            </w:r>
          </w:p>
          <w:p w14:paraId="5F9A3DA7">
            <w:pPr>
              <w:pStyle w:val="68"/>
              <w:adjustRightInd w:val="0"/>
              <w:snapToGrid w:val="0"/>
              <w:spacing w:line="360" w:lineRule="auto"/>
              <w:ind w:firstLine="420"/>
              <w:rPr>
                <w:color w:val="auto"/>
                <w:sz w:val="21"/>
                <w:highlight w:val="none"/>
              </w:rPr>
            </w:pPr>
            <w:r>
              <w:rPr>
                <w:rFonts w:hint="eastAsia"/>
                <w:color w:val="auto"/>
                <w:sz w:val="21"/>
                <w:highlight w:val="none"/>
              </w:rPr>
              <w:t>①监测点位</w:t>
            </w:r>
          </w:p>
          <w:p w14:paraId="2D35C5DF">
            <w:pPr>
              <w:pStyle w:val="68"/>
              <w:adjustRightInd w:val="0"/>
              <w:snapToGrid w:val="0"/>
              <w:spacing w:line="360" w:lineRule="auto"/>
              <w:ind w:firstLine="420"/>
              <w:rPr>
                <w:color w:val="auto"/>
                <w:sz w:val="21"/>
                <w:highlight w:val="none"/>
              </w:rPr>
            </w:pPr>
            <w:r>
              <w:rPr>
                <w:color w:val="auto"/>
                <w:sz w:val="21"/>
                <w:highlight w:val="none"/>
              </w:rPr>
              <w:t>本项目土壤监测点位见表3-</w:t>
            </w:r>
            <w:r>
              <w:rPr>
                <w:rFonts w:hint="eastAsia"/>
                <w:color w:val="auto"/>
                <w:sz w:val="21"/>
                <w:highlight w:val="none"/>
              </w:rPr>
              <w:t>4</w:t>
            </w:r>
            <w:r>
              <w:rPr>
                <w:color w:val="auto"/>
                <w:sz w:val="21"/>
                <w:highlight w:val="none"/>
              </w:rPr>
              <w:t>及图3-</w:t>
            </w:r>
            <w:r>
              <w:rPr>
                <w:rFonts w:hint="eastAsia"/>
                <w:color w:val="auto"/>
                <w:sz w:val="21"/>
                <w:highlight w:val="none"/>
              </w:rPr>
              <w:t>2</w:t>
            </w:r>
            <w:r>
              <w:rPr>
                <w:color w:val="auto"/>
                <w:sz w:val="21"/>
                <w:highlight w:val="none"/>
              </w:rPr>
              <w:t>。</w:t>
            </w:r>
          </w:p>
          <w:p w14:paraId="231DB910">
            <w:pPr>
              <w:pStyle w:val="59"/>
              <w:adjustRightInd w:val="0"/>
              <w:spacing w:line="240" w:lineRule="auto"/>
              <w:rPr>
                <w:rFonts w:ascii="Times New Roman"/>
                <w:color w:val="auto"/>
                <w:sz w:val="21"/>
                <w:szCs w:val="21"/>
                <w:highlight w:val="none"/>
              </w:rPr>
            </w:pPr>
            <w:r>
              <w:rPr>
                <w:rFonts w:ascii="Times New Roman"/>
                <w:color w:val="auto"/>
                <w:sz w:val="21"/>
                <w:szCs w:val="21"/>
                <w:highlight w:val="none"/>
              </w:rPr>
              <w:t>表3-</w:t>
            </w:r>
            <w:r>
              <w:rPr>
                <w:rFonts w:hint="eastAsia" w:ascii="Times New Roman"/>
                <w:color w:val="auto"/>
                <w:sz w:val="21"/>
                <w:szCs w:val="21"/>
                <w:highlight w:val="none"/>
              </w:rPr>
              <w:t>4</w:t>
            </w:r>
            <w:r>
              <w:rPr>
                <w:rFonts w:ascii="Times New Roman"/>
                <w:color w:val="auto"/>
                <w:sz w:val="21"/>
                <w:szCs w:val="21"/>
                <w:highlight w:val="none"/>
              </w:rPr>
              <w:t xml:space="preserve">  土壤监测点位</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4063"/>
              <w:gridCol w:w="2543"/>
            </w:tblGrid>
            <w:tr w14:paraId="64163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940" w:type="pct"/>
                  <w:tcBorders>
                    <w:top w:val="single" w:color="auto" w:sz="12" w:space="0"/>
                    <w:bottom w:val="single" w:color="000000" w:sz="6" w:space="0"/>
                    <w:right w:val="single" w:color="000000" w:sz="6" w:space="0"/>
                  </w:tcBorders>
                  <w:noWrap/>
                  <w:vAlign w:val="center"/>
                </w:tcPr>
                <w:p w14:paraId="4FAE9F5C">
                  <w:pPr>
                    <w:pStyle w:val="74"/>
                    <w:rPr>
                      <w:color w:val="auto"/>
                      <w:sz w:val="18"/>
                      <w:szCs w:val="18"/>
                      <w:highlight w:val="none"/>
                    </w:rPr>
                  </w:pPr>
                  <w:r>
                    <w:rPr>
                      <w:color w:val="auto"/>
                      <w:sz w:val="18"/>
                      <w:szCs w:val="18"/>
                      <w:highlight w:val="none"/>
                    </w:rPr>
                    <w:t>编号</w:t>
                  </w:r>
                </w:p>
              </w:tc>
              <w:tc>
                <w:tcPr>
                  <w:tcW w:w="2496" w:type="pct"/>
                  <w:tcBorders>
                    <w:top w:val="single" w:color="auto" w:sz="12" w:space="0"/>
                    <w:bottom w:val="single" w:color="000000" w:sz="6" w:space="0"/>
                  </w:tcBorders>
                  <w:noWrap/>
                  <w:vAlign w:val="center"/>
                </w:tcPr>
                <w:p w14:paraId="49BA12A0">
                  <w:pPr>
                    <w:pStyle w:val="74"/>
                    <w:rPr>
                      <w:color w:val="auto"/>
                      <w:sz w:val="18"/>
                      <w:szCs w:val="18"/>
                      <w:highlight w:val="none"/>
                    </w:rPr>
                  </w:pPr>
                  <w:r>
                    <w:rPr>
                      <w:color w:val="auto"/>
                      <w:sz w:val="18"/>
                      <w:szCs w:val="18"/>
                      <w:highlight w:val="none"/>
                    </w:rPr>
                    <w:t>监测点位置</w:t>
                  </w:r>
                </w:p>
              </w:tc>
              <w:tc>
                <w:tcPr>
                  <w:tcW w:w="1562" w:type="pct"/>
                  <w:tcBorders>
                    <w:top w:val="single" w:color="auto" w:sz="12" w:space="0"/>
                    <w:bottom w:val="single" w:color="000000" w:sz="6" w:space="0"/>
                  </w:tcBorders>
                  <w:noWrap/>
                  <w:vAlign w:val="center"/>
                </w:tcPr>
                <w:p w14:paraId="5FA58B82">
                  <w:pPr>
                    <w:pStyle w:val="74"/>
                    <w:rPr>
                      <w:color w:val="auto"/>
                      <w:sz w:val="18"/>
                      <w:szCs w:val="18"/>
                      <w:highlight w:val="none"/>
                    </w:rPr>
                  </w:pPr>
                  <w:r>
                    <w:rPr>
                      <w:color w:val="auto"/>
                      <w:sz w:val="18"/>
                      <w:szCs w:val="18"/>
                      <w:highlight w:val="none"/>
                    </w:rPr>
                    <w:t>备注</w:t>
                  </w:r>
                </w:p>
              </w:tc>
            </w:tr>
            <w:tr w14:paraId="60C75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940" w:type="pct"/>
                  <w:tcBorders>
                    <w:right w:val="single" w:color="000000" w:sz="6" w:space="0"/>
                  </w:tcBorders>
                  <w:noWrap/>
                  <w:vAlign w:val="center"/>
                </w:tcPr>
                <w:p w14:paraId="42B45DEE">
                  <w:pPr>
                    <w:pStyle w:val="74"/>
                    <w:rPr>
                      <w:color w:val="auto"/>
                      <w:sz w:val="18"/>
                      <w:szCs w:val="18"/>
                      <w:highlight w:val="none"/>
                    </w:rPr>
                  </w:pPr>
                  <w:r>
                    <w:rPr>
                      <w:color w:val="auto"/>
                      <w:sz w:val="18"/>
                      <w:szCs w:val="18"/>
                      <w:highlight w:val="none"/>
                    </w:rPr>
                    <w:t>1#</w:t>
                  </w:r>
                </w:p>
              </w:tc>
              <w:tc>
                <w:tcPr>
                  <w:tcW w:w="2496" w:type="pct"/>
                  <w:noWrap/>
                  <w:vAlign w:val="center"/>
                </w:tcPr>
                <w:p w14:paraId="36FE9B48">
                  <w:pPr>
                    <w:pStyle w:val="74"/>
                    <w:rPr>
                      <w:color w:val="auto"/>
                      <w:sz w:val="18"/>
                      <w:szCs w:val="18"/>
                      <w:highlight w:val="none"/>
                    </w:rPr>
                  </w:pPr>
                  <w:r>
                    <w:rPr>
                      <w:rFonts w:hint="eastAsia"/>
                      <w:color w:val="auto"/>
                      <w:sz w:val="18"/>
                      <w:szCs w:val="18"/>
                      <w:highlight w:val="none"/>
                    </w:rPr>
                    <w:t>厂区内</w:t>
                  </w:r>
                </w:p>
              </w:tc>
              <w:tc>
                <w:tcPr>
                  <w:tcW w:w="1562" w:type="pct"/>
                  <w:noWrap/>
                  <w:vAlign w:val="center"/>
                </w:tcPr>
                <w:p w14:paraId="64DB6D85">
                  <w:pPr>
                    <w:pStyle w:val="74"/>
                    <w:rPr>
                      <w:color w:val="auto"/>
                      <w:sz w:val="18"/>
                      <w:szCs w:val="18"/>
                      <w:highlight w:val="none"/>
                    </w:rPr>
                  </w:pPr>
                  <w:r>
                    <w:rPr>
                      <w:rFonts w:hint="eastAsia"/>
                      <w:color w:val="auto"/>
                      <w:sz w:val="18"/>
                      <w:szCs w:val="18"/>
                      <w:highlight w:val="none"/>
                    </w:rPr>
                    <w:t>/</w:t>
                  </w:r>
                </w:p>
              </w:tc>
            </w:tr>
          </w:tbl>
          <w:p w14:paraId="55924033">
            <w:pPr>
              <w:pStyle w:val="48"/>
              <w:rPr>
                <w:rStyle w:val="75"/>
                <w:color w:val="auto"/>
                <w:highlight w:val="none"/>
              </w:rPr>
            </w:pPr>
            <w:r>
              <w:rPr>
                <w:color w:val="auto"/>
                <w:highlight w:val="none"/>
              </w:rPr>
              <w:drawing>
                <wp:anchor distT="0" distB="0" distL="114300" distR="114300" simplePos="0" relativeHeight="251691008" behindDoc="0" locked="0" layoutInCell="1" allowOverlap="1">
                  <wp:simplePos x="0" y="0"/>
                  <wp:positionH relativeFrom="column">
                    <wp:posOffset>4431665</wp:posOffset>
                  </wp:positionH>
                  <wp:positionV relativeFrom="paragraph">
                    <wp:posOffset>5080</wp:posOffset>
                  </wp:positionV>
                  <wp:extent cx="638175" cy="597535"/>
                  <wp:effectExtent l="0" t="0" r="9525" b="12065"/>
                  <wp:wrapNone/>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20"/>
                          <a:stretch>
                            <a:fillRect/>
                          </a:stretch>
                        </pic:blipFill>
                        <pic:spPr>
                          <a:xfrm>
                            <a:off x="0" y="0"/>
                            <a:ext cx="638175" cy="597535"/>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688960" behindDoc="0" locked="0" layoutInCell="1" allowOverlap="1">
                      <wp:simplePos x="0" y="0"/>
                      <wp:positionH relativeFrom="column">
                        <wp:posOffset>3999230</wp:posOffset>
                      </wp:positionH>
                      <wp:positionV relativeFrom="paragraph">
                        <wp:posOffset>2363470</wp:posOffset>
                      </wp:positionV>
                      <wp:extent cx="180975" cy="104775"/>
                      <wp:effectExtent l="9525" t="9525" r="19050" b="19050"/>
                      <wp:wrapNone/>
                      <wp:docPr id="116" name="矩形 103"/>
                      <wp:cNvGraphicFramePr/>
                      <a:graphic xmlns:a="http://schemas.openxmlformats.org/drawingml/2006/main">
                        <a:graphicData uri="http://schemas.microsoft.com/office/word/2010/wordprocessingShape">
                          <wps:wsp>
                            <wps:cNvSpPr/>
                            <wps:spPr>
                              <a:xfrm>
                                <a:off x="0" y="0"/>
                                <a:ext cx="180975" cy="1047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3" o:spid="_x0000_s1026" o:spt="1" style="position:absolute;left:0pt;margin-left:314.9pt;margin-top:186.1pt;height:8.25pt;width:14.25pt;z-index:251688960;v-text-anchor:middle;mso-width-relative:page;mso-height-relative:page;" filled="f" stroked="t" coordsize="21600,21600" o:gfxdata="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HjHO+2QAAAAsBAAAPAAAAAAAAAAEAIAAAACIAAABkcnMv&#10;ZG93bnJldi54bWxQSwECFAAUAAAACACHTuJAI+TkJnQCAADcBAAADgAAAAAAAAABACAAAAAoAQAA&#10;ZHJzL2Uyb0RvYy54bWxQSwUGAAAAAAYABgBZAQAADgYAAAAA&#10;">
                      <v:fill on="f" focussize="0,0"/>
                      <v:stroke weight="1.5pt" color="#FF0000" miterlimit="8" joinstyle="miter"/>
                      <v:imagedata o:title=""/>
                      <o:lock v:ext="edit" aspectratio="f"/>
                    </v:rect>
                  </w:pict>
                </mc:Fallback>
              </mc:AlternateContent>
            </w:r>
            <w:r>
              <w:rPr>
                <w:color w:val="auto"/>
                <w:szCs w:val="21"/>
                <w:highlight w:val="none"/>
              </w:rPr>
              <mc:AlternateContent>
                <mc:Choice Requires="wps">
                  <w:drawing>
                    <wp:anchor distT="0" distB="0" distL="114300" distR="114300" simplePos="0" relativeHeight="251687936" behindDoc="0" locked="0" layoutInCell="1" allowOverlap="1">
                      <wp:simplePos x="0" y="0"/>
                      <wp:positionH relativeFrom="column">
                        <wp:posOffset>3899535</wp:posOffset>
                      </wp:positionH>
                      <wp:positionV relativeFrom="paragraph">
                        <wp:posOffset>2116455</wp:posOffset>
                      </wp:positionV>
                      <wp:extent cx="1130300" cy="855345"/>
                      <wp:effectExtent l="4445" t="4445" r="8255" b="16510"/>
                      <wp:wrapNone/>
                      <wp:docPr id="110" name="文本框 107"/>
                      <wp:cNvGraphicFramePr/>
                      <a:graphic xmlns:a="http://schemas.openxmlformats.org/drawingml/2006/main">
                        <a:graphicData uri="http://schemas.microsoft.com/office/word/2010/wordprocessingShape">
                          <wps:wsp>
                            <wps:cNvSpPr txBox="1"/>
                            <wps:spPr>
                              <a:xfrm>
                                <a:off x="0" y="0"/>
                                <a:ext cx="1130300" cy="8553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52FB29F">
                                  <w:pPr>
                                    <w:jc w:val="center"/>
                                  </w:pPr>
                                  <w:r>
                                    <w:rPr>
                                      <w:rFonts w:hint="eastAsia"/>
                                    </w:rPr>
                                    <w:t>图例</w:t>
                                  </w:r>
                                </w:p>
                                <w:p w14:paraId="6BC19B28">
                                  <w:pPr>
                                    <w:jc w:val="center"/>
                                  </w:pPr>
                                  <w:r>
                                    <w:rPr>
                                      <w:rFonts w:hint="eastAsia"/>
                                    </w:rPr>
                                    <w:t xml:space="preserve">  项目位置</w:t>
                                  </w:r>
                                </w:p>
                                <w:p w14:paraId="18866820">
                                  <w:r>
                                    <w:drawing>
                                      <wp:inline distT="0" distB="0" distL="114300" distR="114300">
                                        <wp:extent cx="193040" cy="180340"/>
                                        <wp:effectExtent l="0" t="0" r="16510" b="10160"/>
                                        <wp:docPr id="1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
                                                <pic:cNvPicPr>
                                                  <a:picLocks noChangeAspect="1"/>
                                                </pic:cNvPicPr>
                                              </pic:nvPicPr>
                                              <pic:blipFill>
                                                <a:blip r:embed="rId19"/>
                                                <a:stretch>
                                                  <a:fillRect/>
                                                </a:stretch>
                                              </pic:blipFill>
                                              <pic:spPr>
                                                <a:xfrm>
                                                  <a:off x="0" y="0"/>
                                                  <a:ext cx="193040" cy="180340"/>
                                                </a:xfrm>
                                                <a:prstGeom prst="rect">
                                                  <a:avLst/>
                                                </a:prstGeom>
                                                <a:noFill/>
                                                <a:ln>
                                                  <a:noFill/>
                                                </a:ln>
                                              </pic:spPr>
                                            </pic:pic>
                                          </a:graphicData>
                                        </a:graphic>
                                      </wp:inline>
                                    </w:drawing>
                                  </w:r>
                                  <w:r>
                                    <w:rPr>
                                      <w:rFonts w:hint="eastAsia"/>
                                    </w:rPr>
                                    <w:t xml:space="preserve"> 监测点位</w:t>
                                  </w:r>
                                </w:p>
                                <w:p w14:paraId="464A095E">
                                  <w:pPr>
                                    <w:pStyle w:val="31"/>
                                    <w:rPr>
                                      <w:rFonts w:ascii="Times New Roman" w:hAnsi="Times New Roman"/>
                                    </w:rPr>
                                  </w:pPr>
                                  <w:r>
                                    <w:rPr>
                                      <w:rFonts w:ascii="Times New Roman" w:hAnsi="Times New Roman"/>
                                    </w:rPr>
                                    <w:t>比例尺：1:2256</w:t>
                                  </w:r>
                                </w:p>
                              </w:txbxContent>
                            </wps:txbx>
                            <wps:bodyPr upright="1"/>
                          </wps:wsp>
                        </a:graphicData>
                      </a:graphic>
                    </wp:anchor>
                  </w:drawing>
                </mc:Choice>
                <mc:Fallback>
                  <w:pict>
                    <v:shape id="文本框 107" o:spid="_x0000_s1026" o:spt="202" type="#_x0000_t202" style="position:absolute;left:0pt;margin-left:307.05pt;margin-top:166.65pt;height:67.35pt;width:89pt;z-index:251687936;mso-width-relative:page;mso-height-relative:page;" fillcolor="#FFFFFF" filled="t" stroked="t" coordsize="21600,21600" o:gfxdata="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ImtkAAAALAQAADwAAAAAA&#10;AAABACAAAAAiAAAAZHJzL2Rvd25yZXYueG1sUEsBAhQAFAAAAAgAh07iQMQ16FwSAgAASAQAAA4A&#10;AAAAAAAAAQAgAAAAKAEAAGRycy9lMm9Eb2MueG1sUEsFBgAAAAAGAAYAWQEAAKwFAAAAAA==&#10;">
                      <v:fill on="t" focussize="0,0"/>
                      <v:stroke color="#000000" joinstyle="miter"/>
                      <v:imagedata o:title=""/>
                      <o:lock v:ext="edit" aspectratio="f"/>
                      <v:textbox>
                        <w:txbxContent>
                          <w:p w14:paraId="752FB29F">
                            <w:pPr>
                              <w:jc w:val="center"/>
                            </w:pPr>
                            <w:r>
                              <w:rPr>
                                <w:rFonts w:hint="eastAsia"/>
                              </w:rPr>
                              <w:t>图例</w:t>
                            </w:r>
                          </w:p>
                          <w:p w14:paraId="6BC19B28">
                            <w:pPr>
                              <w:jc w:val="center"/>
                            </w:pPr>
                            <w:r>
                              <w:rPr>
                                <w:rFonts w:hint="eastAsia"/>
                              </w:rPr>
                              <w:t xml:space="preserve">  项目位置</w:t>
                            </w:r>
                          </w:p>
                          <w:p w14:paraId="18866820">
                            <w:r>
                              <w:drawing>
                                <wp:inline distT="0" distB="0" distL="114300" distR="114300">
                                  <wp:extent cx="193040" cy="180340"/>
                                  <wp:effectExtent l="0" t="0" r="16510" b="10160"/>
                                  <wp:docPr id="1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
                                          <pic:cNvPicPr>
                                            <a:picLocks noChangeAspect="1"/>
                                          </pic:cNvPicPr>
                                        </pic:nvPicPr>
                                        <pic:blipFill>
                                          <a:blip r:embed="rId19"/>
                                          <a:stretch>
                                            <a:fillRect/>
                                          </a:stretch>
                                        </pic:blipFill>
                                        <pic:spPr>
                                          <a:xfrm>
                                            <a:off x="0" y="0"/>
                                            <a:ext cx="193040" cy="180340"/>
                                          </a:xfrm>
                                          <a:prstGeom prst="rect">
                                            <a:avLst/>
                                          </a:prstGeom>
                                          <a:noFill/>
                                          <a:ln>
                                            <a:noFill/>
                                          </a:ln>
                                        </pic:spPr>
                                      </pic:pic>
                                    </a:graphicData>
                                  </a:graphic>
                                </wp:inline>
                              </w:drawing>
                            </w:r>
                            <w:r>
                              <w:rPr>
                                <w:rFonts w:hint="eastAsia"/>
                              </w:rPr>
                              <w:t xml:space="preserve"> 监测点位</w:t>
                            </w:r>
                          </w:p>
                          <w:p w14:paraId="464A095E">
                            <w:pPr>
                              <w:pStyle w:val="31"/>
                              <w:rPr>
                                <w:rFonts w:ascii="Times New Roman" w:hAnsi="Times New Roman"/>
                              </w:rPr>
                            </w:pPr>
                            <w:r>
                              <w:rPr>
                                <w:rFonts w:ascii="Times New Roman" w:hAnsi="Times New Roman"/>
                              </w:rPr>
                              <w:t>比例尺：1:2256</w:t>
                            </w:r>
                          </w:p>
                        </w:txbxContent>
                      </v:textbox>
                    </v:shape>
                  </w:pict>
                </mc:Fallback>
              </mc:AlternateContent>
            </w:r>
            <w:r>
              <w:rPr>
                <w:color w:val="auto"/>
                <w:highlight w:val="none"/>
              </w:rPr>
              <w:drawing>
                <wp:anchor distT="0" distB="0" distL="114300" distR="114300" simplePos="0" relativeHeight="251689984" behindDoc="0" locked="0" layoutInCell="1" allowOverlap="1">
                  <wp:simplePos x="0" y="0"/>
                  <wp:positionH relativeFrom="column">
                    <wp:posOffset>2194560</wp:posOffset>
                  </wp:positionH>
                  <wp:positionV relativeFrom="paragraph">
                    <wp:posOffset>1981835</wp:posOffset>
                  </wp:positionV>
                  <wp:extent cx="202565" cy="189230"/>
                  <wp:effectExtent l="0" t="0" r="6985" b="1270"/>
                  <wp:wrapNone/>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19"/>
                          <a:stretch>
                            <a:fillRect/>
                          </a:stretch>
                        </pic:blipFill>
                        <pic:spPr>
                          <a:xfrm>
                            <a:off x="0" y="0"/>
                            <a:ext cx="202565" cy="189230"/>
                          </a:xfrm>
                          <a:prstGeom prst="rect">
                            <a:avLst/>
                          </a:prstGeom>
                          <a:noFill/>
                          <a:ln>
                            <a:noFill/>
                          </a:ln>
                        </pic:spPr>
                      </pic:pic>
                    </a:graphicData>
                  </a:graphic>
                </wp:anchor>
              </w:drawing>
            </w:r>
            <w:r>
              <w:rPr>
                <w:color w:val="auto"/>
                <w:highlight w:val="none"/>
              </w:rPr>
              <w:drawing>
                <wp:inline distT="0" distB="0" distL="114300" distR="114300">
                  <wp:extent cx="5090795" cy="2995295"/>
                  <wp:effectExtent l="0" t="0" r="14605" b="14605"/>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23"/>
                          <a:stretch>
                            <a:fillRect/>
                          </a:stretch>
                        </pic:blipFill>
                        <pic:spPr>
                          <a:xfrm>
                            <a:off x="0" y="0"/>
                            <a:ext cx="5090795" cy="2995295"/>
                          </a:xfrm>
                          <a:prstGeom prst="rect">
                            <a:avLst/>
                          </a:prstGeom>
                          <a:noFill/>
                          <a:ln>
                            <a:noFill/>
                          </a:ln>
                        </pic:spPr>
                      </pic:pic>
                    </a:graphicData>
                  </a:graphic>
                </wp:inline>
              </w:drawing>
            </w:r>
          </w:p>
          <w:p w14:paraId="00BA7730">
            <w:pPr>
              <w:pStyle w:val="48"/>
              <w:rPr>
                <w:rStyle w:val="75"/>
                <w:rFonts w:ascii="Times New Roman" w:hAnsi="Times New Roman"/>
                <w:color w:val="auto"/>
                <w:highlight w:val="none"/>
              </w:rPr>
            </w:pPr>
            <w:r>
              <w:rPr>
                <w:rStyle w:val="75"/>
                <w:rFonts w:ascii="Times New Roman" w:hAnsi="Times New Roman"/>
                <w:color w:val="auto"/>
                <w:highlight w:val="none"/>
              </w:rPr>
              <w:t>图3-</w:t>
            </w:r>
            <w:r>
              <w:rPr>
                <w:rStyle w:val="75"/>
                <w:rFonts w:hint="eastAsia" w:ascii="Times New Roman" w:hAnsi="Times New Roman"/>
                <w:color w:val="auto"/>
                <w:highlight w:val="none"/>
              </w:rPr>
              <w:t>2</w:t>
            </w:r>
            <w:r>
              <w:rPr>
                <w:rStyle w:val="75"/>
                <w:rFonts w:ascii="Times New Roman" w:hAnsi="Times New Roman"/>
                <w:color w:val="auto"/>
                <w:highlight w:val="none"/>
              </w:rPr>
              <w:t xml:space="preserve"> 土壤监测点</w:t>
            </w:r>
          </w:p>
          <w:p w14:paraId="05BF38CA">
            <w:pPr>
              <w:adjustRightInd w:val="0"/>
              <w:snapToGrid w:val="0"/>
              <w:spacing w:line="360" w:lineRule="auto"/>
              <w:ind w:firstLine="420" w:firstLineChars="200"/>
              <w:rPr>
                <w:color w:val="auto"/>
                <w:szCs w:val="21"/>
                <w:highlight w:val="none"/>
              </w:rPr>
            </w:pPr>
            <w:r>
              <w:rPr>
                <w:rFonts w:hint="eastAsia"/>
                <w:color w:val="auto"/>
                <w:szCs w:val="21"/>
                <w:highlight w:val="none"/>
              </w:rPr>
              <w:t>②</w:t>
            </w:r>
            <w:r>
              <w:rPr>
                <w:color w:val="auto"/>
                <w:szCs w:val="21"/>
                <w:highlight w:val="none"/>
              </w:rPr>
              <w:t>监测项目</w:t>
            </w:r>
          </w:p>
          <w:p w14:paraId="24122101">
            <w:pPr>
              <w:pStyle w:val="68"/>
              <w:adjustRightInd w:val="0"/>
              <w:snapToGrid w:val="0"/>
              <w:spacing w:line="360" w:lineRule="auto"/>
              <w:ind w:firstLine="420"/>
              <w:rPr>
                <w:color w:val="auto"/>
                <w:sz w:val="21"/>
                <w:highlight w:val="none"/>
              </w:rPr>
            </w:pPr>
            <w:r>
              <w:rPr>
                <w:rFonts w:hint="eastAsia"/>
                <w:color w:val="auto"/>
                <w:sz w:val="21"/>
                <w:highlight w:val="none"/>
              </w:rPr>
              <w:t>根据《建设项目环境影响报告表编制技术指南（污染影响类）（试行）》，原则上不开展土壤环</w:t>
            </w:r>
            <w:r>
              <w:rPr>
                <w:color w:val="auto"/>
                <w:sz w:val="21"/>
                <w:highlight w:val="none"/>
              </w:rPr>
              <w:t>境质量现状调查。但本项目原材料存在土壤污染途径，故对厂区内土壤进行监测留作背景值。根据《土壤环境质量标准 建设用地土壤污染风险管控标准（试行）》（GB36600-2018）第二类用地筛选值，具体监测项目为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p>
          <w:p w14:paraId="28D9443E">
            <w:pPr>
              <w:pStyle w:val="68"/>
              <w:adjustRightInd w:val="0"/>
              <w:snapToGrid w:val="0"/>
              <w:spacing w:line="360" w:lineRule="auto"/>
              <w:ind w:firstLine="420"/>
              <w:rPr>
                <w:color w:val="auto"/>
                <w:sz w:val="21"/>
                <w:highlight w:val="none"/>
              </w:rPr>
            </w:pPr>
            <w:r>
              <w:rPr>
                <w:color w:val="auto"/>
                <w:sz w:val="21"/>
                <w:highlight w:val="none"/>
              </w:rPr>
              <w:t>③监测时间</w:t>
            </w:r>
          </w:p>
          <w:p w14:paraId="677C1D62">
            <w:pPr>
              <w:pStyle w:val="68"/>
              <w:adjustRightInd w:val="0"/>
              <w:snapToGrid w:val="0"/>
              <w:spacing w:line="360" w:lineRule="auto"/>
              <w:ind w:firstLine="420"/>
              <w:rPr>
                <w:color w:val="auto"/>
                <w:sz w:val="21"/>
                <w:highlight w:val="none"/>
              </w:rPr>
            </w:pPr>
            <w:r>
              <w:rPr>
                <w:snapToGrid w:val="0"/>
                <w:color w:val="auto"/>
                <w:sz w:val="21"/>
                <w:highlight w:val="none"/>
              </w:rPr>
              <w:t>鸡西晟源环境检测有限公司</w:t>
            </w:r>
            <w:r>
              <w:rPr>
                <w:color w:val="auto"/>
                <w:sz w:val="21"/>
                <w:highlight w:val="none"/>
              </w:rPr>
              <w:t>于2025年</w:t>
            </w:r>
            <w:r>
              <w:rPr>
                <w:rFonts w:hint="eastAsia"/>
                <w:color w:val="auto"/>
                <w:sz w:val="21"/>
                <w:highlight w:val="none"/>
              </w:rPr>
              <w:t>11</w:t>
            </w:r>
            <w:r>
              <w:rPr>
                <w:color w:val="auto"/>
                <w:sz w:val="21"/>
                <w:highlight w:val="none"/>
              </w:rPr>
              <w:t>月</w:t>
            </w:r>
            <w:r>
              <w:rPr>
                <w:rFonts w:hint="eastAsia"/>
                <w:color w:val="auto"/>
                <w:sz w:val="21"/>
                <w:highlight w:val="none"/>
              </w:rPr>
              <w:t>30</w:t>
            </w:r>
            <w:r>
              <w:rPr>
                <w:color w:val="auto"/>
                <w:sz w:val="21"/>
                <w:highlight w:val="none"/>
              </w:rPr>
              <w:t>日进行采样，采样1次。</w:t>
            </w:r>
          </w:p>
          <w:p w14:paraId="3B9D34FB">
            <w:pPr>
              <w:pStyle w:val="68"/>
              <w:adjustRightInd w:val="0"/>
              <w:snapToGrid w:val="0"/>
              <w:spacing w:line="360" w:lineRule="auto"/>
              <w:ind w:firstLine="420"/>
              <w:rPr>
                <w:color w:val="auto"/>
                <w:sz w:val="21"/>
                <w:highlight w:val="none"/>
              </w:rPr>
            </w:pPr>
            <w:r>
              <w:rPr>
                <w:rFonts w:hint="eastAsia"/>
                <w:color w:val="auto"/>
                <w:sz w:val="21"/>
                <w:highlight w:val="none"/>
              </w:rPr>
              <w:t>④</w:t>
            </w:r>
            <w:r>
              <w:rPr>
                <w:color w:val="auto"/>
                <w:sz w:val="21"/>
                <w:highlight w:val="none"/>
              </w:rPr>
              <w:t>监测结果</w:t>
            </w:r>
          </w:p>
          <w:p w14:paraId="218D3466">
            <w:pPr>
              <w:adjustRightInd w:val="0"/>
              <w:snapToGrid w:val="0"/>
              <w:spacing w:line="360" w:lineRule="auto"/>
              <w:ind w:firstLine="420" w:firstLineChars="200"/>
              <w:rPr>
                <w:color w:val="auto"/>
                <w:highlight w:val="none"/>
                <w:shd w:val="clear" w:color="auto" w:fill="FFFFFF"/>
              </w:rPr>
            </w:pPr>
            <w:r>
              <w:rPr>
                <w:color w:val="auto"/>
                <w:szCs w:val="21"/>
                <w:highlight w:val="none"/>
              </w:rPr>
              <w:t>监测结果见表3-</w:t>
            </w:r>
            <w:r>
              <w:rPr>
                <w:rFonts w:hint="eastAsia"/>
                <w:color w:val="auto"/>
                <w:szCs w:val="21"/>
                <w:highlight w:val="none"/>
              </w:rPr>
              <w:t>5</w:t>
            </w:r>
            <w:r>
              <w:rPr>
                <w:color w:val="auto"/>
                <w:szCs w:val="21"/>
                <w:highlight w:val="none"/>
              </w:rPr>
              <w:t>。</w:t>
            </w:r>
          </w:p>
          <w:p w14:paraId="5242EBDD">
            <w:pPr>
              <w:pStyle w:val="59"/>
              <w:adjustRightInd w:val="0"/>
              <w:spacing w:line="240" w:lineRule="auto"/>
              <w:ind w:firstLine="482"/>
              <w:rPr>
                <w:rFonts w:ascii="Times New Roman"/>
                <w:color w:val="auto"/>
                <w:sz w:val="21"/>
                <w:szCs w:val="21"/>
                <w:highlight w:val="none"/>
              </w:rPr>
            </w:pPr>
            <w:r>
              <w:rPr>
                <w:rFonts w:ascii="Times New Roman"/>
                <w:color w:val="auto"/>
                <w:sz w:val="21"/>
                <w:szCs w:val="21"/>
                <w:highlight w:val="none"/>
                <w:shd w:val="clear" w:color="auto" w:fill="FFFFFF"/>
              </w:rPr>
              <w:t>表3-</w:t>
            </w:r>
            <w:r>
              <w:rPr>
                <w:rFonts w:hint="eastAsia" w:ascii="Times New Roman"/>
                <w:color w:val="auto"/>
                <w:sz w:val="21"/>
                <w:szCs w:val="21"/>
                <w:highlight w:val="none"/>
                <w:shd w:val="clear" w:color="auto" w:fill="FFFFFF"/>
              </w:rPr>
              <w:t>5</w:t>
            </w:r>
            <w:r>
              <w:rPr>
                <w:rFonts w:ascii="Times New Roman"/>
                <w:color w:val="auto"/>
                <w:sz w:val="21"/>
                <w:szCs w:val="21"/>
                <w:highlight w:val="none"/>
                <w:shd w:val="clear" w:color="auto" w:fill="FFFFFF"/>
              </w:rPr>
              <w:t xml:space="preserve"> 土壤监测结果</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95"/>
              <w:gridCol w:w="1381"/>
              <w:gridCol w:w="1895"/>
              <w:gridCol w:w="2416"/>
              <w:gridCol w:w="1040"/>
              <w:gridCol w:w="708"/>
            </w:tblGrid>
            <w:tr w14:paraId="20C77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427" w:type="pct"/>
                  <w:noWrap/>
                  <w:vAlign w:val="center"/>
                </w:tcPr>
                <w:p w14:paraId="5FC2E7E8">
                  <w:pPr>
                    <w:pStyle w:val="71"/>
                    <w:adjustRightInd w:val="0"/>
                    <w:snapToGrid w:val="0"/>
                    <w:rPr>
                      <w:color w:val="auto"/>
                      <w:sz w:val="18"/>
                      <w:szCs w:val="18"/>
                      <w:highlight w:val="none"/>
                    </w:rPr>
                  </w:pPr>
                  <w:r>
                    <w:rPr>
                      <w:color w:val="auto"/>
                      <w:sz w:val="18"/>
                      <w:szCs w:val="18"/>
                      <w:highlight w:val="none"/>
                    </w:rPr>
                    <w:t>序号</w:t>
                  </w:r>
                </w:p>
              </w:tc>
              <w:tc>
                <w:tcPr>
                  <w:tcW w:w="848" w:type="pct"/>
                  <w:noWrap/>
                  <w:vAlign w:val="center"/>
                </w:tcPr>
                <w:p w14:paraId="246A9009">
                  <w:pPr>
                    <w:pStyle w:val="71"/>
                    <w:adjustRightInd w:val="0"/>
                    <w:snapToGrid w:val="0"/>
                    <w:rPr>
                      <w:color w:val="auto"/>
                      <w:sz w:val="18"/>
                      <w:szCs w:val="18"/>
                      <w:highlight w:val="none"/>
                    </w:rPr>
                  </w:pPr>
                  <w:r>
                    <w:rPr>
                      <w:color w:val="auto"/>
                      <w:sz w:val="18"/>
                      <w:szCs w:val="18"/>
                      <w:highlight w:val="none"/>
                    </w:rPr>
                    <w:t>采样点位</w:t>
                  </w:r>
                </w:p>
              </w:tc>
              <w:tc>
                <w:tcPr>
                  <w:tcW w:w="1164" w:type="pct"/>
                  <w:noWrap/>
                  <w:vAlign w:val="center"/>
                </w:tcPr>
                <w:p w14:paraId="746E477E">
                  <w:pPr>
                    <w:pStyle w:val="71"/>
                    <w:adjustRightInd w:val="0"/>
                    <w:snapToGrid w:val="0"/>
                    <w:rPr>
                      <w:color w:val="auto"/>
                      <w:sz w:val="18"/>
                      <w:szCs w:val="18"/>
                      <w:highlight w:val="none"/>
                    </w:rPr>
                  </w:pPr>
                  <w:r>
                    <w:rPr>
                      <w:color w:val="auto"/>
                      <w:sz w:val="18"/>
                      <w:szCs w:val="18"/>
                      <w:highlight w:val="none"/>
                    </w:rPr>
                    <w:t>检测项目</w:t>
                  </w:r>
                </w:p>
              </w:tc>
              <w:tc>
                <w:tcPr>
                  <w:tcW w:w="1484" w:type="pct"/>
                  <w:noWrap/>
                  <w:vAlign w:val="center"/>
                </w:tcPr>
                <w:p w14:paraId="79FB1DB9">
                  <w:pPr>
                    <w:pStyle w:val="71"/>
                    <w:adjustRightInd w:val="0"/>
                    <w:snapToGrid w:val="0"/>
                    <w:rPr>
                      <w:color w:val="auto"/>
                      <w:sz w:val="18"/>
                      <w:szCs w:val="18"/>
                      <w:highlight w:val="none"/>
                    </w:rPr>
                  </w:pPr>
                  <w:r>
                    <w:rPr>
                      <w:color w:val="auto"/>
                      <w:sz w:val="18"/>
                      <w:szCs w:val="18"/>
                      <w:highlight w:val="none"/>
                    </w:rPr>
                    <w:t>检测结果</w:t>
                  </w:r>
                </w:p>
              </w:tc>
              <w:tc>
                <w:tcPr>
                  <w:tcW w:w="639" w:type="pct"/>
                  <w:noWrap/>
                  <w:vAlign w:val="center"/>
                </w:tcPr>
                <w:p w14:paraId="0BCEADC1">
                  <w:pPr>
                    <w:pStyle w:val="71"/>
                    <w:adjustRightInd w:val="0"/>
                    <w:snapToGrid w:val="0"/>
                    <w:rPr>
                      <w:color w:val="auto"/>
                      <w:sz w:val="18"/>
                      <w:szCs w:val="18"/>
                      <w:highlight w:val="none"/>
                    </w:rPr>
                  </w:pPr>
                  <w:r>
                    <w:rPr>
                      <w:color w:val="auto"/>
                      <w:sz w:val="18"/>
                      <w:szCs w:val="18"/>
                      <w:highlight w:val="none"/>
                    </w:rPr>
                    <w:t>单位</w:t>
                  </w:r>
                </w:p>
              </w:tc>
              <w:tc>
                <w:tcPr>
                  <w:tcW w:w="435" w:type="pct"/>
                  <w:noWrap/>
                  <w:vAlign w:val="center"/>
                </w:tcPr>
                <w:p w14:paraId="397F078D">
                  <w:pPr>
                    <w:pStyle w:val="71"/>
                    <w:adjustRightInd w:val="0"/>
                    <w:snapToGrid w:val="0"/>
                    <w:rPr>
                      <w:color w:val="auto"/>
                      <w:sz w:val="18"/>
                      <w:szCs w:val="18"/>
                      <w:highlight w:val="none"/>
                    </w:rPr>
                  </w:pPr>
                  <w:r>
                    <w:rPr>
                      <w:color w:val="auto"/>
                      <w:sz w:val="18"/>
                      <w:szCs w:val="18"/>
                      <w:highlight w:val="none"/>
                    </w:rPr>
                    <w:t>标准</w:t>
                  </w:r>
                </w:p>
              </w:tc>
            </w:tr>
            <w:tr w14:paraId="1FE0E3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62026AD9">
                  <w:pPr>
                    <w:pStyle w:val="71"/>
                    <w:adjustRightInd w:val="0"/>
                    <w:snapToGrid w:val="0"/>
                    <w:ind w:left="425" w:hanging="425"/>
                    <w:rPr>
                      <w:color w:val="auto"/>
                      <w:sz w:val="18"/>
                      <w:szCs w:val="18"/>
                      <w:highlight w:val="none"/>
                    </w:rPr>
                  </w:pPr>
                  <w:r>
                    <w:rPr>
                      <w:color w:val="auto"/>
                      <w:sz w:val="18"/>
                      <w:szCs w:val="18"/>
                      <w:highlight w:val="none"/>
                    </w:rPr>
                    <w:t>1</w:t>
                  </w:r>
                </w:p>
              </w:tc>
              <w:tc>
                <w:tcPr>
                  <w:tcW w:w="848" w:type="pct"/>
                  <w:vMerge w:val="restart"/>
                  <w:noWrap/>
                  <w:vAlign w:val="center"/>
                </w:tcPr>
                <w:p w14:paraId="342CF42D">
                  <w:pPr>
                    <w:pStyle w:val="71"/>
                    <w:adjustRightInd w:val="0"/>
                    <w:snapToGrid w:val="0"/>
                    <w:rPr>
                      <w:color w:val="auto"/>
                      <w:sz w:val="18"/>
                      <w:szCs w:val="18"/>
                      <w:highlight w:val="none"/>
                    </w:rPr>
                  </w:pPr>
                  <w:r>
                    <w:rPr>
                      <w:rFonts w:hint="eastAsia"/>
                      <w:color w:val="auto"/>
                      <w:sz w:val="18"/>
                      <w:szCs w:val="18"/>
                      <w:highlight w:val="none"/>
                    </w:rPr>
                    <w:t>厂区内</w:t>
                  </w:r>
                  <w:r>
                    <w:rPr>
                      <w:color w:val="auto"/>
                      <w:sz w:val="18"/>
                      <w:szCs w:val="18"/>
                      <w:highlight w:val="none"/>
                    </w:rPr>
                    <w:t>（0-0.2m）</w:t>
                  </w:r>
                </w:p>
              </w:tc>
              <w:tc>
                <w:tcPr>
                  <w:tcW w:w="1164" w:type="pct"/>
                  <w:shd w:val="clear" w:color="auto" w:fill="auto"/>
                  <w:noWrap/>
                  <w:vAlign w:val="center"/>
                </w:tcPr>
                <w:p w14:paraId="09C57DA6">
                  <w:pPr>
                    <w:pStyle w:val="42"/>
                    <w:autoSpaceDE/>
                    <w:autoSpaceDN/>
                    <w:adjustRightInd w:val="0"/>
                    <w:snapToGrid w:val="0"/>
                    <w:ind w:left="27"/>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砷</w:t>
                  </w:r>
                </w:p>
              </w:tc>
              <w:tc>
                <w:tcPr>
                  <w:tcW w:w="1484" w:type="pct"/>
                  <w:shd w:val="clear" w:color="auto" w:fill="auto"/>
                  <w:noWrap/>
                  <w:vAlign w:val="center"/>
                </w:tcPr>
                <w:p w14:paraId="51ABFBA2">
                  <w:pPr>
                    <w:widowControl/>
                    <w:adjustRightInd w:val="0"/>
                    <w:snapToGrid w:val="0"/>
                    <w:jc w:val="center"/>
                    <w:rPr>
                      <w:color w:val="auto"/>
                      <w:kern w:val="0"/>
                      <w:sz w:val="18"/>
                      <w:szCs w:val="18"/>
                      <w:highlight w:val="none"/>
                    </w:rPr>
                  </w:pPr>
                  <w:r>
                    <w:rPr>
                      <w:rFonts w:hint="eastAsia"/>
                      <w:color w:val="auto"/>
                      <w:kern w:val="0"/>
                      <w:sz w:val="18"/>
                      <w:szCs w:val="18"/>
                      <w:highlight w:val="none"/>
                    </w:rPr>
                    <w:t>5.42</w:t>
                  </w:r>
                </w:p>
              </w:tc>
              <w:tc>
                <w:tcPr>
                  <w:tcW w:w="639" w:type="pct"/>
                  <w:noWrap/>
                  <w:vAlign w:val="center"/>
                </w:tcPr>
                <w:p w14:paraId="4AB1221B">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6F4BAFE3">
                  <w:pPr>
                    <w:widowControl/>
                    <w:adjustRightInd w:val="0"/>
                    <w:snapToGrid w:val="0"/>
                    <w:jc w:val="center"/>
                    <w:rPr>
                      <w:color w:val="auto"/>
                      <w:kern w:val="0"/>
                      <w:sz w:val="18"/>
                      <w:szCs w:val="18"/>
                      <w:highlight w:val="none"/>
                    </w:rPr>
                  </w:pPr>
                  <w:r>
                    <w:rPr>
                      <w:rFonts w:hint="eastAsia"/>
                      <w:color w:val="auto"/>
                      <w:kern w:val="0"/>
                      <w:sz w:val="18"/>
                      <w:szCs w:val="18"/>
                      <w:highlight w:val="none"/>
                    </w:rPr>
                    <w:t>60</w:t>
                  </w:r>
                </w:p>
              </w:tc>
            </w:tr>
            <w:tr w14:paraId="524FC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9DB7117">
                  <w:pPr>
                    <w:pStyle w:val="71"/>
                    <w:adjustRightInd w:val="0"/>
                    <w:snapToGrid w:val="0"/>
                    <w:ind w:left="425" w:hanging="425"/>
                    <w:rPr>
                      <w:color w:val="auto"/>
                      <w:sz w:val="18"/>
                      <w:szCs w:val="18"/>
                      <w:highlight w:val="none"/>
                    </w:rPr>
                  </w:pPr>
                  <w:r>
                    <w:rPr>
                      <w:color w:val="auto"/>
                      <w:sz w:val="18"/>
                      <w:szCs w:val="18"/>
                      <w:highlight w:val="none"/>
                    </w:rPr>
                    <w:t>2</w:t>
                  </w:r>
                </w:p>
              </w:tc>
              <w:tc>
                <w:tcPr>
                  <w:tcW w:w="848" w:type="pct"/>
                  <w:vMerge w:val="continue"/>
                  <w:noWrap/>
                  <w:vAlign w:val="center"/>
                </w:tcPr>
                <w:p w14:paraId="7B96B8F4">
                  <w:pPr>
                    <w:pStyle w:val="71"/>
                    <w:adjustRightInd w:val="0"/>
                    <w:snapToGrid w:val="0"/>
                    <w:rPr>
                      <w:color w:val="auto"/>
                      <w:sz w:val="18"/>
                      <w:szCs w:val="18"/>
                      <w:highlight w:val="none"/>
                    </w:rPr>
                  </w:pPr>
                </w:p>
              </w:tc>
              <w:tc>
                <w:tcPr>
                  <w:tcW w:w="1164" w:type="pct"/>
                  <w:shd w:val="clear" w:color="auto" w:fill="auto"/>
                  <w:noWrap/>
                  <w:vAlign w:val="center"/>
                </w:tcPr>
                <w:p w14:paraId="7CDEE316">
                  <w:pPr>
                    <w:pStyle w:val="42"/>
                    <w:autoSpaceDE/>
                    <w:autoSpaceDN/>
                    <w:adjustRightInd w:val="0"/>
                    <w:snapToGrid w:val="0"/>
                    <w:ind w:left="27"/>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镉</w:t>
                  </w:r>
                </w:p>
              </w:tc>
              <w:tc>
                <w:tcPr>
                  <w:tcW w:w="1484" w:type="pct"/>
                  <w:shd w:val="clear" w:color="auto" w:fill="auto"/>
                  <w:noWrap/>
                  <w:vAlign w:val="center"/>
                </w:tcPr>
                <w:p w14:paraId="790DEB08">
                  <w:pPr>
                    <w:widowControl/>
                    <w:adjustRightInd w:val="0"/>
                    <w:snapToGrid w:val="0"/>
                    <w:jc w:val="center"/>
                    <w:rPr>
                      <w:color w:val="auto"/>
                      <w:kern w:val="0"/>
                      <w:sz w:val="18"/>
                      <w:szCs w:val="18"/>
                      <w:highlight w:val="none"/>
                    </w:rPr>
                  </w:pPr>
                  <w:r>
                    <w:rPr>
                      <w:rFonts w:hint="eastAsia"/>
                      <w:color w:val="auto"/>
                      <w:kern w:val="0"/>
                      <w:sz w:val="18"/>
                      <w:szCs w:val="18"/>
                      <w:highlight w:val="none"/>
                    </w:rPr>
                    <w:t>0.12</w:t>
                  </w:r>
                </w:p>
              </w:tc>
              <w:tc>
                <w:tcPr>
                  <w:tcW w:w="639" w:type="pct"/>
                  <w:noWrap/>
                  <w:vAlign w:val="center"/>
                </w:tcPr>
                <w:p w14:paraId="2CDB00D5">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2E7B9E0C">
                  <w:pPr>
                    <w:widowControl/>
                    <w:adjustRightInd w:val="0"/>
                    <w:snapToGrid w:val="0"/>
                    <w:jc w:val="center"/>
                    <w:rPr>
                      <w:color w:val="auto"/>
                      <w:kern w:val="0"/>
                      <w:sz w:val="18"/>
                      <w:szCs w:val="18"/>
                      <w:highlight w:val="none"/>
                    </w:rPr>
                  </w:pPr>
                  <w:r>
                    <w:rPr>
                      <w:rFonts w:hint="eastAsia"/>
                      <w:color w:val="auto"/>
                      <w:kern w:val="0"/>
                      <w:sz w:val="18"/>
                      <w:szCs w:val="18"/>
                      <w:highlight w:val="none"/>
                    </w:rPr>
                    <w:t>65</w:t>
                  </w:r>
                </w:p>
              </w:tc>
            </w:tr>
            <w:tr w14:paraId="635233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2A923831">
                  <w:pPr>
                    <w:pStyle w:val="71"/>
                    <w:adjustRightInd w:val="0"/>
                    <w:snapToGrid w:val="0"/>
                    <w:ind w:left="425" w:hanging="425"/>
                    <w:rPr>
                      <w:color w:val="auto"/>
                      <w:sz w:val="18"/>
                      <w:szCs w:val="18"/>
                      <w:highlight w:val="none"/>
                    </w:rPr>
                  </w:pPr>
                  <w:r>
                    <w:rPr>
                      <w:color w:val="auto"/>
                      <w:sz w:val="18"/>
                      <w:szCs w:val="18"/>
                      <w:highlight w:val="none"/>
                    </w:rPr>
                    <w:t>3</w:t>
                  </w:r>
                </w:p>
              </w:tc>
              <w:tc>
                <w:tcPr>
                  <w:tcW w:w="848" w:type="pct"/>
                  <w:vMerge w:val="continue"/>
                  <w:noWrap/>
                  <w:vAlign w:val="center"/>
                </w:tcPr>
                <w:p w14:paraId="6BBD2670">
                  <w:pPr>
                    <w:pStyle w:val="71"/>
                    <w:adjustRightInd w:val="0"/>
                    <w:snapToGrid w:val="0"/>
                    <w:rPr>
                      <w:color w:val="auto"/>
                      <w:sz w:val="18"/>
                      <w:szCs w:val="18"/>
                      <w:highlight w:val="none"/>
                    </w:rPr>
                  </w:pPr>
                </w:p>
              </w:tc>
              <w:tc>
                <w:tcPr>
                  <w:tcW w:w="1164" w:type="pct"/>
                  <w:shd w:val="clear" w:color="auto" w:fill="auto"/>
                  <w:noWrap/>
                  <w:vAlign w:val="center"/>
                </w:tcPr>
                <w:p w14:paraId="69A3EC37">
                  <w:pPr>
                    <w:pStyle w:val="42"/>
                    <w:autoSpaceDE/>
                    <w:autoSpaceDN/>
                    <w:adjustRightInd w:val="0"/>
                    <w:snapToGrid w:val="0"/>
                    <w:ind w:left="27"/>
                    <w:rPr>
                      <w:rFonts w:hint="default" w:ascii="Times New Roman" w:hAnsi="Times New Roman" w:eastAsia="宋体"/>
                      <w:snapToGrid w:val="0"/>
                      <w:color w:val="auto"/>
                      <w:sz w:val="18"/>
                      <w:szCs w:val="18"/>
                      <w:highlight w:val="none"/>
                    </w:rPr>
                  </w:pPr>
                  <w:r>
                    <w:rPr>
                      <w:rFonts w:ascii="Times New Roman" w:hAnsi="Times New Roman" w:eastAsia="宋体"/>
                      <w:color w:val="auto"/>
                      <w:sz w:val="18"/>
                      <w:szCs w:val="18"/>
                      <w:highlight w:val="none"/>
                    </w:rPr>
                    <w:t>铬（六价）</w:t>
                  </w:r>
                </w:p>
              </w:tc>
              <w:tc>
                <w:tcPr>
                  <w:tcW w:w="1484" w:type="pct"/>
                  <w:shd w:val="clear" w:color="auto" w:fill="auto"/>
                  <w:noWrap/>
                  <w:vAlign w:val="center"/>
                </w:tcPr>
                <w:p w14:paraId="138B551B">
                  <w:pPr>
                    <w:widowControl/>
                    <w:adjustRightInd w:val="0"/>
                    <w:snapToGrid w:val="0"/>
                    <w:jc w:val="center"/>
                    <w:rPr>
                      <w:color w:val="auto"/>
                      <w:kern w:val="0"/>
                      <w:sz w:val="18"/>
                      <w:szCs w:val="18"/>
                      <w:highlight w:val="none"/>
                    </w:rPr>
                  </w:pPr>
                  <w:r>
                    <w:rPr>
                      <w:rFonts w:hint="eastAsia"/>
                      <w:color w:val="auto"/>
                      <w:kern w:val="0"/>
                      <w:sz w:val="18"/>
                      <w:szCs w:val="18"/>
                      <w:highlight w:val="none"/>
                    </w:rPr>
                    <w:t>0.5L</w:t>
                  </w:r>
                </w:p>
              </w:tc>
              <w:tc>
                <w:tcPr>
                  <w:tcW w:w="639" w:type="pct"/>
                  <w:noWrap/>
                  <w:vAlign w:val="center"/>
                </w:tcPr>
                <w:p w14:paraId="3640CAFB">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53538835">
                  <w:pPr>
                    <w:widowControl/>
                    <w:adjustRightInd w:val="0"/>
                    <w:snapToGrid w:val="0"/>
                    <w:jc w:val="center"/>
                    <w:rPr>
                      <w:color w:val="auto"/>
                      <w:kern w:val="0"/>
                      <w:sz w:val="18"/>
                      <w:szCs w:val="18"/>
                      <w:highlight w:val="none"/>
                    </w:rPr>
                  </w:pPr>
                  <w:r>
                    <w:rPr>
                      <w:rFonts w:hint="eastAsia"/>
                      <w:color w:val="auto"/>
                      <w:kern w:val="0"/>
                      <w:sz w:val="18"/>
                      <w:szCs w:val="18"/>
                      <w:highlight w:val="none"/>
                    </w:rPr>
                    <w:t>5.7</w:t>
                  </w:r>
                </w:p>
              </w:tc>
            </w:tr>
            <w:tr w14:paraId="5C99C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3B78F1F">
                  <w:pPr>
                    <w:pStyle w:val="71"/>
                    <w:adjustRightInd w:val="0"/>
                    <w:snapToGrid w:val="0"/>
                    <w:ind w:left="425" w:hanging="425"/>
                    <w:rPr>
                      <w:color w:val="auto"/>
                      <w:sz w:val="18"/>
                      <w:szCs w:val="18"/>
                      <w:highlight w:val="none"/>
                    </w:rPr>
                  </w:pPr>
                  <w:r>
                    <w:rPr>
                      <w:color w:val="auto"/>
                      <w:sz w:val="18"/>
                      <w:szCs w:val="18"/>
                      <w:highlight w:val="none"/>
                    </w:rPr>
                    <w:t>4</w:t>
                  </w:r>
                </w:p>
              </w:tc>
              <w:tc>
                <w:tcPr>
                  <w:tcW w:w="848" w:type="pct"/>
                  <w:vMerge w:val="continue"/>
                  <w:noWrap/>
                  <w:vAlign w:val="center"/>
                </w:tcPr>
                <w:p w14:paraId="5013D9F8">
                  <w:pPr>
                    <w:pStyle w:val="71"/>
                    <w:adjustRightInd w:val="0"/>
                    <w:snapToGrid w:val="0"/>
                    <w:rPr>
                      <w:color w:val="auto"/>
                      <w:sz w:val="18"/>
                      <w:szCs w:val="18"/>
                      <w:highlight w:val="none"/>
                    </w:rPr>
                  </w:pPr>
                </w:p>
              </w:tc>
              <w:tc>
                <w:tcPr>
                  <w:tcW w:w="1164" w:type="pct"/>
                  <w:shd w:val="clear" w:color="auto" w:fill="auto"/>
                  <w:noWrap/>
                  <w:vAlign w:val="center"/>
                </w:tcPr>
                <w:p w14:paraId="545A6FC4">
                  <w:pPr>
                    <w:pStyle w:val="42"/>
                    <w:autoSpaceDE/>
                    <w:autoSpaceDN/>
                    <w:adjustRightInd w:val="0"/>
                    <w:snapToGrid w:val="0"/>
                    <w:ind w:left="27"/>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铜</w:t>
                  </w:r>
                </w:p>
              </w:tc>
              <w:tc>
                <w:tcPr>
                  <w:tcW w:w="1484" w:type="pct"/>
                  <w:shd w:val="clear" w:color="auto" w:fill="auto"/>
                  <w:noWrap/>
                  <w:vAlign w:val="center"/>
                </w:tcPr>
                <w:p w14:paraId="16F7B4A5">
                  <w:pPr>
                    <w:widowControl/>
                    <w:adjustRightInd w:val="0"/>
                    <w:snapToGrid w:val="0"/>
                    <w:jc w:val="center"/>
                    <w:rPr>
                      <w:color w:val="auto"/>
                      <w:kern w:val="0"/>
                      <w:sz w:val="18"/>
                      <w:szCs w:val="18"/>
                      <w:highlight w:val="none"/>
                    </w:rPr>
                  </w:pPr>
                  <w:r>
                    <w:rPr>
                      <w:rFonts w:hint="eastAsia"/>
                      <w:color w:val="auto"/>
                      <w:kern w:val="0"/>
                      <w:sz w:val="18"/>
                      <w:szCs w:val="18"/>
                      <w:highlight w:val="none"/>
                    </w:rPr>
                    <w:t>11</w:t>
                  </w:r>
                </w:p>
              </w:tc>
              <w:tc>
                <w:tcPr>
                  <w:tcW w:w="639" w:type="pct"/>
                  <w:noWrap/>
                  <w:vAlign w:val="center"/>
                </w:tcPr>
                <w:p w14:paraId="4B0532C1">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3776520C">
                  <w:pPr>
                    <w:widowControl/>
                    <w:adjustRightInd w:val="0"/>
                    <w:snapToGrid w:val="0"/>
                    <w:jc w:val="center"/>
                    <w:rPr>
                      <w:color w:val="auto"/>
                      <w:kern w:val="0"/>
                      <w:sz w:val="18"/>
                      <w:szCs w:val="18"/>
                      <w:highlight w:val="none"/>
                    </w:rPr>
                  </w:pPr>
                  <w:r>
                    <w:rPr>
                      <w:rFonts w:hint="eastAsia"/>
                      <w:color w:val="auto"/>
                      <w:kern w:val="0"/>
                      <w:sz w:val="18"/>
                      <w:szCs w:val="18"/>
                      <w:highlight w:val="none"/>
                    </w:rPr>
                    <w:t>18000</w:t>
                  </w:r>
                </w:p>
              </w:tc>
            </w:tr>
            <w:tr w14:paraId="53920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C8F944B">
                  <w:pPr>
                    <w:pStyle w:val="71"/>
                    <w:adjustRightInd w:val="0"/>
                    <w:snapToGrid w:val="0"/>
                    <w:ind w:left="425" w:hanging="425"/>
                    <w:rPr>
                      <w:color w:val="auto"/>
                      <w:sz w:val="18"/>
                      <w:szCs w:val="18"/>
                      <w:highlight w:val="none"/>
                    </w:rPr>
                  </w:pPr>
                  <w:r>
                    <w:rPr>
                      <w:color w:val="auto"/>
                      <w:sz w:val="18"/>
                      <w:szCs w:val="18"/>
                      <w:highlight w:val="none"/>
                    </w:rPr>
                    <w:t>5</w:t>
                  </w:r>
                </w:p>
              </w:tc>
              <w:tc>
                <w:tcPr>
                  <w:tcW w:w="848" w:type="pct"/>
                  <w:vMerge w:val="continue"/>
                  <w:noWrap/>
                  <w:vAlign w:val="center"/>
                </w:tcPr>
                <w:p w14:paraId="619CC7A8">
                  <w:pPr>
                    <w:pStyle w:val="71"/>
                    <w:adjustRightInd w:val="0"/>
                    <w:snapToGrid w:val="0"/>
                    <w:rPr>
                      <w:color w:val="auto"/>
                      <w:sz w:val="18"/>
                      <w:szCs w:val="18"/>
                      <w:highlight w:val="none"/>
                    </w:rPr>
                  </w:pPr>
                </w:p>
              </w:tc>
              <w:tc>
                <w:tcPr>
                  <w:tcW w:w="1164" w:type="pct"/>
                  <w:shd w:val="clear" w:color="auto" w:fill="auto"/>
                  <w:noWrap/>
                  <w:vAlign w:val="center"/>
                </w:tcPr>
                <w:p w14:paraId="757BAC21">
                  <w:pPr>
                    <w:pStyle w:val="42"/>
                    <w:autoSpaceDE/>
                    <w:autoSpaceDN/>
                    <w:adjustRightInd w:val="0"/>
                    <w:snapToGrid w:val="0"/>
                    <w:ind w:left="32"/>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铅</w:t>
                  </w:r>
                </w:p>
              </w:tc>
              <w:tc>
                <w:tcPr>
                  <w:tcW w:w="1484" w:type="pct"/>
                  <w:shd w:val="clear" w:color="auto" w:fill="auto"/>
                  <w:noWrap/>
                  <w:vAlign w:val="center"/>
                </w:tcPr>
                <w:p w14:paraId="7490F8CE">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c>
                <w:tcPr>
                  <w:tcW w:w="639" w:type="pct"/>
                  <w:noWrap/>
                  <w:vAlign w:val="center"/>
                </w:tcPr>
                <w:p w14:paraId="4A17AEC1">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0D1A66AD">
                  <w:pPr>
                    <w:widowControl/>
                    <w:adjustRightInd w:val="0"/>
                    <w:snapToGrid w:val="0"/>
                    <w:jc w:val="center"/>
                    <w:rPr>
                      <w:color w:val="auto"/>
                      <w:kern w:val="0"/>
                      <w:sz w:val="18"/>
                      <w:szCs w:val="18"/>
                      <w:highlight w:val="none"/>
                    </w:rPr>
                  </w:pPr>
                  <w:r>
                    <w:rPr>
                      <w:rFonts w:hint="eastAsia"/>
                      <w:color w:val="auto"/>
                      <w:kern w:val="0"/>
                      <w:sz w:val="18"/>
                      <w:szCs w:val="18"/>
                      <w:highlight w:val="none"/>
                    </w:rPr>
                    <w:t>800</w:t>
                  </w:r>
                </w:p>
              </w:tc>
            </w:tr>
            <w:tr w14:paraId="54195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289DAA37">
                  <w:pPr>
                    <w:pStyle w:val="71"/>
                    <w:adjustRightInd w:val="0"/>
                    <w:snapToGrid w:val="0"/>
                    <w:ind w:left="425" w:hanging="425"/>
                    <w:rPr>
                      <w:color w:val="auto"/>
                      <w:sz w:val="18"/>
                      <w:szCs w:val="18"/>
                      <w:highlight w:val="none"/>
                    </w:rPr>
                  </w:pPr>
                  <w:r>
                    <w:rPr>
                      <w:color w:val="auto"/>
                      <w:sz w:val="18"/>
                      <w:szCs w:val="18"/>
                      <w:highlight w:val="none"/>
                    </w:rPr>
                    <w:t>6</w:t>
                  </w:r>
                </w:p>
              </w:tc>
              <w:tc>
                <w:tcPr>
                  <w:tcW w:w="848" w:type="pct"/>
                  <w:vMerge w:val="continue"/>
                  <w:noWrap/>
                  <w:vAlign w:val="center"/>
                </w:tcPr>
                <w:p w14:paraId="6DF697E1">
                  <w:pPr>
                    <w:pStyle w:val="71"/>
                    <w:adjustRightInd w:val="0"/>
                    <w:snapToGrid w:val="0"/>
                    <w:rPr>
                      <w:color w:val="auto"/>
                      <w:sz w:val="18"/>
                      <w:szCs w:val="18"/>
                      <w:highlight w:val="none"/>
                    </w:rPr>
                  </w:pPr>
                </w:p>
              </w:tc>
              <w:tc>
                <w:tcPr>
                  <w:tcW w:w="1164" w:type="pct"/>
                  <w:shd w:val="clear" w:color="auto" w:fill="auto"/>
                  <w:noWrap/>
                  <w:vAlign w:val="center"/>
                </w:tcPr>
                <w:p w14:paraId="67FD65CF">
                  <w:pPr>
                    <w:pStyle w:val="42"/>
                    <w:autoSpaceDE/>
                    <w:autoSpaceDN/>
                    <w:adjustRightInd w:val="0"/>
                    <w:snapToGrid w:val="0"/>
                    <w:ind w:left="32"/>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汞</w:t>
                  </w:r>
                </w:p>
              </w:tc>
              <w:tc>
                <w:tcPr>
                  <w:tcW w:w="1484" w:type="pct"/>
                  <w:shd w:val="clear" w:color="auto" w:fill="auto"/>
                  <w:noWrap/>
                  <w:vAlign w:val="center"/>
                </w:tcPr>
                <w:p w14:paraId="365EB582">
                  <w:pPr>
                    <w:widowControl/>
                    <w:adjustRightInd w:val="0"/>
                    <w:snapToGrid w:val="0"/>
                    <w:jc w:val="center"/>
                    <w:rPr>
                      <w:color w:val="auto"/>
                      <w:kern w:val="0"/>
                      <w:sz w:val="18"/>
                      <w:szCs w:val="18"/>
                      <w:highlight w:val="none"/>
                    </w:rPr>
                  </w:pPr>
                  <w:r>
                    <w:rPr>
                      <w:rFonts w:hint="eastAsia"/>
                      <w:color w:val="auto"/>
                      <w:kern w:val="0"/>
                      <w:sz w:val="18"/>
                      <w:szCs w:val="18"/>
                      <w:highlight w:val="none"/>
                    </w:rPr>
                    <w:t>0.063</w:t>
                  </w:r>
                </w:p>
              </w:tc>
              <w:tc>
                <w:tcPr>
                  <w:tcW w:w="639" w:type="pct"/>
                  <w:noWrap/>
                  <w:vAlign w:val="center"/>
                </w:tcPr>
                <w:p w14:paraId="17319FE8">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1ACD5217">
                  <w:pPr>
                    <w:widowControl/>
                    <w:adjustRightInd w:val="0"/>
                    <w:snapToGrid w:val="0"/>
                    <w:jc w:val="center"/>
                    <w:rPr>
                      <w:color w:val="auto"/>
                      <w:kern w:val="0"/>
                      <w:sz w:val="18"/>
                      <w:szCs w:val="18"/>
                      <w:highlight w:val="none"/>
                    </w:rPr>
                  </w:pPr>
                  <w:r>
                    <w:rPr>
                      <w:rFonts w:hint="eastAsia"/>
                      <w:color w:val="auto"/>
                      <w:kern w:val="0"/>
                      <w:sz w:val="18"/>
                      <w:szCs w:val="18"/>
                      <w:highlight w:val="none"/>
                    </w:rPr>
                    <w:t>38</w:t>
                  </w:r>
                </w:p>
              </w:tc>
            </w:tr>
            <w:tr w14:paraId="3541E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277CB5D0">
                  <w:pPr>
                    <w:pStyle w:val="71"/>
                    <w:adjustRightInd w:val="0"/>
                    <w:snapToGrid w:val="0"/>
                    <w:ind w:left="425" w:hanging="425"/>
                    <w:rPr>
                      <w:color w:val="auto"/>
                      <w:sz w:val="18"/>
                      <w:szCs w:val="18"/>
                      <w:highlight w:val="none"/>
                    </w:rPr>
                  </w:pPr>
                  <w:r>
                    <w:rPr>
                      <w:color w:val="auto"/>
                      <w:sz w:val="18"/>
                      <w:szCs w:val="18"/>
                      <w:highlight w:val="none"/>
                    </w:rPr>
                    <w:t>7</w:t>
                  </w:r>
                </w:p>
              </w:tc>
              <w:tc>
                <w:tcPr>
                  <w:tcW w:w="848" w:type="pct"/>
                  <w:vMerge w:val="continue"/>
                  <w:noWrap/>
                  <w:vAlign w:val="center"/>
                </w:tcPr>
                <w:p w14:paraId="7246DB60">
                  <w:pPr>
                    <w:pStyle w:val="71"/>
                    <w:adjustRightInd w:val="0"/>
                    <w:snapToGrid w:val="0"/>
                    <w:rPr>
                      <w:color w:val="auto"/>
                      <w:sz w:val="18"/>
                      <w:szCs w:val="18"/>
                      <w:highlight w:val="none"/>
                    </w:rPr>
                  </w:pPr>
                </w:p>
              </w:tc>
              <w:tc>
                <w:tcPr>
                  <w:tcW w:w="1164" w:type="pct"/>
                  <w:shd w:val="clear" w:color="auto" w:fill="auto"/>
                  <w:noWrap/>
                  <w:vAlign w:val="center"/>
                </w:tcPr>
                <w:p w14:paraId="703FEE01">
                  <w:pPr>
                    <w:pStyle w:val="42"/>
                    <w:autoSpaceDE/>
                    <w:autoSpaceDN/>
                    <w:adjustRightInd w:val="0"/>
                    <w:snapToGrid w:val="0"/>
                    <w:rPr>
                      <w:rFonts w:hint="default" w:ascii="Times New Roman" w:hAnsi="Times New Roman" w:eastAsia="宋体"/>
                      <w:snapToGrid w:val="0"/>
                      <w:color w:val="auto"/>
                      <w:sz w:val="18"/>
                      <w:szCs w:val="18"/>
                      <w:highlight w:val="none"/>
                    </w:rPr>
                  </w:pPr>
                  <w:r>
                    <w:rPr>
                      <w:rFonts w:ascii="Times New Roman" w:hAnsi="Times New Roman" w:eastAsia="宋体"/>
                      <w:snapToGrid w:val="0"/>
                      <w:color w:val="auto"/>
                      <w:sz w:val="18"/>
                      <w:szCs w:val="18"/>
                      <w:highlight w:val="none"/>
                    </w:rPr>
                    <w:t>镍</w:t>
                  </w:r>
                </w:p>
              </w:tc>
              <w:tc>
                <w:tcPr>
                  <w:tcW w:w="1484" w:type="pct"/>
                  <w:shd w:val="clear" w:color="auto" w:fill="auto"/>
                  <w:noWrap/>
                  <w:vAlign w:val="center"/>
                </w:tcPr>
                <w:p w14:paraId="4622E243">
                  <w:pPr>
                    <w:widowControl/>
                    <w:adjustRightInd w:val="0"/>
                    <w:snapToGrid w:val="0"/>
                    <w:jc w:val="center"/>
                    <w:rPr>
                      <w:color w:val="auto"/>
                      <w:kern w:val="0"/>
                      <w:sz w:val="18"/>
                      <w:szCs w:val="18"/>
                      <w:highlight w:val="none"/>
                    </w:rPr>
                  </w:pPr>
                  <w:r>
                    <w:rPr>
                      <w:rFonts w:hint="eastAsia"/>
                      <w:color w:val="auto"/>
                      <w:kern w:val="0"/>
                      <w:sz w:val="18"/>
                      <w:szCs w:val="18"/>
                      <w:highlight w:val="none"/>
                    </w:rPr>
                    <w:t>18</w:t>
                  </w:r>
                </w:p>
              </w:tc>
              <w:tc>
                <w:tcPr>
                  <w:tcW w:w="639" w:type="pct"/>
                  <w:noWrap/>
                  <w:vAlign w:val="center"/>
                </w:tcPr>
                <w:p w14:paraId="2EE774D8">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4141C177">
                  <w:pPr>
                    <w:widowControl/>
                    <w:adjustRightInd w:val="0"/>
                    <w:snapToGrid w:val="0"/>
                    <w:jc w:val="center"/>
                    <w:rPr>
                      <w:color w:val="auto"/>
                      <w:kern w:val="0"/>
                      <w:sz w:val="18"/>
                      <w:szCs w:val="18"/>
                      <w:highlight w:val="none"/>
                    </w:rPr>
                  </w:pPr>
                  <w:r>
                    <w:rPr>
                      <w:rFonts w:hint="eastAsia"/>
                      <w:color w:val="auto"/>
                      <w:kern w:val="0"/>
                      <w:sz w:val="18"/>
                      <w:szCs w:val="18"/>
                      <w:highlight w:val="none"/>
                    </w:rPr>
                    <w:t>900</w:t>
                  </w:r>
                </w:p>
              </w:tc>
            </w:tr>
            <w:tr w14:paraId="2D230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58268FC4">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8</w:t>
                  </w:r>
                </w:p>
              </w:tc>
              <w:tc>
                <w:tcPr>
                  <w:tcW w:w="848" w:type="pct"/>
                  <w:vMerge w:val="continue"/>
                  <w:noWrap/>
                  <w:vAlign w:val="center"/>
                </w:tcPr>
                <w:p w14:paraId="59053E42">
                  <w:pPr>
                    <w:pStyle w:val="71"/>
                    <w:adjustRightInd w:val="0"/>
                    <w:snapToGrid w:val="0"/>
                    <w:rPr>
                      <w:color w:val="auto"/>
                      <w:sz w:val="18"/>
                      <w:szCs w:val="18"/>
                      <w:highlight w:val="none"/>
                    </w:rPr>
                  </w:pPr>
                </w:p>
              </w:tc>
              <w:tc>
                <w:tcPr>
                  <w:tcW w:w="1164" w:type="pct"/>
                  <w:shd w:val="clear" w:color="auto" w:fill="auto"/>
                  <w:noWrap/>
                  <w:vAlign w:val="center"/>
                </w:tcPr>
                <w:p w14:paraId="15234DDD">
                  <w:pPr>
                    <w:widowControl/>
                    <w:adjustRightInd w:val="0"/>
                    <w:snapToGrid w:val="0"/>
                    <w:jc w:val="center"/>
                    <w:rPr>
                      <w:snapToGrid w:val="0"/>
                      <w:color w:val="auto"/>
                      <w:kern w:val="0"/>
                      <w:sz w:val="18"/>
                      <w:szCs w:val="18"/>
                      <w:highlight w:val="none"/>
                    </w:rPr>
                  </w:pPr>
                  <w:r>
                    <w:rPr>
                      <w:color w:val="auto"/>
                      <w:kern w:val="0"/>
                      <w:sz w:val="18"/>
                      <w:szCs w:val="18"/>
                      <w:highlight w:val="none"/>
                    </w:rPr>
                    <w:t>四氯化碳</w:t>
                  </w:r>
                </w:p>
              </w:tc>
              <w:tc>
                <w:tcPr>
                  <w:tcW w:w="1484" w:type="pct"/>
                  <w:shd w:val="clear" w:color="auto" w:fill="auto"/>
                  <w:noWrap/>
                  <w:vAlign w:val="center"/>
                </w:tcPr>
                <w:p w14:paraId="3D8CF928">
                  <w:pPr>
                    <w:widowControl/>
                    <w:adjustRightInd w:val="0"/>
                    <w:snapToGrid w:val="0"/>
                    <w:jc w:val="center"/>
                    <w:rPr>
                      <w:snapToGrid w:val="0"/>
                      <w:color w:val="auto"/>
                      <w:kern w:val="0"/>
                      <w:sz w:val="18"/>
                      <w:szCs w:val="18"/>
                      <w:highlight w:val="none"/>
                    </w:rPr>
                  </w:pPr>
                  <w:r>
                    <w:rPr>
                      <w:rFonts w:hint="eastAsia"/>
                      <w:color w:val="auto"/>
                      <w:sz w:val="18"/>
                      <w:szCs w:val="18"/>
                      <w:highlight w:val="none"/>
                    </w:rPr>
                    <w:t>0.0013L</w:t>
                  </w:r>
                </w:p>
              </w:tc>
              <w:tc>
                <w:tcPr>
                  <w:tcW w:w="639" w:type="pct"/>
                  <w:noWrap/>
                  <w:vAlign w:val="center"/>
                </w:tcPr>
                <w:p w14:paraId="300A09F4">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33622219">
                  <w:pPr>
                    <w:widowControl/>
                    <w:adjustRightInd w:val="0"/>
                    <w:snapToGrid w:val="0"/>
                    <w:jc w:val="center"/>
                    <w:rPr>
                      <w:color w:val="auto"/>
                      <w:kern w:val="0"/>
                      <w:sz w:val="18"/>
                      <w:szCs w:val="18"/>
                      <w:highlight w:val="none"/>
                    </w:rPr>
                  </w:pPr>
                  <w:r>
                    <w:rPr>
                      <w:rFonts w:hint="eastAsia"/>
                      <w:color w:val="auto"/>
                      <w:kern w:val="0"/>
                      <w:sz w:val="18"/>
                      <w:szCs w:val="18"/>
                      <w:highlight w:val="none"/>
                    </w:rPr>
                    <w:t>2.8</w:t>
                  </w:r>
                </w:p>
              </w:tc>
            </w:tr>
            <w:tr w14:paraId="44C44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4127E36">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9</w:t>
                  </w:r>
                </w:p>
              </w:tc>
              <w:tc>
                <w:tcPr>
                  <w:tcW w:w="848" w:type="pct"/>
                  <w:vMerge w:val="continue"/>
                  <w:noWrap/>
                  <w:vAlign w:val="center"/>
                </w:tcPr>
                <w:p w14:paraId="720B36A9">
                  <w:pPr>
                    <w:pStyle w:val="71"/>
                    <w:adjustRightInd w:val="0"/>
                    <w:snapToGrid w:val="0"/>
                    <w:rPr>
                      <w:color w:val="auto"/>
                      <w:sz w:val="18"/>
                      <w:szCs w:val="18"/>
                      <w:highlight w:val="none"/>
                    </w:rPr>
                  </w:pPr>
                </w:p>
              </w:tc>
              <w:tc>
                <w:tcPr>
                  <w:tcW w:w="1164" w:type="pct"/>
                  <w:shd w:val="clear" w:color="auto" w:fill="auto"/>
                  <w:noWrap/>
                  <w:vAlign w:val="center"/>
                </w:tcPr>
                <w:p w14:paraId="7297D241">
                  <w:pPr>
                    <w:widowControl/>
                    <w:adjustRightInd w:val="0"/>
                    <w:snapToGrid w:val="0"/>
                    <w:jc w:val="center"/>
                    <w:rPr>
                      <w:snapToGrid w:val="0"/>
                      <w:color w:val="auto"/>
                      <w:kern w:val="0"/>
                      <w:sz w:val="18"/>
                      <w:szCs w:val="18"/>
                      <w:highlight w:val="none"/>
                    </w:rPr>
                  </w:pPr>
                  <w:r>
                    <w:rPr>
                      <w:color w:val="auto"/>
                      <w:kern w:val="0"/>
                      <w:sz w:val="18"/>
                      <w:szCs w:val="18"/>
                      <w:highlight w:val="none"/>
                    </w:rPr>
                    <w:t>氯仿</w:t>
                  </w:r>
                </w:p>
              </w:tc>
              <w:tc>
                <w:tcPr>
                  <w:tcW w:w="1484" w:type="pct"/>
                  <w:shd w:val="clear" w:color="auto" w:fill="auto"/>
                  <w:noWrap/>
                  <w:vAlign w:val="center"/>
                </w:tcPr>
                <w:p w14:paraId="1B44A088">
                  <w:pPr>
                    <w:widowControl/>
                    <w:adjustRightInd w:val="0"/>
                    <w:snapToGrid w:val="0"/>
                    <w:jc w:val="center"/>
                    <w:rPr>
                      <w:color w:val="auto"/>
                      <w:kern w:val="0"/>
                      <w:sz w:val="18"/>
                      <w:szCs w:val="18"/>
                      <w:highlight w:val="none"/>
                    </w:rPr>
                  </w:pPr>
                  <w:r>
                    <w:rPr>
                      <w:rFonts w:hint="eastAsia"/>
                      <w:color w:val="auto"/>
                      <w:sz w:val="18"/>
                      <w:szCs w:val="18"/>
                      <w:highlight w:val="none"/>
                    </w:rPr>
                    <w:t>0.0016</w:t>
                  </w:r>
                </w:p>
              </w:tc>
              <w:tc>
                <w:tcPr>
                  <w:tcW w:w="639" w:type="pct"/>
                  <w:noWrap/>
                  <w:vAlign w:val="center"/>
                </w:tcPr>
                <w:p w14:paraId="6A04E0C5">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2A72F70D">
                  <w:pPr>
                    <w:widowControl/>
                    <w:adjustRightInd w:val="0"/>
                    <w:snapToGrid w:val="0"/>
                    <w:jc w:val="center"/>
                    <w:rPr>
                      <w:color w:val="auto"/>
                      <w:kern w:val="0"/>
                      <w:sz w:val="18"/>
                      <w:szCs w:val="18"/>
                      <w:highlight w:val="none"/>
                    </w:rPr>
                  </w:pPr>
                  <w:r>
                    <w:rPr>
                      <w:rFonts w:hint="eastAsia"/>
                      <w:color w:val="auto"/>
                      <w:kern w:val="0"/>
                      <w:sz w:val="18"/>
                      <w:szCs w:val="18"/>
                      <w:highlight w:val="none"/>
                    </w:rPr>
                    <w:t>0.9</w:t>
                  </w:r>
                </w:p>
              </w:tc>
            </w:tr>
            <w:tr w14:paraId="592A6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68762EE">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10</w:t>
                  </w:r>
                </w:p>
              </w:tc>
              <w:tc>
                <w:tcPr>
                  <w:tcW w:w="848" w:type="pct"/>
                  <w:vMerge w:val="continue"/>
                  <w:noWrap/>
                  <w:vAlign w:val="center"/>
                </w:tcPr>
                <w:p w14:paraId="159278B0">
                  <w:pPr>
                    <w:pStyle w:val="71"/>
                    <w:adjustRightInd w:val="0"/>
                    <w:snapToGrid w:val="0"/>
                    <w:rPr>
                      <w:color w:val="auto"/>
                      <w:sz w:val="18"/>
                      <w:szCs w:val="18"/>
                      <w:highlight w:val="none"/>
                    </w:rPr>
                  </w:pPr>
                </w:p>
              </w:tc>
              <w:tc>
                <w:tcPr>
                  <w:tcW w:w="1164" w:type="pct"/>
                  <w:shd w:val="clear" w:color="auto" w:fill="auto"/>
                  <w:noWrap/>
                  <w:vAlign w:val="center"/>
                </w:tcPr>
                <w:p w14:paraId="491945D3">
                  <w:pPr>
                    <w:widowControl/>
                    <w:adjustRightInd w:val="0"/>
                    <w:snapToGrid w:val="0"/>
                    <w:jc w:val="center"/>
                    <w:rPr>
                      <w:snapToGrid w:val="0"/>
                      <w:color w:val="auto"/>
                      <w:kern w:val="0"/>
                      <w:sz w:val="18"/>
                      <w:szCs w:val="18"/>
                      <w:highlight w:val="none"/>
                    </w:rPr>
                  </w:pPr>
                  <w:r>
                    <w:rPr>
                      <w:color w:val="auto"/>
                      <w:kern w:val="0"/>
                      <w:sz w:val="18"/>
                      <w:szCs w:val="18"/>
                      <w:highlight w:val="none"/>
                    </w:rPr>
                    <w:t>氯甲烷</w:t>
                  </w:r>
                </w:p>
              </w:tc>
              <w:tc>
                <w:tcPr>
                  <w:tcW w:w="1484" w:type="pct"/>
                  <w:shd w:val="clear" w:color="auto" w:fill="auto"/>
                  <w:noWrap/>
                  <w:vAlign w:val="center"/>
                </w:tcPr>
                <w:p w14:paraId="68EBA953">
                  <w:pPr>
                    <w:widowControl/>
                    <w:adjustRightInd w:val="0"/>
                    <w:snapToGrid w:val="0"/>
                    <w:jc w:val="center"/>
                    <w:rPr>
                      <w:color w:val="auto"/>
                      <w:kern w:val="0"/>
                      <w:sz w:val="18"/>
                      <w:szCs w:val="18"/>
                      <w:highlight w:val="none"/>
                    </w:rPr>
                  </w:pPr>
                  <w:r>
                    <w:rPr>
                      <w:rFonts w:hint="eastAsia"/>
                      <w:color w:val="auto"/>
                      <w:sz w:val="18"/>
                      <w:szCs w:val="18"/>
                      <w:highlight w:val="none"/>
                    </w:rPr>
                    <w:t>0.0010L</w:t>
                  </w:r>
                </w:p>
              </w:tc>
              <w:tc>
                <w:tcPr>
                  <w:tcW w:w="639" w:type="pct"/>
                  <w:noWrap/>
                  <w:vAlign w:val="center"/>
                </w:tcPr>
                <w:p w14:paraId="3D63270F">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19132E34">
                  <w:pPr>
                    <w:widowControl/>
                    <w:adjustRightInd w:val="0"/>
                    <w:snapToGrid w:val="0"/>
                    <w:jc w:val="center"/>
                    <w:rPr>
                      <w:color w:val="auto"/>
                      <w:kern w:val="0"/>
                      <w:sz w:val="18"/>
                      <w:szCs w:val="18"/>
                      <w:highlight w:val="none"/>
                    </w:rPr>
                  </w:pPr>
                  <w:r>
                    <w:rPr>
                      <w:rFonts w:hint="eastAsia"/>
                      <w:color w:val="auto"/>
                      <w:kern w:val="0"/>
                      <w:sz w:val="18"/>
                      <w:szCs w:val="18"/>
                      <w:highlight w:val="none"/>
                    </w:rPr>
                    <w:t>37</w:t>
                  </w:r>
                </w:p>
              </w:tc>
            </w:tr>
            <w:tr w14:paraId="53F59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1457ABC">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11</w:t>
                  </w:r>
                </w:p>
              </w:tc>
              <w:tc>
                <w:tcPr>
                  <w:tcW w:w="848" w:type="pct"/>
                  <w:vMerge w:val="continue"/>
                  <w:noWrap/>
                  <w:vAlign w:val="center"/>
                </w:tcPr>
                <w:p w14:paraId="5AD030A4">
                  <w:pPr>
                    <w:pStyle w:val="71"/>
                    <w:adjustRightInd w:val="0"/>
                    <w:snapToGrid w:val="0"/>
                    <w:rPr>
                      <w:color w:val="auto"/>
                      <w:sz w:val="18"/>
                      <w:szCs w:val="18"/>
                      <w:highlight w:val="none"/>
                    </w:rPr>
                  </w:pPr>
                </w:p>
              </w:tc>
              <w:tc>
                <w:tcPr>
                  <w:tcW w:w="1164" w:type="pct"/>
                  <w:shd w:val="clear" w:color="auto" w:fill="auto"/>
                  <w:noWrap/>
                  <w:vAlign w:val="center"/>
                </w:tcPr>
                <w:p w14:paraId="6A18B9FF">
                  <w:pPr>
                    <w:widowControl/>
                    <w:adjustRightInd w:val="0"/>
                    <w:snapToGrid w:val="0"/>
                    <w:jc w:val="center"/>
                    <w:rPr>
                      <w:color w:val="auto"/>
                      <w:kern w:val="0"/>
                      <w:sz w:val="18"/>
                      <w:szCs w:val="18"/>
                      <w:highlight w:val="none"/>
                    </w:rPr>
                  </w:pPr>
                  <w:r>
                    <w:rPr>
                      <w:color w:val="auto"/>
                      <w:kern w:val="0"/>
                      <w:sz w:val="18"/>
                      <w:szCs w:val="18"/>
                      <w:highlight w:val="none"/>
                    </w:rPr>
                    <w:t>1,1-二氯乙烷</w:t>
                  </w:r>
                </w:p>
              </w:tc>
              <w:tc>
                <w:tcPr>
                  <w:tcW w:w="1484" w:type="pct"/>
                  <w:shd w:val="clear" w:color="auto" w:fill="auto"/>
                  <w:noWrap/>
                  <w:vAlign w:val="center"/>
                </w:tcPr>
                <w:p w14:paraId="645085E7">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noWrap/>
                  <w:vAlign w:val="center"/>
                </w:tcPr>
                <w:p w14:paraId="655E8B2F">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3E0AEFF8">
                  <w:pPr>
                    <w:widowControl/>
                    <w:adjustRightInd w:val="0"/>
                    <w:snapToGrid w:val="0"/>
                    <w:jc w:val="center"/>
                    <w:rPr>
                      <w:color w:val="auto"/>
                      <w:kern w:val="0"/>
                      <w:sz w:val="18"/>
                      <w:szCs w:val="18"/>
                      <w:highlight w:val="none"/>
                    </w:rPr>
                  </w:pPr>
                  <w:r>
                    <w:rPr>
                      <w:rFonts w:hint="eastAsia"/>
                      <w:color w:val="auto"/>
                      <w:kern w:val="0"/>
                      <w:sz w:val="18"/>
                      <w:szCs w:val="18"/>
                      <w:highlight w:val="none"/>
                    </w:rPr>
                    <w:t>9</w:t>
                  </w:r>
                </w:p>
              </w:tc>
            </w:tr>
            <w:tr w14:paraId="54F8F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521EF81">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12</w:t>
                  </w:r>
                </w:p>
              </w:tc>
              <w:tc>
                <w:tcPr>
                  <w:tcW w:w="848" w:type="pct"/>
                  <w:vMerge w:val="continue"/>
                  <w:noWrap/>
                  <w:vAlign w:val="center"/>
                </w:tcPr>
                <w:p w14:paraId="4351523D">
                  <w:pPr>
                    <w:pStyle w:val="71"/>
                    <w:adjustRightInd w:val="0"/>
                    <w:snapToGrid w:val="0"/>
                    <w:rPr>
                      <w:color w:val="auto"/>
                      <w:sz w:val="18"/>
                      <w:szCs w:val="18"/>
                      <w:highlight w:val="none"/>
                    </w:rPr>
                  </w:pPr>
                </w:p>
              </w:tc>
              <w:tc>
                <w:tcPr>
                  <w:tcW w:w="1164" w:type="pct"/>
                  <w:shd w:val="clear" w:color="auto" w:fill="auto"/>
                  <w:noWrap/>
                  <w:vAlign w:val="center"/>
                </w:tcPr>
                <w:p w14:paraId="326295BC">
                  <w:pPr>
                    <w:widowControl/>
                    <w:adjustRightInd w:val="0"/>
                    <w:snapToGrid w:val="0"/>
                    <w:jc w:val="center"/>
                    <w:rPr>
                      <w:color w:val="auto"/>
                      <w:kern w:val="0"/>
                      <w:sz w:val="18"/>
                      <w:szCs w:val="18"/>
                      <w:highlight w:val="none"/>
                    </w:rPr>
                  </w:pPr>
                  <w:r>
                    <w:rPr>
                      <w:color w:val="auto"/>
                      <w:kern w:val="0"/>
                      <w:sz w:val="18"/>
                      <w:szCs w:val="18"/>
                      <w:highlight w:val="none"/>
                    </w:rPr>
                    <w:t>1,2-二氯乙烷</w:t>
                  </w:r>
                </w:p>
              </w:tc>
              <w:tc>
                <w:tcPr>
                  <w:tcW w:w="1484" w:type="pct"/>
                  <w:shd w:val="clear" w:color="auto" w:fill="auto"/>
                  <w:noWrap/>
                  <w:vAlign w:val="center"/>
                </w:tcPr>
                <w:p w14:paraId="19F18C49">
                  <w:pPr>
                    <w:widowControl/>
                    <w:adjustRightInd w:val="0"/>
                    <w:snapToGrid w:val="0"/>
                    <w:jc w:val="center"/>
                    <w:rPr>
                      <w:color w:val="auto"/>
                      <w:sz w:val="18"/>
                      <w:szCs w:val="18"/>
                      <w:highlight w:val="none"/>
                    </w:rPr>
                  </w:pPr>
                  <w:r>
                    <w:rPr>
                      <w:rFonts w:hint="eastAsia"/>
                      <w:color w:val="auto"/>
                      <w:sz w:val="18"/>
                      <w:szCs w:val="18"/>
                      <w:highlight w:val="none"/>
                    </w:rPr>
                    <w:t>0.013</w:t>
                  </w:r>
                </w:p>
              </w:tc>
              <w:tc>
                <w:tcPr>
                  <w:tcW w:w="639" w:type="pct"/>
                  <w:noWrap/>
                  <w:vAlign w:val="center"/>
                </w:tcPr>
                <w:p w14:paraId="2298A956">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4F8BB25C">
                  <w:pPr>
                    <w:widowControl/>
                    <w:adjustRightInd w:val="0"/>
                    <w:snapToGrid w:val="0"/>
                    <w:jc w:val="center"/>
                    <w:rPr>
                      <w:color w:val="auto"/>
                      <w:kern w:val="0"/>
                      <w:sz w:val="18"/>
                      <w:szCs w:val="18"/>
                      <w:highlight w:val="none"/>
                    </w:rPr>
                  </w:pPr>
                  <w:r>
                    <w:rPr>
                      <w:rFonts w:hint="eastAsia"/>
                      <w:color w:val="auto"/>
                      <w:kern w:val="0"/>
                      <w:sz w:val="18"/>
                      <w:szCs w:val="18"/>
                      <w:highlight w:val="none"/>
                    </w:rPr>
                    <w:t>5</w:t>
                  </w:r>
                </w:p>
              </w:tc>
            </w:tr>
            <w:tr w14:paraId="67163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15FC5B42">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13</w:t>
                  </w:r>
                </w:p>
              </w:tc>
              <w:tc>
                <w:tcPr>
                  <w:tcW w:w="848" w:type="pct"/>
                  <w:vMerge w:val="continue"/>
                  <w:noWrap/>
                  <w:vAlign w:val="center"/>
                </w:tcPr>
                <w:p w14:paraId="102BBC04">
                  <w:pPr>
                    <w:pStyle w:val="71"/>
                    <w:adjustRightInd w:val="0"/>
                    <w:snapToGrid w:val="0"/>
                    <w:rPr>
                      <w:color w:val="auto"/>
                      <w:sz w:val="18"/>
                      <w:szCs w:val="18"/>
                      <w:highlight w:val="none"/>
                    </w:rPr>
                  </w:pPr>
                </w:p>
              </w:tc>
              <w:tc>
                <w:tcPr>
                  <w:tcW w:w="1164" w:type="pct"/>
                  <w:shd w:val="clear" w:color="auto" w:fill="auto"/>
                  <w:noWrap/>
                  <w:vAlign w:val="center"/>
                </w:tcPr>
                <w:p w14:paraId="3E3DDFAC">
                  <w:pPr>
                    <w:widowControl/>
                    <w:adjustRightInd w:val="0"/>
                    <w:snapToGrid w:val="0"/>
                    <w:jc w:val="center"/>
                    <w:rPr>
                      <w:color w:val="auto"/>
                      <w:kern w:val="0"/>
                      <w:sz w:val="18"/>
                      <w:szCs w:val="18"/>
                      <w:highlight w:val="none"/>
                    </w:rPr>
                  </w:pPr>
                  <w:r>
                    <w:rPr>
                      <w:color w:val="auto"/>
                      <w:kern w:val="0"/>
                      <w:sz w:val="18"/>
                      <w:szCs w:val="18"/>
                      <w:highlight w:val="none"/>
                    </w:rPr>
                    <w:t>1,1-二氯乙烯</w:t>
                  </w:r>
                </w:p>
              </w:tc>
              <w:tc>
                <w:tcPr>
                  <w:tcW w:w="1484" w:type="pct"/>
                  <w:shd w:val="clear" w:color="auto" w:fill="auto"/>
                  <w:noWrap/>
                  <w:vAlign w:val="center"/>
                </w:tcPr>
                <w:p w14:paraId="137A36E8">
                  <w:pPr>
                    <w:widowControl/>
                    <w:adjustRightInd w:val="0"/>
                    <w:snapToGrid w:val="0"/>
                    <w:jc w:val="center"/>
                    <w:rPr>
                      <w:color w:val="auto"/>
                      <w:sz w:val="18"/>
                      <w:szCs w:val="18"/>
                      <w:highlight w:val="none"/>
                    </w:rPr>
                  </w:pPr>
                  <w:r>
                    <w:rPr>
                      <w:rFonts w:hint="eastAsia"/>
                      <w:color w:val="auto"/>
                      <w:sz w:val="18"/>
                      <w:szCs w:val="18"/>
                      <w:highlight w:val="none"/>
                    </w:rPr>
                    <w:t>0.0010L</w:t>
                  </w:r>
                </w:p>
              </w:tc>
              <w:tc>
                <w:tcPr>
                  <w:tcW w:w="639" w:type="pct"/>
                  <w:noWrap/>
                  <w:vAlign w:val="center"/>
                </w:tcPr>
                <w:p w14:paraId="63D09D1B">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7B6DA118">
                  <w:pPr>
                    <w:widowControl/>
                    <w:adjustRightInd w:val="0"/>
                    <w:snapToGrid w:val="0"/>
                    <w:jc w:val="center"/>
                    <w:rPr>
                      <w:color w:val="auto"/>
                      <w:kern w:val="0"/>
                      <w:sz w:val="18"/>
                      <w:szCs w:val="18"/>
                      <w:highlight w:val="none"/>
                    </w:rPr>
                  </w:pPr>
                  <w:r>
                    <w:rPr>
                      <w:rFonts w:hint="eastAsia"/>
                      <w:color w:val="auto"/>
                      <w:kern w:val="0"/>
                      <w:sz w:val="18"/>
                      <w:szCs w:val="18"/>
                      <w:highlight w:val="none"/>
                    </w:rPr>
                    <w:t>66</w:t>
                  </w:r>
                </w:p>
              </w:tc>
            </w:tr>
            <w:tr w14:paraId="08690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2422F63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14</w:t>
                  </w:r>
                </w:p>
              </w:tc>
              <w:tc>
                <w:tcPr>
                  <w:tcW w:w="848" w:type="pct"/>
                  <w:vMerge w:val="continue"/>
                  <w:noWrap/>
                  <w:vAlign w:val="center"/>
                </w:tcPr>
                <w:p w14:paraId="55E665D3">
                  <w:pPr>
                    <w:pStyle w:val="71"/>
                    <w:adjustRightInd w:val="0"/>
                    <w:snapToGrid w:val="0"/>
                    <w:rPr>
                      <w:color w:val="auto"/>
                      <w:sz w:val="18"/>
                      <w:szCs w:val="18"/>
                      <w:highlight w:val="none"/>
                    </w:rPr>
                  </w:pPr>
                </w:p>
              </w:tc>
              <w:tc>
                <w:tcPr>
                  <w:tcW w:w="1164" w:type="pct"/>
                  <w:shd w:val="clear" w:color="auto" w:fill="auto"/>
                  <w:noWrap/>
                  <w:vAlign w:val="center"/>
                </w:tcPr>
                <w:p w14:paraId="18B3D3D6">
                  <w:pPr>
                    <w:widowControl/>
                    <w:adjustRightInd w:val="0"/>
                    <w:snapToGrid w:val="0"/>
                    <w:jc w:val="center"/>
                    <w:rPr>
                      <w:color w:val="auto"/>
                      <w:kern w:val="0"/>
                      <w:sz w:val="18"/>
                      <w:szCs w:val="18"/>
                      <w:highlight w:val="none"/>
                    </w:rPr>
                  </w:pPr>
                  <w:r>
                    <w:rPr>
                      <w:color w:val="auto"/>
                      <w:kern w:val="0"/>
                      <w:sz w:val="18"/>
                      <w:szCs w:val="18"/>
                      <w:highlight w:val="none"/>
                    </w:rPr>
                    <w:t>顺-1,2-二氯乙烯</w:t>
                  </w:r>
                </w:p>
              </w:tc>
              <w:tc>
                <w:tcPr>
                  <w:tcW w:w="1484" w:type="pct"/>
                  <w:shd w:val="clear" w:color="auto" w:fill="auto"/>
                  <w:noWrap/>
                  <w:vAlign w:val="center"/>
                </w:tcPr>
                <w:p w14:paraId="208FF5FF">
                  <w:pPr>
                    <w:widowControl/>
                    <w:adjustRightInd w:val="0"/>
                    <w:snapToGrid w:val="0"/>
                    <w:jc w:val="center"/>
                    <w:rPr>
                      <w:color w:val="auto"/>
                      <w:sz w:val="18"/>
                      <w:szCs w:val="18"/>
                      <w:highlight w:val="none"/>
                    </w:rPr>
                  </w:pPr>
                  <w:r>
                    <w:rPr>
                      <w:rFonts w:hint="eastAsia"/>
                      <w:color w:val="auto"/>
                      <w:sz w:val="18"/>
                      <w:szCs w:val="18"/>
                      <w:highlight w:val="none"/>
                    </w:rPr>
                    <w:t>0.0013L</w:t>
                  </w:r>
                </w:p>
              </w:tc>
              <w:tc>
                <w:tcPr>
                  <w:tcW w:w="639" w:type="pct"/>
                  <w:noWrap/>
                  <w:vAlign w:val="center"/>
                </w:tcPr>
                <w:p w14:paraId="0DDA23D0">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7161E7A1">
                  <w:pPr>
                    <w:widowControl/>
                    <w:adjustRightInd w:val="0"/>
                    <w:snapToGrid w:val="0"/>
                    <w:jc w:val="center"/>
                    <w:rPr>
                      <w:color w:val="auto"/>
                      <w:kern w:val="0"/>
                      <w:sz w:val="18"/>
                      <w:szCs w:val="18"/>
                      <w:highlight w:val="none"/>
                    </w:rPr>
                  </w:pPr>
                  <w:r>
                    <w:rPr>
                      <w:rFonts w:hint="eastAsia"/>
                      <w:color w:val="auto"/>
                      <w:kern w:val="0"/>
                      <w:sz w:val="18"/>
                      <w:szCs w:val="18"/>
                      <w:highlight w:val="none"/>
                    </w:rPr>
                    <w:t>596</w:t>
                  </w:r>
                </w:p>
              </w:tc>
            </w:tr>
            <w:tr w14:paraId="24922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0B93708">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15</w:t>
                  </w:r>
                </w:p>
              </w:tc>
              <w:tc>
                <w:tcPr>
                  <w:tcW w:w="848" w:type="pct"/>
                  <w:vMerge w:val="continue"/>
                  <w:noWrap/>
                  <w:vAlign w:val="center"/>
                </w:tcPr>
                <w:p w14:paraId="05E8137E">
                  <w:pPr>
                    <w:pStyle w:val="71"/>
                    <w:adjustRightInd w:val="0"/>
                    <w:snapToGrid w:val="0"/>
                    <w:rPr>
                      <w:color w:val="auto"/>
                      <w:sz w:val="18"/>
                      <w:szCs w:val="18"/>
                      <w:highlight w:val="none"/>
                    </w:rPr>
                  </w:pPr>
                </w:p>
              </w:tc>
              <w:tc>
                <w:tcPr>
                  <w:tcW w:w="1164" w:type="pct"/>
                  <w:shd w:val="clear" w:color="auto" w:fill="auto"/>
                  <w:noWrap/>
                  <w:vAlign w:val="center"/>
                </w:tcPr>
                <w:p w14:paraId="57ECB877">
                  <w:pPr>
                    <w:widowControl/>
                    <w:adjustRightInd w:val="0"/>
                    <w:snapToGrid w:val="0"/>
                    <w:jc w:val="center"/>
                    <w:rPr>
                      <w:color w:val="auto"/>
                      <w:kern w:val="0"/>
                      <w:sz w:val="18"/>
                      <w:szCs w:val="18"/>
                      <w:highlight w:val="none"/>
                    </w:rPr>
                  </w:pPr>
                  <w:r>
                    <w:rPr>
                      <w:color w:val="auto"/>
                      <w:kern w:val="0"/>
                      <w:sz w:val="18"/>
                      <w:szCs w:val="18"/>
                      <w:highlight w:val="none"/>
                    </w:rPr>
                    <w:t>反-1,2-二氯乙烯</w:t>
                  </w:r>
                </w:p>
              </w:tc>
              <w:tc>
                <w:tcPr>
                  <w:tcW w:w="1484" w:type="pct"/>
                  <w:shd w:val="clear" w:color="auto" w:fill="auto"/>
                  <w:noWrap/>
                  <w:vAlign w:val="center"/>
                </w:tcPr>
                <w:p w14:paraId="772897CF">
                  <w:pPr>
                    <w:widowControl/>
                    <w:adjustRightInd w:val="0"/>
                    <w:snapToGrid w:val="0"/>
                    <w:jc w:val="center"/>
                    <w:rPr>
                      <w:color w:val="auto"/>
                      <w:sz w:val="18"/>
                      <w:szCs w:val="18"/>
                      <w:highlight w:val="none"/>
                    </w:rPr>
                  </w:pPr>
                  <w:r>
                    <w:rPr>
                      <w:rFonts w:hint="eastAsia"/>
                      <w:color w:val="auto"/>
                      <w:sz w:val="18"/>
                      <w:szCs w:val="18"/>
                      <w:highlight w:val="none"/>
                    </w:rPr>
                    <w:t>0.0014L</w:t>
                  </w:r>
                </w:p>
              </w:tc>
              <w:tc>
                <w:tcPr>
                  <w:tcW w:w="639" w:type="pct"/>
                  <w:noWrap/>
                  <w:vAlign w:val="center"/>
                </w:tcPr>
                <w:p w14:paraId="3AF094B4">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310C1613">
                  <w:pPr>
                    <w:widowControl/>
                    <w:adjustRightInd w:val="0"/>
                    <w:snapToGrid w:val="0"/>
                    <w:jc w:val="center"/>
                    <w:rPr>
                      <w:color w:val="auto"/>
                      <w:kern w:val="0"/>
                      <w:sz w:val="18"/>
                      <w:szCs w:val="18"/>
                      <w:highlight w:val="none"/>
                    </w:rPr>
                  </w:pPr>
                  <w:r>
                    <w:rPr>
                      <w:rFonts w:hint="eastAsia"/>
                      <w:color w:val="auto"/>
                      <w:kern w:val="0"/>
                      <w:sz w:val="18"/>
                      <w:szCs w:val="18"/>
                      <w:highlight w:val="none"/>
                    </w:rPr>
                    <w:t>54</w:t>
                  </w:r>
                </w:p>
              </w:tc>
            </w:tr>
            <w:tr w14:paraId="3E22F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0A4B6991">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16</w:t>
                  </w:r>
                </w:p>
              </w:tc>
              <w:tc>
                <w:tcPr>
                  <w:tcW w:w="848" w:type="pct"/>
                  <w:vMerge w:val="continue"/>
                  <w:noWrap/>
                  <w:vAlign w:val="center"/>
                </w:tcPr>
                <w:p w14:paraId="4BC8E7D9">
                  <w:pPr>
                    <w:pStyle w:val="71"/>
                    <w:adjustRightInd w:val="0"/>
                    <w:snapToGrid w:val="0"/>
                    <w:rPr>
                      <w:color w:val="auto"/>
                      <w:sz w:val="18"/>
                      <w:szCs w:val="18"/>
                      <w:highlight w:val="none"/>
                    </w:rPr>
                  </w:pPr>
                </w:p>
              </w:tc>
              <w:tc>
                <w:tcPr>
                  <w:tcW w:w="1164" w:type="pct"/>
                  <w:shd w:val="clear" w:color="auto" w:fill="auto"/>
                  <w:noWrap/>
                  <w:vAlign w:val="center"/>
                </w:tcPr>
                <w:p w14:paraId="2265D13A">
                  <w:pPr>
                    <w:widowControl/>
                    <w:adjustRightInd w:val="0"/>
                    <w:snapToGrid w:val="0"/>
                    <w:jc w:val="center"/>
                    <w:rPr>
                      <w:color w:val="auto"/>
                      <w:kern w:val="0"/>
                      <w:sz w:val="18"/>
                      <w:szCs w:val="18"/>
                      <w:highlight w:val="none"/>
                    </w:rPr>
                  </w:pPr>
                  <w:r>
                    <w:rPr>
                      <w:color w:val="auto"/>
                      <w:kern w:val="0"/>
                      <w:sz w:val="18"/>
                      <w:szCs w:val="18"/>
                      <w:highlight w:val="none"/>
                    </w:rPr>
                    <w:t>二氯甲烷</w:t>
                  </w:r>
                </w:p>
              </w:tc>
              <w:tc>
                <w:tcPr>
                  <w:tcW w:w="1484" w:type="pct"/>
                  <w:shd w:val="clear" w:color="auto" w:fill="auto"/>
                  <w:noWrap/>
                  <w:vAlign w:val="center"/>
                </w:tcPr>
                <w:p w14:paraId="650B657D">
                  <w:pPr>
                    <w:widowControl/>
                    <w:adjustRightInd w:val="0"/>
                    <w:snapToGrid w:val="0"/>
                    <w:jc w:val="center"/>
                    <w:rPr>
                      <w:color w:val="auto"/>
                      <w:sz w:val="18"/>
                      <w:szCs w:val="18"/>
                      <w:highlight w:val="none"/>
                    </w:rPr>
                  </w:pPr>
                  <w:r>
                    <w:rPr>
                      <w:rFonts w:hint="eastAsia"/>
                      <w:color w:val="auto"/>
                      <w:sz w:val="18"/>
                      <w:szCs w:val="18"/>
                      <w:highlight w:val="none"/>
                    </w:rPr>
                    <w:t>0.0283</w:t>
                  </w:r>
                </w:p>
              </w:tc>
              <w:tc>
                <w:tcPr>
                  <w:tcW w:w="639" w:type="pct"/>
                  <w:noWrap/>
                  <w:vAlign w:val="center"/>
                </w:tcPr>
                <w:p w14:paraId="7A344A5D">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666A08A9">
                  <w:pPr>
                    <w:widowControl/>
                    <w:adjustRightInd w:val="0"/>
                    <w:snapToGrid w:val="0"/>
                    <w:jc w:val="center"/>
                    <w:rPr>
                      <w:color w:val="auto"/>
                      <w:kern w:val="0"/>
                      <w:sz w:val="18"/>
                      <w:szCs w:val="18"/>
                      <w:highlight w:val="none"/>
                    </w:rPr>
                  </w:pPr>
                  <w:r>
                    <w:rPr>
                      <w:rFonts w:hint="eastAsia"/>
                      <w:color w:val="auto"/>
                      <w:kern w:val="0"/>
                      <w:sz w:val="18"/>
                      <w:szCs w:val="18"/>
                      <w:highlight w:val="none"/>
                    </w:rPr>
                    <w:t>616</w:t>
                  </w:r>
                </w:p>
              </w:tc>
            </w:tr>
            <w:tr w14:paraId="2FB833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3AA3F8C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17</w:t>
                  </w:r>
                </w:p>
              </w:tc>
              <w:tc>
                <w:tcPr>
                  <w:tcW w:w="848" w:type="pct"/>
                  <w:vMerge w:val="continue"/>
                  <w:noWrap/>
                  <w:vAlign w:val="center"/>
                </w:tcPr>
                <w:p w14:paraId="347F80E8">
                  <w:pPr>
                    <w:pStyle w:val="71"/>
                    <w:adjustRightInd w:val="0"/>
                    <w:snapToGrid w:val="0"/>
                    <w:rPr>
                      <w:color w:val="auto"/>
                      <w:sz w:val="18"/>
                      <w:szCs w:val="18"/>
                      <w:highlight w:val="none"/>
                    </w:rPr>
                  </w:pPr>
                </w:p>
              </w:tc>
              <w:tc>
                <w:tcPr>
                  <w:tcW w:w="1164" w:type="pct"/>
                  <w:shd w:val="clear" w:color="auto" w:fill="auto"/>
                  <w:noWrap/>
                  <w:vAlign w:val="center"/>
                </w:tcPr>
                <w:p w14:paraId="17195E61">
                  <w:pPr>
                    <w:widowControl/>
                    <w:adjustRightInd w:val="0"/>
                    <w:snapToGrid w:val="0"/>
                    <w:jc w:val="center"/>
                    <w:rPr>
                      <w:color w:val="auto"/>
                      <w:kern w:val="0"/>
                      <w:sz w:val="18"/>
                      <w:szCs w:val="18"/>
                      <w:highlight w:val="none"/>
                    </w:rPr>
                  </w:pPr>
                  <w:r>
                    <w:rPr>
                      <w:color w:val="auto"/>
                      <w:kern w:val="0"/>
                      <w:sz w:val="18"/>
                      <w:szCs w:val="18"/>
                      <w:highlight w:val="none"/>
                    </w:rPr>
                    <w:t>1,2-二氯丙烷</w:t>
                  </w:r>
                </w:p>
              </w:tc>
              <w:tc>
                <w:tcPr>
                  <w:tcW w:w="1484" w:type="pct"/>
                  <w:shd w:val="clear" w:color="auto" w:fill="auto"/>
                  <w:noWrap/>
                  <w:vAlign w:val="center"/>
                </w:tcPr>
                <w:p w14:paraId="2E2C8C5D">
                  <w:pPr>
                    <w:widowControl/>
                    <w:adjustRightInd w:val="0"/>
                    <w:snapToGrid w:val="0"/>
                    <w:jc w:val="center"/>
                    <w:rPr>
                      <w:color w:val="auto"/>
                      <w:sz w:val="18"/>
                      <w:szCs w:val="18"/>
                      <w:highlight w:val="none"/>
                    </w:rPr>
                  </w:pPr>
                  <w:r>
                    <w:rPr>
                      <w:rFonts w:hint="eastAsia"/>
                      <w:color w:val="auto"/>
                      <w:sz w:val="18"/>
                      <w:szCs w:val="18"/>
                      <w:highlight w:val="none"/>
                    </w:rPr>
                    <w:t>0.0011L</w:t>
                  </w:r>
                </w:p>
              </w:tc>
              <w:tc>
                <w:tcPr>
                  <w:tcW w:w="639" w:type="pct"/>
                  <w:noWrap/>
                  <w:vAlign w:val="center"/>
                </w:tcPr>
                <w:p w14:paraId="34007332">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76D4FBEE">
                  <w:pPr>
                    <w:widowControl/>
                    <w:adjustRightInd w:val="0"/>
                    <w:snapToGrid w:val="0"/>
                    <w:jc w:val="center"/>
                    <w:rPr>
                      <w:color w:val="auto"/>
                      <w:kern w:val="0"/>
                      <w:sz w:val="18"/>
                      <w:szCs w:val="18"/>
                      <w:highlight w:val="none"/>
                    </w:rPr>
                  </w:pPr>
                  <w:r>
                    <w:rPr>
                      <w:rFonts w:hint="eastAsia"/>
                      <w:color w:val="auto"/>
                      <w:kern w:val="0"/>
                      <w:sz w:val="18"/>
                      <w:szCs w:val="18"/>
                      <w:highlight w:val="none"/>
                    </w:rPr>
                    <w:t>5</w:t>
                  </w:r>
                </w:p>
              </w:tc>
            </w:tr>
            <w:tr w14:paraId="2C0D4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noWrap/>
                  <w:vAlign w:val="center"/>
                </w:tcPr>
                <w:p w14:paraId="41C474E5">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18</w:t>
                  </w:r>
                </w:p>
              </w:tc>
              <w:tc>
                <w:tcPr>
                  <w:tcW w:w="848" w:type="pct"/>
                  <w:vMerge w:val="continue"/>
                  <w:noWrap/>
                  <w:vAlign w:val="center"/>
                </w:tcPr>
                <w:p w14:paraId="112C687C">
                  <w:pPr>
                    <w:pStyle w:val="71"/>
                    <w:adjustRightInd w:val="0"/>
                    <w:snapToGrid w:val="0"/>
                    <w:rPr>
                      <w:color w:val="auto"/>
                      <w:sz w:val="18"/>
                      <w:szCs w:val="18"/>
                      <w:highlight w:val="none"/>
                    </w:rPr>
                  </w:pPr>
                </w:p>
              </w:tc>
              <w:tc>
                <w:tcPr>
                  <w:tcW w:w="1164" w:type="pct"/>
                  <w:shd w:val="clear" w:color="auto" w:fill="auto"/>
                  <w:noWrap/>
                  <w:vAlign w:val="center"/>
                </w:tcPr>
                <w:p w14:paraId="35F661C8">
                  <w:pPr>
                    <w:widowControl/>
                    <w:adjustRightInd w:val="0"/>
                    <w:snapToGrid w:val="0"/>
                    <w:jc w:val="center"/>
                    <w:rPr>
                      <w:color w:val="auto"/>
                      <w:kern w:val="0"/>
                      <w:sz w:val="18"/>
                      <w:szCs w:val="18"/>
                      <w:highlight w:val="none"/>
                    </w:rPr>
                  </w:pPr>
                  <w:r>
                    <w:rPr>
                      <w:color w:val="auto"/>
                      <w:kern w:val="0"/>
                      <w:sz w:val="18"/>
                      <w:szCs w:val="18"/>
                      <w:highlight w:val="none"/>
                    </w:rPr>
                    <w:t>1,1,1,2-四氯乙烷</w:t>
                  </w:r>
                </w:p>
              </w:tc>
              <w:tc>
                <w:tcPr>
                  <w:tcW w:w="1484" w:type="pct"/>
                  <w:shd w:val="clear" w:color="auto" w:fill="auto"/>
                  <w:noWrap/>
                  <w:vAlign w:val="center"/>
                </w:tcPr>
                <w:p w14:paraId="7FCF82FD">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noWrap/>
                  <w:vAlign w:val="center"/>
                </w:tcPr>
                <w:p w14:paraId="2B1D9266">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6AF415C6">
                  <w:pPr>
                    <w:widowControl/>
                    <w:adjustRightInd w:val="0"/>
                    <w:snapToGrid w:val="0"/>
                    <w:jc w:val="center"/>
                    <w:rPr>
                      <w:color w:val="auto"/>
                      <w:kern w:val="0"/>
                      <w:sz w:val="18"/>
                      <w:szCs w:val="18"/>
                      <w:highlight w:val="none"/>
                    </w:rPr>
                  </w:pPr>
                  <w:r>
                    <w:rPr>
                      <w:rFonts w:hint="eastAsia"/>
                      <w:color w:val="auto"/>
                      <w:kern w:val="0"/>
                      <w:sz w:val="18"/>
                      <w:szCs w:val="18"/>
                      <w:highlight w:val="none"/>
                    </w:rPr>
                    <w:t>10</w:t>
                  </w:r>
                </w:p>
              </w:tc>
            </w:tr>
            <w:tr w14:paraId="2AFF4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3" w:hRule="atLeast"/>
                <w:jc w:val="center"/>
              </w:trPr>
              <w:tc>
                <w:tcPr>
                  <w:tcW w:w="427" w:type="pct"/>
                  <w:noWrap/>
                  <w:vAlign w:val="center"/>
                </w:tcPr>
                <w:p w14:paraId="6520315E">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19</w:t>
                  </w:r>
                </w:p>
              </w:tc>
              <w:tc>
                <w:tcPr>
                  <w:tcW w:w="848" w:type="pct"/>
                  <w:vMerge w:val="continue"/>
                  <w:noWrap/>
                  <w:vAlign w:val="center"/>
                </w:tcPr>
                <w:p w14:paraId="5EF98098">
                  <w:pPr>
                    <w:pStyle w:val="71"/>
                    <w:adjustRightInd w:val="0"/>
                    <w:snapToGrid w:val="0"/>
                    <w:rPr>
                      <w:color w:val="auto"/>
                      <w:sz w:val="18"/>
                      <w:szCs w:val="18"/>
                      <w:highlight w:val="none"/>
                    </w:rPr>
                  </w:pPr>
                </w:p>
              </w:tc>
              <w:tc>
                <w:tcPr>
                  <w:tcW w:w="1164" w:type="pct"/>
                  <w:shd w:val="clear" w:color="auto" w:fill="auto"/>
                  <w:noWrap/>
                  <w:vAlign w:val="center"/>
                </w:tcPr>
                <w:p w14:paraId="0F82BE56">
                  <w:pPr>
                    <w:widowControl/>
                    <w:adjustRightInd w:val="0"/>
                    <w:snapToGrid w:val="0"/>
                    <w:jc w:val="center"/>
                    <w:rPr>
                      <w:color w:val="auto"/>
                      <w:kern w:val="0"/>
                      <w:sz w:val="18"/>
                      <w:szCs w:val="18"/>
                      <w:highlight w:val="none"/>
                    </w:rPr>
                  </w:pPr>
                  <w:r>
                    <w:rPr>
                      <w:color w:val="auto"/>
                      <w:kern w:val="0"/>
                      <w:sz w:val="18"/>
                      <w:szCs w:val="18"/>
                      <w:highlight w:val="none"/>
                    </w:rPr>
                    <w:t>1,1,2,2-四氯乙烷</w:t>
                  </w:r>
                </w:p>
              </w:tc>
              <w:tc>
                <w:tcPr>
                  <w:tcW w:w="1484" w:type="pct"/>
                  <w:shd w:val="clear" w:color="auto" w:fill="auto"/>
                  <w:noWrap/>
                  <w:vAlign w:val="center"/>
                </w:tcPr>
                <w:p w14:paraId="4D2A115F">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noWrap/>
                  <w:vAlign w:val="center"/>
                </w:tcPr>
                <w:p w14:paraId="68CEA41B">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noWrap/>
                  <w:vAlign w:val="center"/>
                </w:tcPr>
                <w:p w14:paraId="7D59372F">
                  <w:pPr>
                    <w:widowControl/>
                    <w:adjustRightInd w:val="0"/>
                    <w:snapToGrid w:val="0"/>
                    <w:jc w:val="center"/>
                    <w:rPr>
                      <w:color w:val="auto"/>
                      <w:kern w:val="0"/>
                      <w:sz w:val="18"/>
                      <w:szCs w:val="18"/>
                      <w:highlight w:val="none"/>
                    </w:rPr>
                  </w:pPr>
                  <w:r>
                    <w:rPr>
                      <w:rFonts w:hint="eastAsia"/>
                      <w:color w:val="auto"/>
                      <w:kern w:val="0"/>
                      <w:sz w:val="18"/>
                      <w:szCs w:val="18"/>
                      <w:highlight w:val="none"/>
                    </w:rPr>
                    <w:t>6.8</w:t>
                  </w:r>
                </w:p>
              </w:tc>
            </w:tr>
            <w:tr w14:paraId="231C3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84" w:type="dxa"/>
                  <w:vAlign w:val="center"/>
                </w:tcPr>
                <w:p w14:paraId="3655AF2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20</w:t>
                  </w:r>
                </w:p>
              </w:tc>
              <w:tc>
                <w:tcPr>
                  <w:tcW w:w="848" w:type="pct"/>
                  <w:vMerge w:val="continue"/>
                  <w:vAlign w:val="center"/>
                </w:tcPr>
                <w:p w14:paraId="6702688F">
                  <w:pPr>
                    <w:pStyle w:val="71"/>
                    <w:adjustRightInd w:val="0"/>
                    <w:snapToGrid w:val="0"/>
                    <w:rPr>
                      <w:color w:val="auto"/>
                      <w:sz w:val="18"/>
                      <w:szCs w:val="18"/>
                      <w:highlight w:val="none"/>
                    </w:rPr>
                  </w:pPr>
                </w:p>
              </w:tc>
              <w:tc>
                <w:tcPr>
                  <w:tcW w:w="1868" w:type="dxa"/>
                  <w:shd w:val="clear" w:color="auto" w:fill="auto"/>
                  <w:vAlign w:val="center"/>
                </w:tcPr>
                <w:p w14:paraId="4B1025FF">
                  <w:pPr>
                    <w:widowControl/>
                    <w:adjustRightInd w:val="0"/>
                    <w:snapToGrid w:val="0"/>
                    <w:jc w:val="center"/>
                    <w:rPr>
                      <w:color w:val="auto"/>
                      <w:kern w:val="0"/>
                      <w:sz w:val="18"/>
                      <w:szCs w:val="18"/>
                      <w:highlight w:val="none"/>
                    </w:rPr>
                  </w:pPr>
                  <w:r>
                    <w:rPr>
                      <w:color w:val="auto"/>
                      <w:kern w:val="0"/>
                      <w:sz w:val="18"/>
                      <w:szCs w:val="18"/>
                      <w:highlight w:val="none"/>
                    </w:rPr>
                    <w:t>四氯乙烯</w:t>
                  </w:r>
                </w:p>
              </w:tc>
              <w:tc>
                <w:tcPr>
                  <w:tcW w:w="2381" w:type="dxa"/>
                  <w:shd w:val="clear" w:color="auto" w:fill="auto"/>
                  <w:vAlign w:val="center"/>
                </w:tcPr>
                <w:p w14:paraId="4B64EA81">
                  <w:pPr>
                    <w:widowControl/>
                    <w:adjustRightInd w:val="0"/>
                    <w:snapToGrid w:val="0"/>
                    <w:jc w:val="center"/>
                    <w:rPr>
                      <w:color w:val="auto"/>
                      <w:sz w:val="18"/>
                      <w:szCs w:val="18"/>
                      <w:highlight w:val="none"/>
                    </w:rPr>
                  </w:pPr>
                  <w:r>
                    <w:rPr>
                      <w:rFonts w:hint="eastAsia"/>
                      <w:color w:val="auto"/>
                      <w:sz w:val="18"/>
                      <w:szCs w:val="18"/>
                      <w:highlight w:val="none"/>
                    </w:rPr>
                    <w:t>0.0016</w:t>
                  </w:r>
                </w:p>
              </w:tc>
              <w:tc>
                <w:tcPr>
                  <w:tcW w:w="639" w:type="pct"/>
                  <w:vAlign w:val="center"/>
                </w:tcPr>
                <w:p w14:paraId="2CBFC9C0">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787BA81A">
                  <w:pPr>
                    <w:widowControl/>
                    <w:adjustRightInd w:val="0"/>
                    <w:snapToGrid w:val="0"/>
                    <w:jc w:val="center"/>
                    <w:rPr>
                      <w:color w:val="auto"/>
                      <w:kern w:val="0"/>
                      <w:sz w:val="18"/>
                      <w:szCs w:val="18"/>
                      <w:highlight w:val="none"/>
                    </w:rPr>
                  </w:pPr>
                  <w:r>
                    <w:rPr>
                      <w:rFonts w:hint="eastAsia"/>
                      <w:color w:val="auto"/>
                      <w:kern w:val="0"/>
                      <w:sz w:val="18"/>
                      <w:szCs w:val="18"/>
                      <w:highlight w:val="none"/>
                    </w:rPr>
                    <w:t>53</w:t>
                  </w:r>
                </w:p>
              </w:tc>
            </w:tr>
            <w:tr w14:paraId="34DC9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43992B62">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21</w:t>
                  </w:r>
                </w:p>
              </w:tc>
              <w:tc>
                <w:tcPr>
                  <w:tcW w:w="848" w:type="pct"/>
                  <w:vMerge w:val="continue"/>
                  <w:vAlign w:val="center"/>
                </w:tcPr>
                <w:p w14:paraId="367F94F8">
                  <w:pPr>
                    <w:pStyle w:val="71"/>
                    <w:adjustRightInd w:val="0"/>
                    <w:snapToGrid w:val="0"/>
                    <w:rPr>
                      <w:color w:val="auto"/>
                      <w:sz w:val="18"/>
                      <w:szCs w:val="18"/>
                      <w:highlight w:val="none"/>
                    </w:rPr>
                  </w:pPr>
                </w:p>
              </w:tc>
              <w:tc>
                <w:tcPr>
                  <w:tcW w:w="1868" w:type="dxa"/>
                  <w:shd w:val="clear" w:color="auto" w:fill="auto"/>
                  <w:vAlign w:val="center"/>
                </w:tcPr>
                <w:p w14:paraId="450400DE">
                  <w:pPr>
                    <w:widowControl/>
                    <w:adjustRightInd w:val="0"/>
                    <w:snapToGrid w:val="0"/>
                    <w:jc w:val="center"/>
                    <w:rPr>
                      <w:color w:val="auto"/>
                      <w:kern w:val="0"/>
                      <w:sz w:val="18"/>
                      <w:szCs w:val="18"/>
                      <w:highlight w:val="none"/>
                    </w:rPr>
                  </w:pPr>
                  <w:r>
                    <w:rPr>
                      <w:color w:val="auto"/>
                      <w:kern w:val="0"/>
                      <w:sz w:val="18"/>
                      <w:szCs w:val="18"/>
                      <w:highlight w:val="none"/>
                    </w:rPr>
                    <w:t>1,1,1-三氯乙烷</w:t>
                  </w:r>
                </w:p>
              </w:tc>
              <w:tc>
                <w:tcPr>
                  <w:tcW w:w="2381" w:type="dxa"/>
                  <w:shd w:val="clear" w:color="auto" w:fill="auto"/>
                  <w:vAlign w:val="center"/>
                </w:tcPr>
                <w:p w14:paraId="6A714B2B">
                  <w:pPr>
                    <w:widowControl/>
                    <w:adjustRightInd w:val="0"/>
                    <w:snapToGrid w:val="0"/>
                    <w:jc w:val="center"/>
                    <w:rPr>
                      <w:color w:val="auto"/>
                      <w:sz w:val="18"/>
                      <w:szCs w:val="18"/>
                      <w:highlight w:val="none"/>
                    </w:rPr>
                  </w:pPr>
                  <w:r>
                    <w:rPr>
                      <w:rFonts w:hint="eastAsia"/>
                      <w:color w:val="auto"/>
                      <w:sz w:val="18"/>
                      <w:szCs w:val="18"/>
                      <w:highlight w:val="none"/>
                    </w:rPr>
                    <w:t>0.0013L</w:t>
                  </w:r>
                </w:p>
              </w:tc>
              <w:tc>
                <w:tcPr>
                  <w:tcW w:w="639" w:type="pct"/>
                  <w:vAlign w:val="center"/>
                </w:tcPr>
                <w:p w14:paraId="72CEDE7A">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557BA9CE">
                  <w:pPr>
                    <w:widowControl/>
                    <w:adjustRightInd w:val="0"/>
                    <w:snapToGrid w:val="0"/>
                    <w:jc w:val="center"/>
                    <w:rPr>
                      <w:color w:val="auto"/>
                      <w:kern w:val="0"/>
                      <w:sz w:val="18"/>
                      <w:szCs w:val="18"/>
                      <w:highlight w:val="none"/>
                    </w:rPr>
                  </w:pPr>
                  <w:r>
                    <w:rPr>
                      <w:rFonts w:hint="eastAsia"/>
                      <w:color w:val="auto"/>
                      <w:kern w:val="0"/>
                      <w:sz w:val="18"/>
                      <w:szCs w:val="18"/>
                      <w:highlight w:val="none"/>
                    </w:rPr>
                    <w:t>840</w:t>
                  </w:r>
                </w:p>
              </w:tc>
            </w:tr>
            <w:tr w14:paraId="5B4AA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28D77DD3">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22</w:t>
                  </w:r>
                </w:p>
              </w:tc>
              <w:tc>
                <w:tcPr>
                  <w:tcW w:w="848" w:type="pct"/>
                  <w:vMerge w:val="continue"/>
                  <w:vAlign w:val="center"/>
                </w:tcPr>
                <w:p w14:paraId="3ABADFE5">
                  <w:pPr>
                    <w:pStyle w:val="71"/>
                    <w:adjustRightInd w:val="0"/>
                    <w:snapToGrid w:val="0"/>
                    <w:rPr>
                      <w:color w:val="auto"/>
                      <w:sz w:val="18"/>
                      <w:szCs w:val="18"/>
                      <w:highlight w:val="none"/>
                    </w:rPr>
                  </w:pPr>
                </w:p>
              </w:tc>
              <w:tc>
                <w:tcPr>
                  <w:tcW w:w="1868" w:type="dxa"/>
                  <w:shd w:val="clear" w:color="auto" w:fill="auto"/>
                  <w:vAlign w:val="center"/>
                </w:tcPr>
                <w:p w14:paraId="74D38834">
                  <w:pPr>
                    <w:widowControl/>
                    <w:adjustRightInd w:val="0"/>
                    <w:snapToGrid w:val="0"/>
                    <w:jc w:val="center"/>
                    <w:rPr>
                      <w:color w:val="auto"/>
                      <w:kern w:val="0"/>
                      <w:sz w:val="18"/>
                      <w:szCs w:val="18"/>
                      <w:highlight w:val="none"/>
                    </w:rPr>
                  </w:pPr>
                  <w:r>
                    <w:rPr>
                      <w:color w:val="auto"/>
                      <w:kern w:val="0"/>
                      <w:sz w:val="18"/>
                      <w:szCs w:val="18"/>
                      <w:highlight w:val="none"/>
                    </w:rPr>
                    <w:t>1,1,2-三氯乙烷</w:t>
                  </w:r>
                </w:p>
              </w:tc>
              <w:tc>
                <w:tcPr>
                  <w:tcW w:w="2381" w:type="dxa"/>
                  <w:shd w:val="clear" w:color="auto" w:fill="auto"/>
                  <w:vAlign w:val="center"/>
                </w:tcPr>
                <w:p w14:paraId="34D9475C">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05FCF22C">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37374FA0">
                  <w:pPr>
                    <w:widowControl/>
                    <w:adjustRightInd w:val="0"/>
                    <w:snapToGrid w:val="0"/>
                    <w:jc w:val="center"/>
                    <w:rPr>
                      <w:color w:val="auto"/>
                      <w:kern w:val="0"/>
                      <w:sz w:val="18"/>
                      <w:szCs w:val="18"/>
                      <w:highlight w:val="none"/>
                    </w:rPr>
                  </w:pPr>
                  <w:r>
                    <w:rPr>
                      <w:rFonts w:hint="eastAsia"/>
                      <w:color w:val="auto"/>
                      <w:kern w:val="0"/>
                      <w:sz w:val="18"/>
                      <w:szCs w:val="18"/>
                      <w:highlight w:val="none"/>
                    </w:rPr>
                    <w:t>2.8</w:t>
                  </w:r>
                </w:p>
              </w:tc>
            </w:tr>
            <w:tr w14:paraId="7EB6F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4BD09C8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23</w:t>
                  </w:r>
                </w:p>
              </w:tc>
              <w:tc>
                <w:tcPr>
                  <w:tcW w:w="848" w:type="pct"/>
                  <w:vMerge w:val="continue"/>
                  <w:vAlign w:val="center"/>
                </w:tcPr>
                <w:p w14:paraId="212C324F">
                  <w:pPr>
                    <w:pStyle w:val="71"/>
                    <w:adjustRightInd w:val="0"/>
                    <w:snapToGrid w:val="0"/>
                    <w:rPr>
                      <w:color w:val="auto"/>
                      <w:sz w:val="18"/>
                      <w:szCs w:val="18"/>
                      <w:highlight w:val="none"/>
                    </w:rPr>
                  </w:pPr>
                </w:p>
              </w:tc>
              <w:tc>
                <w:tcPr>
                  <w:tcW w:w="1868" w:type="dxa"/>
                  <w:shd w:val="clear" w:color="auto" w:fill="auto"/>
                  <w:vAlign w:val="center"/>
                </w:tcPr>
                <w:p w14:paraId="693490CA">
                  <w:pPr>
                    <w:widowControl/>
                    <w:adjustRightInd w:val="0"/>
                    <w:snapToGrid w:val="0"/>
                    <w:jc w:val="center"/>
                    <w:rPr>
                      <w:color w:val="auto"/>
                      <w:sz w:val="18"/>
                      <w:szCs w:val="18"/>
                      <w:highlight w:val="none"/>
                    </w:rPr>
                  </w:pPr>
                  <w:r>
                    <w:rPr>
                      <w:color w:val="auto"/>
                      <w:kern w:val="0"/>
                      <w:sz w:val="18"/>
                      <w:szCs w:val="18"/>
                      <w:highlight w:val="none"/>
                    </w:rPr>
                    <w:t>三氯乙烯</w:t>
                  </w:r>
                </w:p>
              </w:tc>
              <w:tc>
                <w:tcPr>
                  <w:tcW w:w="2381" w:type="dxa"/>
                  <w:shd w:val="clear" w:color="auto" w:fill="auto"/>
                  <w:vAlign w:val="center"/>
                </w:tcPr>
                <w:p w14:paraId="70C61B33">
                  <w:pPr>
                    <w:widowControl/>
                    <w:adjustRightInd w:val="0"/>
                    <w:snapToGrid w:val="0"/>
                    <w:jc w:val="center"/>
                    <w:rPr>
                      <w:color w:val="auto"/>
                      <w:kern w:val="0"/>
                      <w:sz w:val="18"/>
                      <w:szCs w:val="18"/>
                      <w:highlight w:val="none"/>
                    </w:rPr>
                  </w:pPr>
                  <w:r>
                    <w:rPr>
                      <w:rFonts w:hint="eastAsia"/>
                      <w:color w:val="auto"/>
                      <w:sz w:val="18"/>
                      <w:szCs w:val="18"/>
                      <w:highlight w:val="none"/>
                    </w:rPr>
                    <w:t>0.0012L</w:t>
                  </w:r>
                </w:p>
              </w:tc>
              <w:tc>
                <w:tcPr>
                  <w:tcW w:w="639" w:type="pct"/>
                  <w:vAlign w:val="center"/>
                </w:tcPr>
                <w:p w14:paraId="5FD9E796">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1970F17D">
                  <w:pPr>
                    <w:widowControl/>
                    <w:adjustRightInd w:val="0"/>
                    <w:snapToGrid w:val="0"/>
                    <w:jc w:val="center"/>
                    <w:rPr>
                      <w:color w:val="auto"/>
                      <w:kern w:val="0"/>
                      <w:sz w:val="18"/>
                      <w:szCs w:val="18"/>
                      <w:highlight w:val="none"/>
                    </w:rPr>
                  </w:pPr>
                  <w:r>
                    <w:rPr>
                      <w:rFonts w:hint="eastAsia"/>
                      <w:color w:val="auto"/>
                      <w:kern w:val="0"/>
                      <w:sz w:val="18"/>
                      <w:szCs w:val="18"/>
                      <w:highlight w:val="none"/>
                    </w:rPr>
                    <w:t>2.8</w:t>
                  </w:r>
                </w:p>
              </w:tc>
            </w:tr>
            <w:tr w14:paraId="7737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2FAB9509">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24</w:t>
                  </w:r>
                </w:p>
              </w:tc>
              <w:tc>
                <w:tcPr>
                  <w:tcW w:w="848" w:type="pct"/>
                  <w:vMerge w:val="continue"/>
                  <w:vAlign w:val="center"/>
                </w:tcPr>
                <w:p w14:paraId="2E3D95CE">
                  <w:pPr>
                    <w:pStyle w:val="71"/>
                    <w:adjustRightInd w:val="0"/>
                    <w:snapToGrid w:val="0"/>
                    <w:rPr>
                      <w:color w:val="auto"/>
                      <w:sz w:val="18"/>
                      <w:szCs w:val="18"/>
                      <w:highlight w:val="none"/>
                    </w:rPr>
                  </w:pPr>
                </w:p>
              </w:tc>
              <w:tc>
                <w:tcPr>
                  <w:tcW w:w="1868" w:type="dxa"/>
                  <w:shd w:val="clear" w:color="auto" w:fill="auto"/>
                  <w:vAlign w:val="center"/>
                </w:tcPr>
                <w:p w14:paraId="6F72D9D8">
                  <w:pPr>
                    <w:widowControl/>
                    <w:adjustRightInd w:val="0"/>
                    <w:snapToGrid w:val="0"/>
                    <w:jc w:val="center"/>
                    <w:rPr>
                      <w:color w:val="auto"/>
                      <w:kern w:val="0"/>
                      <w:sz w:val="18"/>
                      <w:szCs w:val="18"/>
                      <w:highlight w:val="none"/>
                    </w:rPr>
                  </w:pPr>
                  <w:r>
                    <w:rPr>
                      <w:color w:val="auto"/>
                      <w:kern w:val="0"/>
                      <w:sz w:val="18"/>
                      <w:szCs w:val="18"/>
                      <w:highlight w:val="none"/>
                    </w:rPr>
                    <w:t>1,2,3-三氯丙烷</w:t>
                  </w:r>
                </w:p>
              </w:tc>
              <w:tc>
                <w:tcPr>
                  <w:tcW w:w="2381" w:type="dxa"/>
                  <w:shd w:val="clear" w:color="auto" w:fill="auto"/>
                  <w:vAlign w:val="center"/>
                </w:tcPr>
                <w:p w14:paraId="6E90018A">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6AF42C25">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6D8C4908">
                  <w:pPr>
                    <w:widowControl/>
                    <w:adjustRightInd w:val="0"/>
                    <w:snapToGrid w:val="0"/>
                    <w:jc w:val="center"/>
                    <w:rPr>
                      <w:color w:val="auto"/>
                      <w:kern w:val="0"/>
                      <w:sz w:val="18"/>
                      <w:szCs w:val="18"/>
                      <w:highlight w:val="none"/>
                    </w:rPr>
                  </w:pPr>
                  <w:r>
                    <w:rPr>
                      <w:rFonts w:hint="eastAsia"/>
                      <w:color w:val="auto"/>
                      <w:kern w:val="0"/>
                      <w:sz w:val="18"/>
                      <w:szCs w:val="18"/>
                      <w:highlight w:val="none"/>
                    </w:rPr>
                    <w:t>0.5</w:t>
                  </w:r>
                </w:p>
              </w:tc>
            </w:tr>
            <w:tr w14:paraId="0F520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75EDBF36">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25</w:t>
                  </w:r>
                </w:p>
              </w:tc>
              <w:tc>
                <w:tcPr>
                  <w:tcW w:w="848" w:type="pct"/>
                  <w:vMerge w:val="continue"/>
                  <w:vAlign w:val="center"/>
                </w:tcPr>
                <w:p w14:paraId="3EDDA97C">
                  <w:pPr>
                    <w:pStyle w:val="71"/>
                    <w:adjustRightInd w:val="0"/>
                    <w:snapToGrid w:val="0"/>
                    <w:rPr>
                      <w:color w:val="auto"/>
                      <w:sz w:val="18"/>
                      <w:szCs w:val="18"/>
                      <w:highlight w:val="none"/>
                    </w:rPr>
                  </w:pPr>
                </w:p>
              </w:tc>
              <w:tc>
                <w:tcPr>
                  <w:tcW w:w="1868" w:type="dxa"/>
                  <w:shd w:val="clear" w:color="auto" w:fill="auto"/>
                  <w:vAlign w:val="center"/>
                </w:tcPr>
                <w:p w14:paraId="15B8B02D">
                  <w:pPr>
                    <w:widowControl/>
                    <w:adjustRightInd w:val="0"/>
                    <w:snapToGrid w:val="0"/>
                    <w:jc w:val="center"/>
                    <w:rPr>
                      <w:color w:val="auto"/>
                      <w:kern w:val="0"/>
                      <w:sz w:val="18"/>
                      <w:szCs w:val="18"/>
                      <w:highlight w:val="none"/>
                    </w:rPr>
                  </w:pPr>
                  <w:r>
                    <w:rPr>
                      <w:color w:val="auto"/>
                      <w:kern w:val="0"/>
                      <w:sz w:val="18"/>
                      <w:szCs w:val="18"/>
                      <w:highlight w:val="none"/>
                    </w:rPr>
                    <w:t>氯乙烯</w:t>
                  </w:r>
                </w:p>
              </w:tc>
              <w:tc>
                <w:tcPr>
                  <w:tcW w:w="2381" w:type="dxa"/>
                  <w:shd w:val="clear" w:color="auto" w:fill="auto"/>
                  <w:vAlign w:val="center"/>
                </w:tcPr>
                <w:p w14:paraId="75641045">
                  <w:pPr>
                    <w:widowControl/>
                    <w:adjustRightInd w:val="0"/>
                    <w:snapToGrid w:val="0"/>
                    <w:jc w:val="center"/>
                    <w:rPr>
                      <w:color w:val="auto"/>
                      <w:sz w:val="18"/>
                      <w:szCs w:val="18"/>
                      <w:highlight w:val="none"/>
                    </w:rPr>
                  </w:pPr>
                  <w:r>
                    <w:rPr>
                      <w:rFonts w:hint="eastAsia"/>
                      <w:color w:val="auto"/>
                      <w:sz w:val="18"/>
                      <w:szCs w:val="18"/>
                      <w:highlight w:val="none"/>
                    </w:rPr>
                    <w:t>0.0010L</w:t>
                  </w:r>
                </w:p>
              </w:tc>
              <w:tc>
                <w:tcPr>
                  <w:tcW w:w="639" w:type="pct"/>
                  <w:vAlign w:val="center"/>
                </w:tcPr>
                <w:p w14:paraId="29EE2E69">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4BA0AB72">
                  <w:pPr>
                    <w:widowControl/>
                    <w:adjustRightInd w:val="0"/>
                    <w:snapToGrid w:val="0"/>
                    <w:jc w:val="center"/>
                    <w:rPr>
                      <w:color w:val="auto"/>
                      <w:kern w:val="0"/>
                      <w:sz w:val="18"/>
                      <w:szCs w:val="18"/>
                      <w:highlight w:val="none"/>
                    </w:rPr>
                  </w:pPr>
                  <w:r>
                    <w:rPr>
                      <w:rFonts w:hint="eastAsia"/>
                      <w:color w:val="auto"/>
                      <w:kern w:val="0"/>
                      <w:sz w:val="18"/>
                      <w:szCs w:val="18"/>
                      <w:highlight w:val="none"/>
                    </w:rPr>
                    <w:t>0.43</w:t>
                  </w:r>
                </w:p>
              </w:tc>
            </w:tr>
            <w:tr w14:paraId="74034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01496664">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26</w:t>
                  </w:r>
                </w:p>
              </w:tc>
              <w:tc>
                <w:tcPr>
                  <w:tcW w:w="848" w:type="pct"/>
                  <w:vMerge w:val="continue"/>
                  <w:vAlign w:val="center"/>
                </w:tcPr>
                <w:p w14:paraId="78AFAFB2">
                  <w:pPr>
                    <w:pStyle w:val="71"/>
                    <w:adjustRightInd w:val="0"/>
                    <w:snapToGrid w:val="0"/>
                    <w:rPr>
                      <w:color w:val="auto"/>
                      <w:sz w:val="18"/>
                      <w:szCs w:val="18"/>
                      <w:highlight w:val="none"/>
                    </w:rPr>
                  </w:pPr>
                </w:p>
              </w:tc>
              <w:tc>
                <w:tcPr>
                  <w:tcW w:w="1868" w:type="dxa"/>
                  <w:shd w:val="clear" w:color="auto" w:fill="auto"/>
                  <w:vAlign w:val="center"/>
                </w:tcPr>
                <w:p w14:paraId="7B385BEA">
                  <w:pPr>
                    <w:widowControl/>
                    <w:adjustRightInd w:val="0"/>
                    <w:snapToGrid w:val="0"/>
                    <w:jc w:val="center"/>
                    <w:rPr>
                      <w:color w:val="auto"/>
                      <w:kern w:val="0"/>
                      <w:sz w:val="18"/>
                      <w:szCs w:val="18"/>
                      <w:highlight w:val="none"/>
                    </w:rPr>
                  </w:pPr>
                  <w:r>
                    <w:rPr>
                      <w:color w:val="auto"/>
                      <w:kern w:val="0"/>
                      <w:sz w:val="18"/>
                      <w:szCs w:val="18"/>
                      <w:highlight w:val="none"/>
                    </w:rPr>
                    <w:t>苯</w:t>
                  </w:r>
                </w:p>
              </w:tc>
              <w:tc>
                <w:tcPr>
                  <w:tcW w:w="2381" w:type="dxa"/>
                  <w:shd w:val="clear" w:color="auto" w:fill="auto"/>
                  <w:vAlign w:val="center"/>
                </w:tcPr>
                <w:p w14:paraId="3CD7CCAD">
                  <w:pPr>
                    <w:widowControl/>
                    <w:adjustRightInd w:val="0"/>
                    <w:snapToGrid w:val="0"/>
                    <w:jc w:val="center"/>
                    <w:rPr>
                      <w:color w:val="auto"/>
                      <w:sz w:val="18"/>
                      <w:szCs w:val="18"/>
                      <w:highlight w:val="none"/>
                    </w:rPr>
                  </w:pPr>
                  <w:r>
                    <w:rPr>
                      <w:rFonts w:hint="eastAsia"/>
                      <w:color w:val="auto"/>
                      <w:sz w:val="18"/>
                      <w:szCs w:val="18"/>
                      <w:highlight w:val="none"/>
                    </w:rPr>
                    <w:t>0.0019L</w:t>
                  </w:r>
                </w:p>
              </w:tc>
              <w:tc>
                <w:tcPr>
                  <w:tcW w:w="639" w:type="pct"/>
                  <w:vAlign w:val="center"/>
                </w:tcPr>
                <w:p w14:paraId="36906148">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785BBE3B">
                  <w:pPr>
                    <w:widowControl/>
                    <w:adjustRightInd w:val="0"/>
                    <w:snapToGrid w:val="0"/>
                    <w:jc w:val="center"/>
                    <w:rPr>
                      <w:color w:val="auto"/>
                      <w:kern w:val="0"/>
                      <w:sz w:val="18"/>
                      <w:szCs w:val="18"/>
                      <w:highlight w:val="none"/>
                    </w:rPr>
                  </w:pPr>
                  <w:r>
                    <w:rPr>
                      <w:rFonts w:hint="eastAsia"/>
                      <w:color w:val="auto"/>
                      <w:kern w:val="0"/>
                      <w:sz w:val="18"/>
                      <w:szCs w:val="18"/>
                      <w:highlight w:val="none"/>
                    </w:rPr>
                    <w:t>4</w:t>
                  </w:r>
                </w:p>
              </w:tc>
            </w:tr>
            <w:tr w14:paraId="07B11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670F4AFD">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27</w:t>
                  </w:r>
                </w:p>
              </w:tc>
              <w:tc>
                <w:tcPr>
                  <w:tcW w:w="848" w:type="pct"/>
                  <w:vMerge w:val="continue"/>
                  <w:vAlign w:val="center"/>
                </w:tcPr>
                <w:p w14:paraId="12C736A0">
                  <w:pPr>
                    <w:pStyle w:val="71"/>
                    <w:adjustRightInd w:val="0"/>
                    <w:snapToGrid w:val="0"/>
                    <w:rPr>
                      <w:color w:val="auto"/>
                      <w:sz w:val="18"/>
                      <w:szCs w:val="18"/>
                      <w:highlight w:val="none"/>
                    </w:rPr>
                  </w:pPr>
                </w:p>
              </w:tc>
              <w:tc>
                <w:tcPr>
                  <w:tcW w:w="1868" w:type="dxa"/>
                  <w:shd w:val="clear" w:color="auto" w:fill="auto"/>
                  <w:vAlign w:val="center"/>
                </w:tcPr>
                <w:p w14:paraId="5981D098">
                  <w:pPr>
                    <w:widowControl/>
                    <w:adjustRightInd w:val="0"/>
                    <w:snapToGrid w:val="0"/>
                    <w:jc w:val="center"/>
                    <w:rPr>
                      <w:color w:val="auto"/>
                      <w:kern w:val="0"/>
                      <w:sz w:val="18"/>
                      <w:szCs w:val="18"/>
                      <w:highlight w:val="none"/>
                    </w:rPr>
                  </w:pPr>
                  <w:r>
                    <w:rPr>
                      <w:color w:val="auto"/>
                      <w:kern w:val="0"/>
                      <w:sz w:val="18"/>
                      <w:szCs w:val="18"/>
                      <w:highlight w:val="none"/>
                    </w:rPr>
                    <w:t>氯苯</w:t>
                  </w:r>
                </w:p>
              </w:tc>
              <w:tc>
                <w:tcPr>
                  <w:tcW w:w="2381" w:type="dxa"/>
                  <w:shd w:val="clear" w:color="auto" w:fill="auto"/>
                  <w:vAlign w:val="center"/>
                </w:tcPr>
                <w:p w14:paraId="2AEEF0A4">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1E8AA314">
                  <w:pPr>
                    <w:pStyle w:val="71"/>
                    <w:adjustRightInd w:val="0"/>
                    <w:snapToGrid w:val="0"/>
                    <w:rPr>
                      <w:color w:val="auto"/>
                      <w:sz w:val="18"/>
                      <w:szCs w:val="18"/>
                      <w:highlight w:val="none"/>
                    </w:rPr>
                  </w:pPr>
                  <w:r>
                    <w:rPr>
                      <w:color w:val="auto"/>
                      <w:sz w:val="18"/>
                      <w:szCs w:val="18"/>
                      <w:highlight w:val="none"/>
                    </w:rPr>
                    <w:t>mg/kg</w:t>
                  </w:r>
                </w:p>
              </w:tc>
              <w:tc>
                <w:tcPr>
                  <w:tcW w:w="698" w:type="dxa"/>
                  <w:shd w:val="clear" w:color="auto" w:fill="auto"/>
                  <w:vAlign w:val="center"/>
                </w:tcPr>
                <w:p w14:paraId="11115409">
                  <w:pPr>
                    <w:widowControl/>
                    <w:adjustRightInd w:val="0"/>
                    <w:snapToGrid w:val="0"/>
                    <w:jc w:val="center"/>
                    <w:rPr>
                      <w:color w:val="auto"/>
                      <w:kern w:val="0"/>
                      <w:sz w:val="18"/>
                      <w:szCs w:val="18"/>
                      <w:highlight w:val="none"/>
                    </w:rPr>
                  </w:pPr>
                  <w:r>
                    <w:rPr>
                      <w:rFonts w:hint="eastAsia"/>
                      <w:color w:val="auto"/>
                      <w:kern w:val="0"/>
                      <w:sz w:val="18"/>
                      <w:szCs w:val="18"/>
                      <w:highlight w:val="none"/>
                    </w:rPr>
                    <w:t>270</w:t>
                  </w:r>
                </w:p>
              </w:tc>
            </w:tr>
            <w:tr w14:paraId="4E13FE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427" w:type="pct"/>
                  <w:vAlign w:val="center"/>
                </w:tcPr>
                <w:p w14:paraId="7E420997">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28</w:t>
                  </w:r>
                </w:p>
              </w:tc>
              <w:tc>
                <w:tcPr>
                  <w:tcW w:w="848" w:type="pct"/>
                  <w:vMerge w:val="continue"/>
                  <w:vAlign w:val="center"/>
                </w:tcPr>
                <w:p w14:paraId="10AAADE0">
                  <w:pPr>
                    <w:pStyle w:val="71"/>
                    <w:adjustRightInd w:val="0"/>
                    <w:snapToGrid w:val="0"/>
                    <w:rPr>
                      <w:color w:val="auto"/>
                      <w:sz w:val="18"/>
                      <w:szCs w:val="18"/>
                      <w:highlight w:val="none"/>
                    </w:rPr>
                  </w:pPr>
                </w:p>
              </w:tc>
              <w:tc>
                <w:tcPr>
                  <w:tcW w:w="1164" w:type="pct"/>
                  <w:shd w:val="clear" w:color="auto" w:fill="auto"/>
                  <w:vAlign w:val="center"/>
                </w:tcPr>
                <w:p w14:paraId="5FAB0075">
                  <w:pPr>
                    <w:widowControl/>
                    <w:adjustRightInd w:val="0"/>
                    <w:snapToGrid w:val="0"/>
                    <w:jc w:val="center"/>
                    <w:rPr>
                      <w:color w:val="auto"/>
                      <w:kern w:val="0"/>
                      <w:sz w:val="18"/>
                      <w:szCs w:val="18"/>
                      <w:highlight w:val="none"/>
                    </w:rPr>
                  </w:pPr>
                  <w:r>
                    <w:rPr>
                      <w:color w:val="auto"/>
                      <w:kern w:val="0"/>
                      <w:sz w:val="18"/>
                      <w:szCs w:val="18"/>
                      <w:highlight w:val="none"/>
                    </w:rPr>
                    <w:t>1,2-二氯苯</w:t>
                  </w:r>
                </w:p>
              </w:tc>
              <w:tc>
                <w:tcPr>
                  <w:tcW w:w="1484" w:type="pct"/>
                  <w:shd w:val="clear" w:color="auto" w:fill="auto"/>
                  <w:vAlign w:val="center"/>
                </w:tcPr>
                <w:p w14:paraId="7B0CE9AE">
                  <w:pPr>
                    <w:widowControl/>
                    <w:adjustRightInd w:val="0"/>
                    <w:snapToGrid w:val="0"/>
                    <w:jc w:val="center"/>
                    <w:rPr>
                      <w:color w:val="auto"/>
                      <w:sz w:val="18"/>
                      <w:szCs w:val="18"/>
                      <w:highlight w:val="none"/>
                    </w:rPr>
                  </w:pPr>
                  <w:r>
                    <w:rPr>
                      <w:rFonts w:hint="eastAsia"/>
                      <w:color w:val="auto"/>
                      <w:sz w:val="18"/>
                      <w:szCs w:val="18"/>
                      <w:highlight w:val="none"/>
                    </w:rPr>
                    <w:t>0.0015L</w:t>
                  </w:r>
                </w:p>
              </w:tc>
              <w:tc>
                <w:tcPr>
                  <w:tcW w:w="639" w:type="pct"/>
                  <w:vAlign w:val="center"/>
                </w:tcPr>
                <w:p w14:paraId="5F14AB39">
                  <w:pPr>
                    <w:pStyle w:val="71"/>
                    <w:adjustRightInd w:val="0"/>
                    <w:snapToGrid w:val="0"/>
                    <w:rPr>
                      <w:color w:val="auto"/>
                      <w:sz w:val="18"/>
                      <w:szCs w:val="18"/>
                      <w:highlight w:val="none"/>
                    </w:rPr>
                  </w:pPr>
                  <w:r>
                    <w:rPr>
                      <w:color w:val="auto"/>
                      <w:sz w:val="18"/>
                      <w:szCs w:val="18"/>
                      <w:highlight w:val="none"/>
                    </w:rPr>
                    <w:t>mg/kg</w:t>
                  </w:r>
                </w:p>
              </w:tc>
              <w:tc>
                <w:tcPr>
                  <w:tcW w:w="435" w:type="pct"/>
                  <w:shd w:val="clear" w:color="auto" w:fill="auto"/>
                  <w:vAlign w:val="center"/>
                </w:tcPr>
                <w:p w14:paraId="6F9DAE43">
                  <w:pPr>
                    <w:widowControl/>
                    <w:adjustRightInd w:val="0"/>
                    <w:snapToGrid w:val="0"/>
                    <w:jc w:val="center"/>
                    <w:rPr>
                      <w:color w:val="auto"/>
                      <w:kern w:val="0"/>
                      <w:sz w:val="18"/>
                      <w:szCs w:val="18"/>
                      <w:highlight w:val="none"/>
                    </w:rPr>
                  </w:pPr>
                  <w:r>
                    <w:rPr>
                      <w:rFonts w:hint="eastAsia"/>
                      <w:color w:val="auto"/>
                      <w:kern w:val="0"/>
                      <w:sz w:val="18"/>
                      <w:szCs w:val="18"/>
                      <w:highlight w:val="none"/>
                    </w:rPr>
                    <w:t>560</w:t>
                  </w:r>
                </w:p>
              </w:tc>
            </w:tr>
            <w:tr w14:paraId="21BD7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3D985FBC">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29</w:t>
                  </w:r>
                </w:p>
              </w:tc>
              <w:tc>
                <w:tcPr>
                  <w:tcW w:w="848" w:type="pct"/>
                  <w:vMerge w:val="continue"/>
                  <w:vAlign w:val="center"/>
                </w:tcPr>
                <w:p w14:paraId="1C58EB32">
                  <w:pPr>
                    <w:pStyle w:val="71"/>
                    <w:adjustRightInd w:val="0"/>
                    <w:snapToGrid w:val="0"/>
                    <w:rPr>
                      <w:rFonts w:eastAsia="等线"/>
                      <w:color w:val="auto"/>
                      <w:sz w:val="18"/>
                      <w:szCs w:val="18"/>
                      <w:highlight w:val="none"/>
                    </w:rPr>
                  </w:pPr>
                </w:p>
              </w:tc>
              <w:tc>
                <w:tcPr>
                  <w:tcW w:w="1868" w:type="dxa"/>
                  <w:shd w:val="clear" w:color="auto" w:fill="auto"/>
                  <w:vAlign w:val="center"/>
                </w:tcPr>
                <w:p w14:paraId="28C05A96">
                  <w:pPr>
                    <w:widowControl/>
                    <w:adjustRightInd w:val="0"/>
                    <w:snapToGrid w:val="0"/>
                    <w:jc w:val="center"/>
                    <w:rPr>
                      <w:color w:val="auto"/>
                      <w:kern w:val="0"/>
                      <w:sz w:val="18"/>
                      <w:szCs w:val="18"/>
                      <w:highlight w:val="none"/>
                    </w:rPr>
                  </w:pPr>
                  <w:r>
                    <w:rPr>
                      <w:color w:val="auto"/>
                      <w:kern w:val="0"/>
                      <w:sz w:val="18"/>
                      <w:szCs w:val="18"/>
                      <w:highlight w:val="none"/>
                    </w:rPr>
                    <w:t>1,4-二氯苯</w:t>
                  </w:r>
                </w:p>
              </w:tc>
              <w:tc>
                <w:tcPr>
                  <w:tcW w:w="2381" w:type="dxa"/>
                  <w:shd w:val="clear" w:color="auto" w:fill="auto"/>
                  <w:vAlign w:val="center"/>
                </w:tcPr>
                <w:p w14:paraId="45AB4BF4">
                  <w:pPr>
                    <w:widowControl/>
                    <w:adjustRightInd w:val="0"/>
                    <w:snapToGrid w:val="0"/>
                    <w:jc w:val="center"/>
                    <w:rPr>
                      <w:color w:val="auto"/>
                      <w:sz w:val="18"/>
                      <w:szCs w:val="18"/>
                      <w:highlight w:val="none"/>
                    </w:rPr>
                  </w:pPr>
                  <w:r>
                    <w:rPr>
                      <w:rFonts w:hint="eastAsia"/>
                      <w:color w:val="auto"/>
                      <w:sz w:val="18"/>
                      <w:szCs w:val="18"/>
                      <w:highlight w:val="none"/>
                    </w:rPr>
                    <w:t>0.0015L</w:t>
                  </w:r>
                </w:p>
              </w:tc>
              <w:tc>
                <w:tcPr>
                  <w:tcW w:w="639" w:type="pct"/>
                  <w:vAlign w:val="center"/>
                </w:tcPr>
                <w:p w14:paraId="3AB7C8A9">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0DA848D2">
                  <w:pPr>
                    <w:widowControl/>
                    <w:adjustRightInd w:val="0"/>
                    <w:snapToGrid w:val="0"/>
                    <w:jc w:val="center"/>
                    <w:rPr>
                      <w:color w:val="auto"/>
                      <w:kern w:val="0"/>
                      <w:sz w:val="18"/>
                      <w:szCs w:val="18"/>
                      <w:highlight w:val="none"/>
                    </w:rPr>
                  </w:pPr>
                  <w:r>
                    <w:rPr>
                      <w:rFonts w:hint="eastAsia"/>
                      <w:color w:val="auto"/>
                      <w:kern w:val="0"/>
                      <w:sz w:val="18"/>
                      <w:szCs w:val="18"/>
                      <w:highlight w:val="none"/>
                    </w:rPr>
                    <w:t>20</w:t>
                  </w:r>
                </w:p>
              </w:tc>
            </w:tr>
            <w:tr w14:paraId="030FE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68109C20">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30</w:t>
                  </w:r>
                </w:p>
              </w:tc>
              <w:tc>
                <w:tcPr>
                  <w:tcW w:w="848" w:type="pct"/>
                  <w:vMerge w:val="continue"/>
                  <w:vAlign w:val="center"/>
                </w:tcPr>
                <w:p w14:paraId="4263F2D8">
                  <w:pPr>
                    <w:pStyle w:val="71"/>
                    <w:adjustRightInd w:val="0"/>
                    <w:snapToGrid w:val="0"/>
                    <w:rPr>
                      <w:rFonts w:eastAsia="等线"/>
                      <w:color w:val="auto"/>
                      <w:sz w:val="18"/>
                      <w:szCs w:val="18"/>
                      <w:highlight w:val="none"/>
                    </w:rPr>
                  </w:pPr>
                </w:p>
              </w:tc>
              <w:tc>
                <w:tcPr>
                  <w:tcW w:w="1868" w:type="dxa"/>
                  <w:shd w:val="clear" w:color="auto" w:fill="auto"/>
                  <w:vAlign w:val="center"/>
                </w:tcPr>
                <w:p w14:paraId="72BBE9DC">
                  <w:pPr>
                    <w:widowControl/>
                    <w:adjustRightInd w:val="0"/>
                    <w:snapToGrid w:val="0"/>
                    <w:jc w:val="center"/>
                    <w:rPr>
                      <w:color w:val="auto"/>
                      <w:kern w:val="0"/>
                      <w:sz w:val="18"/>
                      <w:szCs w:val="18"/>
                      <w:highlight w:val="none"/>
                    </w:rPr>
                  </w:pPr>
                  <w:r>
                    <w:rPr>
                      <w:color w:val="auto"/>
                      <w:kern w:val="0"/>
                      <w:sz w:val="18"/>
                      <w:szCs w:val="18"/>
                      <w:highlight w:val="none"/>
                    </w:rPr>
                    <w:t>乙苯</w:t>
                  </w:r>
                </w:p>
              </w:tc>
              <w:tc>
                <w:tcPr>
                  <w:tcW w:w="2381" w:type="dxa"/>
                  <w:shd w:val="clear" w:color="auto" w:fill="auto"/>
                  <w:vAlign w:val="center"/>
                </w:tcPr>
                <w:p w14:paraId="20A381B7">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24B1747A">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766C8061">
                  <w:pPr>
                    <w:widowControl/>
                    <w:adjustRightInd w:val="0"/>
                    <w:snapToGrid w:val="0"/>
                    <w:jc w:val="center"/>
                    <w:rPr>
                      <w:color w:val="auto"/>
                      <w:kern w:val="0"/>
                      <w:sz w:val="18"/>
                      <w:szCs w:val="18"/>
                      <w:highlight w:val="none"/>
                    </w:rPr>
                  </w:pPr>
                  <w:r>
                    <w:rPr>
                      <w:rFonts w:hint="eastAsia"/>
                      <w:color w:val="auto"/>
                      <w:kern w:val="0"/>
                      <w:sz w:val="18"/>
                      <w:szCs w:val="18"/>
                      <w:highlight w:val="none"/>
                    </w:rPr>
                    <w:t>28</w:t>
                  </w:r>
                </w:p>
              </w:tc>
            </w:tr>
            <w:tr w14:paraId="19C72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758F3E12">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31</w:t>
                  </w:r>
                </w:p>
              </w:tc>
              <w:tc>
                <w:tcPr>
                  <w:tcW w:w="848" w:type="pct"/>
                  <w:vMerge w:val="continue"/>
                  <w:vAlign w:val="center"/>
                </w:tcPr>
                <w:p w14:paraId="29402F3B">
                  <w:pPr>
                    <w:pStyle w:val="71"/>
                    <w:adjustRightInd w:val="0"/>
                    <w:snapToGrid w:val="0"/>
                    <w:rPr>
                      <w:rFonts w:eastAsia="等线"/>
                      <w:color w:val="auto"/>
                      <w:sz w:val="18"/>
                      <w:szCs w:val="18"/>
                      <w:highlight w:val="none"/>
                    </w:rPr>
                  </w:pPr>
                </w:p>
              </w:tc>
              <w:tc>
                <w:tcPr>
                  <w:tcW w:w="1868" w:type="dxa"/>
                  <w:shd w:val="clear" w:color="auto" w:fill="auto"/>
                  <w:vAlign w:val="center"/>
                </w:tcPr>
                <w:p w14:paraId="309218C4">
                  <w:pPr>
                    <w:widowControl/>
                    <w:adjustRightInd w:val="0"/>
                    <w:snapToGrid w:val="0"/>
                    <w:jc w:val="center"/>
                    <w:rPr>
                      <w:color w:val="auto"/>
                      <w:kern w:val="0"/>
                      <w:sz w:val="18"/>
                      <w:szCs w:val="18"/>
                      <w:highlight w:val="none"/>
                    </w:rPr>
                  </w:pPr>
                  <w:r>
                    <w:rPr>
                      <w:color w:val="auto"/>
                      <w:kern w:val="0"/>
                      <w:sz w:val="18"/>
                      <w:szCs w:val="18"/>
                      <w:highlight w:val="none"/>
                    </w:rPr>
                    <w:t>苯乙烯</w:t>
                  </w:r>
                </w:p>
              </w:tc>
              <w:tc>
                <w:tcPr>
                  <w:tcW w:w="2381" w:type="dxa"/>
                  <w:shd w:val="clear" w:color="auto" w:fill="auto"/>
                  <w:vAlign w:val="center"/>
                </w:tcPr>
                <w:p w14:paraId="45DB3C18">
                  <w:pPr>
                    <w:widowControl/>
                    <w:adjustRightInd w:val="0"/>
                    <w:snapToGrid w:val="0"/>
                    <w:jc w:val="center"/>
                    <w:rPr>
                      <w:color w:val="auto"/>
                      <w:sz w:val="18"/>
                      <w:szCs w:val="18"/>
                      <w:highlight w:val="none"/>
                    </w:rPr>
                  </w:pPr>
                  <w:r>
                    <w:rPr>
                      <w:rFonts w:hint="eastAsia"/>
                      <w:color w:val="auto"/>
                      <w:sz w:val="18"/>
                      <w:szCs w:val="18"/>
                      <w:highlight w:val="none"/>
                    </w:rPr>
                    <w:t>0.0011L</w:t>
                  </w:r>
                </w:p>
              </w:tc>
              <w:tc>
                <w:tcPr>
                  <w:tcW w:w="639" w:type="pct"/>
                  <w:vAlign w:val="center"/>
                </w:tcPr>
                <w:p w14:paraId="6389293E">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4AC804EA">
                  <w:pPr>
                    <w:widowControl/>
                    <w:adjustRightInd w:val="0"/>
                    <w:snapToGrid w:val="0"/>
                    <w:jc w:val="center"/>
                    <w:rPr>
                      <w:color w:val="auto"/>
                      <w:kern w:val="0"/>
                      <w:sz w:val="18"/>
                      <w:szCs w:val="18"/>
                      <w:highlight w:val="none"/>
                    </w:rPr>
                  </w:pPr>
                  <w:r>
                    <w:rPr>
                      <w:rFonts w:hint="eastAsia"/>
                      <w:color w:val="auto"/>
                      <w:kern w:val="0"/>
                      <w:sz w:val="18"/>
                      <w:szCs w:val="18"/>
                      <w:highlight w:val="none"/>
                    </w:rPr>
                    <w:t>1290</w:t>
                  </w:r>
                </w:p>
              </w:tc>
            </w:tr>
            <w:tr w14:paraId="3C0B0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06D29A02">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32</w:t>
                  </w:r>
                </w:p>
              </w:tc>
              <w:tc>
                <w:tcPr>
                  <w:tcW w:w="848" w:type="pct"/>
                  <w:vMerge w:val="continue"/>
                  <w:vAlign w:val="center"/>
                </w:tcPr>
                <w:p w14:paraId="5CBFE044">
                  <w:pPr>
                    <w:pStyle w:val="71"/>
                    <w:adjustRightInd w:val="0"/>
                    <w:snapToGrid w:val="0"/>
                    <w:rPr>
                      <w:rFonts w:eastAsia="等线"/>
                      <w:color w:val="auto"/>
                      <w:sz w:val="18"/>
                      <w:szCs w:val="18"/>
                      <w:highlight w:val="none"/>
                    </w:rPr>
                  </w:pPr>
                </w:p>
              </w:tc>
              <w:tc>
                <w:tcPr>
                  <w:tcW w:w="1868" w:type="dxa"/>
                  <w:shd w:val="clear" w:color="auto" w:fill="auto"/>
                  <w:vAlign w:val="center"/>
                </w:tcPr>
                <w:p w14:paraId="56574406">
                  <w:pPr>
                    <w:widowControl/>
                    <w:adjustRightInd w:val="0"/>
                    <w:snapToGrid w:val="0"/>
                    <w:jc w:val="center"/>
                    <w:rPr>
                      <w:color w:val="auto"/>
                      <w:kern w:val="0"/>
                      <w:sz w:val="18"/>
                      <w:szCs w:val="18"/>
                      <w:highlight w:val="none"/>
                    </w:rPr>
                  </w:pPr>
                  <w:r>
                    <w:rPr>
                      <w:color w:val="auto"/>
                      <w:kern w:val="0"/>
                      <w:sz w:val="18"/>
                      <w:szCs w:val="18"/>
                      <w:highlight w:val="none"/>
                    </w:rPr>
                    <w:t>甲苯</w:t>
                  </w:r>
                </w:p>
              </w:tc>
              <w:tc>
                <w:tcPr>
                  <w:tcW w:w="2381" w:type="dxa"/>
                  <w:shd w:val="clear" w:color="auto" w:fill="auto"/>
                  <w:vAlign w:val="center"/>
                </w:tcPr>
                <w:p w14:paraId="1FB4A690">
                  <w:pPr>
                    <w:widowControl/>
                    <w:adjustRightInd w:val="0"/>
                    <w:snapToGrid w:val="0"/>
                    <w:jc w:val="center"/>
                    <w:rPr>
                      <w:color w:val="auto"/>
                      <w:sz w:val="18"/>
                      <w:szCs w:val="18"/>
                      <w:highlight w:val="none"/>
                    </w:rPr>
                  </w:pPr>
                  <w:r>
                    <w:rPr>
                      <w:rFonts w:hint="eastAsia"/>
                      <w:color w:val="auto"/>
                      <w:sz w:val="18"/>
                      <w:szCs w:val="18"/>
                      <w:highlight w:val="none"/>
                    </w:rPr>
                    <w:t>0.0013L</w:t>
                  </w:r>
                </w:p>
              </w:tc>
              <w:tc>
                <w:tcPr>
                  <w:tcW w:w="639" w:type="pct"/>
                  <w:vAlign w:val="center"/>
                </w:tcPr>
                <w:p w14:paraId="7F38FAF6">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1582180B">
                  <w:pPr>
                    <w:widowControl/>
                    <w:adjustRightInd w:val="0"/>
                    <w:snapToGrid w:val="0"/>
                    <w:jc w:val="center"/>
                    <w:rPr>
                      <w:color w:val="auto"/>
                      <w:kern w:val="0"/>
                      <w:sz w:val="18"/>
                      <w:szCs w:val="18"/>
                      <w:highlight w:val="none"/>
                    </w:rPr>
                  </w:pPr>
                  <w:r>
                    <w:rPr>
                      <w:rFonts w:hint="eastAsia"/>
                      <w:color w:val="auto"/>
                      <w:kern w:val="0"/>
                      <w:sz w:val="18"/>
                      <w:szCs w:val="18"/>
                      <w:highlight w:val="none"/>
                    </w:rPr>
                    <w:t>1200</w:t>
                  </w:r>
                </w:p>
              </w:tc>
            </w:tr>
            <w:tr w14:paraId="4D76B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6F056505">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33</w:t>
                  </w:r>
                </w:p>
              </w:tc>
              <w:tc>
                <w:tcPr>
                  <w:tcW w:w="848" w:type="pct"/>
                  <w:vMerge w:val="continue"/>
                  <w:vAlign w:val="center"/>
                </w:tcPr>
                <w:p w14:paraId="4433F391">
                  <w:pPr>
                    <w:pStyle w:val="71"/>
                    <w:adjustRightInd w:val="0"/>
                    <w:snapToGrid w:val="0"/>
                    <w:rPr>
                      <w:rFonts w:eastAsia="等线"/>
                      <w:color w:val="auto"/>
                      <w:sz w:val="18"/>
                      <w:szCs w:val="18"/>
                      <w:highlight w:val="none"/>
                    </w:rPr>
                  </w:pPr>
                </w:p>
              </w:tc>
              <w:tc>
                <w:tcPr>
                  <w:tcW w:w="1868" w:type="dxa"/>
                  <w:shd w:val="clear" w:color="auto" w:fill="auto"/>
                  <w:vAlign w:val="center"/>
                </w:tcPr>
                <w:p w14:paraId="7393432F">
                  <w:pPr>
                    <w:widowControl/>
                    <w:adjustRightInd w:val="0"/>
                    <w:snapToGrid w:val="0"/>
                    <w:jc w:val="center"/>
                    <w:rPr>
                      <w:color w:val="auto"/>
                      <w:kern w:val="0"/>
                      <w:sz w:val="18"/>
                      <w:szCs w:val="18"/>
                      <w:highlight w:val="none"/>
                    </w:rPr>
                  </w:pPr>
                  <w:r>
                    <w:rPr>
                      <w:rFonts w:hint="eastAsia"/>
                      <w:color w:val="auto"/>
                      <w:kern w:val="0"/>
                      <w:sz w:val="18"/>
                      <w:szCs w:val="18"/>
                      <w:highlight w:val="none"/>
                    </w:rPr>
                    <w:t>间-二甲苯+对-二甲苯</w:t>
                  </w:r>
                </w:p>
              </w:tc>
              <w:tc>
                <w:tcPr>
                  <w:tcW w:w="2381" w:type="dxa"/>
                  <w:shd w:val="clear" w:color="auto" w:fill="auto"/>
                  <w:vAlign w:val="center"/>
                </w:tcPr>
                <w:p w14:paraId="0E526364">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69103493">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3AD6F89C">
                  <w:pPr>
                    <w:widowControl/>
                    <w:adjustRightInd w:val="0"/>
                    <w:snapToGrid w:val="0"/>
                    <w:jc w:val="center"/>
                    <w:rPr>
                      <w:color w:val="auto"/>
                      <w:kern w:val="0"/>
                      <w:sz w:val="18"/>
                      <w:szCs w:val="18"/>
                      <w:highlight w:val="none"/>
                    </w:rPr>
                  </w:pPr>
                  <w:r>
                    <w:rPr>
                      <w:rFonts w:hint="eastAsia"/>
                      <w:color w:val="auto"/>
                      <w:kern w:val="0"/>
                      <w:sz w:val="18"/>
                      <w:szCs w:val="18"/>
                      <w:highlight w:val="none"/>
                    </w:rPr>
                    <w:t>570</w:t>
                  </w:r>
                </w:p>
              </w:tc>
            </w:tr>
            <w:tr w14:paraId="098EB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665E0494">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34</w:t>
                  </w:r>
                </w:p>
              </w:tc>
              <w:tc>
                <w:tcPr>
                  <w:tcW w:w="848" w:type="pct"/>
                  <w:vMerge w:val="continue"/>
                  <w:vAlign w:val="center"/>
                </w:tcPr>
                <w:p w14:paraId="03D1E19D">
                  <w:pPr>
                    <w:pStyle w:val="71"/>
                    <w:adjustRightInd w:val="0"/>
                    <w:snapToGrid w:val="0"/>
                    <w:rPr>
                      <w:rFonts w:eastAsia="等线"/>
                      <w:color w:val="auto"/>
                      <w:sz w:val="18"/>
                      <w:szCs w:val="18"/>
                      <w:highlight w:val="none"/>
                    </w:rPr>
                  </w:pPr>
                </w:p>
              </w:tc>
              <w:tc>
                <w:tcPr>
                  <w:tcW w:w="1868" w:type="dxa"/>
                  <w:shd w:val="clear" w:color="auto" w:fill="auto"/>
                  <w:vAlign w:val="center"/>
                </w:tcPr>
                <w:p w14:paraId="0C0DB3F3">
                  <w:pPr>
                    <w:widowControl/>
                    <w:adjustRightInd w:val="0"/>
                    <w:snapToGrid w:val="0"/>
                    <w:jc w:val="center"/>
                    <w:rPr>
                      <w:color w:val="auto"/>
                      <w:kern w:val="0"/>
                      <w:sz w:val="18"/>
                      <w:szCs w:val="18"/>
                      <w:highlight w:val="none"/>
                    </w:rPr>
                  </w:pPr>
                  <w:r>
                    <w:rPr>
                      <w:color w:val="auto"/>
                      <w:kern w:val="0"/>
                      <w:sz w:val="18"/>
                      <w:szCs w:val="18"/>
                      <w:highlight w:val="none"/>
                    </w:rPr>
                    <w:t>邻二甲苯</w:t>
                  </w:r>
                </w:p>
              </w:tc>
              <w:tc>
                <w:tcPr>
                  <w:tcW w:w="2381" w:type="dxa"/>
                  <w:shd w:val="clear" w:color="auto" w:fill="auto"/>
                  <w:vAlign w:val="center"/>
                </w:tcPr>
                <w:p w14:paraId="5F418A2F">
                  <w:pPr>
                    <w:widowControl/>
                    <w:adjustRightInd w:val="0"/>
                    <w:snapToGrid w:val="0"/>
                    <w:jc w:val="center"/>
                    <w:rPr>
                      <w:color w:val="auto"/>
                      <w:sz w:val="18"/>
                      <w:szCs w:val="18"/>
                      <w:highlight w:val="none"/>
                    </w:rPr>
                  </w:pPr>
                  <w:r>
                    <w:rPr>
                      <w:rFonts w:hint="eastAsia"/>
                      <w:color w:val="auto"/>
                      <w:sz w:val="18"/>
                      <w:szCs w:val="18"/>
                      <w:highlight w:val="none"/>
                    </w:rPr>
                    <w:t>0.0012L</w:t>
                  </w:r>
                </w:p>
              </w:tc>
              <w:tc>
                <w:tcPr>
                  <w:tcW w:w="639" w:type="pct"/>
                  <w:vAlign w:val="center"/>
                </w:tcPr>
                <w:p w14:paraId="3DF6C821">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2CE85927">
                  <w:pPr>
                    <w:widowControl/>
                    <w:adjustRightInd w:val="0"/>
                    <w:snapToGrid w:val="0"/>
                    <w:jc w:val="center"/>
                    <w:rPr>
                      <w:color w:val="auto"/>
                      <w:kern w:val="0"/>
                      <w:sz w:val="18"/>
                      <w:szCs w:val="18"/>
                      <w:highlight w:val="none"/>
                    </w:rPr>
                  </w:pPr>
                  <w:r>
                    <w:rPr>
                      <w:rFonts w:hint="eastAsia"/>
                      <w:color w:val="auto"/>
                      <w:kern w:val="0"/>
                      <w:sz w:val="18"/>
                      <w:szCs w:val="18"/>
                      <w:highlight w:val="none"/>
                    </w:rPr>
                    <w:t>640</w:t>
                  </w:r>
                </w:p>
              </w:tc>
            </w:tr>
            <w:tr w14:paraId="73C34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25C8998C">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35</w:t>
                  </w:r>
                </w:p>
              </w:tc>
              <w:tc>
                <w:tcPr>
                  <w:tcW w:w="848" w:type="pct"/>
                  <w:vMerge w:val="continue"/>
                  <w:vAlign w:val="center"/>
                </w:tcPr>
                <w:p w14:paraId="0AE69413">
                  <w:pPr>
                    <w:pStyle w:val="71"/>
                    <w:adjustRightInd w:val="0"/>
                    <w:snapToGrid w:val="0"/>
                    <w:rPr>
                      <w:rFonts w:eastAsia="等线"/>
                      <w:color w:val="auto"/>
                      <w:sz w:val="18"/>
                      <w:szCs w:val="18"/>
                      <w:highlight w:val="none"/>
                    </w:rPr>
                  </w:pPr>
                </w:p>
              </w:tc>
              <w:tc>
                <w:tcPr>
                  <w:tcW w:w="1868" w:type="dxa"/>
                  <w:shd w:val="clear" w:color="auto" w:fill="auto"/>
                  <w:vAlign w:val="center"/>
                </w:tcPr>
                <w:p w14:paraId="1534F70D">
                  <w:pPr>
                    <w:widowControl/>
                    <w:adjustRightInd w:val="0"/>
                    <w:snapToGrid w:val="0"/>
                    <w:jc w:val="center"/>
                    <w:rPr>
                      <w:color w:val="auto"/>
                      <w:kern w:val="0"/>
                      <w:sz w:val="18"/>
                      <w:szCs w:val="18"/>
                      <w:highlight w:val="none"/>
                    </w:rPr>
                  </w:pPr>
                  <w:r>
                    <w:rPr>
                      <w:color w:val="auto"/>
                      <w:kern w:val="0"/>
                      <w:sz w:val="18"/>
                      <w:szCs w:val="18"/>
                      <w:highlight w:val="none"/>
                    </w:rPr>
                    <w:t>硝基苯</w:t>
                  </w:r>
                </w:p>
              </w:tc>
              <w:tc>
                <w:tcPr>
                  <w:tcW w:w="2381" w:type="dxa"/>
                  <w:shd w:val="clear" w:color="auto" w:fill="auto"/>
                  <w:vAlign w:val="center"/>
                </w:tcPr>
                <w:p w14:paraId="6CB3D991">
                  <w:pPr>
                    <w:widowControl/>
                    <w:adjustRightInd w:val="0"/>
                    <w:snapToGrid w:val="0"/>
                    <w:jc w:val="center"/>
                    <w:rPr>
                      <w:color w:val="auto"/>
                      <w:sz w:val="18"/>
                      <w:szCs w:val="18"/>
                      <w:highlight w:val="none"/>
                    </w:rPr>
                  </w:pPr>
                  <w:r>
                    <w:rPr>
                      <w:color w:val="auto"/>
                      <w:kern w:val="0"/>
                      <w:sz w:val="18"/>
                      <w:szCs w:val="18"/>
                      <w:highlight w:val="none"/>
                    </w:rPr>
                    <w:t>0.09</w:t>
                  </w:r>
                  <w:r>
                    <w:rPr>
                      <w:rFonts w:hint="eastAsia"/>
                      <w:color w:val="auto"/>
                      <w:kern w:val="0"/>
                      <w:sz w:val="18"/>
                      <w:szCs w:val="18"/>
                      <w:highlight w:val="none"/>
                    </w:rPr>
                    <w:t>L</w:t>
                  </w:r>
                </w:p>
              </w:tc>
              <w:tc>
                <w:tcPr>
                  <w:tcW w:w="639" w:type="pct"/>
                  <w:vAlign w:val="center"/>
                </w:tcPr>
                <w:p w14:paraId="578A7F39">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6ED7C6DB">
                  <w:pPr>
                    <w:widowControl/>
                    <w:adjustRightInd w:val="0"/>
                    <w:snapToGrid w:val="0"/>
                    <w:jc w:val="center"/>
                    <w:rPr>
                      <w:color w:val="auto"/>
                      <w:kern w:val="0"/>
                      <w:sz w:val="18"/>
                      <w:szCs w:val="18"/>
                      <w:highlight w:val="none"/>
                    </w:rPr>
                  </w:pPr>
                  <w:r>
                    <w:rPr>
                      <w:rFonts w:hint="eastAsia"/>
                      <w:color w:val="auto"/>
                      <w:kern w:val="0"/>
                      <w:sz w:val="18"/>
                      <w:szCs w:val="18"/>
                      <w:highlight w:val="none"/>
                    </w:rPr>
                    <w:t>76</w:t>
                  </w:r>
                </w:p>
              </w:tc>
            </w:tr>
            <w:tr w14:paraId="55319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05F2C2D1">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36</w:t>
                  </w:r>
                </w:p>
              </w:tc>
              <w:tc>
                <w:tcPr>
                  <w:tcW w:w="848" w:type="pct"/>
                  <w:vMerge w:val="continue"/>
                  <w:vAlign w:val="center"/>
                </w:tcPr>
                <w:p w14:paraId="1CA7DBB2">
                  <w:pPr>
                    <w:pStyle w:val="71"/>
                    <w:adjustRightInd w:val="0"/>
                    <w:snapToGrid w:val="0"/>
                    <w:rPr>
                      <w:rFonts w:eastAsia="等线"/>
                      <w:color w:val="auto"/>
                      <w:sz w:val="18"/>
                      <w:szCs w:val="18"/>
                      <w:highlight w:val="none"/>
                    </w:rPr>
                  </w:pPr>
                </w:p>
              </w:tc>
              <w:tc>
                <w:tcPr>
                  <w:tcW w:w="1868" w:type="dxa"/>
                  <w:shd w:val="clear" w:color="auto" w:fill="auto"/>
                  <w:vAlign w:val="center"/>
                </w:tcPr>
                <w:p w14:paraId="531C7916">
                  <w:pPr>
                    <w:widowControl/>
                    <w:adjustRightInd w:val="0"/>
                    <w:snapToGrid w:val="0"/>
                    <w:jc w:val="center"/>
                    <w:rPr>
                      <w:color w:val="auto"/>
                      <w:kern w:val="0"/>
                      <w:sz w:val="18"/>
                      <w:szCs w:val="18"/>
                      <w:highlight w:val="none"/>
                    </w:rPr>
                  </w:pPr>
                  <w:r>
                    <w:rPr>
                      <w:color w:val="auto"/>
                      <w:kern w:val="0"/>
                      <w:sz w:val="18"/>
                      <w:szCs w:val="18"/>
                      <w:highlight w:val="none"/>
                    </w:rPr>
                    <w:t>苯胺</w:t>
                  </w:r>
                </w:p>
              </w:tc>
              <w:tc>
                <w:tcPr>
                  <w:tcW w:w="2381" w:type="dxa"/>
                  <w:shd w:val="clear" w:color="auto" w:fill="auto"/>
                  <w:vAlign w:val="center"/>
                </w:tcPr>
                <w:p w14:paraId="3CE83157">
                  <w:pPr>
                    <w:widowControl/>
                    <w:adjustRightInd w:val="0"/>
                    <w:snapToGrid w:val="0"/>
                    <w:jc w:val="center"/>
                    <w:rPr>
                      <w:color w:val="auto"/>
                      <w:sz w:val="18"/>
                      <w:szCs w:val="18"/>
                      <w:highlight w:val="none"/>
                    </w:rPr>
                  </w:pPr>
                  <w:r>
                    <w:rPr>
                      <w:rFonts w:hint="eastAsia"/>
                      <w:color w:val="auto"/>
                      <w:sz w:val="18"/>
                      <w:szCs w:val="18"/>
                      <w:highlight w:val="none"/>
                    </w:rPr>
                    <w:t>0.1L</w:t>
                  </w:r>
                </w:p>
              </w:tc>
              <w:tc>
                <w:tcPr>
                  <w:tcW w:w="639" w:type="pct"/>
                  <w:vAlign w:val="center"/>
                </w:tcPr>
                <w:p w14:paraId="1701B5E0">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3C8C3981">
                  <w:pPr>
                    <w:widowControl/>
                    <w:adjustRightInd w:val="0"/>
                    <w:snapToGrid w:val="0"/>
                    <w:jc w:val="center"/>
                    <w:rPr>
                      <w:color w:val="auto"/>
                      <w:kern w:val="0"/>
                      <w:sz w:val="18"/>
                      <w:szCs w:val="18"/>
                      <w:highlight w:val="none"/>
                    </w:rPr>
                  </w:pPr>
                  <w:r>
                    <w:rPr>
                      <w:rFonts w:hint="eastAsia"/>
                      <w:color w:val="auto"/>
                      <w:kern w:val="0"/>
                      <w:sz w:val="18"/>
                      <w:szCs w:val="18"/>
                      <w:highlight w:val="none"/>
                    </w:rPr>
                    <w:t>260</w:t>
                  </w:r>
                </w:p>
              </w:tc>
            </w:tr>
            <w:tr w14:paraId="152CF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28C7A157">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37</w:t>
                  </w:r>
                </w:p>
              </w:tc>
              <w:tc>
                <w:tcPr>
                  <w:tcW w:w="848" w:type="pct"/>
                  <w:vMerge w:val="continue"/>
                  <w:vAlign w:val="center"/>
                </w:tcPr>
                <w:p w14:paraId="12D8C65C">
                  <w:pPr>
                    <w:pStyle w:val="71"/>
                    <w:adjustRightInd w:val="0"/>
                    <w:snapToGrid w:val="0"/>
                    <w:rPr>
                      <w:rFonts w:eastAsia="等线"/>
                      <w:color w:val="auto"/>
                      <w:sz w:val="18"/>
                      <w:szCs w:val="18"/>
                      <w:highlight w:val="none"/>
                    </w:rPr>
                  </w:pPr>
                </w:p>
              </w:tc>
              <w:tc>
                <w:tcPr>
                  <w:tcW w:w="1868" w:type="dxa"/>
                  <w:shd w:val="clear" w:color="auto" w:fill="auto"/>
                  <w:vAlign w:val="center"/>
                </w:tcPr>
                <w:p w14:paraId="1EE9C9C8">
                  <w:pPr>
                    <w:widowControl/>
                    <w:adjustRightInd w:val="0"/>
                    <w:snapToGrid w:val="0"/>
                    <w:jc w:val="center"/>
                    <w:rPr>
                      <w:color w:val="auto"/>
                      <w:kern w:val="0"/>
                      <w:sz w:val="18"/>
                      <w:szCs w:val="18"/>
                      <w:highlight w:val="none"/>
                    </w:rPr>
                  </w:pPr>
                  <w:r>
                    <w:rPr>
                      <w:color w:val="auto"/>
                      <w:kern w:val="0"/>
                      <w:sz w:val="18"/>
                      <w:szCs w:val="18"/>
                      <w:highlight w:val="none"/>
                    </w:rPr>
                    <w:t>2-氯酚</w:t>
                  </w:r>
                </w:p>
              </w:tc>
              <w:tc>
                <w:tcPr>
                  <w:tcW w:w="2381" w:type="dxa"/>
                  <w:shd w:val="clear" w:color="auto" w:fill="auto"/>
                  <w:vAlign w:val="center"/>
                </w:tcPr>
                <w:p w14:paraId="1F23C75D">
                  <w:pPr>
                    <w:widowControl/>
                    <w:adjustRightInd w:val="0"/>
                    <w:snapToGrid w:val="0"/>
                    <w:jc w:val="center"/>
                    <w:rPr>
                      <w:color w:val="auto"/>
                      <w:sz w:val="18"/>
                      <w:szCs w:val="18"/>
                      <w:highlight w:val="none"/>
                    </w:rPr>
                  </w:pPr>
                  <w:r>
                    <w:rPr>
                      <w:rFonts w:hint="eastAsia"/>
                      <w:color w:val="auto"/>
                      <w:sz w:val="18"/>
                      <w:szCs w:val="18"/>
                      <w:highlight w:val="none"/>
                    </w:rPr>
                    <w:t>0.06L</w:t>
                  </w:r>
                </w:p>
              </w:tc>
              <w:tc>
                <w:tcPr>
                  <w:tcW w:w="639" w:type="pct"/>
                  <w:vAlign w:val="center"/>
                </w:tcPr>
                <w:p w14:paraId="3BB287AC">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5E795374">
                  <w:pPr>
                    <w:widowControl/>
                    <w:adjustRightInd w:val="0"/>
                    <w:snapToGrid w:val="0"/>
                    <w:jc w:val="center"/>
                    <w:rPr>
                      <w:color w:val="auto"/>
                      <w:kern w:val="0"/>
                      <w:sz w:val="18"/>
                      <w:szCs w:val="18"/>
                      <w:highlight w:val="none"/>
                    </w:rPr>
                  </w:pPr>
                  <w:r>
                    <w:rPr>
                      <w:rFonts w:hint="eastAsia"/>
                      <w:color w:val="auto"/>
                      <w:kern w:val="0"/>
                      <w:sz w:val="18"/>
                      <w:szCs w:val="18"/>
                      <w:highlight w:val="none"/>
                    </w:rPr>
                    <w:t>2256</w:t>
                  </w:r>
                </w:p>
              </w:tc>
            </w:tr>
            <w:tr w14:paraId="6E506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18A058B3">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38</w:t>
                  </w:r>
                </w:p>
              </w:tc>
              <w:tc>
                <w:tcPr>
                  <w:tcW w:w="848" w:type="pct"/>
                  <w:vMerge w:val="continue"/>
                  <w:vAlign w:val="center"/>
                </w:tcPr>
                <w:p w14:paraId="1C8FFA57">
                  <w:pPr>
                    <w:pStyle w:val="71"/>
                    <w:adjustRightInd w:val="0"/>
                    <w:snapToGrid w:val="0"/>
                    <w:rPr>
                      <w:rFonts w:eastAsia="等线"/>
                      <w:color w:val="auto"/>
                      <w:sz w:val="18"/>
                      <w:szCs w:val="18"/>
                      <w:highlight w:val="none"/>
                    </w:rPr>
                  </w:pPr>
                </w:p>
              </w:tc>
              <w:tc>
                <w:tcPr>
                  <w:tcW w:w="1868" w:type="dxa"/>
                  <w:shd w:val="clear" w:color="auto" w:fill="auto"/>
                  <w:vAlign w:val="center"/>
                </w:tcPr>
                <w:p w14:paraId="22DA349E">
                  <w:pPr>
                    <w:widowControl/>
                    <w:adjustRightInd w:val="0"/>
                    <w:snapToGrid w:val="0"/>
                    <w:jc w:val="center"/>
                    <w:rPr>
                      <w:color w:val="auto"/>
                      <w:sz w:val="18"/>
                      <w:szCs w:val="18"/>
                      <w:highlight w:val="none"/>
                    </w:rPr>
                  </w:pPr>
                  <w:r>
                    <w:rPr>
                      <w:color w:val="auto"/>
                      <w:kern w:val="0"/>
                      <w:sz w:val="18"/>
                      <w:szCs w:val="18"/>
                      <w:highlight w:val="none"/>
                    </w:rPr>
                    <w:t>苯并(a)蒽</w:t>
                  </w:r>
                </w:p>
              </w:tc>
              <w:tc>
                <w:tcPr>
                  <w:tcW w:w="2381" w:type="dxa"/>
                  <w:shd w:val="clear" w:color="auto" w:fill="auto"/>
                  <w:vAlign w:val="center"/>
                </w:tcPr>
                <w:p w14:paraId="5E04D2C1">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6D0EEB6E">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0E9BE3E8">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r>
            <w:tr w14:paraId="3EC79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5EAEC6E8">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39</w:t>
                  </w:r>
                </w:p>
              </w:tc>
              <w:tc>
                <w:tcPr>
                  <w:tcW w:w="848" w:type="pct"/>
                  <w:vMerge w:val="continue"/>
                  <w:vAlign w:val="center"/>
                </w:tcPr>
                <w:p w14:paraId="21DAEB0B">
                  <w:pPr>
                    <w:pStyle w:val="71"/>
                    <w:adjustRightInd w:val="0"/>
                    <w:snapToGrid w:val="0"/>
                    <w:rPr>
                      <w:rFonts w:eastAsia="等线"/>
                      <w:color w:val="auto"/>
                      <w:sz w:val="18"/>
                      <w:szCs w:val="18"/>
                      <w:highlight w:val="none"/>
                    </w:rPr>
                  </w:pPr>
                </w:p>
              </w:tc>
              <w:tc>
                <w:tcPr>
                  <w:tcW w:w="1868" w:type="dxa"/>
                  <w:shd w:val="clear" w:color="auto" w:fill="auto"/>
                  <w:vAlign w:val="center"/>
                </w:tcPr>
                <w:p w14:paraId="218025C7">
                  <w:pPr>
                    <w:widowControl/>
                    <w:adjustRightInd w:val="0"/>
                    <w:snapToGrid w:val="0"/>
                    <w:jc w:val="center"/>
                    <w:rPr>
                      <w:color w:val="auto"/>
                      <w:kern w:val="0"/>
                      <w:sz w:val="18"/>
                      <w:szCs w:val="18"/>
                      <w:highlight w:val="none"/>
                    </w:rPr>
                  </w:pPr>
                  <w:r>
                    <w:rPr>
                      <w:color w:val="auto"/>
                      <w:kern w:val="0"/>
                      <w:sz w:val="18"/>
                      <w:szCs w:val="18"/>
                      <w:highlight w:val="none"/>
                    </w:rPr>
                    <w:t>苯并(a)芘</w:t>
                  </w:r>
                </w:p>
              </w:tc>
              <w:tc>
                <w:tcPr>
                  <w:tcW w:w="2381" w:type="dxa"/>
                  <w:shd w:val="clear" w:color="auto" w:fill="auto"/>
                  <w:vAlign w:val="center"/>
                </w:tcPr>
                <w:p w14:paraId="11B222C6">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5582BF74">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013EECFD">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r>
            <w:tr w14:paraId="1FEE2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5A5D418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40</w:t>
                  </w:r>
                </w:p>
              </w:tc>
              <w:tc>
                <w:tcPr>
                  <w:tcW w:w="848" w:type="pct"/>
                  <w:vMerge w:val="continue"/>
                  <w:vAlign w:val="center"/>
                </w:tcPr>
                <w:p w14:paraId="511AF3B6">
                  <w:pPr>
                    <w:pStyle w:val="71"/>
                    <w:adjustRightInd w:val="0"/>
                    <w:snapToGrid w:val="0"/>
                    <w:rPr>
                      <w:rFonts w:eastAsia="等线"/>
                      <w:color w:val="auto"/>
                      <w:sz w:val="18"/>
                      <w:szCs w:val="18"/>
                      <w:highlight w:val="none"/>
                    </w:rPr>
                  </w:pPr>
                </w:p>
              </w:tc>
              <w:tc>
                <w:tcPr>
                  <w:tcW w:w="1868" w:type="dxa"/>
                  <w:shd w:val="clear" w:color="auto" w:fill="auto"/>
                  <w:vAlign w:val="center"/>
                </w:tcPr>
                <w:p w14:paraId="01C46685">
                  <w:pPr>
                    <w:widowControl/>
                    <w:adjustRightInd w:val="0"/>
                    <w:snapToGrid w:val="0"/>
                    <w:jc w:val="center"/>
                    <w:rPr>
                      <w:color w:val="auto"/>
                      <w:kern w:val="0"/>
                      <w:sz w:val="18"/>
                      <w:szCs w:val="18"/>
                      <w:highlight w:val="none"/>
                    </w:rPr>
                  </w:pPr>
                  <w:r>
                    <w:rPr>
                      <w:color w:val="auto"/>
                      <w:kern w:val="0"/>
                      <w:sz w:val="18"/>
                      <w:szCs w:val="18"/>
                      <w:highlight w:val="none"/>
                    </w:rPr>
                    <w:t>苯并(b)荧蒽</w:t>
                  </w:r>
                </w:p>
              </w:tc>
              <w:tc>
                <w:tcPr>
                  <w:tcW w:w="2381" w:type="dxa"/>
                  <w:shd w:val="clear" w:color="auto" w:fill="auto"/>
                  <w:vAlign w:val="center"/>
                </w:tcPr>
                <w:p w14:paraId="0EFE4997">
                  <w:pPr>
                    <w:widowControl/>
                    <w:adjustRightInd w:val="0"/>
                    <w:snapToGrid w:val="0"/>
                    <w:jc w:val="center"/>
                    <w:rPr>
                      <w:color w:val="auto"/>
                      <w:kern w:val="0"/>
                      <w:sz w:val="18"/>
                      <w:szCs w:val="18"/>
                      <w:highlight w:val="none"/>
                    </w:rPr>
                  </w:pPr>
                  <w:r>
                    <w:rPr>
                      <w:color w:val="auto"/>
                      <w:kern w:val="0"/>
                      <w:sz w:val="18"/>
                      <w:szCs w:val="18"/>
                      <w:highlight w:val="none"/>
                    </w:rPr>
                    <w:t>0.</w:t>
                  </w:r>
                  <w:r>
                    <w:rPr>
                      <w:rFonts w:hint="eastAsia"/>
                      <w:color w:val="auto"/>
                      <w:kern w:val="0"/>
                      <w:sz w:val="18"/>
                      <w:szCs w:val="18"/>
                      <w:highlight w:val="none"/>
                    </w:rPr>
                    <w:t>2L</w:t>
                  </w:r>
                </w:p>
              </w:tc>
              <w:tc>
                <w:tcPr>
                  <w:tcW w:w="639" w:type="pct"/>
                  <w:vAlign w:val="center"/>
                </w:tcPr>
                <w:p w14:paraId="7391E0D2">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7B035C5D">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r>
            <w:tr w14:paraId="09381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2A7A055F">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41</w:t>
                  </w:r>
                </w:p>
              </w:tc>
              <w:tc>
                <w:tcPr>
                  <w:tcW w:w="848" w:type="pct"/>
                  <w:vMerge w:val="continue"/>
                  <w:vAlign w:val="center"/>
                </w:tcPr>
                <w:p w14:paraId="54E40D8A">
                  <w:pPr>
                    <w:pStyle w:val="71"/>
                    <w:adjustRightInd w:val="0"/>
                    <w:snapToGrid w:val="0"/>
                    <w:rPr>
                      <w:rFonts w:eastAsia="等线"/>
                      <w:color w:val="auto"/>
                      <w:sz w:val="18"/>
                      <w:szCs w:val="18"/>
                      <w:highlight w:val="none"/>
                    </w:rPr>
                  </w:pPr>
                </w:p>
              </w:tc>
              <w:tc>
                <w:tcPr>
                  <w:tcW w:w="1868" w:type="dxa"/>
                  <w:shd w:val="clear" w:color="auto" w:fill="auto"/>
                  <w:vAlign w:val="center"/>
                </w:tcPr>
                <w:p w14:paraId="1A93239D">
                  <w:pPr>
                    <w:widowControl/>
                    <w:adjustRightInd w:val="0"/>
                    <w:snapToGrid w:val="0"/>
                    <w:jc w:val="center"/>
                    <w:rPr>
                      <w:color w:val="auto"/>
                      <w:kern w:val="0"/>
                      <w:sz w:val="18"/>
                      <w:szCs w:val="18"/>
                      <w:highlight w:val="none"/>
                    </w:rPr>
                  </w:pPr>
                  <w:r>
                    <w:rPr>
                      <w:color w:val="auto"/>
                      <w:kern w:val="0"/>
                      <w:sz w:val="18"/>
                      <w:szCs w:val="18"/>
                      <w:highlight w:val="none"/>
                    </w:rPr>
                    <w:t>苯并(k)荧蒽</w:t>
                  </w:r>
                </w:p>
              </w:tc>
              <w:tc>
                <w:tcPr>
                  <w:tcW w:w="2381" w:type="dxa"/>
                  <w:shd w:val="clear" w:color="auto" w:fill="auto"/>
                  <w:vAlign w:val="center"/>
                </w:tcPr>
                <w:p w14:paraId="1544F6B9">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441CFF0D">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111F051F">
                  <w:pPr>
                    <w:widowControl/>
                    <w:adjustRightInd w:val="0"/>
                    <w:snapToGrid w:val="0"/>
                    <w:jc w:val="center"/>
                    <w:rPr>
                      <w:color w:val="auto"/>
                      <w:kern w:val="0"/>
                      <w:sz w:val="18"/>
                      <w:szCs w:val="18"/>
                      <w:highlight w:val="none"/>
                    </w:rPr>
                  </w:pPr>
                  <w:r>
                    <w:rPr>
                      <w:rFonts w:hint="eastAsia"/>
                      <w:color w:val="auto"/>
                      <w:kern w:val="0"/>
                      <w:sz w:val="18"/>
                      <w:szCs w:val="18"/>
                      <w:highlight w:val="none"/>
                    </w:rPr>
                    <w:t>151</w:t>
                  </w:r>
                </w:p>
              </w:tc>
            </w:tr>
            <w:tr w14:paraId="49F8B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02DE5D95">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42</w:t>
                  </w:r>
                </w:p>
              </w:tc>
              <w:tc>
                <w:tcPr>
                  <w:tcW w:w="848" w:type="pct"/>
                  <w:vMerge w:val="continue"/>
                  <w:vAlign w:val="center"/>
                </w:tcPr>
                <w:p w14:paraId="439BB71F">
                  <w:pPr>
                    <w:pStyle w:val="71"/>
                    <w:adjustRightInd w:val="0"/>
                    <w:snapToGrid w:val="0"/>
                    <w:rPr>
                      <w:rFonts w:eastAsia="等线"/>
                      <w:color w:val="auto"/>
                      <w:sz w:val="18"/>
                      <w:szCs w:val="18"/>
                      <w:highlight w:val="none"/>
                    </w:rPr>
                  </w:pPr>
                </w:p>
              </w:tc>
              <w:tc>
                <w:tcPr>
                  <w:tcW w:w="1868" w:type="dxa"/>
                  <w:shd w:val="clear" w:color="auto" w:fill="auto"/>
                  <w:vAlign w:val="center"/>
                </w:tcPr>
                <w:p w14:paraId="4A8327B9">
                  <w:pPr>
                    <w:widowControl/>
                    <w:adjustRightInd w:val="0"/>
                    <w:snapToGrid w:val="0"/>
                    <w:jc w:val="center"/>
                    <w:rPr>
                      <w:color w:val="auto"/>
                      <w:kern w:val="0"/>
                      <w:sz w:val="18"/>
                      <w:szCs w:val="18"/>
                      <w:highlight w:val="none"/>
                    </w:rPr>
                  </w:pPr>
                  <w:r>
                    <w:rPr>
                      <w:color w:val="auto"/>
                      <w:kern w:val="0"/>
                      <w:sz w:val="18"/>
                      <w:szCs w:val="18"/>
                      <w:highlight w:val="none"/>
                    </w:rPr>
                    <w:t>䓛</w:t>
                  </w:r>
                </w:p>
              </w:tc>
              <w:tc>
                <w:tcPr>
                  <w:tcW w:w="2381" w:type="dxa"/>
                  <w:shd w:val="clear" w:color="auto" w:fill="auto"/>
                  <w:vAlign w:val="center"/>
                </w:tcPr>
                <w:p w14:paraId="51FB13B3">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1AA1C2D0">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54D93036">
                  <w:pPr>
                    <w:widowControl/>
                    <w:adjustRightInd w:val="0"/>
                    <w:snapToGrid w:val="0"/>
                    <w:jc w:val="center"/>
                    <w:rPr>
                      <w:color w:val="auto"/>
                      <w:kern w:val="0"/>
                      <w:sz w:val="18"/>
                      <w:szCs w:val="18"/>
                      <w:highlight w:val="none"/>
                    </w:rPr>
                  </w:pPr>
                  <w:r>
                    <w:rPr>
                      <w:rFonts w:hint="eastAsia"/>
                      <w:color w:val="auto"/>
                      <w:kern w:val="0"/>
                      <w:sz w:val="18"/>
                      <w:szCs w:val="18"/>
                      <w:highlight w:val="none"/>
                    </w:rPr>
                    <w:t>1293</w:t>
                  </w:r>
                </w:p>
              </w:tc>
            </w:tr>
            <w:tr w14:paraId="0201E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4FD092AE">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43</w:t>
                  </w:r>
                </w:p>
              </w:tc>
              <w:tc>
                <w:tcPr>
                  <w:tcW w:w="848" w:type="pct"/>
                  <w:vMerge w:val="continue"/>
                  <w:vAlign w:val="center"/>
                </w:tcPr>
                <w:p w14:paraId="24FA1C52">
                  <w:pPr>
                    <w:pStyle w:val="71"/>
                    <w:adjustRightInd w:val="0"/>
                    <w:snapToGrid w:val="0"/>
                    <w:rPr>
                      <w:rFonts w:eastAsia="等线"/>
                      <w:color w:val="auto"/>
                      <w:sz w:val="18"/>
                      <w:szCs w:val="18"/>
                      <w:highlight w:val="none"/>
                    </w:rPr>
                  </w:pPr>
                </w:p>
              </w:tc>
              <w:tc>
                <w:tcPr>
                  <w:tcW w:w="1868" w:type="dxa"/>
                  <w:shd w:val="clear" w:color="auto" w:fill="auto"/>
                  <w:vAlign w:val="center"/>
                </w:tcPr>
                <w:p w14:paraId="5D3E48A9">
                  <w:pPr>
                    <w:widowControl/>
                    <w:adjustRightInd w:val="0"/>
                    <w:snapToGrid w:val="0"/>
                    <w:jc w:val="center"/>
                    <w:rPr>
                      <w:color w:val="auto"/>
                      <w:kern w:val="0"/>
                      <w:sz w:val="18"/>
                      <w:szCs w:val="18"/>
                      <w:highlight w:val="none"/>
                    </w:rPr>
                  </w:pPr>
                  <w:r>
                    <w:rPr>
                      <w:color w:val="auto"/>
                      <w:kern w:val="0"/>
                      <w:sz w:val="18"/>
                      <w:szCs w:val="18"/>
                      <w:highlight w:val="none"/>
                    </w:rPr>
                    <w:t>二苯并(a,h)蒽</w:t>
                  </w:r>
                </w:p>
              </w:tc>
              <w:tc>
                <w:tcPr>
                  <w:tcW w:w="2381" w:type="dxa"/>
                  <w:shd w:val="clear" w:color="auto" w:fill="auto"/>
                  <w:vAlign w:val="center"/>
                </w:tcPr>
                <w:p w14:paraId="03824D51">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473FEB35">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3B822143">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r>
            <w:tr w14:paraId="4B011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002ACD5D">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44</w:t>
                  </w:r>
                </w:p>
              </w:tc>
              <w:tc>
                <w:tcPr>
                  <w:tcW w:w="848" w:type="pct"/>
                  <w:vMerge w:val="continue"/>
                  <w:vAlign w:val="center"/>
                </w:tcPr>
                <w:p w14:paraId="38EDDCE2">
                  <w:pPr>
                    <w:pStyle w:val="71"/>
                    <w:adjustRightInd w:val="0"/>
                    <w:snapToGrid w:val="0"/>
                    <w:rPr>
                      <w:rFonts w:eastAsia="等线"/>
                      <w:color w:val="auto"/>
                      <w:sz w:val="18"/>
                      <w:szCs w:val="18"/>
                      <w:highlight w:val="none"/>
                    </w:rPr>
                  </w:pPr>
                </w:p>
              </w:tc>
              <w:tc>
                <w:tcPr>
                  <w:tcW w:w="1868" w:type="dxa"/>
                  <w:shd w:val="clear" w:color="auto" w:fill="auto"/>
                  <w:vAlign w:val="center"/>
                </w:tcPr>
                <w:p w14:paraId="48C4E0E6">
                  <w:pPr>
                    <w:widowControl/>
                    <w:adjustRightInd w:val="0"/>
                    <w:snapToGrid w:val="0"/>
                    <w:jc w:val="center"/>
                    <w:rPr>
                      <w:color w:val="auto"/>
                      <w:kern w:val="0"/>
                      <w:sz w:val="18"/>
                      <w:szCs w:val="18"/>
                      <w:highlight w:val="none"/>
                    </w:rPr>
                  </w:pPr>
                  <w:r>
                    <w:rPr>
                      <w:color w:val="auto"/>
                      <w:kern w:val="0"/>
                      <w:sz w:val="18"/>
                      <w:szCs w:val="18"/>
                      <w:highlight w:val="none"/>
                    </w:rPr>
                    <w:t>茚并(1,2,3-c,d)芘</w:t>
                  </w:r>
                </w:p>
              </w:tc>
              <w:tc>
                <w:tcPr>
                  <w:tcW w:w="2381" w:type="dxa"/>
                  <w:shd w:val="clear" w:color="auto" w:fill="auto"/>
                  <w:vAlign w:val="center"/>
                </w:tcPr>
                <w:p w14:paraId="11EBFA0E">
                  <w:pPr>
                    <w:widowControl/>
                    <w:adjustRightInd w:val="0"/>
                    <w:snapToGrid w:val="0"/>
                    <w:jc w:val="center"/>
                    <w:rPr>
                      <w:color w:val="auto"/>
                      <w:kern w:val="0"/>
                      <w:sz w:val="18"/>
                      <w:szCs w:val="18"/>
                      <w:highlight w:val="none"/>
                    </w:rPr>
                  </w:pPr>
                  <w:r>
                    <w:rPr>
                      <w:color w:val="auto"/>
                      <w:kern w:val="0"/>
                      <w:sz w:val="18"/>
                      <w:szCs w:val="18"/>
                      <w:highlight w:val="none"/>
                    </w:rPr>
                    <w:t>0.1</w:t>
                  </w:r>
                  <w:r>
                    <w:rPr>
                      <w:rFonts w:hint="eastAsia"/>
                      <w:color w:val="auto"/>
                      <w:kern w:val="0"/>
                      <w:sz w:val="18"/>
                      <w:szCs w:val="18"/>
                      <w:highlight w:val="none"/>
                    </w:rPr>
                    <w:t>L</w:t>
                  </w:r>
                </w:p>
              </w:tc>
              <w:tc>
                <w:tcPr>
                  <w:tcW w:w="639" w:type="pct"/>
                  <w:vAlign w:val="center"/>
                </w:tcPr>
                <w:p w14:paraId="24E3C84D">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6010E9E0">
                  <w:pPr>
                    <w:widowControl/>
                    <w:adjustRightInd w:val="0"/>
                    <w:snapToGrid w:val="0"/>
                    <w:jc w:val="center"/>
                    <w:rPr>
                      <w:color w:val="auto"/>
                      <w:kern w:val="0"/>
                      <w:sz w:val="18"/>
                      <w:szCs w:val="18"/>
                      <w:highlight w:val="none"/>
                    </w:rPr>
                  </w:pPr>
                  <w:r>
                    <w:rPr>
                      <w:rFonts w:hint="eastAsia"/>
                      <w:color w:val="auto"/>
                      <w:kern w:val="0"/>
                      <w:sz w:val="18"/>
                      <w:szCs w:val="18"/>
                      <w:highlight w:val="none"/>
                    </w:rPr>
                    <w:t>15</w:t>
                  </w:r>
                </w:p>
              </w:tc>
            </w:tr>
            <w:tr w14:paraId="6CDB5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1" w:hRule="atLeast"/>
                <w:jc w:val="center"/>
              </w:trPr>
              <w:tc>
                <w:tcPr>
                  <w:tcW w:w="684" w:type="dxa"/>
                  <w:vAlign w:val="center"/>
                </w:tcPr>
                <w:p w14:paraId="171A00B9">
                  <w:pPr>
                    <w:pStyle w:val="71"/>
                    <w:adjustRightInd w:val="0"/>
                    <w:snapToGrid w:val="0"/>
                    <w:ind w:left="425" w:hanging="425"/>
                    <w:rPr>
                      <w:rFonts w:eastAsia="等线"/>
                      <w:color w:val="auto"/>
                      <w:sz w:val="18"/>
                      <w:szCs w:val="18"/>
                      <w:highlight w:val="none"/>
                    </w:rPr>
                  </w:pPr>
                  <w:r>
                    <w:rPr>
                      <w:rFonts w:eastAsia="等线"/>
                      <w:color w:val="auto"/>
                      <w:sz w:val="18"/>
                      <w:szCs w:val="18"/>
                      <w:highlight w:val="none"/>
                    </w:rPr>
                    <w:t>45</w:t>
                  </w:r>
                </w:p>
              </w:tc>
              <w:tc>
                <w:tcPr>
                  <w:tcW w:w="848" w:type="pct"/>
                  <w:vMerge w:val="continue"/>
                  <w:vAlign w:val="center"/>
                </w:tcPr>
                <w:p w14:paraId="13216B5C">
                  <w:pPr>
                    <w:pStyle w:val="71"/>
                    <w:adjustRightInd w:val="0"/>
                    <w:snapToGrid w:val="0"/>
                    <w:rPr>
                      <w:rFonts w:eastAsia="等线"/>
                      <w:color w:val="auto"/>
                      <w:sz w:val="18"/>
                      <w:szCs w:val="18"/>
                      <w:highlight w:val="none"/>
                    </w:rPr>
                  </w:pPr>
                </w:p>
              </w:tc>
              <w:tc>
                <w:tcPr>
                  <w:tcW w:w="1868" w:type="dxa"/>
                  <w:shd w:val="clear" w:color="auto" w:fill="auto"/>
                  <w:vAlign w:val="center"/>
                </w:tcPr>
                <w:p w14:paraId="7247ADC5">
                  <w:pPr>
                    <w:widowControl/>
                    <w:adjustRightInd w:val="0"/>
                    <w:snapToGrid w:val="0"/>
                    <w:jc w:val="center"/>
                    <w:rPr>
                      <w:color w:val="auto"/>
                      <w:kern w:val="0"/>
                      <w:sz w:val="18"/>
                      <w:szCs w:val="18"/>
                      <w:highlight w:val="none"/>
                    </w:rPr>
                  </w:pPr>
                  <w:r>
                    <w:rPr>
                      <w:color w:val="auto"/>
                      <w:kern w:val="0"/>
                      <w:sz w:val="18"/>
                      <w:szCs w:val="18"/>
                      <w:highlight w:val="none"/>
                    </w:rPr>
                    <w:t>萘</w:t>
                  </w:r>
                </w:p>
              </w:tc>
              <w:tc>
                <w:tcPr>
                  <w:tcW w:w="2381" w:type="dxa"/>
                  <w:shd w:val="clear" w:color="auto" w:fill="auto"/>
                  <w:vAlign w:val="center"/>
                </w:tcPr>
                <w:p w14:paraId="1CFAE725">
                  <w:pPr>
                    <w:widowControl/>
                    <w:adjustRightInd w:val="0"/>
                    <w:snapToGrid w:val="0"/>
                    <w:jc w:val="center"/>
                    <w:rPr>
                      <w:color w:val="auto"/>
                      <w:kern w:val="0"/>
                      <w:sz w:val="18"/>
                      <w:szCs w:val="18"/>
                      <w:highlight w:val="none"/>
                    </w:rPr>
                  </w:pPr>
                  <w:r>
                    <w:rPr>
                      <w:color w:val="auto"/>
                      <w:kern w:val="0"/>
                      <w:sz w:val="18"/>
                      <w:szCs w:val="18"/>
                      <w:highlight w:val="none"/>
                    </w:rPr>
                    <w:t>0.09</w:t>
                  </w:r>
                  <w:r>
                    <w:rPr>
                      <w:rFonts w:hint="eastAsia"/>
                      <w:color w:val="auto"/>
                      <w:kern w:val="0"/>
                      <w:sz w:val="18"/>
                      <w:szCs w:val="18"/>
                      <w:highlight w:val="none"/>
                    </w:rPr>
                    <w:t>L</w:t>
                  </w:r>
                </w:p>
              </w:tc>
              <w:tc>
                <w:tcPr>
                  <w:tcW w:w="639" w:type="pct"/>
                  <w:vAlign w:val="center"/>
                </w:tcPr>
                <w:p w14:paraId="018D2A1A">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64D1BDEF">
                  <w:pPr>
                    <w:widowControl/>
                    <w:adjustRightInd w:val="0"/>
                    <w:snapToGrid w:val="0"/>
                    <w:jc w:val="center"/>
                    <w:rPr>
                      <w:color w:val="auto"/>
                      <w:kern w:val="0"/>
                      <w:sz w:val="18"/>
                      <w:szCs w:val="18"/>
                      <w:highlight w:val="none"/>
                    </w:rPr>
                  </w:pPr>
                  <w:r>
                    <w:rPr>
                      <w:rFonts w:hint="eastAsia"/>
                      <w:color w:val="auto"/>
                      <w:kern w:val="0"/>
                      <w:sz w:val="18"/>
                      <w:szCs w:val="18"/>
                      <w:highlight w:val="none"/>
                    </w:rPr>
                    <w:t>70</w:t>
                  </w:r>
                </w:p>
              </w:tc>
            </w:tr>
            <w:tr w14:paraId="5AC7D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6" w:hRule="atLeast"/>
                <w:jc w:val="center"/>
              </w:trPr>
              <w:tc>
                <w:tcPr>
                  <w:tcW w:w="684" w:type="dxa"/>
                  <w:vAlign w:val="center"/>
                </w:tcPr>
                <w:p w14:paraId="4D8714EE">
                  <w:pPr>
                    <w:pStyle w:val="71"/>
                    <w:adjustRightInd w:val="0"/>
                    <w:snapToGrid w:val="0"/>
                    <w:rPr>
                      <w:rFonts w:eastAsia="等线"/>
                      <w:color w:val="auto"/>
                      <w:sz w:val="18"/>
                      <w:szCs w:val="18"/>
                      <w:highlight w:val="none"/>
                    </w:rPr>
                  </w:pPr>
                  <w:r>
                    <w:rPr>
                      <w:rFonts w:hint="eastAsia" w:eastAsia="等线"/>
                      <w:color w:val="auto"/>
                      <w:sz w:val="18"/>
                      <w:szCs w:val="18"/>
                      <w:highlight w:val="none"/>
                    </w:rPr>
                    <w:t>46</w:t>
                  </w:r>
                </w:p>
              </w:tc>
              <w:tc>
                <w:tcPr>
                  <w:tcW w:w="848" w:type="pct"/>
                  <w:vMerge w:val="continue"/>
                  <w:vAlign w:val="center"/>
                </w:tcPr>
                <w:p w14:paraId="0375F292">
                  <w:pPr>
                    <w:pStyle w:val="71"/>
                    <w:adjustRightInd w:val="0"/>
                    <w:snapToGrid w:val="0"/>
                    <w:rPr>
                      <w:rFonts w:eastAsia="等线"/>
                      <w:color w:val="auto"/>
                      <w:sz w:val="18"/>
                      <w:szCs w:val="18"/>
                      <w:highlight w:val="none"/>
                    </w:rPr>
                  </w:pPr>
                </w:p>
              </w:tc>
              <w:tc>
                <w:tcPr>
                  <w:tcW w:w="1868" w:type="dxa"/>
                  <w:shd w:val="clear" w:color="auto" w:fill="auto"/>
                  <w:vAlign w:val="center"/>
                </w:tcPr>
                <w:p w14:paraId="17CC1209">
                  <w:pPr>
                    <w:pStyle w:val="42"/>
                    <w:autoSpaceDE/>
                    <w:autoSpaceDN/>
                    <w:adjustRightInd w:val="0"/>
                    <w:snapToGrid w:val="0"/>
                    <w:ind w:left="32"/>
                    <w:rPr>
                      <w:rFonts w:hint="default" w:ascii="Times New Roman" w:hAnsi="Times New Roman" w:eastAsia="宋体"/>
                      <w:color w:val="auto"/>
                      <w:sz w:val="18"/>
                      <w:szCs w:val="18"/>
                      <w:highlight w:val="none"/>
                    </w:rPr>
                  </w:pPr>
                  <w:r>
                    <w:rPr>
                      <w:rFonts w:ascii="Times New Roman" w:hAnsi="Times New Roman" w:eastAsia="宋体"/>
                      <w:color w:val="auto"/>
                      <w:kern w:val="2"/>
                      <w:sz w:val="18"/>
                      <w:szCs w:val="18"/>
                      <w:highlight w:val="none"/>
                    </w:rPr>
                    <w:t>石油烃（C</w:t>
                  </w:r>
                  <w:r>
                    <w:rPr>
                      <w:rFonts w:ascii="Times New Roman" w:hAnsi="Times New Roman" w:eastAsia="宋体"/>
                      <w:color w:val="auto"/>
                      <w:kern w:val="2"/>
                      <w:sz w:val="18"/>
                      <w:szCs w:val="18"/>
                      <w:highlight w:val="none"/>
                      <w:vertAlign w:val="subscript"/>
                    </w:rPr>
                    <w:t>10</w:t>
                  </w:r>
                  <w:r>
                    <w:rPr>
                      <w:rFonts w:ascii="Times New Roman" w:hAnsi="Times New Roman" w:eastAsia="宋体"/>
                      <w:color w:val="auto"/>
                      <w:kern w:val="2"/>
                      <w:sz w:val="18"/>
                      <w:szCs w:val="18"/>
                      <w:highlight w:val="none"/>
                    </w:rPr>
                    <w:t>-C</w:t>
                  </w:r>
                  <w:r>
                    <w:rPr>
                      <w:rFonts w:ascii="Times New Roman" w:hAnsi="Times New Roman" w:eastAsia="宋体"/>
                      <w:color w:val="auto"/>
                      <w:kern w:val="2"/>
                      <w:sz w:val="18"/>
                      <w:szCs w:val="18"/>
                      <w:highlight w:val="none"/>
                      <w:vertAlign w:val="subscript"/>
                    </w:rPr>
                    <w:t>40</w:t>
                  </w:r>
                  <w:r>
                    <w:rPr>
                      <w:rFonts w:ascii="Times New Roman" w:hAnsi="Times New Roman" w:eastAsia="宋体"/>
                      <w:color w:val="auto"/>
                      <w:kern w:val="2"/>
                      <w:sz w:val="18"/>
                      <w:szCs w:val="18"/>
                      <w:highlight w:val="none"/>
                    </w:rPr>
                    <w:t>）</w:t>
                  </w:r>
                </w:p>
              </w:tc>
              <w:tc>
                <w:tcPr>
                  <w:tcW w:w="2381" w:type="dxa"/>
                  <w:shd w:val="clear" w:color="auto" w:fill="auto"/>
                  <w:vAlign w:val="center"/>
                </w:tcPr>
                <w:p w14:paraId="64AB8D2F">
                  <w:pPr>
                    <w:widowControl/>
                    <w:adjustRightInd w:val="0"/>
                    <w:snapToGrid w:val="0"/>
                    <w:jc w:val="center"/>
                    <w:rPr>
                      <w:color w:val="auto"/>
                      <w:kern w:val="0"/>
                      <w:sz w:val="18"/>
                      <w:szCs w:val="18"/>
                      <w:highlight w:val="none"/>
                    </w:rPr>
                  </w:pPr>
                  <w:r>
                    <w:rPr>
                      <w:rFonts w:hint="eastAsia"/>
                      <w:color w:val="auto"/>
                      <w:kern w:val="0"/>
                      <w:sz w:val="18"/>
                      <w:szCs w:val="18"/>
                      <w:highlight w:val="none"/>
                    </w:rPr>
                    <w:t>6L</w:t>
                  </w:r>
                </w:p>
              </w:tc>
              <w:tc>
                <w:tcPr>
                  <w:tcW w:w="639" w:type="pct"/>
                  <w:vAlign w:val="center"/>
                </w:tcPr>
                <w:p w14:paraId="46E587FF">
                  <w:pPr>
                    <w:pStyle w:val="71"/>
                    <w:adjustRightInd w:val="0"/>
                    <w:snapToGrid w:val="0"/>
                    <w:rPr>
                      <w:rFonts w:eastAsia="等线"/>
                      <w:color w:val="auto"/>
                      <w:sz w:val="18"/>
                      <w:szCs w:val="18"/>
                      <w:highlight w:val="none"/>
                    </w:rPr>
                  </w:pPr>
                  <w:r>
                    <w:rPr>
                      <w:color w:val="auto"/>
                      <w:sz w:val="18"/>
                      <w:szCs w:val="18"/>
                      <w:highlight w:val="none"/>
                    </w:rPr>
                    <w:t>mg/kg</w:t>
                  </w:r>
                </w:p>
              </w:tc>
              <w:tc>
                <w:tcPr>
                  <w:tcW w:w="698" w:type="dxa"/>
                  <w:shd w:val="clear" w:color="auto" w:fill="auto"/>
                  <w:vAlign w:val="center"/>
                </w:tcPr>
                <w:p w14:paraId="4C9C03CE">
                  <w:pPr>
                    <w:widowControl/>
                    <w:adjustRightInd w:val="0"/>
                    <w:snapToGrid w:val="0"/>
                    <w:jc w:val="center"/>
                    <w:rPr>
                      <w:b/>
                      <w:bCs/>
                      <w:color w:val="auto"/>
                      <w:kern w:val="0"/>
                      <w:sz w:val="18"/>
                      <w:szCs w:val="18"/>
                      <w:highlight w:val="none"/>
                    </w:rPr>
                  </w:pPr>
                  <w:r>
                    <w:rPr>
                      <w:rFonts w:hint="eastAsia"/>
                      <w:color w:val="auto"/>
                      <w:kern w:val="0"/>
                      <w:sz w:val="18"/>
                      <w:szCs w:val="18"/>
                      <w:highlight w:val="none"/>
                    </w:rPr>
                    <w:t>4500</w:t>
                  </w:r>
                </w:p>
              </w:tc>
            </w:tr>
          </w:tbl>
          <w:p w14:paraId="5A61A153">
            <w:pPr>
              <w:pStyle w:val="68"/>
              <w:adjustRightInd w:val="0"/>
              <w:snapToGrid w:val="0"/>
              <w:spacing w:beforeLines="50" w:line="360" w:lineRule="auto"/>
              <w:ind w:firstLine="210" w:firstLineChars="100"/>
              <w:rPr>
                <w:color w:val="auto"/>
                <w:sz w:val="21"/>
                <w:highlight w:val="none"/>
              </w:rPr>
            </w:pPr>
            <w:r>
              <w:rPr>
                <w:rFonts w:hint="eastAsia"/>
                <w:color w:val="auto"/>
                <w:sz w:val="21"/>
                <w:highlight w:val="none"/>
              </w:rPr>
              <w:t>（4）</w:t>
            </w:r>
            <w:r>
              <w:rPr>
                <w:color w:val="auto"/>
                <w:sz w:val="21"/>
                <w:highlight w:val="none"/>
              </w:rPr>
              <w:t>土壤环境质量现状评价结论</w:t>
            </w:r>
          </w:p>
          <w:p w14:paraId="7F6D9E91">
            <w:pPr>
              <w:adjustRightInd w:val="0"/>
              <w:snapToGrid w:val="0"/>
              <w:spacing w:line="360" w:lineRule="auto"/>
              <w:ind w:firstLine="420" w:firstLineChars="200"/>
              <w:rPr>
                <w:color w:val="auto"/>
                <w:highlight w:val="none"/>
              </w:rPr>
            </w:pPr>
            <w:r>
              <w:rPr>
                <w:color w:val="auto"/>
                <w:szCs w:val="21"/>
                <w:highlight w:val="none"/>
              </w:rPr>
              <w:t>根据土壤现状监测结果可知，</w:t>
            </w:r>
            <w:r>
              <w:rPr>
                <w:rFonts w:hint="eastAsia"/>
                <w:color w:val="auto"/>
                <w:szCs w:val="21"/>
                <w:highlight w:val="none"/>
              </w:rPr>
              <w:t>各项因子均</w:t>
            </w:r>
            <w:r>
              <w:rPr>
                <w:color w:val="auto"/>
                <w:szCs w:val="21"/>
                <w:highlight w:val="none"/>
              </w:rPr>
              <w:t>满足《土壤环境质量建设用地土壤污染风险管控标准</w:t>
            </w:r>
            <w:r>
              <w:rPr>
                <w:rFonts w:hint="eastAsia"/>
                <w:color w:val="auto"/>
                <w:szCs w:val="21"/>
                <w:highlight w:val="none"/>
              </w:rPr>
              <w:t>（试行）</w:t>
            </w:r>
            <w:r>
              <w:rPr>
                <w:color w:val="auto"/>
                <w:szCs w:val="21"/>
                <w:highlight w:val="none"/>
              </w:rPr>
              <w:t>》（GB36600-2018）中第二类用地筛选值标准</w:t>
            </w:r>
            <w:r>
              <w:rPr>
                <w:rFonts w:hint="eastAsia"/>
                <w:color w:val="auto"/>
                <w:szCs w:val="21"/>
                <w:highlight w:val="none"/>
              </w:rPr>
              <w:t>。</w:t>
            </w:r>
          </w:p>
        </w:tc>
      </w:tr>
      <w:tr w14:paraId="3C65A5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567" w:hRule="atLeast"/>
          <w:jc w:val="center"/>
        </w:trPr>
        <w:tc>
          <w:tcPr>
            <w:tcW w:w="678" w:type="dxa"/>
            <w:vAlign w:val="center"/>
          </w:tcPr>
          <w:p w14:paraId="34086615">
            <w:pPr>
              <w:adjustRightInd w:val="0"/>
              <w:snapToGrid w:val="0"/>
              <w:jc w:val="center"/>
              <w:rPr>
                <w:color w:val="auto"/>
                <w:kern w:val="0"/>
                <w:sz w:val="24"/>
                <w:highlight w:val="none"/>
              </w:rPr>
            </w:pPr>
            <w:r>
              <w:rPr>
                <w:color w:val="auto"/>
                <w:kern w:val="0"/>
                <w:sz w:val="24"/>
                <w:highlight w:val="none"/>
              </w:rPr>
              <w:t>环境</w:t>
            </w:r>
          </w:p>
          <w:p w14:paraId="3D0D0724">
            <w:pPr>
              <w:adjustRightInd w:val="0"/>
              <w:snapToGrid w:val="0"/>
              <w:jc w:val="center"/>
              <w:rPr>
                <w:color w:val="auto"/>
                <w:kern w:val="0"/>
                <w:sz w:val="24"/>
                <w:highlight w:val="none"/>
              </w:rPr>
            </w:pPr>
            <w:r>
              <w:rPr>
                <w:color w:val="auto"/>
                <w:kern w:val="0"/>
                <w:sz w:val="24"/>
                <w:highlight w:val="none"/>
              </w:rPr>
              <w:t>保护</w:t>
            </w:r>
          </w:p>
          <w:p w14:paraId="518DE511">
            <w:pPr>
              <w:adjustRightInd w:val="0"/>
              <w:snapToGrid w:val="0"/>
              <w:jc w:val="center"/>
              <w:rPr>
                <w:color w:val="auto"/>
                <w:kern w:val="0"/>
                <w:szCs w:val="21"/>
                <w:highlight w:val="none"/>
              </w:rPr>
            </w:pPr>
            <w:r>
              <w:rPr>
                <w:color w:val="auto"/>
                <w:kern w:val="0"/>
                <w:sz w:val="24"/>
                <w:highlight w:val="none"/>
              </w:rPr>
              <w:t>目标</w:t>
            </w:r>
          </w:p>
        </w:tc>
        <w:tc>
          <w:tcPr>
            <w:tcW w:w="8283" w:type="dxa"/>
            <w:vAlign w:val="center"/>
          </w:tcPr>
          <w:p w14:paraId="24CA082E">
            <w:pPr>
              <w:wordWrap w:val="0"/>
              <w:spacing w:line="360" w:lineRule="auto"/>
              <w:ind w:firstLine="420" w:firstLineChars="200"/>
              <w:rPr>
                <w:bCs/>
                <w:color w:val="auto"/>
                <w:szCs w:val="21"/>
                <w:highlight w:val="none"/>
              </w:rPr>
            </w:pPr>
            <w:r>
              <w:rPr>
                <w:rFonts w:hint="eastAsia"/>
                <w:bCs/>
                <w:color w:val="auto"/>
                <w:szCs w:val="21"/>
                <w:highlight w:val="none"/>
              </w:rPr>
              <w:t>本</w:t>
            </w:r>
            <w:r>
              <w:rPr>
                <w:bCs/>
                <w:color w:val="auto"/>
                <w:szCs w:val="21"/>
                <w:highlight w:val="none"/>
              </w:rPr>
              <w:t>项目厂界外500m范围内无</w:t>
            </w:r>
            <w:r>
              <w:rPr>
                <w:rFonts w:hint="eastAsia"/>
                <w:bCs/>
                <w:color w:val="auto"/>
                <w:szCs w:val="21"/>
                <w:highlight w:val="none"/>
              </w:rPr>
              <w:t>自</w:t>
            </w:r>
            <w:r>
              <w:rPr>
                <w:bCs/>
                <w:color w:val="auto"/>
                <w:szCs w:val="21"/>
                <w:highlight w:val="none"/>
              </w:rPr>
              <w:t>然保护区、风景名胜区。项目厂界外50m范围内</w:t>
            </w:r>
            <w:r>
              <w:rPr>
                <w:rFonts w:hint="eastAsia"/>
                <w:bCs/>
                <w:color w:val="auto"/>
                <w:szCs w:val="21"/>
                <w:highlight w:val="none"/>
              </w:rPr>
              <w:t>无</w:t>
            </w:r>
            <w:r>
              <w:rPr>
                <w:bCs/>
                <w:color w:val="auto"/>
                <w:szCs w:val="21"/>
                <w:highlight w:val="none"/>
              </w:rPr>
              <w:t>声环境保护目标。项目厂界外500m范围内无地下水集中式饮用水水源和热水、矿泉水、温泉等特殊地下水资源。</w:t>
            </w:r>
            <w:r>
              <w:rPr>
                <w:rFonts w:hint="eastAsia"/>
                <w:bCs/>
                <w:color w:val="auto"/>
                <w:szCs w:val="21"/>
                <w:highlight w:val="none"/>
              </w:rPr>
              <w:t>项目周边存在农田，无生态环境保护目标。大气保护目标见表3-6。</w:t>
            </w:r>
          </w:p>
          <w:p w14:paraId="55861CDF">
            <w:pPr>
              <w:adjustRightInd w:val="0"/>
              <w:snapToGrid w:val="0"/>
              <w:spacing w:line="400" w:lineRule="exact"/>
              <w:jc w:val="center"/>
              <w:rPr>
                <w:b/>
                <w:bCs/>
                <w:color w:val="auto"/>
                <w:szCs w:val="21"/>
                <w:highlight w:val="none"/>
              </w:rPr>
            </w:pPr>
            <w:r>
              <w:rPr>
                <w:b/>
                <w:bCs/>
                <w:color w:val="auto"/>
                <w:szCs w:val="21"/>
                <w:highlight w:val="none"/>
              </w:rPr>
              <w:t>表3-</w:t>
            </w:r>
            <w:r>
              <w:rPr>
                <w:rFonts w:hint="eastAsia"/>
                <w:b/>
                <w:bCs/>
                <w:color w:val="auto"/>
                <w:szCs w:val="21"/>
                <w:highlight w:val="none"/>
              </w:rPr>
              <w:t>6</w:t>
            </w:r>
            <w:r>
              <w:rPr>
                <w:b/>
                <w:bCs/>
                <w:color w:val="auto"/>
                <w:szCs w:val="21"/>
                <w:highlight w:val="none"/>
              </w:rPr>
              <w:t xml:space="preserve"> 环境空气保护目标</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071"/>
              <w:gridCol w:w="1006"/>
              <w:gridCol w:w="1160"/>
              <w:gridCol w:w="980"/>
              <w:gridCol w:w="993"/>
              <w:gridCol w:w="829"/>
              <w:gridCol w:w="1079"/>
              <w:gridCol w:w="1017"/>
            </w:tblGrid>
            <w:tr w14:paraId="62B64F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20" w:hRule="atLeast"/>
              </w:trPr>
              <w:tc>
                <w:tcPr>
                  <w:tcW w:w="1071" w:type="dxa"/>
                  <w:vMerge w:val="restart"/>
                  <w:tcBorders>
                    <w:tl2br w:val="nil"/>
                    <w:tr2bl w:val="nil"/>
                  </w:tcBorders>
                  <w:vAlign w:val="center"/>
                </w:tcPr>
                <w:p w14:paraId="0E46EFB0">
                  <w:pPr>
                    <w:adjustRightInd w:val="0"/>
                    <w:snapToGrid w:val="0"/>
                    <w:jc w:val="center"/>
                    <w:rPr>
                      <w:color w:val="auto"/>
                      <w:kern w:val="0"/>
                      <w:sz w:val="18"/>
                      <w:szCs w:val="18"/>
                      <w:highlight w:val="none"/>
                    </w:rPr>
                  </w:pPr>
                  <w:r>
                    <w:rPr>
                      <w:rFonts w:hint="eastAsia"/>
                      <w:color w:val="auto"/>
                      <w:kern w:val="0"/>
                      <w:sz w:val="18"/>
                      <w:szCs w:val="18"/>
                      <w:highlight w:val="none"/>
                    </w:rPr>
                    <w:t>名称</w:t>
                  </w:r>
                </w:p>
              </w:tc>
              <w:tc>
                <w:tcPr>
                  <w:tcW w:w="2166" w:type="dxa"/>
                  <w:gridSpan w:val="2"/>
                  <w:tcBorders>
                    <w:tl2br w:val="nil"/>
                    <w:tr2bl w:val="nil"/>
                  </w:tcBorders>
                  <w:vAlign w:val="center"/>
                </w:tcPr>
                <w:p w14:paraId="3355FCBE">
                  <w:pPr>
                    <w:adjustRightInd w:val="0"/>
                    <w:snapToGrid w:val="0"/>
                    <w:jc w:val="center"/>
                    <w:rPr>
                      <w:color w:val="auto"/>
                      <w:kern w:val="0"/>
                      <w:sz w:val="18"/>
                      <w:szCs w:val="18"/>
                      <w:highlight w:val="none"/>
                    </w:rPr>
                  </w:pPr>
                  <w:r>
                    <w:rPr>
                      <w:rFonts w:hint="eastAsia"/>
                      <w:color w:val="auto"/>
                      <w:kern w:val="0"/>
                      <w:sz w:val="18"/>
                      <w:szCs w:val="18"/>
                      <w:highlight w:val="none"/>
                    </w:rPr>
                    <w:t>坐标</w:t>
                  </w:r>
                </w:p>
              </w:tc>
              <w:tc>
                <w:tcPr>
                  <w:tcW w:w="980" w:type="dxa"/>
                  <w:vMerge w:val="restart"/>
                  <w:tcBorders>
                    <w:tl2br w:val="nil"/>
                    <w:tr2bl w:val="nil"/>
                  </w:tcBorders>
                  <w:vAlign w:val="center"/>
                </w:tcPr>
                <w:p w14:paraId="55F2D262">
                  <w:pPr>
                    <w:adjustRightInd w:val="0"/>
                    <w:snapToGrid w:val="0"/>
                    <w:jc w:val="center"/>
                    <w:rPr>
                      <w:color w:val="auto"/>
                      <w:kern w:val="0"/>
                      <w:sz w:val="18"/>
                      <w:szCs w:val="18"/>
                      <w:highlight w:val="none"/>
                    </w:rPr>
                  </w:pPr>
                  <w:r>
                    <w:rPr>
                      <w:rFonts w:hint="eastAsia"/>
                      <w:color w:val="auto"/>
                      <w:kern w:val="0"/>
                      <w:sz w:val="18"/>
                      <w:szCs w:val="18"/>
                      <w:highlight w:val="none"/>
                    </w:rPr>
                    <w:t>保护对象</w:t>
                  </w:r>
                </w:p>
              </w:tc>
              <w:tc>
                <w:tcPr>
                  <w:tcW w:w="993" w:type="dxa"/>
                  <w:vMerge w:val="restart"/>
                  <w:tcBorders>
                    <w:tl2br w:val="nil"/>
                    <w:tr2bl w:val="nil"/>
                  </w:tcBorders>
                  <w:vAlign w:val="center"/>
                </w:tcPr>
                <w:p w14:paraId="1E267AA8">
                  <w:pPr>
                    <w:adjustRightInd w:val="0"/>
                    <w:snapToGrid w:val="0"/>
                    <w:jc w:val="center"/>
                    <w:rPr>
                      <w:color w:val="auto"/>
                      <w:kern w:val="0"/>
                      <w:sz w:val="18"/>
                      <w:szCs w:val="18"/>
                      <w:highlight w:val="none"/>
                    </w:rPr>
                  </w:pPr>
                  <w:r>
                    <w:rPr>
                      <w:rFonts w:hint="eastAsia"/>
                      <w:color w:val="auto"/>
                      <w:kern w:val="0"/>
                      <w:sz w:val="18"/>
                      <w:szCs w:val="18"/>
                      <w:highlight w:val="none"/>
                    </w:rPr>
                    <w:t>保护内容</w:t>
                  </w:r>
                </w:p>
              </w:tc>
              <w:tc>
                <w:tcPr>
                  <w:tcW w:w="829" w:type="dxa"/>
                  <w:vMerge w:val="restart"/>
                  <w:tcBorders>
                    <w:tl2br w:val="nil"/>
                    <w:tr2bl w:val="nil"/>
                  </w:tcBorders>
                  <w:vAlign w:val="center"/>
                </w:tcPr>
                <w:p w14:paraId="7A9D648F">
                  <w:pPr>
                    <w:adjustRightInd w:val="0"/>
                    <w:snapToGrid w:val="0"/>
                    <w:jc w:val="center"/>
                    <w:rPr>
                      <w:color w:val="auto"/>
                      <w:kern w:val="0"/>
                      <w:sz w:val="18"/>
                      <w:szCs w:val="18"/>
                      <w:highlight w:val="none"/>
                    </w:rPr>
                  </w:pPr>
                  <w:r>
                    <w:rPr>
                      <w:rFonts w:hint="eastAsia"/>
                      <w:color w:val="auto"/>
                      <w:kern w:val="0"/>
                      <w:sz w:val="18"/>
                      <w:szCs w:val="18"/>
                      <w:highlight w:val="none"/>
                    </w:rPr>
                    <w:t>环境功能区</w:t>
                  </w:r>
                </w:p>
              </w:tc>
              <w:tc>
                <w:tcPr>
                  <w:tcW w:w="1079" w:type="dxa"/>
                  <w:vMerge w:val="restart"/>
                  <w:tcBorders>
                    <w:tl2br w:val="nil"/>
                    <w:tr2bl w:val="nil"/>
                  </w:tcBorders>
                  <w:vAlign w:val="center"/>
                </w:tcPr>
                <w:p w14:paraId="412660B9">
                  <w:pPr>
                    <w:adjustRightInd w:val="0"/>
                    <w:snapToGrid w:val="0"/>
                    <w:jc w:val="center"/>
                    <w:rPr>
                      <w:color w:val="auto"/>
                      <w:kern w:val="0"/>
                      <w:sz w:val="18"/>
                      <w:szCs w:val="18"/>
                      <w:highlight w:val="none"/>
                    </w:rPr>
                  </w:pPr>
                  <w:r>
                    <w:rPr>
                      <w:rFonts w:hint="eastAsia"/>
                      <w:color w:val="auto"/>
                      <w:kern w:val="0"/>
                      <w:sz w:val="18"/>
                      <w:szCs w:val="18"/>
                      <w:highlight w:val="none"/>
                    </w:rPr>
                    <w:t>相对厂址方位</w:t>
                  </w:r>
                </w:p>
              </w:tc>
              <w:tc>
                <w:tcPr>
                  <w:tcW w:w="1017" w:type="dxa"/>
                  <w:vMerge w:val="restart"/>
                  <w:tcBorders>
                    <w:tl2br w:val="nil"/>
                    <w:tr2bl w:val="nil"/>
                  </w:tcBorders>
                  <w:vAlign w:val="center"/>
                </w:tcPr>
                <w:p w14:paraId="30883F0F">
                  <w:pPr>
                    <w:adjustRightInd w:val="0"/>
                    <w:snapToGrid w:val="0"/>
                    <w:jc w:val="center"/>
                    <w:rPr>
                      <w:color w:val="auto"/>
                      <w:kern w:val="0"/>
                      <w:sz w:val="18"/>
                      <w:szCs w:val="18"/>
                      <w:highlight w:val="none"/>
                    </w:rPr>
                  </w:pPr>
                  <w:r>
                    <w:rPr>
                      <w:rFonts w:hint="eastAsia"/>
                      <w:color w:val="auto"/>
                      <w:kern w:val="0"/>
                      <w:sz w:val="18"/>
                      <w:szCs w:val="18"/>
                      <w:highlight w:val="none"/>
                    </w:rPr>
                    <w:t>相对厂界距离/m</w:t>
                  </w:r>
                </w:p>
              </w:tc>
            </w:tr>
            <w:tr w14:paraId="641BAB2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08" w:hRule="atLeast"/>
              </w:trPr>
              <w:tc>
                <w:tcPr>
                  <w:tcW w:w="1071" w:type="dxa"/>
                  <w:vMerge w:val="continue"/>
                  <w:tcBorders>
                    <w:tl2br w:val="nil"/>
                    <w:tr2bl w:val="nil"/>
                  </w:tcBorders>
                  <w:vAlign w:val="center"/>
                </w:tcPr>
                <w:p w14:paraId="50412938">
                  <w:pPr>
                    <w:adjustRightInd w:val="0"/>
                    <w:snapToGrid w:val="0"/>
                    <w:jc w:val="center"/>
                    <w:rPr>
                      <w:color w:val="auto"/>
                      <w:kern w:val="0"/>
                      <w:sz w:val="18"/>
                      <w:szCs w:val="18"/>
                      <w:highlight w:val="none"/>
                    </w:rPr>
                  </w:pPr>
                </w:p>
              </w:tc>
              <w:tc>
                <w:tcPr>
                  <w:tcW w:w="1006" w:type="dxa"/>
                  <w:tcBorders>
                    <w:tl2br w:val="nil"/>
                    <w:tr2bl w:val="nil"/>
                  </w:tcBorders>
                  <w:vAlign w:val="center"/>
                </w:tcPr>
                <w:p w14:paraId="0694CB43">
                  <w:pPr>
                    <w:adjustRightInd w:val="0"/>
                    <w:snapToGrid w:val="0"/>
                    <w:jc w:val="center"/>
                    <w:rPr>
                      <w:color w:val="auto"/>
                      <w:kern w:val="0"/>
                      <w:sz w:val="18"/>
                      <w:szCs w:val="18"/>
                      <w:highlight w:val="none"/>
                    </w:rPr>
                  </w:pPr>
                  <w:r>
                    <w:rPr>
                      <w:rFonts w:hint="eastAsia"/>
                      <w:color w:val="auto"/>
                      <w:kern w:val="0"/>
                      <w:sz w:val="18"/>
                      <w:szCs w:val="18"/>
                      <w:highlight w:val="none"/>
                    </w:rPr>
                    <w:t>经度</w:t>
                  </w:r>
                </w:p>
              </w:tc>
              <w:tc>
                <w:tcPr>
                  <w:tcW w:w="1160" w:type="dxa"/>
                  <w:tcBorders>
                    <w:tl2br w:val="nil"/>
                    <w:tr2bl w:val="nil"/>
                  </w:tcBorders>
                  <w:vAlign w:val="center"/>
                </w:tcPr>
                <w:p w14:paraId="3AFB0A34">
                  <w:pPr>
                    <w:adjustRightInd w:val="0"/>
                    <w:snapToGrid w:val="0"/>
                    <w:jc w:val="center"/>
                    <w:rPr>
                      <w:color w:val="auto"/>
                      <w:kern w:val="0"/>
                      <w:sz w:val="18"/>
                      <w:szCs w:val="18"/>
                      <w:highlight w:val="none"/>
                    </w:rPr>
                  </w:pPr>
                  <w:r>
                    <w:rPr>
                      <w:rFonts w:hint="eastAsia"/>
                      <w:color w:val="auto"/>
                      <w:kern w:val="0"/>
                      <w:sz w:val="18"/>
                      <w:szCs w:val="18"/>
                      <w:highlight w:val="none"/>
                    </w:rPr>
                    <w:t>纬度</w:t>
                  </w:r>
                </w:p>
              </w:tc>
              <w:tc>
                <w:tcPr>
                  <w:tcW w:w="980" w:type="dxa"/>
                  <w:vMerge w:val="continue"/>
                  <w:tcBorders>
                    <w:tl2br w:val="nil"/>
                    <w:tr2bl w:val="nil"/>
                  </w:tcBorders>
                  <w:vAlign w:val="center"/>
                </w:tcPr>
                <w:p w14:paraId="6E0A9E4D">
                  <w:pPr>
                    <w:adjustRightInd w:val="0"/>
                    <w:snapToGrid w:val="0"/>
                    <w:jc w:val="center"/>
                    <w:rPr>
                      <w:color w:val="auto"/>
                      <w:kern w:val="0"/>
                      <w:sz w:val="18"/>
                      <w:szCs w:val="18"/>
                      <w:highlight w:val="none"/>
                    </w:rPr>
                  </w:pPr>
                </w:p>
              </w:tc>
              <w:tc>
                <w:tcPr>
                  <w:tcW w:w="993" w:type="dxa"/>
                  <w:vMerge w:val="continue"/>
                  <w:tcBorders>
                    <w:tl2br w:val="nil"/>
                    <w:tr2bl w:val="nil"/>
                  </w:tcBorders>
                  <w:vAlign w:val="center"/>
                </w:tcPr>
                <w:p w14:paraId="2EEE3A33">
                  <w:pPr>
                    <w:adjustRightInd w:val="0"/>
                    <w:snapToGrid w:val="0"/>
                    <w:jc w:val="center"/>
                    <w:rPr>
                      <w:color w:val="auto"/>
                      <w:kern w:val="0"/>
                      <w:sz w:val="18"/>
                      <w:szCs w:val="18"/>
                      <w:highlight w:val="none"/>
                    </w:rPr>
                  </w:pPr>
                </w:p>
              </w:tc>
              <w:tc>
                <w:tcPr>
                  <w:tcW w:w="829" w:type="dxa"/>
                  <w:vMerge w:val="continue"/>
                  <w:tcBorders>
                    <w:tl2br w:val="nil"/>
                    <w:tr2bl w:val="nil"/>
                  </w:tcBorders>
                  <w:vAlign w:val="center"/>
                </w:tcPr>
                <w:p w14:paraId="78CC7678">
                  <w:pPr>
                    <w:adjustRightInd w:val="0"/>
                    <w:snapToGrid w:val="0"/>
                    <w:jc w:val="center"/>
                    <w:rPr>
                      <w:color w:val="auto"/>
                      <w:kern w:val="0"/>
                      <w:sz w:val="18"/>
                      <w:szCs w:val="18"/>
                      <w:highlight w:val="none"/>
                    </w:rPr>
                  </w:pPr>
                </w:p>
              </w:tc>
              <w:tc>
                <w:tcPr>
                  <w:tcW w:w="1079" w:type="dxa"/>
                  <w:vMerge w:val="continue"/>
                  <w:tcBorders>
                    <w:tl2br w:val="nil"/>
                    <w:tr2bl w:val="nil"/>
                  </w:tcBorders>
                  <w:vAlign w:val="center"/>
                </w:tcPr>
                <w:p w14:paraId="493E52D9">
                  <w:pPr>
                    <w:adjustRightInd w:val="0"/>
                    <w:snapToGrid w:val="0"/>
                    <w:jc w:val="center"/>
                    <w:rPr>
                      <w:color w:val="auto"/>
                      <w:kern w:val="0"/>
                      <w:sz w:val="18"/>
                      <w:szCs w:val="18"/>
                      <w:highlight w:val="none"/>
                    </w:rPr>
                  </w:pPr>
                </w:p>
              </w:tc>
              <w:tc>
                <w:tcPr>
                  <w:tcW w:w="1017" w:type="dxa"/>
                  <w:vMerge w:val="continue"/>
                  <w:tcBorders>
                    <w:tl2br w:val="nil"/>
                    <w:tr2bl w:val="nil"/>
                  </w:tcBorders>
                  <w:vAlign w:val="center"/>
                </w:tcPr>
                <w:p w14:paraId="084D0E82">
                  <w:pPr>
                    <w:adjustRightInd w:val="0"/>
                    <w:snapToGrid w:val="0"/>
                    <w:jc w:val="center"/>
                    <w:rPr>
                      <w:color w:val="auto"/>
                      <w:kern w:val="0"/>
                      <w:sz w:val="18"/>
                      <w:szCs w:val="18"/>
                      <w:highlight w:val="none"/>
                    </w:rPr>
                  </w:pPr>
                </w:p>
              </w:tc>
            </w:tr>
            <w:tr w14:paraId="4CE0419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21" w:hRule="atLeast"/>
              </w:trPr>
              <w:tc>
                <w:tcPr>
                  <w:tcW w:w="1071" w:type="dxa"/>
                  <w:tcBorders>
                    <w:tl2br w:val="nil"/>
                    <w:tr2bl w:val="nil"/>
                  </w:tcBorders>
                  <w:vAlign w:val="center"/>
                </w:tcPr>
                <w:p w14:paraId="1D295F9F">
                  <w:pPr>
                    <w:adjustRightInd w:val="0"/>
                    <w:snapToGrid w:val="0"/>
                    <w:rPr>
                      <w:color w:val="auto"/>
                      <w:kern w:val="0"/>
                      <w:sz w:val="18"/>
                      <w:szCs w:val="18"/>
                      <w:highlight w:val="none"/>
                    </w:rPr>
                  </w:pPr>
                  <w:r>
                    <w:rPr>
                      <w:rFonts w:hint="eastAsia"/>
                      <w:color w:val="auto"/>
                      <w:kern w:val="0"/>
                      <w:sz w:val="18"/>
                      <w:szCs w:val="18"/>
                      <w:highlight w:val="none"/>
                    </w:rPr>
                    <w:t>义安四队</w:t>
                  </w:r>
                </w:p>
              </w:tc>
              <w:tc>
                <w:tcPr>
                  <w:tcW w:w="1006" w:type="dxa"/>
                  <w:tcBorders>
                    <w:tl2br w:val="nil"/>
                    <w:tr2bl w:val="nil"/>
                  </w:tcBorders>
                  <w:vAlign w:val="center"/>
                </w:tcPr>
                <w:p w14:paraId="60600C9E">
                  <w:pPr>
                    <w:adjustRightInd w:val="0"/>
                    <w:snapToGrid w:val="0"/>
                    <w:jc w:val="center"/>
                    <w:rPr>
                      <w:color w:val="auto"/>
                      <w:kern w:val="0"/>
                      <w:sz w:val="18"/>
                      <w:szCs w:val="18"/>
                      <w:highlight w:val="none"/>
                    </w:rPr>
                  </w:pPr>
                  <w:r>
                    <w:rPr>
                      <w:rFonts w:hint="eastAsia"/>
                      <w:color w:val="auto"/>
                      <w:kern w:val="0"/>
                      <w:sz w:val="18"/>
                      <w:szCs w:val="18"/>
                      <w:highlight w:val="none"/>
                    </w:rPr>
                    <w:t>130.87091625</w:t>
                  </w:r>
                </w:p>
              </w:tc>
              <w:tc>
                <w:tcPr>
                  <w:tcW w:w="1160" w:type="dxa"/>
                  <w:tcBorders>
                    <w:tl2br w:val="nil"/>
                    <w:tr2bl w:val="nil"/>
                  </w:tcBorders>
                  <w:vAlign w:val="center"/>
                </w:tcPr>
                <w:p w14:paraId="3F81DF03">
                  <w:pPr>
                    <w:adjustRightInd w:val="0"/>
                    <w:snapToGrid w:val="0"/>
                    <w:jc w:val="center"/>
                    <w:rPr>
                      <w:color w:val="auto"/>
                      <w:kern w:val="0"/>
                      <w:sz w:val="18"/>
                      <w:szCs w:val="18"/>
                      <w:highlight w:val="none"/>
                    </w:rPr>
                  </w:pPr>
                  <w:r>
                    <w:rPr>
                      <w:rFonts w:hint="eastAsia"/>
                      <w:color w:val="auto"/>
                      <w:kern w:val="0"/>
                      <w:sz w:val="18"/>
                      <w:szCs w:val="18"/>
                      <w:highlight w:val="none"/>
                    </w:rPr>
                    <w:t>45.16954634</w:t>
                  </w:r>
                </w:p>
              </w:tc>
              <w:tc>
                <w:tcPr>
                  <w:tcW w:w="980" w:type="dxa"/>
                  <w:tcBorders>
                    <w:tl2br w:val="nil"/>
                    <w:tr2bl w:val="nil"/>
                  </w:tcBorders>
                  <w:vAlign w:val="center"/>
                </w:tcPr>
                <w:p w14:paraId="6D7BF2F3">
                  <w:pPr>
                    <w:adjustRightInd w:val="0"/>
                    <w:snapToGrid w:val="0"/>
                    <w:jc w:val="center"/>
                    <w:rPr>
                      <w:color w:val="auto"/>
                      <w:kern w:val="0"/>
                      <w:sz w:val="18"/>
                      <w:szCs w:val="18"/>
                      <w:highlight w:val="none"/>
                    </w:rPr>
                  </w:pPr>
                  <w:r>
                    <w:rPr>
                      <w:rFonts w:hint="eastAsia"/>
                      <w:color w:val="auto"/>
                      <w:kern w:val="0"/>
                      <w:sz w:val="18"/>
                      <w:szCs w:val="18"/>
                      <w:highlight w:val="none"/>
                    </w:rPr>
                    <w:t>居民</w:t>
                  </w:r>
                </w:p>
              </w:tc>
              <w:tc>
                <w:tcPr>
                  <w:tcW w:w="993" w:type="dxa"/>
                  <w:tcBorders>
                    <w:tl2br w:val="nil"/>
                    <w:tr2bl w:val="nil"/>
                  </w:tcBorders>
                  <w:vAlign w:val="center"/>
                </w:tcPr>
                <w:p w14:paraId="00B8905A">
                  <w:pPr>
                    <w:adjustRightInd w:val="0"/>
                    <w:snapToGrid w:val="0"/>
                    <w:jc w:val="center"/>
                    <w:rPr>
                      <w:color w:val="auto"/>
                      <w:kern w:val="0"/>
                      <w:sz w:val="18"/>
                      <w:szCs w:val="18"/>
                      <w:highlight w:val="none"/>
                    </w:rPr>
                  </w:pPr>
                  <w:r>
                    <w:rPr>
                      <w:rFonts w:hint="eastAsia"/>
                      <w:color w:val="auto"/>
                      <w:kern w:val="0"/>
                      <w:sz w:val="18"/>
                      <w:szCs w:val="18"/>
                      <w:highlight w:val="none"/>
                    </w:rPr>
                    <w:t>居住区</w:t>
                  </w:r>
                </w:p>
              </w:tc>
              <w:tc>
                <w:tcPr>
                  <w:tcW w:w="829" w:type="dxa"/>
                  <w:tcBorders>
                    <w:tl2br w:val="nil"/>
                    <w:tr2bl w:val="nil"/>
                  </w:tcBorders>
                  <w:vAlign w:val="center"/>
                </w:tcPr>
                <w:p w14:paraId="0C7660D8">
                  <w:pPr>
                    <w:adjustRightInd w:val="0"/>
                    <w:snapToGrid w:val="0"/>
                    <w:jc w:val="center"/>
                    <w:rPr>
                      <w:color w:val="auto"/>
                      <w:kern w:val="0"/>
                      <w:sz w:val="18"/>
                      <w:szCs w:val="18"/>
                      <w:highlight w:val="none"/>
                    </w:rPr>
                  </w:pPr>
                  <w:r>
                    <w:rPr>
                      <w:rFonts w:hint="eastAsia"/>
                      <w:color w:val="auto"/>
                      <w:kern w:val="0"/>
                      <w:sz w:val="18"/>
                      <w:szCs w:val="18"/>
                      <w:highlight w:val="none"/>
                    </w:rPr>
                    <w:t>二类</w:t>
                  </w:r>
                </w:p>
              </w:tc>
              <w:tc>
                <w:tcPr>
                  <w:tcW w:w="1079" w:type="dxa"/>
                  <w:tcBorders>
                    <w:tl2br w:val="nil"/>
                    <w:tr2bl w:val="nil"/>
                  </w:tcBorders>
                  <w:vAlign w:val="center"/>
                </w:tcPr>
                <w:p w14:paraId="305DC553">
                  <w:pPr>
                    <w:adjustRightInd w:val="0"/>
                    <w:snapToGrid w:val="0"/>
                    <w:jc w:val="center"/>
                    <w:rPr>
                      <w:color w:val="auto"/>
                      <w:kern w:val="0"/>
                      <w:sz w:val="18"/>
                      <w:szCs w:val="18"/>
                      <w:highlight w:val="none"/>
                    </w:rPr>
                  </w:pPr>
                  <w:r>
                    <w:rPr>
                      <w:rFonts w:hint="eastAsia"/>
                      <w:color w:val="auto"/>
                      <w:kern w:val="0"/>
                      <w:sz w:val="18"/>
                      <w:szCs w:val="18"/>
                      <w:highlight w:val="none"/>
                    </w:rPr>
                    <w:t>NW</w:t>
                  </w:r>
                </w:p>
              </w:tc>
              <w:tc>
                <w:tcPr>
                  <w:tcW w:w="1017" w:type="dxa"/>
                  <w:tcBorders>
                    <w:tl2br w:val="nil"/>
                    <w:tr2bl w:val="nil"/>
                  </w:tcBorders>
                  <w:vAlign w:val="center"/>
                </w:tcPr>
                <w:p w14:paraId="08F4D7DF">
                  <w:pPr>
                    <w:adjustRightInd w:val="0"/>
                    <w:snapToGrid w:val="0"/>
                    <w:jc w:val="center"/>
                    <w:rPr>
                      <w:color w:val="auto"/>
                      <w:kern w:val="0"/>
                      <w:sz w:val="18"/>
                      <w:szCs w:val="18"/>
                      <w:highlight w:val="none"/>
                    </w:rPr>
                  </w:pPr>
                  <w:r>
                    <w:rPr>
                      <w:rFonts w:hint="eastAsia"/>
                      <w:color w:val="auto"/>
                      <w:kern w:val="0"/>
                      <w:sz w:val="18"/>
                      <w:szCs w:val="18"/>
                      <w:highlight w:val="none"/>
                    </w:rPr>
                    <w:t>240</w:t>
                  </w:r>
                </w:p>
              </w:tc>
            </w:tr>
          </w:tbl>
          <w:p w14:paraId="6DF38C21">
            <w:pPr>
              <w:rPr>
                <w:color w:val="auto"/>
                <w:kern w:val="0"/>
                <w:sz w:val="24"/>
                <w:highlight w:val="none"/>
              </w:rPr>
            </w:pPr>
          </w:p>
        </w:tc>
      </w:tr>
      <w:tr w14:paraId="4200D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6" w:hRule="atLeast"/>
          <w:jc w:val="center"/>
        </w:trPr>
        <w:tc>
          <w:tcPr>
            <w:tcW w:w="678" w:type="dxa"/>
            <w:tcMar>
              <w:left w:w="28" w:type="dxa"/>
              <w:right w:w="28" w:type="dxa"/>
            </w:tcMar>
            <w:vAlign w:val="center"/>
          </w:tcPr>
          <w:p w14:paraId="44D460FF">
            <w:pPr>
              <w:adjustRightInd w:val="0"/>
              <w:snapToGrid w:val="0"/>
              <w:jc w:val="center"/>
              <w:rPr>
                <w:color w:val="auto"/>
                <w:kern w:val="0"/>
                <w:sz w:val="24"/>
                <w:highlight w:val="none"/>
              </w:rPr>
            </w:pPr>
            <w:r>
              <w:rPr>
                <w:color w:val="auto"/>
                <w:kern w:val="0"/>
                <w:sz w:val="24"/>
                <w:highlight w:val="none"/>
              </w:rPr>
              <w:t>污染</w:t>
            </w:r>
          </w:p>
          <w:p w14:paraId="57AE1A9F">
            <w:pPr>
              <w:adjustRightInd w:val="0"/>
              <w:snapToGrid w:val="0"/>
              <w:jc w:val="center"/>
              <w:rPr>
                <w:color w:val="auto"/>
                <w:kern w:val="0"/>
                <w:sz w:val="24"/>
                <w:highlight w:val="none"/>
              </w:rPr>
            </w:pPr>
            <w:r>
              <w:rPr>
                <w:color w:val="auto"/>
                <w:kern w:val="0"/>
                <w:sz w:val="24"/>
                <w:highlight w:val="none"/>
              </w:rPr>
              <w:t>物排</w:t>
            </w:r>
          </w:p>
          <w:p w14:paraId="6BC202AA">
            <w:pPr>
              <w:adjustRightInd w:val="0"/>
              <w:snapToGrid w:val="0"/>
              <w:jc w:val="center"/>
              <w:rPr>
                <w:color w:val="auto"/>
                <w:kern w:val="0"/>
                <w:sz w:val="24"/>
                <w:highlight w:val="none"/>
              </w:rPr>
            </w:pPr>
            <w:r>
              <w:rPr>
                <w:color w:val="auto"/>
                <w:kern w:val="0"/>
                <w:sz w:val="24"/>
                <w:highlight w:val="none"/>
              </w:rPr>
              <w:t>放控</w:t>
            </w:r>
          </w:p>
          <w:p w14:paraId="75484298">
            <w:pPr>
              <w:adjustRightInd w:val="0"/>
              <w:snapToGrid w:val="0"/>
              <w:jc w:val="center"/>
              <w:rPr>
                <w:color w:val="auto"/>
                <w:kern w:val="0"/>
                <w:sz w:val="24"/>
                <w:highlight w:val="none"/>
              </w:rPr>
            </w:pPr>
            <w:r>
              <w:rPr>
                <w:color w:val="auto"/>
                <w:kern w:val="0"/>
                <w:sz w:val="24"/>
                <w:highlight w:val="none"/>
              </w:rPr>
              <w:t>制标</w:t>
            </w:r>
          </w:p>
          <w:p w14:paraId="1991AD70">
            <w:pPr>
              <w:adjustRightInd w:val="0"/>
              <w:snapToGrid w:val="0"/>
              <w:jc w:val="center"/>
              <w:rPr>
                <w:color w:val="auto"/>
                <w:kern w:val="0"/>
                <w:sz w:val="24"/>
                <w:highlight w:val="none"/>
              </w:rPr>
            </w:pPr>
            <w:r>
              <w:rPr>
                <w:color w:val="auto"/>
                <w:kern w:val="0"/>
                <w:sz w:val="24"/>
                <w:highlight w:val="none"/>
              </w:rPr>
              <w:t>准</w:t>
            </w:r>
          </w:p>
        </w:tc>
        <w:tc>
          <w:tcPr>
            <w:tcW w:w="8283" w:type="dxa"/>
            <w:vAlign w:val="center"/>
          </w:tcPr>
          <w:p w14:paraId="66DB87FB">
            <w:pPr>
              <w:adjustRightInd w:val="0"/>
              <w:snapToGrid w:val="0"/>
              <w:spacing w:line="360" w:lineRule="auto"/>
              <w:ind w:firstLine="422" w:firstLineChars="200"/>
              <w:rPr>
                <w:b/>
                <w:bCs/>
                <w:color w:val="auto"/>
                <w:kern w:val="0"/>
                <w:szCs w:val="21"/>
                <w:highlight w:val="none"/>
              </w:rPr>
            </w:pPr>
            <w:r>
              <w:rPr>
                <w:rFonts w:hint="eastAsia"/>
                <w:b/>
                <w:bCs/>
                <w:color w:val="auto"/>
                <w:kern w:val="0"/>
                <w:szCs w:val="21"/>
                <w:highlight w:val="none"/>
              </w:rPr>
              <w:t>1、废气</w:t>
            </w:r>
          </w:p>
          <w:p w14:paraId="1E6D509E">
            <w:pPr>
              <w:wordWrap w:val="0"/>
              <w:spacing w:line="360" w:lineRule="auto"/>
              <w:ind w:firstLine="420" w:firstLineChars="200"/>
              <w:rPr>
                <w:bCs/>
                <w:color w:val="auto"/>
                <w:szCs w:val="21"/>
                <w:highlight w:val="none"/>
              </w:rPr>
            </w:pPr>
            <w:r>
              <w:rPr>
                <w:rFonts w:hint="eastAsia"/>
                <w:bCs/>
                <w:color w:val="auto"/>
                <w:szCs w:val="21"/>
                <w:highlight w:val="none"/>
              </w:rPr>
              <w:t>（1）施工期：本项目施工期无组织颗粒物执行《大气污染物综合排放标准》（GB16297-1996）表2中无组织排放监控浓度限值要求。</w:t>
            </w:r>
          </w:p>
          <w:p w14:paraId="2C08F021">
            <w:pPr>
              <w:adjustRightInd w:val="0"/>
              <w:snapToGrid w:val="0"/>
              <w:spacing w:line="400" w:lineRule="exact"/>
              <w:jc w:val="center"/>
              <w:rPr>
                <w:b/>
                <w:bCs/>
                <w:color w:val="auto"/>
                <w:szCs w:val="21"/>
                <w:highlight w:val="none"/>
              </w:rPr>
            </w:pPr>
            <w:r>
              <w:rPr>
                <w:b/>
                <w:bCs/>
                <w:color w:val="auto"/>
                <w:szCs w:val="21"/>
                <w:highlight w:val="none"/>
              </w:rPr>
              <w:t>表3-</w:t>
            </w:r>
            <w:r>
              <w:rPr>
                <w:rFonts w:hint="eastAsia"/>
                <w:b/>
                <w:bCs/>
                <w:color w:val="auto"/>
                <w:szCs w:val="21"/>
                <w:highlight w:val="none"/>
              </w:rPr>
              <w:t>7大气污染物综合</w:t>
            </w:r>
            <w:r>
              <w:rPr>
                <w:b/>
                <w:bCs/>
                <w:color w:val="auto"/>
                <w:szCs w:val="21"/>
                <w:highlight w:val="none"/>
              </w:rPr>
              <w:t>排放标准</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9"/>
              <w:gridCol w:w="3906"/>
            </w:tblGrid>
            <w:tr w14:paraId="02F07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598" w:type="pct"/>
                  <w:vAlign w:val="center"/>
                </w:tcPr>
                <w:p w14:paraId="21388480">
                  <w:pPr>
                    <w:jc w:val="center"/>
                    <w:rPr>
                      <w:b/>
                      <w:bCs/>
                      <w:color w:val="auto"/>
                      <w:sz w:val="18"/>
                      <w:szCs w:val="18"/>
                      <w:highlight w:val="none"/>
                    </w:rPr>
                  </w:pPr>
                  <w:r>
                    <w:rPr>
                      <w:rFonts w:hint="eastAsia"/>
                      <w:color w:val="auto"/>
                      <w:sz w:val="18"/>
                      <w:szCs w:val="18"/>
                      <w:highlight w:val="none"/>
                    </w:rPr>
                    <w:t>二级</w:t>
                  </w:r>
                </w:p>
              </w:tc>
              <w:tc>
                <w:tcPr>
                  <w:tcW w:w="2401" w:type="pct"/>
                  <w:vMerge w:val="restart"/>
                  <w:vAlign w:val="center"/>
                </w:tcPr>
                <w:p w14:paraId="7C19F278">
                  <w:pPr>
                    <w:jc w:val="center"/>
                    <w:rPr>
                      <w:b/>
                      <w:bCs/>
                      <w:color w:val="auto"/>
                      <w:sz w:val="18"/>
                      <w:szCs w:val="18"/>
                      <w:highlight w:val="none"/>
                    </w:rPr>
                  </w:pPr>
                  <w:r>
                    <w:rPr>
                      <w:color w:val="auto"/>
                      <w:sz w:val="18"/>
                      <w:szCs w:val="18"/>
                      <w:highlight w:val="none"/>
                    </w:rPr>
                    <w:t>无组织排放监控浓度限值（mg/m</w:t>
                  </w:r>
                  <w:r>
                    <w:rPr>
                      <w:color w:val="auto"/>
                      <w:sz w:val="18"/>
                      <w:szCs w:val="18"/>
                      <w:highlight w:val="none"/>
                      <w:vertAlign w:val="superscript"/>
                    </w:rPr>
                    <w:t>3</w:t>
                  </w:r>
                  <w:r>
                    <w:rPr>
                      <w:color w:val="auto"/>
                      <w:sz w:val="18"/>
                      <w:szCs w:val="18"/>
                      <w:highlight w:val="none"/>
                    </w:rPr>
                    <w:t>）</w:t>
                  </w:r>
                </w:p>
              </w:tc>
            </w:tr>
            <w:tr w14:paraId="1BBB1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98" w:type="pct"/>
                  <w:tcBorders>
                    <w:tl2br w:val="single" w:color="auto" w:sz="4" w:space="0"/>
                  </w:tcBorders>
                  <w:vAlign w:val="center"/>
                </w:tcPr>
                <w:p w14:paraId="51D89D3F">
                  <w:pPr>
                    <w:jc w:val="right"/>
                    <w:rPr>
                      <w:color w:val="auto"/>
                      <w:sz w:val="18"/>
                      <w:szCs w:val="18"/>
                      <w:highlight w:val="none"/>
                    </w:rPr>
                  </w:pPr>
                  <w:r>
                    <w:rPr>
                      <w:rFonts w:hint="eastAsia"/>
                      <w:color w:val="auto"/>
                      <w:sz w:val="18"/>
                      <w:szCs w:val="18"/>
                      <w:highlight w:val="none"/>
                    </w:rPr>
                    <w:t>指标</w:t>
                  </w:r>
                </w:p>
                <w:p w14:paraId="142ED2D6">
                  <w:pPr>
                    <w:rPr>
                      <w:color w:val="auto"/>
                      <w:sz w:val="18"/>
                      <w:szCs w:val="18"/>
                      <w:highlight w:val="none"/>
                    </w:rPr>
                  </w:pPr>
                  <w:r>
                    <w:rPr>
                      <w:rFonts w:hint="eastAsia"/>
                      <w:color w:val="auto"/>
                      <w:sz w:val="18"/>
                      <w:szCs w:val="18"/>
                      <w:highlight w:val="none"/>
                    </w:rPr>
                    <w:t>污染物</w:t>
                  </w:r>
                </w:p>
              </w:tc>
              <w:tc>
                <w:tcPr>
                  <w:tcW w:w="2401" w:type="pct"/>
                  <w:vMerge w:val="continue"/>
                  <w:vAlign w:val="center"/>
                </w:tcPr>
                <w:p w14:paraId="04408014">
                  <w:pPr>
                    <w:jc w:val="center"/>
                    <w:rPr>
                      <w:color w:val="auto"/>
                      <w:sz w:val="18"/>
                      <w:szCs w:val="18"/>
                      <w:highlight w:val="none"/>
                    </w:rPr>
                  </w:pPr>
                </w:p>
              </w:tc>
            </w:tr>
            <w:tr w14:paraId="77C28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598" w:type="pct"/>
                  <w:vAlign w:val="center"/>
                </w:tcPr>
                <w:p w14:paraId="52EA700D">
                  <w:pPr>
                    <w:jc w:val="center"/>
                    <w:rPr>
                      <w:color w:val="auto"/>
                      <w:sz w:val="18"/>
                      <w:szCs w:val="18"/>
                      <w:highlight w:val="none"/>
                    </w:rPr>
                  </w:pPr>
                  <w:r>
                    <w:rPr>
                      <w:color w:val="auto"/>
                      <w:kern w:val="0"/>
                      <w:sz w:val="18"/>
                      <w:szCs w:val="18"/>
                      <w:highlight w:val="none"/>
                    </w:rPr>
                    <w:t>颗粒物</w:t>
                  </w:r>
                </w:p>
              </w:tc>
              <w:tc>
                <w:tcPr>
                  <w:tcW w:w="2401" w:type="pct"/>
                  <w:vAlign w:val="center"/>
                </w:tcPr>
                <w:p w14:paraId="375F88DD">
                  <w:pPr>
                    <w:jc w:val="center"/>
                    <w:rPr>
                      <w:color w:val="auto"/>
                      <w:sz w:val="18"/>
                      <w:szCs w:val="18"/>
                      <w:highlight w:val="none"/>
                    </w:rPr>
                  </w:pPr>
                  <w:r>
                    <w:rPr>
                      <w:color w:val="auto"/>
                      <w:sz w:val="18"/>
                      <w:szCs w:val="18"/>
                      <w:highlight w:val="none"/>
                    </w:rPr>
                    <w:t>1.0</w:t>
                  </w:r>
                </w:p>
              </w:tc>
            </w:tr>
          </w:tbl>
          <w:p w14:paraId="6C366523">
            <w:pPr>
              <w:wordWrap w:val="0"/>
              <w:spacing w:line="360" w:lineRule="auto"/>
              <w:ind w:firstLine="420" w:firstLineChars="200"/>
              <w:rPr>
                <w:color w:val="auto"/>
                <w:szCs w:val="21"/>
                <w:highlight w:val="none"/>
              </w:rPr>
            </w:pPr>
            <w:r>
              <w:rPr>
                <w:rFonts w:hint="eastAsia"/>
                <w:bCs/>
                <w:color w:val="auto"/>
                <w:szCs w:val="21"/>
                <w:highlight w:val="none"/>
              </w:rPr>
              <w:t>（2）运营期：项目无组织扬尘执行《煤炭工业污染物排放标准》（GB20426-2006）表5标准，秸秆粉碎工序废气经DA001排气筒排放，执行《大气污染物综合排放标准》（GB16297-1996）表 2 中污染物排放浓度限值要求，车间无组织挥发性有机物执行</w:t>
            </w:r>
            <w:r>
              <w:rPr>
                <w:bCs/>
                <w:color w:val="auto"/>
                <w:szCs w:val="21"/>
                <w:highlight w:val="none"/>
              </w:rPr>
              <w:t>《挥发性有机物无组织排放控制标准》（GB37822-2019）附录A厂区内VOCs无组织排放限值</w:t>
            </w:r>
            <w:r>
              <w:rPr>
                <w:rFonts w:hint="eastAsia"/>
                <w:bCs/>
                <w:color w:val="auto"/>
                <w:szCs w:val="21"/>
                <w:highlight w:val="none"/>
              </w:rPr>
              <w:t>，厂界非甲烷总烃排放浓度执行《大气污染物综合排放标准》（GB16297-1996）表2中污染物排放浓度限值要求</w:t>
            </w:r>
            <w:r>
              <w:rPr>
                <w:bCs/>
                <w:color w:val="auto"/>
                <w:szCs w:val="21"/>
                <w:highlight w:val="none"/>
              </w:rPr>
              <w:t>。</w:t>
            </w:r>
          </w:p>
          <w:p w14:paraId="7C3ABF6B">
            <w:pPr>
              <w:pStyle w:val="59"/>
              <w:spacing w:line="240" w:lineRule="auto"/>
              <w:rPr>
                <w:rFonts w:ascii="Times New Roman"/>
                <w:bCs/>
                <w:color w:val="auto"/>
                <w:kern w:val="2"/>
                <w:sz w:val="21"/>
                <w:szCs w:val="21"/>
                <w:highlight w:val="none"/>
              </w:rPr>
            </w:pPr>
            <w:r>
              <w:rPr>
                <w:rFonts w:ascii="Times New Roman"/>
                <w:bCs/>
                <w:color w:val="auto"/>
                <w:kern w:val="2"/>
                <w:sz w:val="21"/>
                <w:szCs w:val="21"/>
                <w:highlight w:val="none"/>
              </w:rPr>
              <w:t>表3</w:t>
            </w:r>
            <w:r>
              <w:rPr>
                <w:rFonts w:hint="eastAsia" w:ascii="Times New Roman"/>
                <w:bCs/>
                <w:color w:val="auto"/>
                <w:kern w:val="2"/>
                <w:sz w:val="21"/>
                <w:szCs w:val="21"/>
                <w:highlight w:val="none"/>
              </w:rPr>
              <w:t>-8煤炭工业污染物排放标准</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305"/>
              <w:gridCol w:w="2751"/>
              <w:gridCol w:w="2901"/>
            </w:tblGrid>
            <w:tr w14:paraId="63DEB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724" w:type="pct"/>
                  <w:vMerge w:val="restart"/>
                  <w:vAlign w:val="center"/>
                </w:tcPr>
                <w:p w14:paraId="18707591">
                  <w:pPr>
                    <w:pStyle w:val="2"/>
                    <w:adjustRightInd w:val="0"/>
                    <w:spacing w:before="0" w:after="0" w:line="240" w:lineRule="auto"/>
                    <w:ind w:right="0"/>
                    <w:jc w:val="center"/>
                    <w:rPr>
                      <w:color w:val="auto"/>
                      <w:kern w:val="2"/>
                      <w:szCs w:val="18"/>
                      <w:highlight w:val="none"/>
                    </w:rPr>
                  </w:pPr>
                  <w:r>
                    <w:rPr>
                      <w:rFonts w:hint="eastAsia"/>
                      <w:color w:val="auto"/>
                      <w:kern w:val="2"/>
                      <w:szCs w:val="18"/>
                      <w:highlight w:val="none"/>
                    </w:rPr>
                    <w:t>污染物</w:t>
                  </w:r>
                </w:p>
              </w:tc>
              <w:tc>
                <w:tcPr>
                  <w:tcW w:w="802" w:type="pct"/>
                  <w:vMerge w:val="restart"/>
                  <w:vAlign w:val="center"/>
                </w:tcPr>
                <w:p w14:paraId="20FFD2EF">
                  <w:pPr>
                    <w:adjustRightInd w:val="0"/>
                    <w:snapToGrid w:val="0"/>
                    <w:jc w:val="center"/>
                    <w:rPr>
                      <w:color w:val="auto"/>
                      <w:sz w:val="18"/>
                      <w:szCs w:val="18"/>
                      <w:highlight w:val="none"/>
                    </w:rPr>
                  </w:pPr>
                  <w:r>
                    <w:rPr>
                      <w:rFonts w:hint="eastAsia"/>
                      <w:color w:val="auto"/>
                      <w:sz w:val="18"/>
                      <w:szCs w:val="18"/>
                      <w:highlight w:val="none"/>
                    </w:rPr>
                    <w:t>监控点</w:t>
                  </w:r>
                </w:p>
              </w:tc>
              <w:tc>
                <w:tcPr>
                  <w:tcW w:w="3472" w:type="pct"/>
                  <w:gridSpan w:val="2"/>
                  <w:vAlign w:val="center"/>
                </w:tcPr>
                <w:p w14:paraId="7743BBC9">
                  <w:pPr>
                    <w:adjustRightInd w:val="0"/>
                    <w:snapToGrid w:val="0"/>
                    <w:jc w:val="center"/>
                    <w:rPr>
                      <w:color w:val="auto"/>
                      <w:sz w:val="18"/>
                      <w:szCs w:val="18"/>
                      <w:highlight w:val="none"/>
                    </w:rPr>
                  </w:pPr>
                  <w:r>
                    <w:rPr>
                      <w:rFonts w:hint="eastAsia"/>
                      <w:color w:val="auto"/>
                      <w:sz w:val="18"/>
                      <w:szCs w:val="18"/>
                      <w:highlight w:val="none"/>
                    </w:rPr>
                    <w:t>作业场所</w:t>
                  </w:r>
                </w:p>
              </w:tc>
            </w:tr>
            <w:tr w14:paraId="0B5CF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724" w:type="pct"/>
                  <w:vMerge w:val="continue"/>
                  <w:vAlign w:val="center"/>
                </w:tcPr>
                <w:p w14:paraId="6BEE25FD">
                  <w:pPr>
                    <w:adjustRightInd w:val="0"/>
                    <w:snapToGrid w:val="0"/>
                    <w:jc w:val="center"/>
                    <w:rPr>
                      <w:color w:val="auto"/>
                      <w:sz w:val="18"/>
                      <w:szCs w:val="18"/>
                      <w:highlight w:val="none"/>
                    </w:rPr>
                  </w:pPr>
                </w:p>
              </w:tc>
              <w:tc>
                <w:tcPr>
                  <w:tcW w:w="802" w:type="pct"/>
                  <w:vMerge w:val="continue"/>
                  <w:vAlign w:val="center"/>
                </w:tcPr>
                <w:p w14:paraId="48895BDF">
                  <w:pPr>
                    <w:adjustRightInd w:val="0"/>
                    <w:snapToGrid w:val="0"/>
                    <w:jc w:val="center"/>
                    <w:rPr>
                      <w:color w:val="auto"/>
                      <w:sz w:val="18"/>
                      <w:szCs w:val="18"/>
                      <w:highlight w:val="none"/>
                    </w:rPr>
                  </w:pPr>
                </w:p>
              </w:tc>
              <w:tc>
                <w:tcPr>
                  <w:tcW w:w="1690" w:type="pct"/>
                  <w:vAlign w:val="center"/>
                </w:tcPr>
                <w:p w14:paraId="1D8238C9">
                  <w:pPr>
                    <w:adjustRightInd w:val="0"/>
                    <w:snapToGrid w:val="0"/>
                    <w:jc w:val="center"/>
                    <w:rPr>
                      <w:color w:val="auto"/>
                      <w:sz w:val="18"/>
                      <w:szCs w:val="18"/>
                      <w:highlight w:val="none"/>
                    </w:rPr>
                  </w:pPr>
                  <w:r>
                    <w:rPr>
                      <w:rFonts w:hint="eastAsia"/>
                      <w:color w:val="auto"/>
                      <w:sz w:val="18"/>
                      <w:szCs w:val="18"/>
                      <w:highlight w:val="none"/>
                    </w:rPr>
                    <w:t>煤炭工业所属装卸场所</w:t>
                  </w:r>
                </w:p>
              </w:tc>
              <w:tc>
                <w:tcPr>
                  <w:tcW w:w="1782" w:type="pct"/>
                  <w:vAlign w:val="center"/>
                </w:tcPr>
                <w:p w14:paraId="36C4B914">
                  <w:pPr>
                    <w:adjustRightInd w:val="0"/>
                    <w:snapToGrid w:val="0"/>
                    <w:jc w:val="center"/>
                    <w:rPr>
                      <w:color w:val="auto"/>
                      <w:sz w:val="18"/>
                      <w:szCs w:val="18"/>
                      <w:highlight w:val="none"/>
                    </w:rPr>
                  </w:pPr>
                  <w:r>
                    <w:rPr>
                      <w:rFonts w:hint="eastAsia"/>
                      <w:color w:val="auto"/>
                      <w:sz w:val="18"/>
                      <w:szCs w:val="18"/>
                      <w:highlight w:val="none"/>
                    </w:rPr>
                    <w:t>煤炭贮存场所、筛上料堆置场</w:t>
                  </w:r>
                </w:p>
              </w:tc>
            </w:tr>
            <w:tr w14:paraId="6B2DDC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24" w:type="pct"/>
                  <w:vMerge w:val="continue"/>
                  <w:vAlign w:val="center"/>
                </w:tcPr>
                <w:p w14:paraId="2CD96E17">
                  <w:pPr>
                    <w:adjustRightInd w:val="0"/>
                    <w:snapToGrid w:val="0"/>
                    <w:jc w:val="center"/>
                    <w:rPr>
                      <w:color w:val="auto"/>
                      <w:sz w:val="18"/>
                      <w:szCs w:val="18"/>
                      <w:highlight w:val="none"/>
                    </w:rPr>
                  </w:pPr>
                </w:p>
              </w:tc>
              <w:tc>
                <w:tcPr>
                  <w:tcW w:w="802" w:type="pct"/>
                  <w:vMerge w:val="continue"/>
                  <w:vAlign w:val="center"/>
                </w:tcPr>
                <w:p w14:paraId="6E548BEE">
                  <w:pPr>
                    <w:adjustRightInd w:val="0"/>
                    <w:snapToGrid w:val="0"/>
                    <w:jc w:val="center"/>
                    <w:rPr>
                      <w:color w:val="auto"/>
                      <w:sz w:val="18"/>
                      <w:szCs w:val="18"/>
                      <w:highlight w:val="none"/>
                    </w:rPr>
                  </w:pPr>
                </w:p>
              </w:tc>
              <w:tc>
                <w:tcPr>
                  <w:tcW w:w="1690" w:type="pct"/>
                  <w:vAlign w:val="center"/>
                </w:tcPr>
                <w:p w14:paraId="3E11937F">
                  <w:pPr>
                    <w:adjustRightInd w:val="0"/>
                    <w:snapToGrid w:val="0"/>
                    <w:jc w:val="center"/>
                    <w:rPr>
                      <w:color w:val="auto"/>
                      <w:sz w:val="18"/>
                      <w:szCs w:val="18"/>
                      <w:highlight w:val="none"/>
                    </w:rPr>
                  </w:pPr>
                  <w:r>
                    <w:rPr>
                      <w:rFonts w:hint="eastAsia"/>
                      <w:color w:val="auto"/>
                      <w:sz w:val="18"/>
                      <w:szCs w:val="18"/>
                      <w:highlight w:val="none"/>
                    </w:rPr>
                    <w:t>无组织排放限值/(mg/Nm</w:t>
                  </w:r>
                  <w:r>
                    <w:rPr>
                      <w:rFonts w:hint="eastAsia"/>
                      <w:color w:val="auto"/>
                      <w:sz w:val="18"/>
                      <w:szCs w:val="18"/>
                      <w:highlight w:val="none"/>
                      <w:vertAlign w:val="superscript"/>
                    </w:rPr>
                    <w:t>3</w:t>
                  </w:r>
                  <w:r>
                    <w:rPr>
                      <w:rFonts w:hint="eastAsia"/>
                      <w:color w:val="auto"/>
                      <w:sz w:val="18"/>
                      <w:szCs w:val="18"/>
                      <w:highlight w:val="none"/>
                    </w:rPr>
                    <w:t>)</w:t>
                  </w:r>
                </w:p>
                <w:p w14:paraId="5899006D">
                  <w:pPr>
                    <w:adjustRightInd w:val="0"/>
                    <w:snapToGrid w:val="0"/>
                    <w:jc w:val="center"/>
                    <w:rPr>
                      <w:color w:val="auto"/>
                      <w:sz w:val="18"/>
                      <w:szCs w:val="18"/>
                      <w:highlight w:val="none"/>
                    </w:rPr>
                  </w:pPr>
                  <w:r>
                    <w:rPr>
                      <w:rFonts w:hint="eastAsia"/>
                      <w:color w:val="auto"/>
                      <w:sz w:val="18"/>
                      <w:szCs w:val="18"/>
                      <w:highlight w:val="none"/>
                    </w:rPr>
                    <w:t>(监控点与参考点浓度差值)</w:t>
                  </w:r>
                </w:p>
              </w:tc>
              <w:tc>
                <w:tcPr>
                  <w:tcW w:w="1782" w:type="pct"/>
                  <w:vAlign w:val="center"/>
                </w:tcPr>
                <w:p w14:paraId="050CA7F9">
                  <w:pPr>
                    <w:adjustRightInd w:val="0"/>
                    <w:snapToGrid w:val="0"/>
                    <w:jc w:val="center"/>
                    <w:rPr>
                      <w:color w:val="auto"/>
                      <w:sz w:val="18"/>
                      <w:szCs w:val="18"/>
                      <w:highlight w:val="none"/>
                    </w:rPr>
                  </w:pPr>
                  <w:r>
                    <w:rPr>
                      <w:rFonts w:hint="eastAsia"/>
                      <w:color w:val="auto"/>
                      <w:sz w:val="18"/>
                      <w:szCs w:val="18"/>
                      <w:highlight w:val="none"/>
                    </w:rPr>
                    <w:t>无组织排放限值/(mg/Nm</w:t>
                  </w:r>
                  <w:r>
                    <w:rPr>
                      <w:rFonts w:hint="eastAsia"/>
                      <w:color w:val="auto"/>
                      <w:sz w:val="18"/>
                      <w:szCs w:val="18"/>
                      <w:highlight w:val="none"/>
                      <w:vertAlign w:val="superscript"/>
                    </w:rPr>
                    <w:t>3</w:t>
                  </w:r>
                  <w:r>
                    <w:rPr>
                      <w:rFonts w:hint="eastAsia"/>
                      <w:color w:val="auto"/>
                      <w:sz w:val="18"/>
                      <w:szCs w:val="18"/>
                      <w:highlight w:val="none"/>
                    </w:rPr>
                    <w:t>)</w:t>
                  </w:r>
                </w:p>
                <w:p w14:paraId="103FBF92">
                  <w:pPr>
                    <w:adjustRightInd w:val="0"/>
                    <w:snapToGrid w:val="0"/>
                    <w:jc w:val="center"/>
                    <w:rPr>
                      <w:color w:val="auto"/>
                      <w:sz w:val="18"/>
                      <w:szCs w:val="18"/>
                      <w:highlight w:val="none"/>
                    </w:rPr>
                  </w:pPr>
                  <w:r>
                    <w:rPr>
                      <w:rFonts w:hint="eastAsia"/>
                      <w:color w:val="auto"/>
                      <w:sz w:val="18"/>
                      <w:szCs w:val="18"/>
                      <w:highlight w:val="none"/>
                    </w:rPr>
                    <w:t>(监控点与参考点浓度差值)</w:t>
                  </w:r>
                </w:p>
              </w:tc>
            </w:tr>
            <w:tr w14:paraId="32807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724" w:type="pct"/>
                  <w:vAlign w:val="center"/>
                </w:tcPr>
                <w:p w14:paraId="35FC8F14">
                  <w:pPr>
                    <w:adjustRightInd w:val="0"/>
                    <w:snapToGrid w:val="0"/>
                    <w:jc w:val="center"/>
                    <w:rPr>
                      <w:color w:val="auto"/>
                      <w:sz w:val="18"/>
                      <w:szCs w:val="18"/>
                      <w:highlight w:val="none"/>
                    </w:rPr>
                  </w:pPr>
                  <w:r>
                    <w:rPr>
                      <w:rFonts w:hint="eastAsia"/>
                      <w:color w:val="auto"/>
                      <w:sz w:val="18"/>
                      <w:szCs w:val="18"/>
                      <w:highlight w:val="none"/>
                    </w:rPr>
                    <w:t>颗粒物</w:t>
                  </w:r>
                </w:p>
              </w:tc>
              <w:tc>
                <w:tcPr>
                  <w:tcW w:w="802" w:type="pct"/>
                  <w:vAlign w:val="center"/>
                </w:tcPr>
                <w:p w14:paraId="18DD9A61">
                  <w:pPr>
                    <w:adjustRightInd w:val="0"/>
                    <w:snapToGrid w:val="0"/>
                    <w:jc w:val="center"/>
                    <w:rPr>
                      <w:color w:val="auto"/>
                      <w:sz w:val="18"/>
                      <w:szCs w:val="18"/>
                      <w:highlight w:val="none"/>
                    </w:rPr>
                  </w:pPr>
                  <w:r>
                    <w:rPr>
                      <w:rFonts w:hint="eastAsia"/>
                      <w:color w:val="auto"/>
                      <w:sz w:val="18"/>
                      <w:szCs w:val="18"/>
                      <w:highlight w:val="none"/>
                    </w:rPr>
                    <w:t>周界外浓度最高点</w:t>
                  </w:r>
                </w:p>
              </w:tc>
              <w:tc>
                <w:tcPr>
                  <w:tcW w:w="1690" w:type="pct"/>
                  <w:vAlign w:val="center"/>
                </w:tcPr>
                <w:p w14:paraId="32D547E6">
                  <w:pPr>
                    <w:adjustRightInd w:val="0"/>
                    <w:snapToGrid w:val="0"/>
                    <w:jc w:val="center"/>
                    <w:rPr>
                      <w:color w:val="auto"/>
                      <w:sz w:val="18"/>
                      <w:szCs w:val="18"/>
                      <w:highlight w:val="none"/>
                    </w:rPr>
                  </w:pPr>
                  <w:r>
                    <w:rPr>
                      <w:rFonts w:hint="eastAsia"/>
                      <w:color w:val="auto"/>
                      <w:sz w:val="18"/>
                      <w:szCs w:val="18"/>
                      <w:highlight w:val="none"/>
                    </w:rPr>
                    <w:t>1.0</w:t>
                  </w:r>
                </w:p>
              </w:tc>
              <w:tc>
                <w:tcPr>
                  <w:tcW w:w="1782" w:type="pct"/>
                  <w:vAlign w:val="center"/>
                </w:tcPr>
                <w:p w14:paraId="645A51E1">
                  <w:pPr>
                    <w:adjustRightInd w:val="0"/>
                    <w:snapToGrid w:val="0"/>
                    <w:jc w:val="center"/>
                    <w:rPr>
                      <w:color w:val="auto"/>
                      <w:sz w:val="18"/>
                      <w:szCs w:val="18"/>
                      <w:highlight w:val="none"/>
                    </w:rPr>
                  </w:pPr>
                  <w:r>
                    <w:rPr>
                      <w:rFonts w:hint="eastAsia"/>
                      <w:color w:val="auto"/>
                      <w:sz w:val="18"/>
                      <w:szCs w:val="18"/>
                      <w:highlight w:val="none"/>
                    </w:rPr>
                    <w:t>1.0</w:t>
                  </w:r>
                </w:p>
              </w:tc>
            </w:tr>
          </w:tbl>
          <w:p w14:paraId="21AF1B0F">
            <w:pPr>
              <w:pStyle w:val="59"/>
              <w:rPr>
                <w:rFonts w:ascii="Times New Roman"/>
                <w:bCs/>
                <w:color w:val="auto"/>
                <w:kern w:val="2"/>
                <w:sz w:val="21"/>
                <w:szCs w:val="21"/>
                <w:highlight w:val="none"/>
              </w:rPr>
            </w:pPr>
            <w:r>
              <w:rPr>
                <w:rFonts w:ascii="Times New Roman"/>
                <w:bCs/>
                <w:color w:val="auto"/>
                <w:kern w:val="2"/>
                <w:sz w:val="21"/>
                <w:szCs w:val="21"/>
                <w:highlight w:val="none"/>
              </w:rPr>
              <w:t>表3-</w:t>
            </w:r>
            <w:r>
              <w:rPr>
                <w:rFonts w:hint="eastAsia" w:ascii="Times New Roman"/>
                <w:bCs/>
                <w:color w:val="auto"/>
                <w:kern w:val="2"/>
                <w:sz w:val="21"/>
                <w:szCs w:val="21"/>
                <w:highlight w:val="none"/>
              </w:rPr>
              <w:t>9大气污染物综合</w:t>
            </w:r>
            <w:r>
              <w:rPr>
                <w:rFonts w:ascii="Times New Roman"/>
                <w:bCs/>
                <w:color w:val="auto"/>
                <w:kern w:val="2"/>
                <w:sz w:val="21"/>
                <w:szCs w:val="21"/>
                <w:highlight w:val="none"/>
              </w:rPr>
              <w:t>排放标准</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70"/>
              <w:gridCol w:w="1422"/>
              <w:gridCol w:w="809"/>
              <w:gridCol w:w="1212"/>
              <w:gridCol w:w="1422"/>
            </w:tblGrid>
            <w:tr w14:paraId="30383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125" w:type="pct"/>
                  <w:gridSpan w:val="4"/>
                  <w:vAlign w:val="center"/>
                </w:tcPr>
                <w:p w14:paraId="60D39961">
                  <w:pPr>
                    <w:jc w:val="center"/>
                    <w:rPr>
                      <w:b/>
                      <w:bCs/>
                      <w:color w:val="auto"/>
                      <w:sz w:val="18"/>
                      <w:szCs w:val="18"/>
                      <w:highlight w:val="none"/>
                    </w:rPr>
                  </w:pPr>
                  <w:r>
                    <w:rPr>
                      <w:rFonts w:hint="eastAsia"/>
                      <w:color w:val="auto"/>
                      <w:sz w:val="18"/>
                      <w:szCs w:val="18"/>
                      <w:highlight w:val="none"/>
                    </w:rPr>
                    <w:t>二级</w:t>
                  </w:r>
                </w:p>
              </w:tc>
              <w:tc>
                <w:tcPr>
                  <w:tcW w:w="874" w:type="pct"/>
                  <w:vMerge w:val="restart"/>
                  <w:vAlign w:val="center"/>
                </w:tcPr>
                <w:p w14:paraId="53696BC9">
                  <w:pPr>
                    <w:jc w:val="center"/>
                    <w:rPr>
                      <w:b/>
                      <w:bCs/>
                      <w:color w:val="auto"/>
                      <w:sz w:val="18"/>
                      <w:szCs w:val="18"/>
                      <w:highlight w:val="none"/>
                    </w:rPr>
                  </w:pPr>
                  <w:r>
                    <w:rPr>
                      <w:color w:val="auto"/>
                      <w:sz w:val="18"/>
                      <w:szCs w:val="18"/>
                      <w:highlight w:val="none"/>
                    </w:rPr>
                    <w:t>无组织排放监控浓度限值（mg/m</w:t>
                  </w:r>
                  <w:r>
                    <w:rPr>
                      <w:color w:val="auto"/>
                      <w:sz w:val="18"/>
                      <w:szCs w:val="18"/>
                      <w:highlight w:val="none"/>
                      <w:vertAlign w:val="superscript"/>
                    </w:rPr>
                    <w:t>3</w:t>
                  </w:r>
                  <w:r>
                    <w:rPr>
                      <w:color w:val="auto"/>
                      <w:sz w:val="18"/>
                      <w:szCs w:val="18"/>
                      <w:highlight w:val="none"/>
                    </w:rPr>
                    <w:t>）</w:t>
                  </w:r>
                </w:p>
              </w:tc>
            </w:tr>
            <w:tr w14:paraId="49826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2009" w:type="pct"/>
                  <w:tcBorders>
                    <w:tl2br w:val="single" w:color="auto" w:sz="4" w:space="0"/>
                  </w:tcBorders>
                  <w:vAlign w:val="center"/>
                </w:tcPr>
                <w:p w14:paraId="42342A3B">
                  <w:pPr>
                    <w:jc w:val="right"/>
                    <w:rPr>
                      <w:color w:val="auto"/>
                      <w:sz w:val="18"/>
                      <w:szCs w:val="18"/>
                      <w:highlight w:val="none"/>
                    </w:rPr>
                  </w:pPr>
                  <w:r>
                    <w:rPr>
                      <w:rFonts w:hint="eastAsia"/>
                      <w:color w:val="auto"/>
                      <w:sz w:val="18"/>
                      <w:szCs w:val="18"/>
                      <w:highlight w:val="none"/>
                    </w:rPr>
                    <w:t>指标</w:t>
                  </w:r>
                </w:p>
                <w:p w14:paraId="3DEDFFBC">
                  <w:pPr>
                    <w:pStyle w:val="2"/>
                    <w:jc w:val="left"/>
                    <w:rPr>
                      <w:color w:val="auto"/>
                      <w:szCs w:val="18"/>
                      <w:highlight w:val="none"/>
                    </w:rPr>
                  </w:pPr>
                  <w:r>
                    <w:rPr>
                      <w:rFonts w:hint="eastAsia"/>
                      <w:color w:val="auto"/>
                      <w:szCs w:val="18"/>
                      <w:highlight w:val="none"/>
                    </w:rPr>
                    <w:t>污染物</w:t>
                  </w:r>
                </w:p>
              </w:tc>
              <w:tc>
                <w:tcPr>
                  <w:tcW w:w="874" w:type="pct"/>
                  <w:vAlign w:val="center"/>
                </w:tcPr>
                <w:p w14:paraId="78202EA6">
                  <w:pPr>
                    <w:jc w:val="center"/>
                    <w:rPr>
                      <w:color w:val="auto"/>
                      <w:sz w:val="18"/>
                      <w:szCs w:val="18"/>
                      <w:highlight w:val="none"/>
                    </w:rPr>
                  </w:pPr>
                  <w:r>
                    <w:rPr>
                      <w:color w:val="auto"/>
                      <w:sz w:val="18"/>
                      <w:szCs w:val="18"/>
                      <w:highlight w:val="none"/>
                    </w:rPr>
                    <w:t>排放浓度（mg/m</w:t>
                  </w:r>
                  <w:r>
                    <w:rPr>
                      <w:color w:val="auto"/>
                      <w:sz w:val="18"/>
                      <w:szCs w:val="18"/>
                      <w:highlight w:val="none"/>
                      <w:vertAlign w:val="superscript"/>
                    </w:rPr>
                    <w:t>3</w:t>
                  </w:r>
                  <w:r>
                    <w:rPr>
                      <w:color w:val="auto"/>
                      <w:sz w:val="18"/>
                      <w:szCs w:val="18"/>
                      <w:highlight w:val="none"/>
                    </w:rPr>
                    <w:t>）</w:t>
                  </w:r>
                </w:p>
              </w:tc>
              <w:tc>
                <w:tcPr>
                  <w:tcW w:w="497" w:type="pct"/>
                  <w:vAlign w:val="center"/>
                </w:tcPr>
                <w:p w14:paraId="364E7DD5">
                  <w:pPr>
                    <w:jc w:val="center"/>
                    <w:rPr>
                      <w:color w:val="auto"/>
                      <w:sz w:val="18"/>
                      <w:szCs w:val="18"/>
                      <w:highlight w:val="none"/>
                    </w:rPr>
                  </w:pPr>
                  <w:r>
                    <w:rPr>
                      <w:rFonts w:hint="eastAsia"/>
                      <w:color w:val="auto"/>
                      <w:sz w:val="18"/>
                      <w:szCs w:val="18"/>
                      <w:highlight w:val="none"/>
                    </w:rPr>
                    <w:t>排气筒高度</w:t>
                  </w:r>
                </w:p>
              </w:tc>
              <w:tc>
                <w:tcPr>
                  <w:tcW w:w="744" w:type="pct"/>
                  <w:vAlign w:val="center"/>
                </w:tcPr>
                <w:p w14:paraId="01F8F232">
                  <w:pPr>
                    <w:jc w:val="center"/>
                    <w:rPr>
                      <w:color w:val="auto"/>
                      <w:sz w:val="18"/>
                      <w:szCs w:val="18"/>
                      <w:highlight w:val="none"/>
                    </w:rPr>
                  </w:pPr>
                  <w:r>
                    <w:rPr>
                      <w:color w:val="auto"/>
                      <w:sz w:val="18"/>
                      <w:szCs w:val="18"/>
                      <w:highlight w:val="none"/>
                    </w:rPr>
                    <w:t>排放速率（kg/h）</w:t>
                  </w:r>
                </w:p>
              </w:tc>
              <w:tc>
                <w:tcPr>
                  <w:tcW w:w="874" w:type="pct"/>
                  <w:vMerge w:val="continue"/>
                  <w:vAlign w:val="center"/>
                </w:tcPr>
                <w:p w14:paraId="1474FEC9">
                  <w:pPr>
                    <w:jc w:val="center"/>
                    <w:rPr>
                      <w:color w:val="auto"/>
                      <w:sz w:val="18"/>
                      <w:szCs w:val="18"/>
                      <w:highlight w:val="none"/>
                    </w:rPr>
                  </w:pPr>
                </w:p>
              </w:tc>
            </w:tr>
            <w:tr w14:paraId="03643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009" w:type="pct"/>
                  <w:vAlign w:val="center"/>
                </w:tcPr>
                <w:p w14:paraId="183E80EA">
                  <w:pPr>
                    <w:jc w:val="center"/>
                    <w:rPr>
                      <w:color w:val="auto"/>
                      <w:kern w:val="0"/>
                      <w:sz w:val="18"/>
                      <w:szCs w:val="18"/>
                      <w:highlight w:val="none"/>
                    </w:rPr>
                  </w:pPr>
                  <w:r>
                    <w:rPr>
                      <w:color w:val="auto"/>
                      <w:kern w:val="0"/>
                      <w:sz w:val="18"/>
                      <w:szCs w:val="18"/>
                      <w:highlight w:val="none"/>
                    </w:rPr>
                    <w:t>颗粒物</w:t>
                  </w:r>
                </w:p>
              </w:tc>
              <w:tc>
                <w:tcPr>
                  <w:tcW w:w="874" w:type="pct"/>
                  <w:vAlign w:val="center"/>
                </w:tcPr>
                <w:p w14:paraId="7683AB24">
                  <w:pPr>
                    <w:jc w:val="center"/>
                    <w:rPr>
                      <w:color w:val="auto"/>
                      <w:sz w:val="18"/>
                      <w:szCs w:val="18"/>
                      <w:highlight w:val="none"/>
                    </w:rPr>
                  </w:pPr>
                  <w:r>
                    <w:rPr>
                      <w:color w:val="auto"/>
                      <w:sz w:val="18"/>
                      <w:szCs w:val="18"/>
                      <w:highlight w:val="none"/>
                    </w:rPr>
                    <w:t>120</w:t>
                  </w:r>
                </w:p>
              </w:tc>
              <w:tc>
                <w:tcPr>
                  <w:tcW w:w="497" w:type="pct"/>
                  <w:vAlign w:val="center"/>
                </w:tcPr>
                <w:p w14:paraId="18FC235B">
                  <w:pPr>
                    <w:jc w:val="center"/>
                    <w:rPr>
                      <w:color w:val="auto"/>
                      <w:sz w:val="18"/>
                      <w:szCs w:val="18"/>
                      <w:highlight w:val="none"/>
                    </w:rPr>
                  </w:pPr>
                  <w:r>
                    <w:rPr>
                      <w:rFonts w:hint="eastAsia"/>
                      <w:color w:val="auto"/>
                      <w:sz w:val="18"/>
                      <w:szCs w:val="18"/>
                      <w:highlight w:val="none"/>
                    </w:rPr>
                    <w:t>15</w:t>
                  </w:r>
                </w:p>
              </w:tc>
              <w:tc>
                <w:tcPr>
                  <w:tcW w:w="744" w:type="pct"/>
                  <w:vAlign w:val="center"/>
                </w:tcPr>
                <w:p w14:paraId="39339E53">
                  <w:pPr>
                    <w:jc w:val="center"/>
                    <w:rPr>
                      <w:color w:val="auto"/>
                      <w:sz w:val="18"/>
                      <w:szCs w:val="18"/>
                      <w:highlight w:val="none"/>
                    </w:rPr>
                  </w:pPr>
                  <w:r>
                    <w:rPr>
                      <w:rFonts w:hint="eastAsia"/>
                      <w:color w:val="auto"/>
                      <w:sz w:val="18"/>
                      <w:szCs w:val="18"/>
                      <w:highlight w:val="none"/>
                    </w:rPr>
                    <w:t>3.5</w:t>
                  </w:r>
                </w:p>
              </w:tc>
              <w:tc>
                <w:tcPr>
                  <w:tcW w:w="874" w:type="pct"/>
                  <w:vAlign w:val="center"/>
                </w:tcPr>
                <w:p w14:paraId="1395D3E1">
                  <w:pPr>
                    <w:jc w:val="center"/>
                    <w:rPr>
                      <w:color w:val="auto"/>
                      <w:sz w:val="18"/>
                      <w:szCs w:val="18"/>
                      <w:highlight w:val="none"/>
                    </w:rPr>
                  </w:pPr>
                  <w:r>
                    <w:rPr>
                      <w:color w:val="auto"/>
                      <w:sz w:val="18"/>
                      <w:szCs w:val="18"/>
                      <w:highlight w:val="none"/>
                    </w:rPr>
                    <w:t>1.0</w:t>
                  </w:r>
                </w:p>
              </w:tc>
            </w:tr>
          </w:tbl>
          <w:p w14:paraId="2558E63E">
            <w:pPr>
              <w:adjustRightInd w:val="0"/>
              <w:snapToGrid w:val="0"/>
              <w:spacing w:line="400" w:lineRule="exact"/>
              <w:jc w:val="center"/>
              <w:rPr>
                <w:b/>
                <w:bCs/>
                <w:color w:val="auto"/>
                <w:szCs w:val="21"/>
                <w:highlight w:val="none"/>
              </w:rPr>
            </w:pPr>
            <w:r>
              <w:rPr>
                <w:b/>
                <w:bCs/>
                <w:color w:val="auto"/>
                <w:szCs w:val="21"/>
                <w:highlight w:val="none"/>
              </w:rPr>
              <w:t>表3-</w:t>
            </w:r>
            <w:r>
              <w:rPr>
                <w:rFonts w:hint="eastAsia"/>
                <w:b/>
                <w:bCs/>
                <w:color w:val="auto"/>
                <w:szCs w:val="21"/>
                <w:highlight w:val="none"/>
              </w:rPr>
              <w:t xml:space="preserve">10 </w:t>
            </w:r>
            <w:r>
              <w:rPr>
                <w:b/>
                <w:bCs/>
                <w:color w:val="auto"/>
                <w:szCs w:val="21"/>
                <w:highlight w:val="none"/>
              </w:rPr>
              <w:t>《</w:t>
            </w:r>
            <w:r>
              <w:rPr>
                <w:rFonts w:hint="eastAsia"/>
                <w:b/>
                <w:bCs/>
                <w:color w:val="auto"/>
                <w:szCs w:val="21"/>
                <w:highlight w:val="none"/>
              </w:rPr>
              <w:t>挥发性有机物无组织排放控制标准</w:t>
            </w:r>
            <w:r>
              <w:rPr>
                <w:b/>
                <w:bCs/>
                <w:color w:val="auto"/>
                <w:szCs w:val="21"/>
                <w:highlight w:val="none"/>
              </w:rPr>
              <w:t>》（GB</w:t>
            </w:r>
            <w:r>
              <w:rPr>
                <w:rFonts w:hint="eastAsia"/>
                <w:b/>
                <w:bCs/>
                <w:color w:val="auto"/>
                <w:szCs w:val="21"/>
                <w:highlight w:val="none"/>
              </w:rPr>
              <w:t>37822</w:t>
            </w:r>
            <w:r>
              <w:rPr>
                <w:b/>
                <w:bCs/>
                <w:color w:val="auto"/>
                <w:szCs w:val="21"/>
                <w:highlight w:val="none"/>
              </w:rPr>
              <w:t>-201</w:t>
            </w:r>
            <w:r>
              <w:rPr>
                <w:rFonts w:hint="eastAsia"/>
                <w:b/>
                <w:bCs/>
                <w:color w:val="auto"/>
                <w:szCs w:val="21"/>
                <w:highlight w:val="none"/>
              </w:rPr>
              <w:t>9</w:t>
            </w:r>
            <w:r>
              <w:rPr>
                <w:b/>
                <w:bCs/>
                <w:color w:val="auto"/>
                <w:szCs w:val="21"/>
                <w:highlight w:val="none"/>
              </w:rPr>
              <w:t>）</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1757"/>
              <w:gridCol w:w="2702"/>
              <w:gridCol w:w="2508"/>
            </w:tblGrid>
            <w:tr w14:paraId="4510C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68" w:type="dxa"/>
                  <w:tcBorders>
                    <w:tl2br w:val="nil"/>
                    <w:tr2bl w:val="nil"/>
                  </w:tcBorders>
                  <w:vAlign w:val="center"/>
                </w:tcPr>
                <w:p w14:paraId="7ABC122C">
                  <w:pPr>
                    <w:adjustRightInd w:val="0"/>
                    <w:snapToGrid w:val="0"/>
                    <w:spacing w:line="400" w:lineRule="exact"/>
                    <w:jc w:val="center"/>
                    <w:rPr>
                      <w:color w:val="auto"/>
                      <w:kern w:val="0"/>
                      <w:sz w:val="18"/>
                      <w:szCs w:val="18"/>
                      <w:highlight w:val="none"/>
                    </w:rPr>
                  </w:pPr>
                  <w:r>
                    <w:rPr>
                      <w:rFonts w:hint="eastAsia"/>
                      <w:color w:val="auto"/>
                      <w:kern w:val="0"/>
                      <w:sz w:val="18"/>
                      <w:szCs w:val="18"/>
                      <w:highlight w:val="none"/>
                    </w:rPr>
                    <w:t>污染物</w:t>
                  </w:r>
                </w:p>
              </w:tc>
              <w:tc>
                <w:tcPr>
                  <w:tcW w:w="1757" w:type="dxa"/>
                  <w:tcBorders>
                    <w:tl2br w:val="nil"/>
                    <w:tr2bl w:val="nil"/>
                  </w:tcBorders>
                  <w:vAlign w:val="center"/>
                </w:tcPr>
                <w:p w14:paraId="46C1D85E">
                  <w:pPr>
                    <w:adjustRightInd w:val="0"/>
                    <w:snapToGrid w:val="0"/>
                    <w:spacing w:line="400" w:lineRule="exact"/>
                    <w:jc w:val="center"/>
                    <w:rPr>
                      <w:color w:val="auto"/>
                      <w:kern w:val="0"/>
                      <w:sz w:val="18"/>
                      <w:szCs w:val="18"/>
                      <w:highlight w:val="none"/>
                    </w:rPr>
                  </w:pPr>
                  <w:r>
                    <w:rPr>
                      <w:rFonts w:hint="eastAsia"/>
                      <w:color w:val="auto"/>
                      <w:kern w:val="0"/>
                      <w:sz w:val="18"/>
                      <w:szCs w:val="18"/>
                      <w:highlight w:val="none"/>
                    </w:rPr>
                    <w:t>排放限值</w:t>
                  </w:r>
                </w:p>
              </w:tc>
              <w:tc>
                <w:tcPr>
                  <w:tcW w:w="2702" w:type="dxa"/>
                  <w:tcBorders>
                    <w:tl2br w:val="nil"/>
                    <w:tr2bl w:val="nil"/>
                  </w:tcBorders>
                  <w:vAlign w:val="center"/>
                </w:tcPr>
                <w:p w14:paraId="0FE2BD5D">
                  <w:pPr>
                    <w:adjustRightInd w:val="0"/>
                    <w:snapToGrid w:val="0"/>
                    <w:spacing w:line="400" w:lineRule="exact"/>
                    <w:jc w:val="center"/>
                    <w:rPr>
                      <w:color w:val="auto"/>
                      <w:kern w:val="0"/>
                      <w:sz w:val="18"/>
                      <w:szCs w:val="18"/>
                      <w:highlight w:val="none"/>
                    </w:rPr>
                  </w:pPr>
                  <w:r>
                    <w:rPr>
                      <w:rFonts w:hint="eastAsia"/>
                      <w:color w:val="auto"/>
                      <w:kern w:val="0"/>
                      <w:sz w:val="18"/>
                      <w:szCs w:val="18"/>
                      <w:highlight w:val="none"/>
                    </w:rPr>
                    <w:t>限值含义</w:t>
                  </w:r>
                </w:p>
              </w:tc>
              <w:tc>
                <w:tcPr>
                  <w:tcW w:w="2508" w:type="dxa"/>
                  <w:tcBorders>
                    <w:tl2br w:val="nil"/>
                    <w:tr2bl w:val="nil"/>
                  </w:tcBorders>
                  <w:vAlign w:val="center"/>
                </w:tcPr>
                <w:p w14:paraId="4083C239">
                  <w:pPr>
                    <w:adjustRightInd w:val="0"/>
                    <w:snapToGrid w:val="0"/>
                    <w:spacing w:line="400" w:lineRule="exact"/>
                    <w:jc w:val="center"/>
                    <w:rPr>
                      <w:color w:val="auto"/>
                      <w:kern w:val="0"/>
                      <w:sz w:val="18"/>
                      <w:szCs w:val="18"/>
                      <w:highlight w:val="none"/>
                    </w:rPr>
                  </w:pPr>
                  <w:r>
                    <w:rPr>
                      <w:rFonts w:hint="eastAsia"/>
                      <w:color w:val="auto"/>
                      <w:kern w:val="0"/>
                      <w:sz w:val="18"/>
                      <w:szCs w:val="18"/>
                      <w:highlight w:val="none"/>
                    </w:rPr>
                    <w:t>无组织排放监控位置</w:t>
                  </w:r>
                </w:p>
              </w:tc>
            </w:tr>
            <w:tr w14:paraId="05D40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168" w:type="dxa"/>
                  <w:vMerge w:val="restart"/>
                  <w:tcBorders>
                    <w:tl2br w:val="nil"/>
                    <w:tr2bl w:val="nil"/>
                  </w:tcBorders>
                  <w:vAlign w:val="center"/>
                </w:tcPr>
                <w:p w14:paraId="1540F45C">
                  <w:pPr>
                    <w:widowControl/>
                    <w:jc w:val="center"/>
                    <w:rPr>
                      <w:b/>
                      <w:bCs/>
                      <w:color w:val="auto"/>
                      <w:kern w:val="0"/>
                      <w:sz w:val="18"/>
                      <w:szCs w:val="18"/>
                      <w:highlight w:val="none"/>
                    </w:rPr>
                  </w:pPr>
                  <w:r>
                    <w:rPr>
                      <w:color w:val="auto"/>
                      <w:kern w:val="0"/>
                      <w:sz w:val="18"/>
                      <w:szCs w:val="18"/>
                      <w:highlight w:val="none"/>
                    </w:rPr>
                    <w:t>NMHC</w:t>
                  </w:r>
                </w:p>
              </w:tc>
              <w:tc>
                <w:tcPr>
                  <w:tcW w:w="1757" w:type="dxa"/>
                  <w:tcBorders>
                    <w:tl2br w:val="nil"/>
                    <w:tr2bl w:val="nil"/>
                  </w:tcBorders>
                  <w:vAlign w:val="center"/>
                </w:tcPr>
                <w:p w14:paraId="315F1B5B">
                  <w:pPr>
                    <w:widowControl/>
                    <w:jc w:val="center"/>
                    <w:rPr>
                      <w:b/>
                      <w:bCs/>
                      <w:color w:val="auto"/>
                      <w:kern w:val="0"/>
                      <w:sz w:val="18"/>
                      <w:szCs w:val="18"/>
                      <w:highlight w:val="none"/>
                    </w:rPr>
                  </w:pPr>
                  <w:r>
                    <w:rPr>
                      <w:color w:val="auto"/>
                      <w:kern w:val="0"/>
                      <w:sz w:val="18"/>
                      <w:szCs w:val="18"/>
                      <w:highlight w:val="none"/>
                    </w:rPr>
                    <w:t>10mg/m</w:t>
                  </w:r>
                  <w:r>
                    <w:rPr>
                      <w:rFonts w:hint="eastAsia"/>
                      <w:color w:val="auto"/>
                      <w:kern w:val="0"/>
                      <w:sz w:val="18"/>
                      <w:szCs w:val="18"/>
                      <w:highlight w:val="none"/>
                      <w:vertAlign w:val="superscript"/>
                    </w:rPr>
                    <w:t>3</w:t>
                  </w:r>
                </w:p>
              </w:tc>
              <w:tc>
                <w:tcPr>
                  <w:tcW w:w="2702" w:type="dxa"/>
                  <w:tcBorders>
                    <w:tl2br w:val="nil"/>
                    <w:tr2bl w:val="nil"/>
                  </w:tcBorders>
                  <w:vAlign w:val="center"/>
                </w:tcPr>
                <w:p w14:paraId="1177AC38">
                  <w:pPr>
                    <w:widowControl/>
                    <w:jc w:val="center"/>
                    <w:rPr>
                      <w:b/>
                      <w:bCs/>
                      <w:color w:val="auto"/>
                      <w:kern w:val="0"/>
                      <w:sz w:val="18"/>
                      <w:szCs w:val="18"/>
                      <w:highlight w:val="none"/>
                    </w:rPr>
                  </w:pPr>
                  <w:r>
                    <w:rPr>
                      <w:rFonts w:ascii="浠垮畫_GB2312" w:hAnsi="浠垮畫_GB2312" w:eastAsia="浠垮畫_GB2312" w:cs="浠垮畫_GB2312"/>
                      <w:color w:val="auto"/>
                      <w:kern w:val="0"/>
                      <w:sz w:val="18"/>
                      <w:szCs w:val="18"/>
                      <w:highlight w:val="none"/>
                    </w:rPr>
                    <w:t xml:space="preserve">监控点处 </w:t>
                  </w:r>
                  <w:r>
                    <w:rPr>
                      <w:color w:val="auto"/>
                      <w:kern w:val="0"/>
                      <w:sz w:val="18"/>
                      <w:szCs w:val="18"/>
                      <w:highlight w:val="none"/>
                    </w:rPr>
                    <w:t xml:space="preserve">1h </w:t>
                  </w:r>
                  <w:r>
                    <w:rPr>
                      <w:rFonts w:ascii="浠垮畫_GB2312" w:hAnsi="浠垮畫_GB2312" w:eastAsia="浠垮畫_GB2312" w:cs="浠垮畫_GB2312"/>
                      <w:color w:val="auto"/>
                      <w:kern w:val="0"/>
                      <w:sz w:val="18"/>
                      <w:szCs w:val="18"/>
                      <w:highlight w:val="none"/>
                    </w:rPr>
                    <w:t>平均浓度值</w:t>
                  </w:r>
                </w:p>
              </w:tc>
              <w:tc>
                <w:tcPr>
                  <w:tcW w:w="2508" w:type="dxa"/>
                  <w:vMerge w:val="restart"/>
                  <w:tcBorders>
                    <w:tl2br w:val="nil"/>
                    <w:tr2bl w:val="nil"/>
                  </w:tcBorders>
                  <w:vAlign w:val="center"/>
                </w:tcPr>
                <w:p w14:paraId="6B229006">
                  <w:pPr>
                    <w:widowControl/>
                    <w:jc w:val="center"/>
                    <w:rPr>
                      <w:b/>
                      <w:bCs/>
                      <w:color w:val="auto"/>
                      <w:kern w:val="0"/>
                      <w:sz w:val="18"/>
                      <w:szCs w:val="18"/>
                      <w:highlight w:val="none"/>
                    </w:rPr>
                  </w:pPr>
                  <w:r>
                    <w:rPr>
                      <w:rFonts w:ascii="浠垮畫_GB2312" w:hAnsi="浠垮畫_GB2312" w:eastAsia="浠垮畫_GB2312" w:cs="浠垮畫_GB2312"/>
                      <w:color w:val="auto"/>
                      <w:kern w:val="0"/>
                      <w:sz w:val="18"/>
                      <w:szCs w:val="18"/>
                      <w:highlight w:val="none"/>
                    </w:rPr>
                    <w:t>在厂房外设置监控点</w:t>
                  </w:r>
                </w:p>
              </w:tc>
            </w:tr>
            <w:tr w14:paraId="11958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168" w:type="dxa"/>
                  <w:vMerge w:val="continue"/>
                  <w:tcBorders>
                    <w:tl2br w:val="nil"/>
                    <w:tr2bl w:val="nil"/>
                  </w:tcBorders>
                  <w:vAlign w:val="center"/>
                </w:tcPr>
                <w:p w14:paraId="72F834DA">
                  <w:pPr>
                    <w:widowControl/>
                    <w:jc w:val="center"/>
                    <w:rPr>
                      <w:color w:val="auto"/>
                      <w:kern w:val="0"/>
                      <w:sz w:val="18"/>
                      <w:szCs w:val="18"/>
                      <w:highlight w:val="none"/>
                    </w:rPr>
                  </w:pPr>
                </w:p>
              </w:tc>
              <w:tc>
                <w:tcPr>
                  <w:tcW w:w="1757" w:type="dxa"/>
                  <w:tcBorders>
                    <w:tl2br w:val="nil"/>
                    <w:tr2bl w:val="nil"/>
                  </w:tcBorders>
                  <w:vAlign w:val="center"/>
                </w:tcPr>
                <w:p w14:paraId="65350734">
                  <w:pPr>
                    <w:widowControl/>
                    <w:jc w:val="center"/>
                    <w:rPr>
                      <w:color w:val="auto"/>
                      <w:kern w:val="0"/>
                      <w:sz w:val="18"/>
                      <w:szCs w:val="18"/>
                      <w:highlight w:val="none"/>
                    </w:rPr>
                  </w:pPr>
                  <w:r>
                    <w:rPr>
                      <w:rFonts w:hint="eastAsia"/>
                      <w:color w:val="auto"/>
                      <w:kern w:val="0"/>
                      <w:sz w:val="18"/>
                      <w:szCs w:val="18"/>
                      <w:highlight w:val="none"/>
                    </w:rPr>
                    <w:t>3</w:t>
                  </w:r>
                  <w:r>
                    <w:rPr>
                      <w:color w:val="auto"/>
                      <w:kern w:val="0"/>
                      <w:sz w:val="18"/>
                      <w:szCs w:val="18"/>
                      <w:highlight w:val="none"/>
                    </w:rPr>
                    <w:t>0mg/m</w:t>
                  </w:r>
                  <w:r>
                    <w:rPr>
                      <w:rFonts w:hint="eastAsia"/>
                      <w:color w:val="auto"/>
                      <w:kern w:val="0"/>
                      <w:sz w:val="18"/>
                      <w:szCs w:val="18"/>
                      <w:highlight w:val="none"/>
                      <w:vertAlign w:val="superscript"/>
                    </w:rPr>
                    <w:t>3</w:t>
                  </w:r>
                </w:p>
              </w:tc>
              <w:tc>
                <w:tcPr>
                  <w:tcW w:w="2702" w:type="dxa"/>
                  <w:tcBorders>
                    <w:tl2br w:val="nil"/>
                    <w:tr2bl w:val="nil"/>
                  </w:tcBorders>
                  <w:vAlign w:val="center"/>
                </w:tcPr>
                <w:p w14:paraId="6DC4E422">
                  <w:pPr>
                    <w:widowControl/>
                    <w:jc w:val="center"/>
                    <w:rPr>
                      <w:rFonts w:ascii="浠垮畫_GB2312" w:hAnsi="浠垮畫_GB2312" w:eastAsia="浠垮畫_GB2312" w:cs="浠垮畫_GB2312"/>
                      <w:color w:val="auto"/>
                      <w:kern w:val="0"/>
                      <w:sz w:val="18"/>
                      <w:szCs w:val="18"/>
                      <w:highlight w:val="none"/>
                    </w:rPr>
                  </w:pPr>
                  <w:r>
                    <w:rPr>
                      <w:rFonts w:ascii="浠垮畫_GB2312" w:hAnsi="浠垮畫_GB2312" w:eastAsia="浠垮畫_GB2312" w:cs="浠垮畫_GB2312"/>
                      <w:color w:val="auto"/>
                      <w:kern w:val="0"/>
                      <w:sz w:val="18"/>
                      <w:szCs w:val="18"/>
                      <w:highlight w:val="none"/>
                    </w:rPr>
                    <w:t>监控点处</w:t>
                  </w:r>
                  <w:r>
                    <w:rPr>
                      <w:rFonts w:hint="eastAsia" w:ascii="浠垮畫_GB2312" w:hAnsi="浠垮畫_GB2312" w:eastAsia="浠垮畫_GB2312" w:cs="浠垮畫_GB2312"/>
                      <w:color w:val="auto"/>
                      <w:kern w:val="0"/>
                      <w:sz w:val="18"/>
                      <w:szCs w:val="18"/>
                      <w:highlight w:val="none"/>
                    </w:rPr>
                    <w:t>任意一次浓度值</w:t>
                  </w:r>
                </w:p>
              </w:tc>
              <w:tc>
                <w:tcPr>
                  <w:tcW w:w="2508" w:type="dxa"/>
                  <w:vMerge w:val="continue"/>
                  <w:tcBorders>
                    <w:tl2br w:val="nil"/>
                    <w:tr2bl w:val="nil"/>
                  </w:tcBorders>
                  <w:vAlign w:val="center"/>
                </w:tcPr>
                <w:p w14:paraId="67CD0749">
                  <w:pPr>
                    <w:widowControl/>
                    <w:jc w:val="center"/>
                    <w:rPr>
                      <w:rFonts w:ascii="浠垮畫_GB2312" w:hAnsi="浠垮畫_GB2312" w:eastAsia="浠垮畫_GB2312" w:cs="浠垮畫_GB2312"/>
                      <w:color w:val="auto"/>
                      <w:kern w:val="0"/>
                      <w:sz w:val="18"/>
                      <w:szCs w:val="18"/>
                      <w:highlight w:val="none"/>
                    </w:rPr>
                  </w:pPr>
                </w:p>
              </w:tc>
            </w:tr>
          </w:tbl>
          <w:p w14:paraId="3ABE50FF">
            <w:pPr>
              <w:adjustRightInd w:val="0"/>
              <w:snapToGrid w:val="0"/>
              <w:spacing w:line="400" w:lineRule="exact"/>
              <w:jc w:val="center"/>
              <w:rPr>
                <w:b/>
                <w:bCs/>
                <w:color w:val="auto"/>
                <w:szCs w:val="21"/>
                <w:highlight w:val="none"/>
              </w:rPr>
            </w:pPr>
            <w:r>
              <w:rPr>
                <w:b/>
                <w:bCs/>
                <w:color w:val="auto"/>
                <w:szCs w:val="21"/>
                <w:highlight w:val="none"/>
              </w:rPr>
              <w:t>表3-</w:t>
            </w:r>
            <w:r>
              <w:rPr>
                <w:rFonts w:hint="eastAsia"/>
                <w:b/>
                <w:bCs/>
                <w:color w:val="auto"/>
                <w:szCs w:val="21"/>
                <w:highlight w:val="none"/>
              </w:rPr>
              <w:t>11</w:t>
            </w:r>
            <w:r>
              <w:rPr>
                <w:b/>
                <w:bCs/>
                <w:color w:val="auto"/>
                <w:szCs w:val="21"/>
                <w:highlight w:val="none"/>
              </w:rPr>
              <w:t xml:space="preserve">  大气污染物</w:t>
            </w:r>
            <w:r>
              <w:rPr>
                <w:rFonts w:hint="eastAsia"/>
                <w:b/>
                <w:bCs/>
                <w:color w:val="auto"/>
                <w:szCs w:val="21"/>
                <w:highlight w:val="none"/>
              </w:rPr>
              <w:t>排放标准</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4"/>
              <w:gridCol w:w="2989"/>
              <w:gridCol w:w="2772"/>
            </w:tblGrid>
            <w:tr w14:paraId="2298E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374" w:type="dxa"/>
                  <w:tcBorders>
                    <w:tl2br w:val="nil"/>
                    <w:tr2bl w:val="nil"/>
                  </w:tcBorders>
                  <w:vAlign w:val="center"/>
                </w:tcPr>
                <w:p w14:paraId="0AB81E8A">
                  <w:pPr>
                    <w:adjustRightInd w:val="0"/>
                    <w:snapToGrid w:val="0"/>
                    <w:spacing w:line="400" w:lineRule="exact"/>
                    <w:jc w:val="center"/>
                    <w:rPr>
                      <w:color w:val="auto"/>
                      <w:kern w:val="0"/>
                      <w:sz w:val="18"/>
                      <w:szCs w:val="18"/>
                      <w:highlight w:val="none"/>
                    </w:rPr>
                  </w:pPr>
                  <w:r>
                    <w:rPr>
                      <w:rFonts w:hint="eastAsia"/>
                      <w:color w:val="auto"/>
                      <w:kern w:val="0"/>
                      <w:sz w:val="18"/>
                      <w:szCs w:val="18"/>
                      <w:highlight w:val="none"/>
                    </w:rPr>
                    <w:t>污染物</w:t>
                  </w:r>
                </w:p>
              </w:tc>
              <w:tc>
                <w:tcPr>
                  <w:tcW w:w="5761" w:type="dxa"/>
                  <w:gridSpan w:val="2"/>
                  <w:tcBorders>
                    <w:tl2br w:val="nil"/>
                    <w:tr2bl w:val="nil"/>
                  </w:tcBorders>
                  <w:vAlign w:val="center"/>
                </w:tcPr>
                <w:p w14:paraId="5838FDC3">
                  <w:pPr>
                    <w:adjustRightInd w:val="0"/>
                    <w:snapToGrid w:val="0"/>
                    <w:spacing w:line="400" w:lineRule="exact"/>
                    <w:jc w:val="center"/>
                    <w:rPr>
                      <w:color w:val="auto"/>
                      <w:kern w:val="0"/>
                      <w:sz w:val="18"/>
                      <w:szCs w:val="18"/>
                      <w:highlight w:val="none"/>
                    </w:rPr>
                  </w:pPr>
                  <w:r>
                    <w:rPr>
                      <w:color w:val="auto"/>
                      <w:sz w:val="18"/>
                      <w:szCs w:val="18"/>
                      <w:highlight w:val="none"/>
                    </w:rPr>
                    <w:t>无组织排放监控浓度限值（mg/m</w:t>
                  </w:r>
                  <w:r>
                    <w:rPr>
                      <w:color w:val="auto"/>
                      <w:sz w:val="18"/>
                      <w:szCs w:val="18"/>
                      <w:highlight w:val="none"/>
                      <w:vertAlign w:val="superscript"/>
                    </w:rPr>
                    <w:t>3</w:t>
                  </w:r>
                  <w:r>
                    <w:rPr>
                      <w:color w:val="auto"/>
                      <w:sz w:val="18"/>
                      <w:szCs w:val="18"/>
                      <w:highlight w:val="none"/>
                    </w:rPr>
                    <w:t>）</w:t>
                  </w:r>
                </w:p>
              </w:tc>
            </w:tr>
            <w:tr w14:paraId="020832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374" w:type="dxa"/>
                  <w:tcBorders>
                    <w:tl2br w:val="nil"/>
                    <w:tr2bl w:val="nil"/>
                  </w:tcBorders>
                  <w:vAlign w:val="center"/>
                </w:tcPr>
                <w:p w14:paraId="7A626E98">
                  <w:pPr>
                    <w:widowControl/>
                    <w:jc w:val="center"/>
                    <w:rPr>
                      <w:b/>
                      <w:bCs/>
                      <w:color w:val="auto"/>
                      <w:kern w:val="0"/>
                      <w:sz w:val="18"/>
                      <w:szCs w:val="18"/>
                      <w:highlight w:val="none"/>
                    </w:rPr>
                  </w:pPr>
                  <w:r>
                    <w:rPr>
                      <w:rFonts w:hint="eastAsia"/>
                      <w:color w:val="auto"/>
                      <w:kern w:val="0"/>
                      <w:sz w:val="18"/>
                      <w:szCs w:val="18"/>
                      <w:highlight w:val="none"/>
                    </w:rPr>
                    <w:t>非甲烷总烃</w:t>
                  </w:r>
                </w:p>
              </w:tc>
              <w:tc>
                <w:tcPr>
                  <w:tcW w:w="2989" w:type="dxa"/>
                  <w:tcBorders>
                    <w:tl2br w:val="nil"/>
                    <w:tr2bl w:val="nil"/>
                  </w:tcBorders>
                  <w:vAlign w:val="center"/>
                </w:tcPr>
                <w:p w14:paraId="2810E636">
                  <w:pPr>
                    <w:widowControl/>
                    <w:jc w:val="center"/>
                    <w:rPr>
                      <w:color w:val="auto"/>
                      <w:kern w:val="0"/>
                      <w:sz w:val="18"/>
                      <w:szCs w:val="18"/>
                      <w:highlight w:val="none"/>
                    </w:rPr>
                  </w:pPr>
                  <w:r>
                    <w:rPr>
                      <w:color w:val="auto"/>
                      <w:kern w:val="0"/>
                      <w:sz w:val="18"/>
                      <w:szCs w:val="18"/>
                      <w:highlight w:val="none"/>
                    </w:rPr>
                    <w:t>周界外浓度最高点</w:t>
                  </w:r>
                </w:p>
              </w:tc>
              <w:tc>
                <w:tcPr>
                  <w:tcW w:w="2772" w:type="dxa"/>
                  <w:tcBorders>
                    <w:tl2br w:val="nil"/>
                    <w:tr2bl w:val="nil"/>
                  </w:tcBorders>
                  <w:vAlign w:val="center"/>
                </w:tcPr>
                <w:p w14:paraId="6C9A2135">
                  <w:pPr>
                    <w:widowControl/>
                    <w:jc w:val="center"/>
                    <w:rPr>
                      <w:b/>
                      <w:bCs/>
                      <w:color w:val="auto"/>
                      <w:kern w:val="0"/>
                      <w:sz w:val="18"/>
                      <w:szCs w:val="18"/>
                      <w:highlight w:val="none"/>
                    </w:rPr>
                  </w:pPr>
                  <w:r>
                    <w:rPr>
                      <w:rFonts w:hint="eastAsia"/>
                      <w:color w:val="auto"/>
                      <w:kern w:val="0"/>
                      <w:sz w:val="18"/>
                      <w:szCs w:val="18"/>
                      <w:highlight w:val="none"/>
                    </w:rPr>
                    <w:t>4.0</w:t>
                  </w:r>
                </w:p>
              </w:tc>
            </w:tr>
          </w:tbl>
          <w:p w14:paraId="50F26D53">
            <w:pPr>
              <w:adjustRightInd w:val="0"/>
              <w:snapToGrid w:val="0"/>
              <w:spacing w:line="400" w:lineRule="exact"/>
              <w:ind w:firstLine="422" w:firstLineChars="200"/>
              <w:rPr>
                <w:b/>
                <w:bCs/>
                <w:color w:val="auto"/>
                <w:kern w:val="0"/>
                <w:szCs w:val="21"/>
                <w:highlight w:val="none"/>
              </w:rPr>
            </w:pPr>
            <w:r>
              <w:rPr>
                <w:b/>
                <w:bCs/>
                <w:color w:val="auto"/>
                <w:kern w:val="0"/>
                <w:szCs w:val="21"/>
                <w:highlight w:val="none"/>
              </w:rPr>
              <w:t>2、废水</w:t>
            </w:r>
          </w:p>
          <w:p w14:paraId="4AC7BADE">
            <w:pPr>
              <w:adjustRightInd w:val="0"/>
              <w:snapToGrid w:val="0"/>
              <w:spacing w:line="400" w:lineRule="exact"/>
              <w:ind w:firstLine="400" w:firstLineChars="200"/>
              <w:rPr>
                <w:color w:val="auto"/>
                <w:spacing w:val="-6"/>
                <w:highlight w:val="none"/>
              </w:rPr>
            </w:pPr>
            <w:r>
              <w:rPr>
                <w:color w:val="auto"/>
                <w:spacing w:val="-5"/>
                <w:highlight w:val="none"/>
              </w:rPr>
              <w:t>本项目生产废水循环使用，不外排。生活废水排入</w:t>
            </w:r>
            <w:r>
              <w:rPr>
                <w:rFonts w:hint="eastAsia"/>
                <w:color w:val="auto"/>
                <w:spacing w:val="-5"/>
                <w:highlight w:val="none"/>
              </w:rPr>
              <w:t>防渗旱厕，定期清掏，外运堆肥，不外排。</w:t>
            </w:r>
          </w:p>
          <w:p w14:paraId="001346DC">
            <w:pPr>
              <w:adjustRightInd w:val="0"/>
              <w:snapToGrid w:val="0"/>
              <w:spacing w:line="400" w:lineRule="exact"/>
              <w:ind w:firstLine="422" w:firstLineChars="200"/>
              <w:rPr>
                <w:b/>
                <w:bCs/>
                <w:color w:val="auto"/>
                <w:kern w:val="0"/>
                <w:szCs w:val="21"/>
                <w:highlight w:val="none"/>
              </w:rPr>
            </w:pPr>
            <w:r>
              <w:rPr>
                <w:b/>
                <w:bCs/>
                <w:color w:val="auto"/>
                <w:kern w:val="0"/>
                <w:szCs w:val="21"/>
                <w:highlight w:val="none"/>
              </w:rPr>
              <w:t>3、噪声</w:t>
            </w:r>
          </w:p>
          <w:p w14:paraId="79CE7309">
            <w:pPr>
              <w:adjustRightInd w:val="0"/>
              <w:spacing w:line="400" w:lineRule="exact"/>
              <w:ind w:firstLine="420" w:firstLineChars="200"/>
              <w:rPr>
                <w:b/>
                <w:bCs/>
                <w:color w:val="auto"/>
                <w:szCs w:val="21"/>
                <w:highlight w:val="none"/>
              </w:rPr>
            </w:pPr>
            <w:r>
              <w:rPr>
                <w:color w:val="auto"/>
                <w:szCs w:val="21"/>
                <w:highlight w:val="none"/>
              </w:rPr>
              <w:t>施工期执行《建筑施工噪声排放标准》（GB 12523 - 2025）</w:t>
            </w:r>
            <w:r>
              <w:rPr>
                <w:rFonts w:hint="eastAsia"/>
                <w:color w:val="auto"/>
                <w:szCs w:val="21"/>
                <w:highlight w:val="none"/>
              </w:rPr>
              <w:t>；</w:t>
            </w:r>
            <w:r>
              <w:rPr>
                <w:color w:val="auto"/>
                <w:kern w:val="0"/>
                <w:szCs w:val="21"/>
                <w:highlight w:val="none"/>
              </w:rPr>
              <w:t>项目</w:t>
            </w:r>
            <w:r>
              <w:rPr>
                <w:rFonts w:hint="eastAsia"/>
                <w:color w:val="auto"/>
                <w:kern w:val="0"/>
                <w:szCs w:val="21"/>
                <w:highlight w:val="none"/>
              </w:rPr>
              <w:t>厂界</w:t>
            </w:r>
            <w:r>
              <w:rPr>
                <w:color w:val="auto"/>
                <w:kern w:val="0"/>
                <w:szCs w:val="21"/>
                <w:highlight w:val="none"/>
              </w:rPr>
              <w:t>噪声执行《工业企业厂界环境噪声排放标准》（GB12348-2008）中的</w:t>
            </w:r>
            <w:r>
              <w:rPr>
                <w:rFonts w:hint="eastAsia"/>
                <w:color w:val="auto"/>
                <w:kern w:val="0"/>
                <w:szCs w:val="21"/>
                <w:highlight w:val="none"/>
              </w:rPr>
              <w:t>3类</w:t>
            </w:r>
            <w:r>
              <w:rPr>
                <w:color w:val="auto"/>
                <w:kern w:val="0"/>
                <w:szCs w:val="21"/>
                <w:highlight w:val="none"/>
              </w:rPr>
              <w:t>标准</w:t>
            </w:r>
            <w:r>
              <w:rPr>
                <w:rFonts w:hint="eastAsia"/>
                <w:color w:val="auto"/>
                <w:kern w:val="0"/>
                <w:szCs w:val="21"/>
                <w:highlight w:val="none"/>
              </w:rPr>
              <w:t>，</w:t>
            </w:r>
            <w:r>
              <w:rPr>
                <w:color w:val="auto"/>
                <w:kern w:val="0"/>
                <w:szCs w:val="21"/>
                <w:highlight w:val="none"/>
              </w:rPr>
              <w:t>标准值见表3-</w:t>
            </w:r>
            <w:r>
              <w:rPr>
                <w:rFonts w:hint="eastAsia"/>
                <w:color w:val="auto"/>
                <w:kern w:val="0"/>
                <w:szCs w:val="21"/>
                <w:highlight w:val="none"/>
              </w:rPr>
              <w:t>12</w:t>
            </w:r>
            <w:r>
              <w:rPr>
                <w:color w:val="auto"/>
                <w:kern w:val="0"/>
                <w:szCs w:val="21"/>
                <w:highlight w:val="none"/>
              </w:rPr>
              <w:t>。</w:t>
            </w:r>
            <w:bookmarkStart w:id="38" w:name="_Ref196743448"/>
          </w:p>
          <w:p w14:paraId="3E21DF66">
            <w:pPr>
              <w:adjustRightInd w:val="0"/>
              <w:snapToGrid w:val="0"/>
              <w:jc w:val="center"/>
              <w:rPr>
                <w:b/>
                <w:bCs/>
                <w:color w:val="auto"/>
                <w:kern w:val="0"/>
                <w:szCs w:val="21"/>
                <w:highlight w:val="none"/>
              </w:rPr>
            </w:pPr>
            <w:r>
              <w:rPr>
                <w:rFonts w:hint="eastAsia"/>
                <w:b/>
                <w:bCs/>
                <w:color w:val="auto"/>
                <w:szCs w:val="21"/>
                <w:highlight w:val="none"/>
              </w:rPr>
              <w:t>表</w:t>
            </w:r>
            <w:bookmarkEnd w:id="38"/>
            <w:r>
              <w:rPr>
                <w:rFonts w:hint="eastAsia"/>
                <w:b/>
                <w:bCs/>
                <w:color w:val="auto"/>
                <w:szCs w:val="21"/>
                <w:highlight w:val="none"/>
              </w:rPr>
              <w:t>3-12 噪声排放标准</w:t>
            </w:r>
            <w:r>
              <w:rPr>
                <w:b/>
                <w:bCs/>
                <w:color w:val="auto"/>
                <w:kern w:val="0"/>
                <w:szCs w:val="21"/>
                <w:highlight w:val="none"/>
              </w:rPr>
              <w:t xml:space="preserve">  单位：dB（A）</w:t>
            </w:r>
          </w:p>
          <w:tbl>
            <w:tblPr>
              <w:tblStyle w:val="22"/>
              <w:tblW w:w="8135" w:type="dxa"/>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033"/>
              <w:gridCol w:w="2034"/>
              <w:gridCol w:w="2034"/>
              <w:gridCol w:w="2034"/>
            </w:tblGrid>
            <w:tr w14:paraId="333F71D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29" w:hRule="atLeast"/>
                <w:jc w:val="center"/>
              </w:trPr>
              <w:tc>
                <w:tcPr>
                  <w:tcW w:w="1249" w:type="pct"/>
                  <w:vMerge w:val="restart"/>
                  <w:tcBorders>
                    <w:top w:val="single" w:color="auto" w:sz="12" w:space="0"/>
                  </w:tcBorders>
                  <w:noWrap/>
                  <w:tcMar>
                    <w:top w:w="17" w:type="dxa"/>
                    <w:left w:w="17" w:type="dxa"/>
                    <w:bottom w:w="0" w:type="dxa"/>
                    <w:right w:w="17" w:type="dxa"/>
                  </w:tcMar>
                  <w:vAlign w:val="center"/>
                </w:tcPr>
                <w:p w14:paraId="19209F60">
                  <w:pPr>
                    <w:adjustRightInd w:val="0"/>
                    <w:snapToGrid w:val="0"/>
                    <w:jc w:val="center"/>
                    <w:rPr>
                      <w:color w:val="auto"/>
                      <w:kern w:val="0"/>
                      <w:sz w:val="18"/>
                      <w:szCs w:val="18"/>
                      <w:highlight w:val="none"/>
                    </w:rPr>
                  </w:pPr>
                  <w:r>
                    <w:rPr>
                      <w:color w:val="auto"/>
                      <w:kern w:val="0"/>
                      <w:sz w:val="18"/>
                      <w:szCs w:val="18"/>
                      <w:highlight w:val="none"/>
                    </w:rPr>
                    <w:t>时段</w:t>
                  </w:r>
                </w:p>
              </w:tc>
              <w:tc>
                <w:tcPr>
                  <w:tcW w:w="1250" w:type="pct"/>
                  <w:vMerge w:val="restart"/>
                  <w:tcBorders>
                    <w:top w:val="single" w:color="auto" w:sz="12" w:space="0"/>
                  </w:tcBorders>
                  <w:noWrap/>
                  <w:tcMar>
                    <w:top w:w="17" w:type="dxa"/>
                    <w:left w:w="17" w:type="dxa"/>
                    <w:bottom w:w="0" w:type="dxa"/>
                    <w:right w:w="17" w:type="dxa"/>
                  </w:tcMar>
                  <w:vAlign w:val="center"/>
                </w:tcPr>
                <w:p w14:paraId="67B99CE2">
                  <w:pPr>
                    <w:adjustRightInd w:val="0"/>
                    <w:snapToGrid w:val="0"/>
                    <w:jc w:val="center"/>
                    <w:rPr>
                      <w:color w:val="auto"/>
                      <w:kern w:val="0"/>
                      <w:sz w:val="18"/>
                      <w:szCs w:val="18"/>
                      <w:highlight w:val="none"/>
                    </w:rPr>
                  </w:pPr>
                  <w:r>
                    <w:rPr>
                      <w:color w:val="auto"/>
                      <w:kern w:val="0"/>
                      <w:sz w:val="18"/>
                      <w:szCs w:val="18"/>
                      <w:highlight w:val="none"/>
                    </w:rPr>
                    <w:t>标准</w:t>
                  </w:r>
                </w:p>
              </w:tc>
              <w:tc>
                <w:tcPr>
                  <w:tcW w:w="2500" w:type="pct"/>
                  <w:gridSpan w:val="2"/>
                  <w:tcBorders>
                    <w:top w:val="single" w:color="auto" w:sz="12" w:space="0"/>
                  </w:tcBorders>
                  <w:noWrap/>
                  <w:tcMar>
                    <w:top w:w="17" w:type="dxa"/>
                    <w:left w:w="17" w:type="dxa"/>
                    <w:bottom w:w="0" w:type="dxa"/>
                    <w:right w:w="17" w:type="dxa"/>
                  </w:tcMar>
                  <w:vAlign w:val="center"/>
                </w:tcPr>
                <w:p w14:paraId="7DE60EC9">
                  <w:pPr>
                    <w:adjustRightInd w:val="0"/>
                    <w:snapToGrid w:val="0"/>
                    <w:jc w:val="center"/>
                    <w:rPr>
                      <w:color w:val="auto"/>
                      <w:kern w:val="0"/>
                      <w:sz w:val="18"/>
                      <w:szCs w:val="18"/>
                      <w:highlight w:val="none"/>
                    </w:rPr>
                  </w:pPr>
                  <w:r>
                    <w:rPr>
                      <w:color w:val="auto"/>
                      <w:kern w:val="0"/>
                      <w:sz w:val="18"/>
                      <w:szCs w:val="18"/>
                      <w:highlight w:val="none"/>
                    </w:rPr>
                    <w:t>标准值</w:t>
                  </w:r>
                </w:p>
              </w:tc>
            </w:tr>
            <w:tr w14:paraId="3504BD3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6" w:hRule="atLeast"/>
                <w:jc w:val="center"/>
              </w:trPr>
              <w:tc>
                <w:tcPr>
                  <w:tcW w:w="1249" w:type="pct"/>
                  <w:vMerge w:val="continue"/>
                  <w:noWrap/>
                  <w:vAlign w:val="center"/>
                </w:tcPr>
                <w:p w14:paraId="0BDDF8C8">
                  <w:pPr>
                    <w:adjustRightInd w:val="0"/>
                    <w:snapToGrid w:val="0"/>
                    <w:jc w:val="center"/>
                    <w:rPr>
                      <w:color w:val="auto"/>
                      <w:kern w:val="0"/>
                      <w:sz w:val="18"/>
                      <w:szCs w:val="18"/>
                      <w:highlight w:val="none"/>
                    </w:rPr>
                  </w:pPr>
                </w:p>
              </w:tc>
              <w:tc>
                <w:tcPr>
                  <w:tcW w:w="1250" w:type="pct"/>
                  <w:vMerge w:val="continue"/>
                  <w:noWrap/>
                  <w:vAlign w:val="center"/>
                </w:tcPr>
                <w:p w14:paraId="79A01105">
                  <w:pPr>
                    <w:adjustRightInd w:val="0"/>
                    <w:snapToGrid w:val="0"/>
                    <w:jc w:val="center"/>
                    <w:rPr>
                      <w:color w:val="auto"/>
                      <w:kern w:val="0"/>
                      <w:sz w:val="18"/>
                      <w:szCs w:val="18"/>
                      <w:highlight w:val="none"/>
                    </w:rPr>
                  </w:pPr>
                </w:p>
              </w:tc>
              <w:tc>
                <w:tcPr>
                  <w:tcW w:w="1250" w:type="pct"/>
                  <w:noWrap/>
                  <w:tcMar>
                    <w:top w:w="17" w:type="dxa"/>
                    <w:left w:w="17" w:type="dxa"/>
                    <w:bottom w:w="0" w:type="dxa"/>
                    <w:right w:w="17" w:type="dxa"/>
                  </w:tcMar>
                  <w:vAlign w:val="center"/>
                </w:tcPr>
                <w:p w14:paraId="2F3F0CF7">
                  <w:pPr>
                    <w:adjustRightInd w:val="0"/>
                    <w:snapToGrid w:val="0"/>
                    <w:jc w:val="center"/>
                    <w:rPr>
                      <w:color w:val="auto"/>
                      <w:kern w:val="0"/>
                      <w:sz w:val="18"/>
                      <w:szCs w:val="18"/>
                      <w:highlight w:val="none"/>
                    </w:rPr>
                  </w:pPr>
                  <w:r>
                    <w:rPr>
                      <w:color w:val="auto"/>
                      <w:kern w:val="0"/>
                      <w:sz w:val="18"/>
                      <w:szCs w:val="18"/>
                      <w:highlight w:val="none"/>
                    </w:rPr>
                    <w:t>昼间</w:t>
                  </w:r>
                </w:p>
              </w:tc>
              <w:tc>
                <w:tcPr>
                  <w:tcW w:w="1250" w:type="pct"/>
                  <w:noWrap/>
                  <w:tcMar>
                    <w:top w:w="17" w:type="dxa"/>
                    <w:left w:w="17" w:type="dxa"/>
                    <w:bottom w:w="0" w:type="dxa"/>
                    <w:right w:w="17" w:type="dxa"/>
                  </w:tcMar>
                  <w:vAlign w:val="center"/>
                </w:tcPr>
                <w:p w14:paraId="0298F5AE">
                  <w:pPr>
                    <w:adjustRightInd w:val="0"/>
                    <w:snapToGrid w:val="0"/>
                    <w:jc w:val="center"/>
                    <w:rPr>
                      <w:color w:val="auto"/>
                      <w:kern w:val="0"/>
                      <w:sz w:val="18"/>
                      <w:szCs w:val="18"/>
                      <w:highlight w:val="none"/>
                    </w:rPr>
                  </w:pPr>
                  <w:r>
                    <w:rPr>
                      <w:color w:val="auto"/>
                      <w:kern w:val="0"/>
                      <w:sz w:val="18"/>
                      <w:szCs w:val="18"/>
                      <w:highlight w:val="none"/>
                    </w:rPr>
                    <w:t>夜间</w:t>
                  </w:r>
                </w:p>
              </w:tc>
            </w:tr>
            <w:tr w14:paraId="112728CC">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6" w:hRule="atLeast"/>
                <w:jc w:val="center"/>
              </w:trPr>
              <w:tc>
                <w:tcPr>
                  <w:tcW w:w="1249" w:type="pct"/>
                  <w:noWrap/>
                  <w:vAlign w:val="center"/>
                </w:tcPr>
                <w:p w14:paraId="6EBC37D4">
                  <w:pPr>
                    <w:adjustRightInd w:val="0"/>
                    <w:snapToGrid w:val="0"/>
                    <w:jc w:val="center"/>
                    <w:rPr>
                      <w:color w:val="auto"/>
                      <w:kern w:val="0"/>
                      <w:sz w:val="18"/>
                      <w:szCs w:val="18"/>
                      <w:highlight w:val="none"/>
                    </w:rPr>
                  </w:pPr>
                  <w:r>
                    <w:rPr>
                      <w:color w:val="auto"/>
                      <w:kern w:val="0"/>
                      <w:sz w:val="18"/>
                      <w:szCs w:val="18"/>
                      <w:highlight w:val="none"/>
                    </w:rPr>
                    <w:t>施工期</w:t>
                  </w:r>
                </w:p>
              </w:tc>
              <w:tc>
                <w:tcPr>
                  <w:tcW w:w="1250" w:type="pct"/>
                  <w:noWrap/>
                  <w:vAlign w:val="center"/>
                </w:tcPr>
                <w:p w14:paraId="0A02144C">
                  <w:pPr>
                    <w:adjustRightInd w:val="0"/>
                    <w:snapToGrid w:val="0"/>
                    <w:jc w:val="center"/>
                    <w:rPr>
                      <w:color w:val="auto"/>
                      <w:kern w:val="0"/>
                      <w:sz w:val="18"/>
                      <w:szCs w:val="18"/>
                      <w:highlight w:val="none"/>
                    </w:rPr>
                  </w:pPr>
                  <w:r>
                    <w:rPr>
                      <w:rFonts w:hint="eastAsia"/>
                      <w:color w:val="auto"/>
                      <w:kern w:val="0"/>
                      <w:sz w:val="18"/>
                      <w:szCs w:val="18"/>
                      <w:highlight w:val="none"/>
                    </w:rPr>
                    <w:t>GB 12523 - 2025</w:t>
                  </w:r>
                </w:p>
              </w:tc>
              <w:tc>
                <w:tcPr>
                  <w:tcW w:w="1250" w:type="pct"/>
                  <w:noWrap/>
                  <w:tcMar>
                    <w:top w:w="17" w:type="dxa"/>
                    <w:left w:w="17" w:type="dxa"/>
                    <w:bottom w:w="0" w:type="dxa"/>
                    <w:right w:w="17" w:type="dxa"/>
                  </w:tcMar>
                  <w:vAlign w:val="center"/>
                </w:tcPr>
                <w:p w14:paraId="0C070CBA">
                  <w:pPr>
                    <w:adjustRightInd w:val="0"/>
                    <w:snapToGrid w:val="0"/>
                    <w:jc w:val="center"/>
                    <w:rPr>
                      <w:color w:val="auto"/>
                      <w:kern w:val="0"/>
                      <w:sz w:val="18"/>
                      <w:szCs w:val="18"/>
                      <w:highlight w:val="none"/>
                    </w:rPr>
                  </w:pPr>
                  <w:r>
                    <w:rPr>
                      <w:color w:val="auto"/>
                      <w:kern w:val="0"/>
                      <w:sz w:val="18"/>
                      <w:szCs w:val="18"/>
                      <w:highlight w:val="none"/>
                    </w:rPr>
                    <w:t>70</w:t>
                  </w:r>
                </w:p>
              </w:tc>
              <w:tc>
                <w:tcPr>
                  <w:tcW w:w="1250" w:type="pct"/>
                  <w:noWrap/>
                  <w:tcMar>
                    <w:top w:w="17" w:type="dxa"/>
                    <w:left w:w="17" w:type="dxa"/>
                    <w:bottom w:w="0" w:type="dxa"/>
                    <w:right w:w="17" w:type="dxa"/>
                  </w:tcMar>
                  <w:vAlign w:val="center"/>
                </w:tcPr>
                <w:p w14:paraId="75C83998">
                  <w:pPr>
                    <w:adjustRightInd w:val="0"/>
                    <w:snapToGrid w:val="0"/>
                    <w:jc w:val="center"/>
                    <w:rPr>
                      <w:color w:val="auto"/>
                      <w:kern w:val="0"/>
                      <w:sz w:val="18"/>
                      <w:szCs w:val="18"/>
                      <w:highlight w:val="none"/>
                    </w:rPr>
                  </w:pPr>
                  <w:r>
                    <w:rPr>
                      <w:color w:val="auto"/>
                      <w:kern w:val="0"/>
                      <w:sz w:val="18"/>
                      <w:szCs w:val="18"/>
                      <w:highlight w:val="none"/>
                    </w:rPr>
                    <w:t>55</w:t>
                  </w:r>
                </w:p>
              </w:tc>
            </w:tr>
            <w:tr w14:paraId="152D6C28">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2" w:hRule="atLeast"/>
                <w:jc w:val="center"/>
              </w:trPr>
              <w:tc>
                <w:tcPr>
                  <w:tcW w:w="1249" w:type="pct"/>
                  <w:tcBorders>
                    <w:bottom w:val="single" w:color="auto" w:sz="12" w:space="0"/>
                  </w:tcBorders>
                  <w:noWrap/>
                  <w:vAlign w:val="center"/>
                </w:tcPr>
                <w:p w14:paraId="70F08120">
                  <w:pPr>
                    <w:adjustRightInd w:val="0"/>
                    <w:snapToGrid w:val="0"/>
                    <w:jc w:val="center"/>
                    <w:rPr>
                      <w:color w:val="auto"/>
                      <w:kern w:val="0"/>
                      <w:sz w:val="18"/>
                      <w:szCs w:val="18"/>
                      <w:highlight w:val="none"/>
                    </w:rPr>
                  </w:pPr>
                  <w:r>
                    <w:rPr>
                      <w:color w:val="auto"/>
                      <w:kern w:val="0"/>
                      <w:sz w:val="18"/>
                      <w:szCs w:val="18"/>
                      <w:highlight w:val="none"/>
                    </w:rPr>
                    <w:t>运营期</w:t>
                  </w:r>
                </w:p>
              </w:tc>
              <w:tc>
                <w:tcPr>
                  <w:tcW w:w="1250" w:type="pct"/>
                  <w:tcBorders>
                    <w:bottom w:val="single" w:color="auto" w:sz="12" w:space="0"/>
                  </w:tcBorders>
                  <w:noWrap/>
                  <w:vAlign w:val="center"/>
                </w:tcPr>
                <w:p w14:paraId="7873414A">
                  <w:pPr>
                    <w:adjustRightInd w:val="0"/>
                    <w:snapToGrid w:val="0"/>
                    <w:jc w:val="center"/>
                    <w:rPr>
                      <w:color w:val="auto"/>
                      <w:kern w:val="0"/>
                      <w:sz w:val="18"/>
                      <w:szCs w:val="18"/>
                      <w:highlight w:val="none"/>
                    </w:rPr>
                  </w:pPr>
                  <w:r>
                    <w:rPr>
                      <w:color w:val="auto"/>
                      <w:kern w:val="0"/>
                      <w:sz w:val="18"/>
                      <w:szCs w:val="18"/>
                      <w:highlight w:val="none"/>
                    </w:rPr>
                    <w:t xml:space="preserve">GB12348-2008 </w:t>
                  </w:r>
                  <w:r>
                    <w:rPr>
                      <w:rFonts w:hint="eastAsia"/>
                      <w:color w:val="auto"/>
                      <w:kern w:val="0"/>
                      <w:sz w:val="18"/>
                      <w:szCs w:val="18"/>
                      <w:highlight w:val="none"/>
                    </w:rPr>
                    <w:t>3类</w:t>
                  </w:r>
                </w:p>
              </w:tc>
              <w:tc>
                <w:tcPr>
                  <w:tcW w:w="1250" w:type="pct"/>
                  <w:tcBorders>
                    <w:bottom w:val="single" w:color="auto" w:sz="12" w:space="0"/>
                  </w:tcBorders>
                  <w:noWrap/>
                  <w:tcMar>
                    <w:top w:w="17" w:type="dxa"/>
                    <w:left w:w="17" w:type="dxa"/>
                    <w:bottom w:w="0" w:type="dxa"/>
                    <w:right w:w="17" w:type="dxa"/>
                  </w:tcMar>
                  <w:vAlign w:val="center"/>
                </w:tcPr>
                <w:p w14:paraId="19EE3754">
                  <w:pPr>
                    <w:adjustRightInd w:val="0"/>
                    <w:snapToGrid w:val="0"/>
                    <w:jc w:val="center"/>
                    <w:rPr>
                      <w:color w:val="auto"/>
                      <w:kern w:val="0"/>
                      <w:sz w:val="18"/>
                      <w:szCs w:val="18"/>
                      <w:highlight w:val="none"/>
                    </w:rPr>
                  </w:pPr>
                  <w:r>
                    <w:rPr>
                      <w:color w:val="auto"/>
                      <w:kern w:val="0"/>
                      <w:sz w:val="18"/>
                      <w:szCs w:val="18"/>
                      <w:highlight w:val="none"/>
                    </w:rPr>
                    <w:t>6</w:t>
                  </w:r>
                  <w:r>
                    <w:rPr>
                      <w:rFonts w:hint="eastAsia"/>
                      <w:color w:val="auto"/>
                      <w:kern w:val="0"/>
                      <w:sz w:val="18"/>
                      <w:szCs w:val="18"/>
                      <w:highlight w:val="none"/>
                    </w:rPr>
                    <w:t>5</w:t>
                  </w:r>
                </w:p>
              </w:tc>
              <w:tc>
                <w:tcPr>
                  <w:tcW w:w="1250" w:type="pct"/>
                  <w:tcBorders>
                    <w:bottom w:val="single" w:color="auto" w:sz="12" w:space="0"/>
                  </w:tcBorders>
                  <w:noWrap/>
                  <w:tcMar>
                    <w:top w:w="17" w:type="dxa"/>
                    <w:left w:w="17" w:type="dxa"/>
                    <w:bottom w:w="0" w:type="dxa"/>
                    <w:right w:w="17" w:type="dxa"/>
                  </w:tcMar>
                  <w:vAlign w:val="center"/>
                </w:tcPr>
                <w:p w14:paraId="552ED6B9">
                  <w:pPr>
                    <w:adjustRightInd w:val="0"/>
                    <w:snapToGrid w:val="0"/>
                    <w:jc w:val="center"/>
                    <w:rPr>
                      <w:color w:val="auto"/>
                      <w:kern w:val="0"/>
                      <w:sz w:val="18"/>
                      <w:szCs w:val="18"/>
                      <w:highlight w:val="none"/>
                    </w:rPr>
                  </w:pPr>
                  <w:r>
                    <w:rPr>
                      <w:rFonts w:hint="eastAsia"/>
                      <w:color w:val="auto"/>
                      <w:kern w:val="0"/>
                      <w:sz w:val="18"/>
                      <w:szCs w:val="18"/>
                      <w:highlight w:val="none"/>
                    </w:rPr>
                    <w:t>55</w:t>
                  </w:r>
                </w:p>
              </w:tc>
            </w:tr>
          </w:tbl>
          <w:p w14:paraId="5C45DF71">
            <w:pPr>
              <w:adjustRightInd w:val="0"/>
              <w:snapToGrid w:val="0"/>
              <w:spacing w:line="360" w:lineRule="auto"/>
              <w:ind w:firstLine="422" w:firstLineChars="200"/>
              <w:rPr>
                <w:b/>
                <w:bCs/>
                <w:color w:val="auto"/>
                <w:kern w:val="0"/>
                <w:szCs w:val="21"/>
                <w:highlight w:val="none"/>
              </w:rPr>
            </w:pPr>
            <w:r>
              <w:rPr>
                <w:rFonts w:hint="eastAsia"/>
                <w:b/>
                <w:bCs/>
                <w:color w:val="auto"/>
                <w:kern w:val="0"/>
                <w:szCs w:val="21"/>
                <w:highlight w:val="none"/>
              </w:rPr>
              <w:t>4、</w:t>
            </w:r>
            <w:r>
              <w:rPr>
                <w:b/>
                <w:bCs/>
                <w:color w:val="auto"/>
                <w:kern w:val="0"/>
                <w:szCs w:val="21"/>
                <w:highlight w:val="none"/>
              </w:rPr>
              <w:t>固体废物</w:t>
            </w:r>
          </w:p>
          <w:p w14:paraId="60B5B0C3">
            <w:pPr>
              <w:adjustRightInd w:val="0"/>
              <w:snapToGrid w:val="0"/>
              <w:spacing w:line="360" w:lineRule="auto"/>
              <w:ind w:firstLine="420" w:firstLineChars="200"/>
              <w:rPr>
                <w:color w:val="auto"/>
                <w:highlight w:val="none"/>
              </w:rPr>
            </w:pPr>
            <w:r>
              <w:rPr>
                <w:color w:val="auto"/>
                <w:szCs w:val="21"/>
                <w:highlight w:val="none"/>
              </w:rPr>
              <w:t>本项目一般工业固废执行《一般工业固体废物贮存和填埋污染控制标准》（GB18599-2020）、《固体废物分类与代码目录》（生态环境部公告 2024 年第 4 号）；危险废物执行《危险废物贮存污染控制标准》（GB18597-2023）中的相关规定。</w:t>
            </w:r>
          </w:p>
        </w:tc>
      </w:tr>
      <w:tr w14:paraId="019827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4" w:hRule="atLeast"/>
          <w:jc w:val="center"/>
        </w:trPr>
        <w:tc>
          <w:tcPr>
            <w:tcW w:w="678" w:type="dxa"/>
            <w:vAlign w:val="center"/>
          </w:tcPr>
          <w:p w14:paraId="28DBFB88">
            <w:pPr>
              <w:adjustRightInd w:val="0"/>
              <w:snapToGrid w:val="0"/>
              <w:jc w:val="center"/>
              <w:rPr>
                <w:color w:val="auto"/>
                <w:kern w:val="0"/>
                <w:szCs w:val="21"/>
                <w:highlight w:val="none"/>
              </w:rPr>
            </w:pPr>
            <w:r>
              <w:rPr>
                <w:color w:val="auto"/>
                <w:kern w:val="0"/>
                <w:szCs w:val="21"/>
                <w:highlight w:val="none"/>
              </w:rPr>
              <w:t>总量</w:t>
            </w:r>
          </w:p>
          <w:p w14:paraId="6871D709">
            <w:pPr>
              <w:adjustRightInd w:val="0"/>
              <w:snapToGrid w:val="0"/>
              <w:jc w:val="center"/>
              <w:rPr>
                <w:color w:val="auto"/>
                <w:kern w:val="0"/>
                <w:szCs w:val="21"/>
                <w:highlight w:val="none"/>
              </w:rPr>
            </w:pPr>
            <w:r>
              <w:rPr>
                <w:color w:val="auto"/>
                <w:kern w:val="0"/>
                <w:szCs w:val="21"/>
                <w:highlight w:val="none"/>
              </w:rPr>
              <w:t>控制</w:t>
            </w:r>
          </w:p>
          <w:p w14:paraId="2C64D3B6">
            <w:pPr>
              <w:adjustRightInd w:val="0"/>
              <w:snapToGrid w:val="0"/>
              <w:jc w:val="center"/>
              <w:rPr>
                <w:color w:val="auto"/>
                <w:kern w:val="0"/>
                <w:szCs w:val="21"/>
                <w:highlight w:val="none"/>
              </w:rPr>
            </w:pPr>
            <w:r>
              <w:rPr>
                <w:color w:val="auto"/>
                <w:kern w:val="0"/>
                <w:szCs w:val="21"/>
                <w:highlight w:val="none"/>
              </w:rPr>
              <w:t>指标</w:t>
            </w:r>
          </w:p>
        </w:tc>
        <w:tc>
          <w:tcPr>
            <w:tcW w:w="8283" w:type="dxa"/>
            <w:vAlign w:val="center"/>
          </w:tcPr>
          <w:p w14:paraId="4DC14DC0">
            <w:pPr>
              <w:keepNext w:val="0"/>
              <w:keepLines w:val="0"/>
              <w:suppressLineNumbers w:val="0"/>
              <w:tabs>
                <w:tab w:val="left" w:pos="5046"/>
              </w:tabs>
              <w:spacing w:before="0" w:beforeAutospacing="0" w:after="0" w:afterAutospacing="0"/>
              <w:ind w:left="0" w:right="0"/>
              <w:jc w:val="center"/>
              <w:rPr>
                <w:rFonts w:hint="eastAsia" w:cs="Times New Roman"/>
                <w:color w:val="auto"/>
                <w:kern w:val="0"/>
                <w:szCs w:val="21"/>
                <w:highlight w:val="none"/>
                <w:lang w:val="en-US"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-13污染物预测排放量及“三本帐”一览</w:t>
            </w:r>
            <w:r>
              <w:rPr>
                <w:rFonts w:hint="eastAsia"/>
                <w:b/>
                <w:color w:val="auto"/>
                <w:szCs w:val="21"/>
                <w:highlight w:val="none"/>
              </w:rPr>
              <w:t>表</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22"/>
              <w:tblW w:w="803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335"/>
              <w:gridCol w:w="1140"/>
              <w:gridCol w:w="1275"/>
              <w:gridCol w:w="1560"/>
              <w:gridCol w:w="1556"/>
            </w:tblGrid>
            <w:tr w14:paraId="05C1FC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9" w:type="dxa"/>
                  <w:noWrap w:val="0"/>
                  <w:vAlign w:val="center"/>
                </w:tcPr>
                <w:p w14:paraId="6FE755CF">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bCs/>
                      <w:color w:val="auto"/>
                      <w:sz w:val="18"/>
                      <w:szCs w:val="18"/>
                      <w:highlight w:val="none"/>
                    </w:rPr>
                    <w:t>名称</w:t>
                  </w:r>
                </w:p>
              </w:tc>
              <w:tc>
                <w:tcPr>
                  <w:tcW w:w="1335" w:type="dxa"/>
                  <w:noWrap w:val="0"/>
                  <w:vAlign w:val="center"/>
                </w:tcPr>
                <w:p w14:paraId="5D8BB46C">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现有工程</w:t>
                  </w:r>
                  <w:r>
                    <w:rPr>
                      <w:rFonts w:hint="eastAsia"/>
                      <w:color w:val="auto"/>
                      <w:sz w:val="18"/>
                      <w:szCs w:val="18"/>
                      <w:highlight w:val="none"/>
                    </w:rPr>
                    <w:t>排放量</w:t>
                  </w:r>
                  <w:r>
                    <w:rPr>
                      <w:rFonts w:hint="default"/>
                      <w:color w:val="auto"/>
                      <w:sz w:val="18"/>
                      <w:szCs w:val="18"/>
                      <w:highlight w:val="none"/>
                    </w:rPr>
                    <w:t>（t/a）</w:t>
                  </w:r>
                </w:p>
              </w:tc>
              <w:tc>
                <w:tcPr>
                  <w:tcW w:w="1140" w:type="dxa"/>
                  <w:noWrap w:val="0"/>
                  <w:vAlign w:val="center"/>
                </w:tcPr>
                <w:p w14:paraId="0C82CE73">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本工程预测排放量（t/a）</w:t>
                  </w:r>
                </w:p>
              </w:tc>
              <w:tc>
                <w:tcPr>
                  <w:tcW w:w="1275" w:type="dxa"/>
                  <w:noWrap w:val="0"/>
                  <w:vAlign w:val="center"/>
                </w:tcPr>
                <w:p w14:paraId="691B9E9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ascii="宋体" w:hAnsi="宋体" w:eastAsia="宋体" w:cs="宋体"/>
                      <w:color w:val="auto"/>
                      <w:sz w:val="18"/>
                      <w:szCs w:val="18"/>
                      <w:highlight w:val="none"/>
                    </w:rPr>
                    <w:t>“以新带老”</w:t>
                  </w:r>
                  <w:r>
                    <w:rPr>
                      <w:rFonts w:hint="default"/>
                      <w:color w:val="auto"/>
                      <w:sz w:val="18"/>
                      <w:szCs w:val="18"/>
                      <w:highlight w:val="none"/>
                    </w:rPr>
                    <w:t>削减量（t/a）</w:t>
                  </w:r>
                </w:p>
              </w:tc>
              <w:tc>
                <w:tcPr>
                  <w:tcW w:w="1560" w:type="dxa"/>
                  <w:noWrap w:val="0"/>
                  <w:vAlign w:val="center"/>
                </w:tcPr>
                <w:p w14:paraId="067FF9E9">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总体工程预测排放总量（t/a）</w:t>
                  </w:r>
                </w:p>
              </w:tc>
              <w:tc>
                <w:tcPr>
                  <w:tcW w:w="1556" w:type="dxa"/>
                  <w:tcBorders>
                    <w:right w:val="nil"/>
                  </w:tcBorders>
                  <w:noWrap w:val="0"/>
                  <w:vAlign w:val="center"/>
                </w:tcPr>
                <w:p w14:paraId="5F4BA41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总体工程排放增减量（t/a）</w:t>
                  </w:r>
                </w:p>
              </w:tc>
            </w:tr>
            <w:tr w14:paraId="18C3D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69" w:type="dxa"/>
                  <w:noWrap w:val="0"/>
                  <w:vAlign w:val="center"/>
                </w:tcPr>
                <w:p w14:paraId="422F3FA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kern w:val="0"/>
                      <w:sz w:val="18"/>
                      <w:szCs w:val="18"/>
                      <w:highlight w:val="none"/>
                    </w:rPr>
                    <w:t>颗粒物</w:t>
                  </w:r>
                </w:p>
              </w:tc>
              <w:tc>
                <w:tcPr>
                  <w:tcW w:w="1335" w:type="dxa"/>
                  <w:noWrap w:val="0"/>
                  <w:vAlign w:val="center"/>
                </w:tcPr>
                <w:p w14:paraId="11376850">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1.472</w:t>
                  </w:r>
                </w:p>
              </w:tc>
              <w:tc>
                <w:tcPr>
                  <w:tcW w:w="1140" w:type="dxa"/>
                  <w:noWrap w:val="0"/>
                  <w:vAlign w:val="center"/>
                </w:tcPr>
                <w:p w14:paraId="24651C52">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1.183</w:t>
                  </w:r>
                </w:p>
              </w:tc>
              <w:tc>
                <w:tcPr>
                  <w:tcW w:w="1275" w:type="dxa"/>
                  <w:noWrap w:val="0"/>
                  <w:vAlign w:val="center"/>
                </w:tcPr>
                <w:p w14:paraId="6D8A4C63">
                  <w:pPr>
                    <w:keepNext w:val="0"/>
                    <w:keepLines w:val="0"/>
                    <w:suppressLineNumbers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kern w:val="0"/>
                      <w:sz w:val="18"/>
                      <w:szCs w:val="18"/>
                      <w:highlight w:val="none"/>
                      <w:lang w:val="en-US" w:eastAsia="zh-CN" w:bidi="ar-SA"/>
                    </w:rPr>
                    <w:t>1.472</w:t>
                  </w:r>
                </w:p>
              </w:tc>
              <w:tc>
                <w:tcPr>
                  <w:tcW w:w="1560" w:type="dxa"/>
                  <w:noWrap w:val="0"/>
                  <w:vAlign w:val="center"/>
                </w:tcPr>
                <w:p w14:paraId="1B1287CF">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eastAsia="宋体"/>
                      <w:color w:val="auto"/>
                      <w:sz w:val="18"/>
                      <w:szCs w:val="18"/>
                      <w:highlight w:val="none"/>
                      <w:lang w:val="en-US" w:eastAsia="zh-CN"/>
                    </w:rPr>
                  </w:pPr>
                  <w:r>
                    <w:rPr>
                      <w:rFonts w:hint="eastAsia"/>
                      <w:color w:val="auto"/>
                      <w:kern w:val="0"/>
                      <w:sz w:val="18"/>
                      <w:szCs w:val="18"/>
                      <w:highlight w:val="none"/>
                      <w:lang w:val="en-US" w:eastAsia="zh-CN"/>
                    </w:rPr>
                    <w:t>1.183</w:t>
                  </w:r>
                </w:p>
              </w:tc>
              <w:tc>
                <w:tcPr>
                  <w:tcW w:w="1556" w:type="dxa"/>
                  <w:noWrap w:val="0"/>
                  <w:vAlign w:val="center"/>
                </w:tcPr>
                <w:p w14:paraId="30891EF3">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color w:val="auto"/>
                      <w:sz w:val="18"/>
                      <w:szCs w:val="18"/>
                      <w:highlight w:val="none"/>
                      <w:lang w:val="en-US"/>
                    </w:rPr>
                  </w:pPr>
                  <w:r>
                    <w:rPr>
                      <w:rFonts w:hint="eastAsia"/>
                      <w:color w:val="auto"/>
                      <w:kern w:val="2"/>
                      <w:sz w:val="18"/>
                      <w:szCs w:val="18"/>
                      <w:highlight w:val="none"/>
                      <w:lang w:val="en-US" w:eastAsia="zh-CN" w:bidi="zh-CN"/>
                    </w:rPr>
                    <w:t>-0.289</w:t>
                  </w:r>
                </w:p>
              </w:tc>
            </w:tr>
            <w:tr w14:paraId="631945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9" w:type="dxa"/>
                  <w:noWrap w:val="0"/>
                  <w:vAlign w:val="center"/>
                </w:tcPr>
                <w:p w14:paraId="3B2D4731">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VOCs</w:t>
                  </w:r>
                </w:p>
              </w:tc>
              <w:tc>
                <w:tcPr>
                  <w:tcW w:w="1335" w:type="dxa"/>
                  <w:noWrap w:val="0"/>
                  <w:vAlign w:val="center"/>
                </w:tcPr>
                <w:p w14:paraId="09CE58B1">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0</w:t>
                  </w:r>
                </w:p>
              </w:tc>
              <w:tc>
                <w:tcPr>
                  <w:tcW w:w="1140" w:type="dxa"/>
                  <w:noWrap w:val="0"/>
                  <w:vAlign w:val="center"/>
                </w:tcPr>
                <w:p w14:paraId="013849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0.024</w:t>
                  </w:r>
                </w:p>
              </w:tc>
              <w:tc>
                <w:tcPr>
                  <w:tcW w:w="1275" w:type="dxa"/>
                  <w:noWrap w:val="0"/>
                  <w:vAlign w:val="center"/>
                </w:tcPr>
                <w:p w14:paraId="0BFFDE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olor w:val="auto"/>
                      <w:ker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0.024</w:t>
                  </w:r>
                </w:p>
              </w:tc>
              <w:tc>
                <w:tcPr>
                  <w:tcW w:w="1560" w:type="dxa"/>
                  <w:noWrap w:val="0"/>
                  <w:vAlign w:val="center"/>
                </w:tcPr>
                <w:p w14:paraId="0E916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0.024</w:t>
                  </w:r>
                </w:p>
              </w:tc>
              <w:tc>
                <w:tcPr>
                  <w:tcW w:w="1556" w:type="dxa"/>
                  <w:noWrap w:val="0"/>
                  <w:vAlign w:val="center"/>
                </w:tcPr>
                <w:p w14:paraId="64D916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+0.024</w:t>
                  </w:r>
                </w:p>
              </w:tc>
            </w:tr>
          </w:tbl>
          <w:p w14:paraId="58515B25">
            <w:pPr>
              <w:jc w:val="center"/>
              <w:rPr>
                <w:b/>
                <w:bCs/>
                <w:color w:val="auto"/>
                <w:szCs w:val="21"/>
                <w:highlight w:val="none"/>
              </w:rPr>
            </w:pPr>
            <w:r>
              <w:rPr>
                <w:rFonts w:hint="eastAsia"/>
                <w:b/>
                <w:bCs/>
                <w:color w:val="auto"/>
                <w:szCs w:val="21"/>
                <w:highlight w:val="none"/>
              </w:rPr>
              <w:t>表3-1</w:t>
            </w:r>
            <w:r>
              <w:rPr>
                <w:rFonts w:hint="eastAsia"/>
                <w:b/>
                <w:bCs/>
                <w:color w:val="auto"/>
                <w:szCs w:val="21"/>
                <w:highlight w:val="none"/>
                <w:lang w:val="en-US" w:eastAsia="zh-CN"/>
              </w:rPr>
              <w:t>4</w:t>
            </w:r>
            <w:r>
              <w:rPr>
                <w:rFonts w:hint="eastAsia"/>
                <w:b/>
                <w:bCs/>
                <w:color w:val="auto"/>
                <w:szCs w:val="21"/>
                <w:highlight w:val="none"/>
              </w:rPr>
              <w:t xml:space="preserve">  总量控制指标  单位t/a</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2711"/>
              <w:gridCol w:w="4140"/>
            </w:tblGrid>
            <w:tr w14:paraId="4FD1D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95" w:type="dxa"/>
                  <w:gridSpan w:val="2"/>
                  <w:tcBorders>
                    <w:tl2br w:val="nil"/>
                    <w:tr2bl w:val="nil"/>
                  </w:tcBorders>
                  <w:vAlign w:val="center"/>
                </w:tcPr>
                <w:p w14:paraId="5B858444">
                  <w:pPr>
                    <w:jc w:val="center"/>
                    <w:rPr>
                      <w:color w:val="auto"/>
                      <w:kern w:val="0"/>
                      <w:sz w:val="18"/>
                      <w:szCs w:val="18"/>
                      <w:highlight w:val="none"/>
                    </w:rPr>
                  </w:pPr>
                  <w:r>
                    <w:rPr>
                      <w:rFonts w:hint="eastAsia"/>
                      <w:color w:val="auto"/>
                      <w:kern w:val="0"/>
                      <w:sz w:val="18"/>
                      <w:szCs w:val="18"/>
                      <w:highlight w:val="none"/>
                    </w:rPr>
                    <w:t>污染物</w:t>
                  </w:r>
                </w:p>
              </w:tc>
              <w:tc>
                <w:tcPr>
                  <w:tcW w:w="4140" w:type="dxa"/>
                  <w:tcBorders>
                    <w:tl2br w:val="nil"/>
                    <w:tr2bl w:val="nil"/>
                  </w:tcBorders>
                  <w:vAlign w:val="center"/>
                </w:tcPr>
                <w:p w14:paraId="58B7C927">
                  <w:pPr>
                    <w:jc w:val="center"/>
                    <w:rPr>
                      <w:color w:val="auto"/>
                      <w:kern w:val="0"/>
                      <w:sz w:val="18"/>
                      <w:szCs w:val="18"/>
                      <w:highlight w:val="none"/>
                    </w:rPr>
                  </w:pPr>
                  <w:r>
                    <w:rPr>
                      <w:rFonts w:hint="eastAsia"/>
                      <w:color w:val="auto"/>
                      <w:kern w:val="0"/>
                      <w:sz w:val="18"/>
                      <w:szCs w:val="18"/>
                      <w:highlight w:val="none"/>
                    </w:rPr>
                    <w:t>排放量</w:t>
                  </w:r>
                </w:p>
              </w:tc>
            </w:tr>
            <w:tr w14:paraId="250E9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284" w:type="dxa"/>
                  <w:vMerge w:val="restart"/>
                  <w:tcBorders>
                    <w:tl2br w:val="nil"/>
                    <w:tr2bl w:val="nil"/>
                  </w:tcBorders>
                  <w:vAlign w:val="center"/>
                </w:tcPr>
                <w:p w14:paraId="2CAB84B0">
                  <w:pPr>
                    <w:jc w:val="center"/>
                    <w:rPr>
                      <w:color w:val="auto"/>
                      <w:kern w:val="0"/>
                      <w:sz w:val="18"/>
                      <w:szCs w:val="18"/>
                      <w:highlight w:val="none"/>
                    </w:rPr>
                  </w:pPr>
                  <w:r>
                    <w:rPr>
                      <w:rFonts w:hint="eastAsia"/>
                      <w:color w:val="auto"/>
                      <w:kern w:val="0"/>
                      <w:sz w:val="18"/>
                      <w:szCs w:val="18"/>
                      <w:highlight w:val="none"/>
                    </w:rPr>
                    <w:t>废气污染物</w:t>
                  </w:r>
                </w:p>
              </w:tc>
              <w:tc>
                <w:tcPr>
                  <w:tcW w:w="2711" w:type="dxa"/>
                  <w:tcBorders>
                    <w:tl2br w:val="nil"/>
                    <w:tr2bl w:val="nil"/>
                  </w:tcBorders>
                  <w:vAlign w:val="center"/>
                </w:tcPr>
                <w:p w14:paraId="2F7D8FD6">
                  <w:pPr>
                    <w:jc w:val="center"/>
                    <w:rPr>
                      <w:color w:val="auto"/>
                      <w:kern w:val="0"/>
                      <w:sz w:val="18"/>
                      <w:szCs w:val="18"/>
                      <w:highlight w:val="none"/>
                    </w:rPr>
                  </w:pPr>
                  <w:r>
                    <w:rPr>
                      <w:rFonts w:hint="eastAsia"/>
                      <w:color w:val="auto"/>
                      <w:kern w:val="0"/>
                      <w:sz w:val="18"/>
                      <w:szCs w:val="18"/>
                      <w:highlight w:val="none"/>
                    </w:rPr>
                    <w:t>VOCs</w:t>
                  </w:r>
                </w:p>
              </w:tc>
              <w:tc>
                <w:tcPr>
                  <w:tcW w:w="4140" w:type="dxa"/>
                  <w:tcBorders>
                    <w:tl2br w:val="nil"/>
                    <w:tr2bl w:val="nil"/>
                  </w:tcBorders>
                  <w:vAlign w:val="center"/>
                </w:tcPr>
                <w:p w14:paraId="3C97E386">
                  <w:pPr>
                    <w:adjustRightInd w:val="0"/>
                    <w:snapToGrid w:val="0"/>
                    <w:jc w:val="center"/>
                    <w:rPr>
                      <w:rFonts w:hint="eastAsia" w:eastAsia="宋体"/>
                      <w:color w:val="auto"/>
                      <w:kern w:val="0"/>
                      <w:sz w:val="18"/>
                      <w:szCs w:val="18"/>
                      <w:highlight w:val="none"/>
                      <w:lang w:eastAsia="zh-CN"/>
                    </w:rPr>
                  </w:pPr>
                  <w:r>
                    <w:rPr>
                      <w:rFonts w:hint="eastAsia"/>
                      <w:color w:val="auto"/>
                      <w:kern w:val="0"/>
                      <w:sz w:val="18"/>
                      <w:szCs w:val="18"/>
                      <w:highlight w:val="none"/>
                      <w:lang w:eastAsia="zh-CN"/>
                    </w:rPr>
                    <w:t>0.024</w:t>
                  </w:r>
                </w:p>
              </w:tc>
            </w:tr>
            <w:tr w14:paraId="5C1E0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284" w:type="dxa"/>
                  <w:vMerge w:val="continue"/>
                  <w:tcBorders>
                    <w:tl2br w:val="nil"/>
                    <w:tr2bl w:val="nil"/>
                  </w:tcBorders>
                  <w:vAlign w:val="center"/>
                </w:tcPr>
                <w:p w14:paraId="0169C3EE">
                  <w:pPr>
                    <w:jc w:val="center"/>
                    <w:rPr>
                      <w:rFonts w:hint="eastAsia"/>
                      <w:color w:val="auto"/>
                      <w:kern w:val="0"/>
                      <w:sz w:val="18"/>
                      <w:szCs w:val="18"/>
                      <w:highlight w:val="none"/>
                    </w:rPr>
                  </w:pPr>
                </w:p>
              </w:tc>
              <w:tc>
                <w:tcPr>
                  <w:tcW w:w="2711" w:type="dxa"/>
                  <w:tcBorders>
                    <w:tl2br w:val="nil"/>
                    <w:tr2bl w:val="nil"/>
                  </w:tcBorders>
                  <w:vAlign w:val="center"/>
                </w:tcPr>
                <w:p w14:paraId="462C21C7">
                  <w:pPr>
                    <w:jc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颗粒物</w:t>
                  </w:r>
                </w:p>
              </w:tc>
              <w:tc>
                <w:tcPr>
                  <w:tcW w:w="4140" w:type="dxa"/>
                  <w:tcBorders>
                    <w:tl2br w:val="nil"/>
                    <w:tr2bl w:val="nil"/>
                  </w:tcBorders>
                  <w:vAlign w:val="center"/>
                </w:tcPr>
                <w:p w14:paraId="603C96FC">
                  <w:pPr>
                    <w:adjustRightInd w:val="0"/>
                    <w:snapToGrid w:val="0"/>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1.183</w:t>
                  </w:r>
                </w:p>
              </w:tc>
            </w:tr>
          </w:tbl>
          <w:p w14:paraId="3202AB60">
            <w:pPr>
              <w:rPr>
                <w:color w:val="auto"/>
                <w:szCs w:val="21"/>
                <w:highlight w:val="none"/>
              </w:rPr>
            </w:pPr>
          </w:p>
        </w:tc>
      </w:tr>
    </w:tbl>
    <w:p w14:paraId="15D9C2A4">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6"/>
          <w:szCs w:val="36"/>
          <w:highlight w:val="none"/>
        </w:rPr>
        <w:br w:type="page"/>
      </w:r>
      <w:bookmarkStart w:id="39" w:name="_Toc4407"/>
      <w:bookmarkStart w:id="40" w:name="_Toc8609"/>
      <w:bookmarkStart w:id="41" w:name="_Toc17295"/>
      <w:bookmarkStart w:id="42" w:name="_Toc20800"/>
      <w:bookmarkStart w:id="43" w:name="_Toc4691"/>
      <w:r>
        <w:rPr>
          <w:rFonts w:ascii="Times New Roman" w:hAnsi="Times New Roman" w:eastAsia="黑体"/>
          <w:snapToGrid w:val="0"/>
          <w:color w:val="auto"/>
          <w:sz w:val="30"/>
          <w:szCs w:val="30"/>
          <w:highlight w:val="none"/>
        </w:rPr>
        <w:t>四、主要环境影响和保护措施</w:t>
      </w:r>
      <w:bookmarkEnd w:id="39"/>
      <w:bookmarkEnd w:id="40"/>
      <w:bookmarkEnd w:id="41"/>
      <w:bookmarkEnd w:id="42"/>
      <w:bookmarkEnd w:id="43"/>
    </w:p>
    <w:tbl>
      <w:tblPr>
        <w:tblStyle w:val="22"/>
        <w:tblW w:w="89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5"/>
        <w:gridCol w:w="8289"/>
      </w:tblGrid>
      <w:tr w14:paraId="1B1AD8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11" w:hRule="atLeast"/>
          <w:jc w:val="center"/>
        </w:trPr>
        <w:tc>
          <w:tcPr>
            <w:tcW w:w="655" w:type="dxa"/>
            <w:tcMar>
              <w:left w:w="28" w:type="dxa"/>
              <w:right w:w="28" w:type="dxa"/>
            </w:tcMar>
            <w:vAlign w:val="center"/>
          </w:tcPr>
          <w:p w14:paraId="4883A691">
            <w:pPr>
              <w:pStyle w:val="19"/>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施工</w:t>
            </w:r>
          </w:p>
          <w:p w14:paraId="407E539C">
            <w:pPr>
              <w:pStyle w:val="19"/>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期环</w:t>
            </w:r>
          </w:p>
          <w:p w14:paraId="56F21D2C">
            <w:pPr>
              <w:pStyle w:val="19"/>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境保</w:t>
            </w:r>
          </w:p>
          <w:p w14:paraId="7D0839FC">
            <w:pPr>
              <w:pStyle w:val="19"/>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护措</w:t>
            </w:r>
          </w:p>
          <w:p w14:paraId="2327771C">
            <w:pPr>
              <w:pStyle w:val="19"/>
              <w:adjustRightInd w:val="0"/>
              <w:snapToGrid w:val="0"/>
              <w:spacing w:before="0" w:beforeAutospacing="0" w:after="0" w:afterAutospacing="0"/>
              <w:jc w:val="center"/>
              <w:rPr>
                <w:rFonts w:ascii="Times New Roman" w:hAnsi="Times New Roman"/>
                <w:bCs/>
                <w:color w:val="auto"/>
                <w:kern w:val="2"/>
                <w:sz w:val="21"/>
                <w:szCs w:val="21"/>
                <w:highlight w:val="none"/>
              </w:rPr>
            </w:pPr>
            <w:r>
              <w:rPr>
                <w:rFonts w:ascii="Times New Roman" w:hAnsi="Times New Roman"/>
                <w:color w:val="auto"/>
                <w:kern w:val="2"/>
                <w:sz w:val="21"/>
                <w:szCs w:val="21"/>
                <w:highlight w:val="none"/>
              </w:rPr>
              <w:t>施</w:t>
            </w:r>
          </w:p>
        </w:tc>
        <w:tc>
          <w:tcPr>
            <w:tcW w:w="8289" w:type="dxa"/>
          </w:tcPr>
          <w:p w14:paraId="21CD0B00">
            <w:pPr>
              <w:adjustRightInd w:val="0"/>
              <w:snapToGrid w:val="0"/>
              <w:spacing w:line="360" w:lineRule="auto"/>
              <w:rPr>
                <w:b/>
                <w:color w:val="auto"/>
                <w:szCs w:val="21"/>
                <w:highlight w:val="none"/>
              </w:rPr>
            </w:pPr>
            <w:r>
              <w:rPr>
                <w:b/>
                <w:color w:val="auto"/>
                <w:szCs w:val="21"/>
                <w:highlight w:val="none"/>
              </w:rPr>
              <w:t>1、</w:t>
            </w:r>
            <w:r>
              <w:rPr>
                <w:rFonts w:hint="eastAsia"/>
                <w:b/>
                <w:color w:val="auto"/>
                <w:szCs w:val="21"/>
                <w:highlight w:val="none"/>
              </w:rPr>
              <w:t>施工扬尘</w:t>
            </w:r>
          </w:p>
          <w:p w14:paraId="2141D901">
            <w:pPr>
              <w:adjustRightInd w:val="0"/>
              <w:snapToGrid w:val="0"/>
              <w:spacing w:line="360" w:lineRule="auto"/>
              <w:ind w:firstLine="420" w:firstLineChars="200"/>
              <w:rPr>
                <w:color w:val="auto"/>
                <w:szCs w:val="21"/>
                <w:highlight w:val="none"/>
              </w:rPr>
            </w:pPr>
            <w:r>
              <w:rPr>
                <w:color w:val="auto"/>
                <w:szCs w:val="21"/>
                <w:highlight w:val="none"/>
              </w:rPr>
              <w:t>为了减少施工期的环境空气污染，施工现场周边应设置围挡，对施工现场内的施工道路进行硬质覆盖；</w:t>
            </w:r>
            <w:r>
              <w:rPr>
                <w:rFonts w:hint="eastAsia"/>
                <w:color w:val="auto"/>
                <w:szCs w:val="21"/>
                <w:highlight w:val="none"/>
              </w:rPr>
              <w:t>施工</w:t>
            </w:r>
            <w:r>
              <w:rPr>
                <w:color w:val="auto"/>
                <w:szCs w:val="21"/>
                <w:highlight w:val="none"/>
              </w:rPr>
              <w:t>材料</w:t>
            </w:r>
            <w:r>
              <w:rPr>
                <w:rFonts w:hint="eastAsia"/>
                <w:color w:val="auto"/>
                <w:szCs w:val="21"/>
                <w:highlight w:val="none"/>
              </w:rPr>
              <w:t>（如砂石等）</w:t>
            </w:r>
            <w:r>
              <w:rPr>
                <w:color w:val="auto"/>
                <w:szCs w:val="21"/>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eastAsia"/>
                <w:color w:val="auto"/>
                <w:szCs w:val="21"/>
                <w:highlight w:val="none"/>
              </w:rPr>
              <w:t>在落实以上措施后，施工期废气</w:t>
            </w:r>
            <w:r>
              <w:rPr>
                <w:rFonts w:hint="eastAsia"/>
                <w:bCs/>
                <w:color w:val="auto"/>
                <w:szCs w:val="21"/>
                <w:highlight w:val="none"/>
              </w:rPr>
              <w:t>排放浓度能够满足《大气污染物综合排放标准》（GB16297-1996）表2中无组织排放监控浓度限值</w:t>
            </w:r>
            <w:r>
              <w:rPr>
                <w:rFonts w:hint="eastAsia"/>
                <w:color w:val="auto"/>
                <w:szCs w:val="21"/>
                <w:highlight w:val="none"/>
              </w:rPr>
              <w:t>要求</w:t>
            </w:r>
            <w:r>
              <w:rPr>
                <w:rFonts w:hint="eastAsia"/>
                <w:bCs/>
                <w:color w:val="auto"/>
                <w:szCs w:val="21"/>
                <w:highlight w:val="none"/>
              </w:rPr>
              <w:t>，对周围环境影响较小。</w:t>
            </w:r>
          </w:p>
          <w:p w14:paraId="14B62F89">
            <w:pPr>
              <w:adjustRightInd w:val="0"/>
              <w:snapToGrid w:val="0"/>
              <w:spacing w:line="360" w:lineRule="auto"/>
              <w:rPr>
                <w:b/>
                <w:color w:val="auto"/>
                <w:szCs w:val="21"/>
                <w:highlight w:val="none"/>
              </w:rPr>
            </w:pPr>
            <w:r>
              <w:rPr>
                <w:b/>
                <w:color w:val="auto"/>
                <w:szCs w:val="21"/>
                <w:highlight w:val="none"/>
              </w:rPr>
              <w:t>2、</w:t>
            </w:r>
            <w:r>
              <w:rPr>
                <w:rFonts w:hint="eastAsia"/>
                <w:b/>
                <w:color w:val="auto"/>
                <w:szCs w:val="21"/>
                <w:highlight w:val="none"/>
              </w:rPr>
              <w:t>废水</w:t>
            </w:r>
          </w:p>
          <w:p w14:paraId="331313B2">
            <w:pPr>
              <w:adjustRightInd w:val="0"/>
              <w:snapToGrid w:val="0"/>
              <w:spacing w:line="360" w:lineRule="auto"/>
              <w:ind w:firstLine="420" w:firstLineChars="200"/>
              <w:rPr>
                <w:color w:val="auto"/>
                <w:szCs w:val="21"/>
                <w:highlight w:val="none"/>
              </w:rPr>
            </w:pPr>
            <w:r>
              <w:rPr>
                <w:color w:val="auto"/>
                <w:szCs w:val="21"/>
                <w:highlight w:val="none"/>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w:t>
            </w:r>
            <w:r>
              <w:rPr>
                <w:rFonts w:hint="eastAsia"/>
                <w:color w:val="auto"/>
                <w:szCs w:val="21"/>
                <w:highlight w:val="none"/>
              </w:rPr>
              <w:t>沉淀</w:t>
            </w:r>
            <w:r>
              <w:rPr>
                <w:color w:val="auto"/>
                <w:szCs w:val="21"/>
                <w:highlight w:val="none"/>
              </w:rPr>
              <w:t>后全部回用于混凝土养护、场地洒水降尘等环节，做到废水不外排</w:t>
            </w:r>
            <w:r>
              <w:rPr>
                <w:rFonts w:hint="eastAsia"/>
                <w:color w:val="auto"/>
                <w:szCs w:val="21"/>
                <w:highlight w:val="none"/>
              </w:rPr>
              <w:t>，施工期所产生的废水均能妥善处理，不会对周边环境造成不良影响。</w:t>
            </w:r>
          </w:p>
          <w:p w14:paraId="3DF959ED">
            <w:pPr>
              <w:adjustRightInd w:val="0"/>
              <w:snapToGrid w:val="0"/>
              <w:spacing w:line="360" w:lineRule="auto"/>
              <w:rPr>
                <w:b/>
                <w:color w:val="auto"/>
                <w:szCs w:val="21"/>
                <w:highlight w:val="none"/>
              </w:rPr>
            </w:pPr>
            <w:r>
              <w:rPr>
                <w:b/>
                <w:color w:val="auto"/>
                <w:szCs w:val="21"/>
                <w:highlight w:val="none"/>
              </w:rPr>
              <w:t>3、</w:t>
            </w:r>
            <w:r>
              <w:rPr>
                <w:rFonts w:hint="eastAsia"/>
                <w:b/>
                <w:color w:val="auto"/>
                <w:szCs w:val="21"/>
                <w:highlight w:val="none"/>
              </w:rPr>
              <w:t>噪声</w:t>
            </w:r>
          </w:p>
          <w:p w14:paraId="67169F9C">
            <w:pPr>
              <w:adjustRightInd w:val="0"/>
              <w:snapToGrid w:val="0"/>
              <w:spacing w:line="360" w:lineRule="auto"/>
              <w:ind w:firstLine="420" w:firstLineChars="200"/>
              <w:rPr>
                <w:color w:val="auto"/>
                <w:szCs w:val="21"/>
                <w:highlight w:val="none"/>
              </w:rPr>
            </w:pPr>
            <w:r>
              <w:rPr>
                <w:color w:val="auto"/>
                <w:szCs w:val="21"/>
                <w:highlight w:val="none"/>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w:t>
            </w:r>
            <w:r>
              <w:rPr>
                <w:rFonts w:hint="eastAsia"/>
                <w:color w:val="auto"/>
                <w:szCs w:val="21"/>
                <w:highlight w:val="none"/>
              </w:rPr>
              <w:t>《建筑施工噪声排放标准》（GB 12523 - 2025）</w:t>
            </w:r>
            <w:r>
              <w:rPr>
                <w:color w:val="auto"/>
                <w:szCs w:val="21"/>
                <w:highlight w:val="none"/>
              </w:rPr>
              <w:t>标准值，故施工期噪声对周围环境影响会减小。</w:t>
            </w:r>
          </w:p>
          <w:p w14:paraId="20EE4959">
            <w:pPr>
              <w:adjustRightInd w:val="0"/>
              <w:snapToGrid w:val="0"/>
              <w:spacing w:line="360" w:lineRule="auto"/>
              <w:rPr>
                <w:b/>
                <w:color w:val="auto"/>
                <w:szCs w:val="21"/>
                <w:highlight w:val="none"/>
              </w:rPr>
            </w:pPr>
            <w:r>
              <w:rPr>
                <w:b/>
                <w:color w:val="auto"/>
                <w:szCs w:val="21"/>
                <w:highlight w:val="none"/>
              </w:rPr>
              <w:t>4、</w:t>
            </w:r>
            <w:r>
              <w:rPr>
                <w:rFonts w:hint="eastAsia"/>
                <w:b/>
                <w:color w:val="auto"/>
                <w:szCs w:val="21"/>
                <w:highlight w:val="none"/>
              </w:rPr>
              <w:t>固废</w:t>
            </w:r>
          </w:p>
          <w:p w14:paraId="2F5DC543">
            <w:pPr>
              <w:adjustRightInd w:val="0"/>
              <w:snapToGrid w:val="0"/>
              <w:spacing w:line="360" w:lineRule="auto"/>
              <w:ind w:firstLine="420" w:firstLineChars="200"/>
              <w:rPr>
                <w:rFonts w:hint="eastAsia" w:eastAsia="宋体"/>
                <w:color w:val="auto"/>
                <w:szCs w:val="21"/>
                <w:highlight w:val="none"/>
                <w:lang w:eastAsia="zh-CN"/>
              </w:rPr>
            </w:pPr>
            <w:r>
              <w:rPr>
                <w:rFonts w:hint="eastAsia" w:cs="Times New Roman"/>
                <w:color w:val="auto"/>
                <w:sz w:val="21"/>
                <w:szCs w:val="21"/>
                <w:highlight w:val="none"/>
                <w:lang w:eastAsia="zh-CN"/>
              </w:rPr>
              <w:t>生产车间</w:t>
            </w:r>
            <w:r>
              <w:rPr>
                <w:rFonts w:hint="default" w:ascii="Times New Roman" w:hAnsi="Times New Roman" w:eastAsia="宋体" w:cs="Times New Roman"/>
                <w:color w:val="auto"/>
                <w:sz w:val="21"/>
                <w:szCs w:val="21"/>
                <w:highlight w:val="none"/>
                <w:lang w:eastAsia="zh-CN"/>
              </w:rPr>
              <w:t>扩建以及设备拆除过程</w:t>
            </w:r>
            <w:r>
              <w:rPr>
                <w:rFonts w:hint="eastAsia" w:cs="Times New Roman"/>
                <w:color w:val="auto"/>
                <w:sz w:val="21"/>
                <w:szCs w:val="21"/>
                <w:highlight w:val="none"/>
                <w:lang w:eastAsia="zh-CN"/>
              </w:rPr>
              <w:t>主要产生的固体废物为废弃钢材、淘汰的设备，产生量约为</w:t>
            </w:r>
            <w:r>
              <w:rPr>
                <w:rFonts w:hint="eastAsia" w:cs="Times New Roman"/>
                <w:color w:val="auto"/>
                <w:sz w:val="21"/>
                <w:szCs w:val="21"/>
                <w:highlight w:val="none"/>
                <w:lang w:val="en-US" w:eastAsia="zh-CN"/>
              </w:rPr>
              <w:t>30t。</w:t>
            </w:r>
            <w:r>
              <w:rPr>
                <w:rFonts w:hint="default" w:ascii="Times New Roman" w:hAnsi="Times New Roman" w:eastAsia="宋体" w:cs="Times New Roman"/>
                <w:color w:val="auto"/>
                <w:sz w:val="21"/>
                <w:szCs w:val="21"/>
                <w:highlight w:val="none"/>
                <w:lang w:eastAsia="zh-CN"/>
              </w:rPr>
              <w:t>产生的废料应</w:t>
            </w:r>
            <w:r>
              <w:rPr>
                <w:rFonts w:ascii="Times New Roman" w:hAnsi="Times New Roman" w:eastAsia="宋体" w:cs="Times New Roman"/>
                <w:color w:val="auto"/>
                <w:sz w:val="21"/>
                <w:szCs w:val="21"/>
                <w:highlight w:val="none"/>
              </w:rPr>
              <w:t>分类收集，可回收利用部分综合利用。</w:t>
            </w:r>
            <w:r>
              <w:rPr>
                <w:color w:val="auto"/>
                <w:szCs w:val="21"/>
                <w:highlight w:val="none"/>
              </w:rPr>
              <w:t>建筑垃圾及生活垃圾要随产随清，驶出施工现场的车辆，应清除轮胎上的泥土。将建筑垃圾运至市政指定地点倾倒，</w:t>
            </w:r>
            <w:r>
              <w:rPr>
                <w:rFonts w:hint="eastAsia"/>
                <w:color w:val="auto"/>
                <w:szCs w:val="21"/>
                <w:highlight w:val="none"/>
                <w:lang w:eastAsia="zh-CN"/>
              </w:rPr>
              <w:t>生活垃圾集中收集、定期交由环卫部门处理，</w:t>
            </w:r>
            <w:r>
              <w:rPr>
                <w:rFonts w:ascii="Times New Roman" w:hAnsi="Times New Roman" w:eastAsia="宋体" w:cs="Times New Roman"/>
                <w:color w:val="auto"/>
                <w:sz w:val="21"/>
                <w:szCs w:val="21"/>
                <w:highlight w:val="none"/>
              </w:rPr>
              <w:t>拆除的废旧设备、零部件、金属废料等按</w:t>
            </w:r>
            <w:r>
              <w:rPr>
                <w:rFonts w:ascii="Times New Roman" w:hAnsi="Times New Roman" w:eastAsia="宋体" w:cs="Times New Roman"/>
                <w:b w:val="0"/>
                <w:bCs w:val="0"/>
                <w:color w:val="auto"/>
                <w:sz w:val="21"/>
                <w:szCs w:val="21"/>
                <w:highlight w:val="none"/>
              </w:rPr>
              <w:t>可回收、危险废物</w:t>
            </w:r>
            <w:r>
              <w:rPr>
                <w:rFonts w:ascii="Times New Roman" w:hAnsi="Times New Roman" w:eastAsia="宋体" w:cs="Times New Roman"/>
                <w:color w:val="auto"/>
                <w:sz w:val="21"/>
                <w:szCs w:val="21"/>
                <w:highlight w:val="none"/>
              </w:rPr>
              <w:t>分类存放</w:t>
            </w:r>
            <w:r>
              <w:rPr>
                <w:rFonts w:hint="eastAsia" w:cs="Times New Roman"/>
                <w:color w:val="auto"/>
                <w:sz w:val="21"/>
                <w:szCs w:val="21"/>
                <w:highlight w:val="none"/>
                <w:lang w:eastAsia="zh-CN"/>
              </w:rPr>
              <w:t>。</w:t>
            </w:r>
            <w:r>
              <w:rPr>
                <w:rFonts w:ascii="Times New Roman" w:hAnsi="Times New Roman" w:eastAsia="宋体" w:cs="Times New Roman"/>
                <w:color w:val="auto"/>
                <w:sz w:val="21"/>
                <w:szCs w:val="21"/>
                <w:highlight w:val="none"/>
              </w:rPr>
              <w:t>设置防雨、防渗、防流失临时堆放区</w:t>
            </w:r>
            <w:r>
              <w:rPr>
                <w:rFonts w:hint="default"/>
                <w:color w:val="auto"/>
                <w:szCs w:val="21"/>
                <w:highlight w:val="none"/>
                <w:lang w:eastAsia="zh-CN"/>
              </w:rPr>
              <w:t>，如有</w:t>
            </w:r>
            <w:r>
              <w:rPr>
                <w:rFonts w:ascii="Times New Roman" w:hAnsi="Times New Roman" w:eastAsia="宋体" w:cs="Times New Roman"/>
                <w:color w:val="auto"/>
                <w:sz w:val="21"/>
                <w:szCs w:val="21"/>
                <w:highlight w:val="none"/>
              </w:rPr>
              <w:t>含油设备</w:t>
            </w:r>
            <w:r>
              <w:rPr>
                <w:rFonts w:hint="eastAsia" w:cs="Times New Roman"/>
                <w:color w:val="auto"/>
                <w:sz w:val="21"/>
                <w:szCs w:val="21"/>
                <w:highlight w:val="none"/>
                <w:lang w:eastAsia="zh-CN"/>
              </w:rPr>
              <w:t>，</w:t>
            </w:r>
            <w:r>
              <w:rPr>
                <w:rFonts w:ascii="Times New Roman" w:hAnsi="Times New Roman" w:eastAsia="宋体" w:cs="Times New Roman"/>
                <w:color w:val="auto"/>
                <w:sz w:val="21"/>
                <w:szCs w:val="21"/>
                <w:highlight w:val="none"/>
              </w:rPr>
              <w:t>属于</w:t>
            </w:r>
            <w:r>
              <w:rPr>
                <w:rFonts w:ascii="Times New Roman" w:hAnsi="Times New Roman" w:eastAsia="宋体" w:cs="Times New Roman"/>
                <w:b w:val="0"/>
                <w:bCs w:val="0"/>
                <w:color w:val="auto"/>
                <w:sz w:val="21"/>
                <w:szCs w:val="21"/>
                <w:highlight w:val="none"/>
              </w:rPr>
              <w:t>危险废物</w:t>
            </w:r>
            <w:r>
              <w:rPr>
                <w:rFonts w:ascii="Times New Roman" w:hAnsi="Times New Roman" w:eastAsia="宋体" w:cs="Times New Roman"/>
                <w:color w:val="auto"/>
                <w:sz w:val="21"/>
                <w:szCs w:val="21"/>
                <w:highlight w:val="none"/>
              </w:rPr>
              <w:t>，拆除时先排空残液、残油，防止泄漏污染土壤、地下水。不得随意拆解、丢弃</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应</w:t>
            </w:r>
            <w:r>
              <w:rPr>
                <w:rFonts w:ascii="Times New Roman" w:hAnsi="Times New Roman" w:eastAsia="宋体" w:cs="Times New Roman"/>
                <w:color w:val="auto"/>
                <w:sz w:val="21"/>
                <w:szCs w:val="21"/>
                <w:highlight w:val="none"/>
              </w:rPr>
              <w:t>委托</w:t>
            </w:r>
            <w:r>
              <w:rPr>
                <w:rFonts w:ascii="Times New Roman" w:hAnsi="Times New Roman" w:eastAsia="宋体" w:cs="Times New Roman"/>
                <w:b w:val="0"/>
                <w:bCs w:val="0"/>
                <w:color w:val="auto"/>
                <w:sz w:val="21"/>
                <w:szCs w:val="21"/>
                <w:highlight w:val="none"/>
              </w:rPr>
              <w:t>有资质单位</w:t>
            </w:r>
            <w:r>
              <w:rPr>
                <w:rFonts w:ascii="Times New Roman" w:hAnsi="Times New Roman" w:eastAsia="宋体" w:cs="Times New Roman"/>
                <w:color w:val="auto"/>
                <w:sz w:val="21"/>
                <w:szCs w:val="21"/>
                <w:highlight w:val="none"/>
              </w:rPr>
              <w:t>清运处置，执行危险废物转移联单制度</w:t>
            </w:r>
            <w:r>
              <w:rPr>
                <w:rFonts w:hint="default"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rPr>
              <w:t>金属、钢材、塑料等</w:t>
            </w:r>
            <w:r>
              <w:rPr>
                <w:rFonts w:ascii="Times New Roman" w:hAnsi="Times New Roman" w:eastAsia="宋体" w:cs="Times New Roman"/>
                <w:b w:val="0"/>
                <w:bCs w:val="0"/>
                <w:color w:val="auto"/>
                <w:sz w:val="21"/>
                <w:szCs w:val="21"/>
                <w:highlight w:val="none"/>
              </w:rPr>
              <w:t>一般</w:t>
            </w:r>
            <w:r>
              <w:rPr>
                <w:rFonts w:hint="eastAsia" w:cs="Times New Roman"/>
                <w:b w:val="0"/>
                <w:bCs w:val="0"/>
                <w:color w:val="auto"/>
                <w:sz w:val="21"/>
                <w:szCs w:val="21"/>
                <w:highlight w:val="none"/>
                <w:lang w:eastAsia="zh-CN"/>
              </w:rPr>
              <w:t>固废</w:t>
            </w:r>
            <w:r>
              <w:rPr>
                <w:rFonts w:ascii="Times New Roman" w:hAnsi="Times New Roman" w:eastAsia="宋体" w:cs="Times New Roman"/>
                <w:color w:val="auto"/>
                <w:sz w:val="21"/>
                <w:szCs w:val="21"/>
                <w:highlight w:val="none"/>
              </w:rPr>
              <w:t>，外售给</w:t>
            </w:r>
            <w:r>
              <w:rPr>
                <w:rFonts w:ascii="Times New Roman" w:hAnsi="Times New Roman" w:eastAsia="宋体" w:cs="Times New Roman"/>
                <w:b w:val="0"/>
                <w:bCs w:val="0"/>
                <w:color w:val="auto"/>
                <w:sz w:val="21"/>
                <w:szCs w:val="21"/>
                <w:highlight w:val="none"/>
              </w:rPr>
              <w:t>有合法经营手续</w:t>
            </w:r>
            <w:r>
              <w:rPr>
                <w:rFonts w:ascii="Times New Roman" w:hAnsi="Times New Roman" w:eastAsia="宋体" w:cs="Times New Roman"/>
                <w:color w:val="auto"/>
                <w:sz w:val="21"/>
                <w:szCs w:val="21"/>
                <w:highlight w:val="none"/>
              </w:rPr>
              <w:t>的回收单位综合利用。</w:t>
            </w:r>
            <w:r>
              <w:rPr>
                <w:rFonts w:hint="eastAsia" w:cs="Times New Roman"/>
                <w:color w:val="auto"/>
                <w:sz w:val="21"/>
                <w:szCs w:val="21"/>
                <w:highlight w:val="none"/>
                <w:lang w:eastAsia="zh-CN"/>
              </w:rPr>
              <w:t>在采取上述措施后，不会对周边环境造成不良影响。</w:t>
            </w:r>
          </w:p>
          <w:p w14:paraId="7D758CD7">
            <w:pPr>
              <w:adjustRightInd w:val="0"/>
              <w:snapToGrid w:val="0"/>
              <w:spacing w:line="360" w:lineRule="auto"/>
              <w:rPr>
                <w:b/>
                <w:bCs/>
                <w:color w:val="auto"/>
                <w:szCs w:val="21"/>
                <w:highlight w:val="none"/>
              </w:rPr>
            </w:pPr>
            <w:r>
              <w:rPr>
                <w:rFonts w:hint="eastAsia"/>
                <w:b/>
                <w:bCs/>
                <w:color w:val="auto"/>
                <w:szCs w:val="21"/>
                <w:highlight w:val="none"/>
              </w:rPr>
              <w:t>5、</w:t>
            </w:r>
            <w:r>
              <w:rPr>
                <w:b/>
                <w:bCs/>
                <w:color w:val="auto"/>
                <w:spacing w:val="-1"/>
                <w:highlight w:val="none"/>
              </w:rPr>
              <w:t>生态保护措施</w:t>
            </w:r>
          </w:p>
          <w:p w14:paraId="1D7D47D0">
            <w:pPr>
              <w:pStyle w:val="64"/>
              <w:adjustRightInd w:val="0"/>
              <w:snapToGrid w:val="0"/>
              <w:spacing w:line="360" w:lineRule="auto"/>
              <w:ind w:firstLine="384"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9"/>
                <w:sz w:val="21"/>
                <w:szCs w:val="21"/>
                <w:highlight w:val="none"/>
                <w:lang w:eastAsia="zh-CN"/>
              </w:rPr>
              <w:t>（1）生态保护与恢复措施</w:t>
            </w:r>
          </w:p>
          <w:p w14:paraId="6CF8A736">
            <w:pPr>
              <w:pStyle w:val="64"/>
              <w:adjustRightInd w:val="0"/>
              <w:snapToGrid w:val="0"/>
              <w:spacing w:line="360" w:lineRule="auto"/>
              <w:ind w:firstLine="432"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3"/>
                <w:sz w:val="21"/>
                <w:szCs w:val="21"/>
                <w:highlight w:val="none"/>
                <w:lang w:eastAsia="zh-CN"/>
              </w:rPr>
              <w:t>①施工中应执行分层开挖的操作规范。在回填时也应分层回填，尽可能恢复表土以保护土壤结构和肥力，保持作物原有的生</w:t>
            </w:r>
            <w:r>
              <w:rPr>
                <w:rFonts w:ascii="Times New Roman" w:hAnsi="Times New Roman" w:eastAsia="宋体" w:cs="Times New Roman"/>
                <w:color w:val="auto"/>
                <w:spacing w:val="-13"/>
                <w:sz w:val="21"/>
                <w:szCs w:val="21"/>
                <w:highlight w:val="none"/>
                <w:lang w:eastAsia="zh-CN"/>
              </w:rPr>
              <w:t>态环境。</w:t>
            </w:r>
          </w:p>
          <w:p w14:paraId="2B765CEC">
            <w:pPr>
              <w:pStyle w:val="64"/>
              <w:adjustRightInd w:val="0"/>
              <w:snapToGrid w:val="0"/>
              <w:spacing w:line="360" w:lineRule="auto"/>
              <w:ind w:firstLine="42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②土石方运输要严格遵守作业制度，采用车况良好的车辆，</w:t>
            </w:r>
            <w:r>
              <w:rPr>
                <w:rFonts w:ascii="Times New Roman" w:hAnsi="Times New Roman" w:eastAsia="宋体" w:cs="Times New Roman"/>
                <w:color w:val="auto"/>
                <w:spacing w:val="-1"/>
                <w:sz w:val="21"/>
                <w:szCs w:val="21"/>
                <w:highlight w:val="none"/>
                <w:lang w:eastAsia="zh-CN"/>
              </w:rPr>
              <w:t>避免过量装料，防止松散土石料的散落，减少水土流失。</w:t>
            </w:r>
          </w:p>
          <w:p w14:paraId="03CA0076">
            <w:pPr>
              <w:pStyle w:val="64"/>
              <w:adjustRightInd w:val="0"/>
              <w:snapToGrid w:val="0"/>
              <w:spacing w:line="360" w:lineRule="auto"/>
              <w:ind w:firstLine="42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（2）水土流失的防治对策措施</w:t>
            </w:r>
          </w:p>
          <w:p w14:paraId="4F7C6AAD">
            <w:pPr>
              <w:pStyle w:val="64"/>
              <w:adjustRightInd w:val="0"/>
              <w:snapToGrid w:val="0"/>
              <w:spacing w:line="360" w:lineRule="auto"/>
              <w:ind w:firstLine="40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5"/>
                <w:sz w:val="21"/>
                <w:szCs w:val="21"/>
                <w:highlight w:val="none"/>
                <w:lang w:eastAsia="zh-CN"/>
              </w:rPr>
              <w:t>①在地面施工过程中，应避免在大风季节以及暴雨时节作业。</w:t>
            </w:r>
            <w:r>
              <w:rPr>
                <w:rFonts w:ascii="Times New Roman" w:hAnsi="Times New Roman" w:eastAsia="宋体" w:cs="Times New Roman"/>
                <w:color w:val="auto"/>
                <w:spacing w:val="-4"/>
                <w:sz w:val="21"/>
                <w:szCs w:val="21"/>
                <w:highlight w:val="none"/>
                <w:lang w:eastAsia="zh-CN"/>
              </w:rPr>
              <w:t>对施工破坏区，施工完毕，要及时平整土地；</w:t>
            </w:r>
          </w:p>
          <w:p w14:paraId="49B24ECC">
            <w:pPr>
              <w:pStyle w:val="64"/>
              <w:adjustRightInd w:val="0"/>
              <w:snapToGrid w:val="0"/>
              <w:spacing w:line="360" w:lineRule="auto"/>
              <w:ind w:firstLine="40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5"/>
                <w:sz w:val="21"/>
                <w:szCs w:val="21"/>
                <w:highlight w:val="none"/>
                <w:lang w:eastAsia="zh-CN"/>
              </w:rPr>
              <w:t>②建筑垃圾应在指定的堆放点存放，钢筋等材料可回收利用，</w:t>
            </w:r>
            <w:r>
              <w:rPr>
                <w:rFonts w:ascii="Times New Roman" w:hAnsi="Times New Roman" w:eastAsia="宋体" w:cs="Times New Roman"/>
                <w:color w:val="auto"/>
                <w:spacing w:val="3"/>
                <w:sz w:val="21"/>
                <w:szCs w:val="21"/>
                <w:highlight w:val="none"/>
                <w:lang w:eastAsia="zh-CN"/>
              </w:rPr>
              <w:t>不可利用部分采用封闭式废土运输车及时清运至当地环卫部门指</w:t>
            </w:r>
            <w:r>
              <w:rPr>
                <w:rFonts w:ascii="Times New Roman" w:hAnsi="Times New Roman" w:eastAsia="宋体" w:cs="Times New Roman"/>
                <w:color w:val="auto"/>
                <w:spacing w:val="-2"/>
                <w:sz w:val="21"/>
                <w:szCs w:val="21"/>
                <w:highlight w:val="none"/>
                <w:lang w:eastAsia="zh-CN"/>
              </w:rPr>
              <w:t>定地点；生活垃圾集中收集，按照当地环卫</w:t>
            </w:r>
            <w:r>
              <w:rPr>
                <w:rFonts w:ascii="Times New Roman" w:hAnsi="Times New Roman" w:eastAsia="宋体" w:cs="Times New Roman"/>
                <w:color w:val="auto"/>
                <w:spacing w:val="-3"/>
                <w:sz w:val="21"/>
                <w:szCs w:val="21"/>
                <w:highlight w:val="none"/>
                <w:lang w:eastAsia="zh-CN"/>
              </w:rPr>
              <w:t>部门要求统一处理；</w:t>
            </w:r>
          </w:p>
          <w:p w14:paraId="7436C054">
            <w:pPr>
              <w:pStyle w:val="64"/>
              <w:adjustRightInd w:val="0"/>
              <w:snapToGrid w:val="0"/>
              <w:spacing w:line="360" w:lineRule="auto"/>
              <w:ind w:firstLine="40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5"/>
                <w:sz w:val="21"/>
                <w:szCs w:val="21"/>
                <w:highlight w:val="none"/>
                <w:lang w:eastAsia="zh-CN"/>
              </w:rPr>
              <w:t>③加强施工人员的各类卫生管理，避免生活污水的直接排放，</w:t>
            </w:r>
            <w:r>
              <w:rPr>
                <w:rFonts w:ascii="Times New Roman" w:hAnsi="Times New Roman" w:eastAsia="宋体" w:cs="Times New Roman"/>
                <w:color w:val="auto"/>
                <w:spacing w:val="-3"/>
                <w:sz w:val="21"/>
                <w:szCs w:val="21"/>
                <w:highlight w:val="none"/>
                <w:lang w:eastAsia="zh-CN"/>
              </w:rPr>
              <w:t>减少水体污染，最大限度保护动物生境；</w:t>
            </w:r>
          </w:p>
          <w:p w14:paraId="13676791">
            <w:pPr>
              <w:pStyle w:val="64"/>
              <w:adjustRightInd w:val="0"/>
              <w:snapToGrid w:val="0"/>
              <w:spacing w:line="360" w:lineRule="auto"/>
              <w:ind w:firstLine="40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pacing w:val="-5"/>
                <w:sz w:val="21"/>
                <w:szCs w:val="21"/>
                <w:highlight w:val="none"/>
                <w:lang w:eastAsia="zh-CN"/>
              </w:rPr>
              <w:t>④禁止在工程征地范围外、植被良好的地区进行取土石活动，</w:t>
            </w:r>
            <w:r>
              <w:rPr>
                <w:rFonts w:ascii="Times New Roman" w:hAnsi="Times New Roman" w:eastAsia="宋体" w:cs="Times New Roman"/>
                <w:color w:val="auto"/>
                <w:spacing w:val="-8"/>
                <w:sz w:val="21"/>
                <w:szCs w:val="21"/>
                <w:highlight w:val="none"/>
                <w:lang w:eastAsia="zh-CN"/>
              </w:rPr>
              <w:t>以减少水土流失损坏面积。</w:t>
            </w:r>
          </w:p>
          <w:p w14:paraId="18EDC669">
            <w:pPr>
              <w:adjustRightInd w:val="0"/>
              <w:snapToGrid w:val="0"/>
              <w:spacing w:line="360" w:lineRule="auto"/>
              <w:ind w:firstLine="432" w:firstLineChars="200"/>
              <w:rPr>
                <w:color w:val="auto"/>
                <w:szCs w:val="21"/>
                <w:highlight w:val="none"/>
              </w:rPr>
            </w:pPr>
            <w:r>
              <w:rPr>
                <w:color w:val="auto"/>
                <w:spacing w:val="3"/>
                <w:szCs w:val="21"/>
                <w:highlight w:val="none"/>
              </w:rPr>
              <w:t>采取上述措施后可显著减轻施工期对生态环境的影响，措施</w:t>
            </w:r>
            <w:r>
              <w:rPr>
                <w:color w:val="auto"/>
                <w:spacing w:val="-18"/>
                <w:szCs w:val="21"/>
                <w:highlight w:val="none"/>
              </w:rPr>
              <w:t>可行。</w:t>
            </w:r>
          </w:p>
        </w:tc>
      </w:tr>
      <w:tr w14:paraId="1ED752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1" w:hRule="atLeast"/>
          <w:jc w:val="center"/>
        </w:trPr>
        <w:tc>
          <w:tcPr>
            <w:tcW w:w="655" w:type="dxa"/>
            <w:tcMar>
              <w:left w:w="28" w:type="dxa"/>
              <w:right w:w="28" w:type="dxa"/>
            </w:tcMar>
            <w:vAlign w:val="center"/>
          </w:tcPr>
          <w:p w14:paraId="21AC8E2E">
            <w:pPr>
              <w:adjustRightInd w:val="0"/>
              <w:snapToGrid w:val="0"/>
              <w:jc w:val="center"/>
              <w:rPr>
                <w:bCs/>
                <w:color w:val="auto"/>
                <w:szCs w:val="21"/>
                <w:highlight w:val="none"/>
              </w:rPr>
            </w:pPr>
            <w:r>
              <w:rPr>
                <w:bCs/>
                <w:color w:val="auto"/>
                <w:szCs w:val="21"/>
                <w:highlight w:val="none"/>
              </w:rPr>
              <w:t>运营</w:t>
            </w:r>
          </w:p>
          <w:p w14:paraId="0E5179F3">
            <w:pPr>
              <w:adjustRightInd w:val="0"/>
              <w:snapToGrid w:val="0"/>
              <w:jc w:val="center"/>
              <w:rPr>
                <w:bCs/>
                <w:color w:val="auto"/>
                <w:szCs w:val="21"/>
                <w:highlight w:val="none"/>
              </w:rPr>
            </w:pPr>
            <w:r>
              <w:rPr>
                <w:bCs/>
                <w:color w:val="auto"/>
                <w:szCs w:val="21"/>
                <w:highlight w:val="none"/>
              </w:rPr>
              <w:t>期环</w:t>
            </w:r>
          </w:p>
          <w:p w14:paraId="0A607158">
            <w:pPr>
              <w:adjustRightInd w:val="0"/>
              <w:snapToGrid w:val="0"/>
              <w:jc w:val="center"/>
              <w:rPr>
                <w:bCs/>
                <w:color w:val="auto"/>
                <w:szCs w:val="21"/>
                <w:highlight w:val="none"/>
              </w:rPr>
            </w:pPr>
            <w:r>
              <w:rPr>
                <w:bCs/>
                <w:color w:val="auto"/>
                <w:szCs w:val="21"/>
                <w:highlight w:val="none"/>
              </w:rPr>
              <w:t>境影</w:t>
            </w:r>
          </w:p>
          <w:p w14:paraId="2E4C8913">
            <w:pPr>
              <w:adjustRightInd w:val="0"/>
              <w:snapToGrid w:val="0"/>
              <w:jc w:val="center"/>
              <w:rPr>
                <w:bCs/>
                <w:color w:val="auto"/>
                <w:szCs w:val="21"/>
                <w:highlight w:val="none"/>
              </w:rPr>
            </w:pPr>
            <w:r>
              <w:rPr>
                <w:bCs/>
                <w:color w:val="auto"/>
                <w:szCs w:val="21"/>
                <w:highlight w:val="none"/>
              </w:rPr>
              <w:t>响和</w:t>
            </w:r>
          </w:p>
          <w:p w14:paraId="5465CBF9">
            <w:pPr>
              <w:adjustRightInd w:val="0"/>
              <w:snapToGrid w:val="0"/>
              <w:jc w:val="center"/>
              <w:rPr>
                <w:bCs/>
                <w:color w:val="auto"/>
                <w:szCs w:val="21"/>
                <w:highlight w:val="none"/>
              </w:rPr>
            </w:pPr>
            <w:r>
              <w:rPr>
                <w:bCs/>
                <w:color w:val="auto"/>
                <w:szCs w:val="21"/>
                <w:highlight w:val="none"/>
              </w:rPr>
              <w:t>保护</w:t>
            </w:r>
          </w:p>
          <w:p w14:paraId="0332BADD">
            <w:pPr>
              <w:adjustRightInd w:val="0"/>
              <w:snapToGrid w:val="0"/>
              <w:jc w:val="center"/>
              <w:rPr>
                <w:bCs/>
                <w:color w:val="auto"/>
                <w:szCs w:val="21"/>
                <w:highlight w:val="none"/>
              </w:rPr>
            </w:pPr>
            <w:r>
              <w:rPr>
                <w:bCs/>
                <w:color w:val="auto"/>
                <w:szCs w:val="21"/>
                <w:highlight w:val="none"/>
              </w:rPr>
              <w:t>措施</w:t>
            </w:r>
          </w:p>
        </w:tc>
        <w:tc>
          <w:tcPr>
            <w:tcW w:w="8289" w:type="dxa"/>
          </w:tcPr>
          <w:p w14:paraId="45AB87A6">
            <w:pPr>
              <w:adjustRightInd w:val="0"/>
              <w:snapToGrid w:val="0"/>
              <w:spacing w:line="360" w:lineRule="auto"/>
              <w:rPr>
                <w:color w:val="auto"/>
                <w:szCs w:val="21"/>
                <w:highlight w:val="none"/>
              </w:rPr>
            </w:pPr>
            <w:r>
              <w:rPr>
                <w:b/>
                <w:color w:val="auto"/>
                <w:szCs w:val="21"/>
                <w:highlight w:val="none"/>
              </w:rPr>
              <w:t>1、废气</w:t>
            </w:r>
          </w:p>
          <w:p w14:paraId="20DE8788">
            <w:pPr>
              <w:adjustRightInd w:val="0"/>
              <w:snapToGrid w:val="0"/>
              <w:spacing w:line="360" w:lineRule="auto"/>
              <w:ind w:firstLine="420" w:firstLineChars="200"/>
              <w:rPr>
                <w:bCs/>
                <w:color w:val="auto"/>
                <w:szCs w:val="21"/>
                <w:highlight w:val="none"/>
              </w:rPr>
            </w:pPr>
            <w:r>
              <w:rPr>
                <w:bCs/>
                <w:color w:val="auto"/>
                <w:szCs w:val="21"/>
                <w:highlight w:val="none"/>
              </w:rPr>
              <w:t>（</w:t>
            </w:r>
            <w:r>
              <w:rPr>
                <w:rFonts w:hint="eastAsia"/>
                <w:bCs/>
                <w:color w:val="auto"/>
                <w:szCs w:val="21"/>
                <w:highlight w:val="none"/>
              </w:rPr>
              <w:t>1</w:t>
            </w:r>
            <w:r>
              <w:rPr>
                <w:bCs/>
                <w:color w:val="auto"/>
                <w:szCs w:val="21"/>
                <w:highlight w:val="none"/>
              </w:rPr>
              <w:t>）项目废气污染源</w:t>
            </w:r>
          </w:p>
          <w:p w14:paraId="474674E6">
            <w:pPr>
              <w:adjustRightInd w:val="0"/>
              <w:snapToGrid w:val="0"/>
              <w:spacing w:line="360" w:lineRule="auto"/>
              <w:ind w:firstLine="420" w:firstLineChars="200"/>
              <w:rPr>
                <w:bCs/>
                <w:color w:val="auto"/>
                <w:szCs w:val="21"/>
                <w:highlight w:val="none"/>
              </w:rPr>
            </w:pPr>
            <w:r>
              <w:rPr>
                <w:color w:val="auto"/>
                <w:kern w:val="0"/>
                <w:szCs w:val="21"/>
                <w:highlight w:val="none"/>
              </w:rPr>
              <w:t>①</w:t>
            </w:r>
            <w:r>
              <w:rPr>
                <w:rFonts w:hint="eastAsia"/>
                <w:bCs/>
                <w:color w:val="auto"/>
                <w:szCs w:val="21"/>
                <w:highlight w:val="none"/>
              </w:rPr>
              <w:t>物料棚装卸、堆存扬尘。</w:t>
            </w:r>
          </w:p>
          <w:p w14:paraId="59EEAB6C">
            <w:pPr>
              <w:adjustRightInd w:val="0"/>
              <w:snapToGrid w:val="0"/>
              <w:spacing w:line="360" w:lineRule="auto"/>
              <w:ind w:firstLine="420" w:firstLineChars="200"/>
              <w:rPr>
                <w:bCs/>
                <w:color w:val="auto"/>
                <w:szCs w:val="21"/>
                <w:highlight w:val="none"/>
              </w:rPr>
            </w:pPr>
            <w:r>
              <w:rPr>
                <w:bCs/>
                <w:color w:val="auto"/>
                <w:szCs w:val="21"/>
                <w:highlight w:val="none"/>
              </w:rPr>
              <w:t>根据《扬尘源颗粒物排放清单编制技术指南》（试行），</w:t>
            </w:r>
            <w:r>
              <w:rPr>
                <w:rFonts w:hint="eastAsia"/>
                <w:bCs/>
                <w:color w:val="auto"/>
                <w:szCs w:val="21"/>
                <w:highlight w:val="none"/>
              </w:rPr>
              <w:t>储煤场</w:t>
            </w:r>
            <w:r>
              <w:rPr>
                <w:bCs/>
                <w:color w:val="auto"/>
                <w:szCs w:val="21"/>
                <w:highlight w:val="none"/>
              </w:rPr>
              <w:t>的扬尘源排放量是装卸、运输引起的扬尘与堆积存放期间风蚀的加和，计算公式如下：</w:t>
            </w:r>
          </w:p>
          <w:p w14:paraId="62CDB190">
            <w:pPr>
              <w:spacing w:line="360" w:lineRule="auto"/>
              <w:ind w:firstLine="420"/>
              <w:rPr>
                <w:color w:val="auto"/>
                <w:szCs w:val="21"/>
                <w:highlight w:val="none"/>
              </w:rPr>
            </w:pPr>
            <w:r>
              <w:rPr>
                <w:color w:val="auto"/>
                <w:szCs w:val="21"/>
                <w:highlight w:val="none"/>
              </w:rPr>
              <w:drawing>
                <wp:inline distT="0" distB="0" distL="114300" distR="114300">
                  <wp:extent cx="3779520" cy="716280"/>
                  <wp:effectExtent l="0" t="0" r="11430" b="762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24"/>
                          <a:stretch>
                            <a:fillRect/>
                          </a:stretch>
                        </pic:blipFill>
                        <pic:spPr>
                          <a:xfrm>
                            <a:off x="0" y="0"/>
                            <a:ext cx="3779520" cy="716280"/>
                          </a:xfrm>
                          <a:prstGeom prst="rect">
                            <a:avLst/>
                          </a:prstGeom>
                          <a:noFill/>
                          <a:ln>
                            <a:noFill/>
                          </a:ln>
                        </pic:spPr>
                      </pic:pic>
                    </a:graphicData>
                  </a:graphic>
                </wp:inline>
              </w:drawing>
            </w:r>
          </w:p>
          <w:p w14:paraId="423F2974">
            <w:pPr>
              <w:spacing w:line="360" w:lineRule="auto"/>
              <w:ind w:firstLine="482"/>
              <w:rPr>
                <w:color w:val="auto"/>
                <w:szCs w:val="21"/>
                <w:highlight w:val="none"/>
              </w:rPr>
            </w:pPr>
            <w:r>
              <w:rPr>
                <w:bCs/>
                <w:color w:val="auto"/>
                <w:szCs w:val="21"/>
                <w:highlight w:val="none"/>
              </w:rPr>
              <w:t>式中：</w:t>
            </w:r>
            <w:r>
              <w:rPr>
                <w:color w:val="auto"/>
                <w:szCs w:val="21"/>
                <w:highlight w:val="none"/>
              </w:rPr>
              <w:t>W</w:t>
            </w:r>
            <w:r>
              <w:rPr>
                <w:color w:val="auto"/>
                <w:szCs w:val="21"/>
                <w:highlight w:val="none"/>
                <w:vertAlign w:val="subscript"/>
              </w:rPr>
              <w:t>Y</w:t>
            </w:r>
            <w:r>
              <w:rPr>
                <w:color w:val="auto"/>
                <w:szCs w:val="21"/>
                <w:highlight w:val="none"/>
              </w:rPr>
              <w:t>——扬尘源中颗粒物总排放量，t/a；</w:t>
            </w:r>
          </w:p>
          <w:p w14:paraId="608F2169">
            <w:pPr>
              <w:spacing w:line="360" w:lineRule="auto"/>
              <w:ind w:firstLine="482"/>
              <w:rPr>
                <w:color w:val="auto"/>
                <w:szCs w:val="21"/>
                <w:highlight w:val="none"/>
              </w:rPr>
            </w:pPr>
            <w:r>
              <w:rPr>
                <w:color w:val="auto"/>
                <w:szCs w:val="21"/>
                <w:highlight w:val="none"/>
              </w:rPr>
              <w:t>E</w:t>
            </w:r>
            <w:r>
              <w:rPr>
                <w:color w:val="auto"/>
                <w:szCs w:val="21"/>
                <w:highlight w:val="none"/>
                <w:vertAlign w:val="subscript"/>
              </w:rPr>
              <w:t>h</w:t>
            </w:r>
            <w:r>
              <w:rPr>
                <w:color w:val="auto"/>
                <w:szCs w:val="21"/>
                <w:highlight w:val="none"/>
              </w:rPr>
              <w:t>——装卸运输过程的扬尘颗粒物排放系数，kg/t；</w:t>
            </w:r>
          </w:p>
          <w:p w14:paraId="3F72606E">
            <w:pPr>
              <w:spacing w:line="360" w:lineRule="auto"/>
              <w:ind w:firstLine="482"/>
              <w:rPr>
                <w:color w:val="auto"/>
                <w:szCs w:val="21"/>
                <w:highlight w:val="none"/>
              </w:rPr>
            </w:pPr>
            <w:r>
              <w:rPr>
                <w:color w:val="auto"/>
                <w:szCs w:val="21"/>
                <w:highlight w:val="none"/>
              </w:rPr>
              <w:t>m——每年料堆物料装卸总次数；</w:t>
            </w:r>
          </w:p>
          <w:p w14:paraId="7A906FDD">
            <w:pPr>
              <w:spacing w:line="360" w:lineRule="auto"/>
              <w:ind w:firstLine="482"/>
              <w:rPr>
                <w:color w:val="auto"/>
                <w:szCs w:val="21"/>
                <w:highlight w:val="none"/>
              </w:rPr>
            </w:pPr>
            <w:r>
              <w:rPr>
                <w:color w:val="auto"/>
                <w:szCs w:val="21"/>
                <w:highlight w:val="none"/>
              </w:rPr>
              <w:t>G</w:t>
            </w:r>
            <w:r>
              <w:rPr>
                <w:color w:val="auto"/>
                <w:szCs w:val="21"/>
                <w:highlight w:val="none"/>
                <w:vertAlign w:val="subscript"/>
              </w:rPr>
              <w:t>Yi</w:t>
            </w:r>
            <w:r>
              <w:rPr>
                <w:color w:val="auto"/>
                <w:szCs w:val="21"/>
                <w:highlight w:val="none"/>
              </w:rPr>
              <w:t>——第i次装卸过程的物料装卸量t；</w:t>
            </w:r>
          </w:p>
          <w:p w14:paraId="6F7BD1AC">
            <w:pPr>
              <w:spacing w:line="360" w:lineRule="auto"/>
              <w:ind w:firstLine="482"/>
              <w:rPr>
                <w:color w:val="auto"/>
                <w:szCs w:val="21"/>
                <w:highlight w:val="none"/>
              </w:rPr>
            </w:pPr>
            <w:r>
              <w:rPr>
                <w:color w:val="auto"/>
                <w:szCs w:val="21"/>
                <w:highlight w:val="none"/>
              </w:rPr>
              <w:t>E</w:t>
            </w:r>
            <w:r>
              <w:rPr>
                <w:color w:val="auto"/>
                <w:szCs w:val="21"/>
                <w:highlight w:val="none"/>
                <w:vertAlign w:val="subscript"/>
              </w:rPr>
              <w:t>w</w:t>
            </w:r>
            <w:r>
              <w:rPr>
                <w:color w:val="auto"/>
                <w:szCs w:val="21"/>
                <w:highlight w:val="none"/>
              </w:rPr>
              <w:t>——料堆受到风蚀作用的颗粒物排放系数，kg/m</w:t>
            </w:r>
            <w:r>
              <w:rPr>
                <w:color w:val="auto"/>
                <w:szCs w:val="21"/>
                <w:highlight w:val="none"/>
                <w:vertAlign w:val="superscript"/>
              </w:rPr>
              <w:t>2</w:t>
            </w:r>
            <w:r>
              <w:rPr>
                <w:color w:val="auto"/>
                <w:szCs w:val="21"/>
                <w:highlight w:val="none"/>
              </w:rPr>
              <w:t>；</w:t>
            </w:r>
          </w:p>
          <w:p w14:paraId="646F42FE">
            <w:pPr>
              <w:spacing w:line="360" w:lineRule="auto"/>
              <w:ind w:firstLine="482"/>
              <w:rPr>
                <w:color w:val="auto"/>
                <w:szCs w:val="21"/>
                <w:highlight w:val="none"/>
              </w:rPr>
            </w:pPr>
            <w:r>
              <w:rPr>
                <w:color w:val="auto"/>
                <w:szCs w:val="21"/>
                <w:highlight w:val="none"/>
              </w:rPr>
              <w:t>A</w:t>
            </w:r>
            <w:r>
              <w:rPr>
                <w:color w:val="auto"/>
                <w:szCs w:val="21"/>
                <w:highlight w:val="none"/>
                <w:vertAlign w:val="subscript"/>
              </w:rPr>
              <w:t>Y</w:t>
            </w:r>
            <w:r>
              <w:rPr>
                <w:color w:val="auto"/>
                <w:szCs w:val="21"/>
                <w:highlight w:val="none"/>
              </w:rPr>
              <w:t>——料堆表面积；</w:t>
            </w:r>
          </w:p>
          <w:p w14:paraId="34388876">
            <w:pPr>
              <w:spacing w:line="360" w:lineRule="auto"/>
              <w:ind w:firstLine="482"/>
              <w:rPr>
                <w:color w:val="auto"/>
                <w:szCs w:val="21"/>
                <w:highlight w:val="none"/>
              </w:rPr>
            </w:pPr>
            <w:r>
              <w:rPr>
                <w:color w:val="auto"/>
                <w:szCs w:val="21"/>
                <w:highlight w:val="none"/>
              </w:rPr>
              <w:t>装卸、运输物料过程</w:t>
            </w:r>
          </w:p>
          <w:p w14:paraId="753D7DE0">
            <w:pPr>
              <w:spacing w:line="360" w:lineRule="auto"/>
              <w:ind w:firstLine="482"/>
              <w:rPr>
                <w:bCs/>
                <w:color w:val="auto"/>
                <w:szCs w:val="21"/>
                <w:highlight w:val="none"/>
              </w:rPr>
            </w:pPr>
            <w:r>
              <w:rPr>
                <w:color w:val="auto"/>
                <w:szCs w:val="21"/>
                <w:highlight w:val="none"/>
              </w:rPr>
              <w:t>扬尘排放系数的估算：</w:t>
            </w:r>
          </w:p>
          <w:p w14:paraId="73823FE0">
            <w:pPr>
              <w:adjustRightInd w:val="0"/>
              <w:snapToGrid w:val="0"/>
              <w:spacing w:line="360" w:lineRule="auto"/>
              <w:jc w:val="center"/>
              <w:rPr>
                <w:bCs/>
                <w:color w:val="auto"/>
                <w:szCs w:val="21"/>
                <w:highlight w:val="none"/>
              </w:rPr>
            </w:pPr>
            <w:r>
              <w:rPr>
                <w:color w:val="auto"/>
                <w:kern w:val="0"/>
                <w:szCs w:val="21"/>
                <w:highlight w:val="none"/>
              </w:rPr>
              <w:drawing>
                <wp:inline distT="0" distB="0" distL="114300" distR="114300">
                  <wp:extent cx="2546350" cy="735965"/>
                  <wp:effectExtent l="0" t="0" r="6350" b="698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25"/>
                          <a:stretch>
                            <a:fillRect/>
                          </a:stretch>
                        </pic:blipFill>
                        <pic:spPr>
                          <a:xfrm>
                            <a:off x="0" y="0"/>
                            <a:ext cx="2546350" cy="735965"/>
                          </a:xfrm>
                          <a:prstGeom prst="rect">
                            <a:avLst/>
                          </a:prstGeom>
                          <a:noFill/>
                          <a:ln>
                            <a:noFill/>
                          </a:ln>
                        </pic:spPr>
                      </pic:pic>
                    </a:graphicData>
                  </a:graphic>
                </wp:inline>
              </w:drawing>
            </w:r>
          </w:p>
          <w:p w14:paraId="22799B35">
            <w:pPr>
              <w:adjustRightInd w:val="0"/>
              <w:snapToGrid w:val="0"/>
              <w:spacing w:line="360" w:lineRule="auto"/>
              <w:ind w:firstLine="420" w:firstLineChars="200"/>
              <w:rPr>
                <w:bCs/>
                <w:color w:val="auto"/>
                <w:szCs w:val="21"/>
                <w:highlight w:val="none"/>
              </w:rPr>
            </w:pPr>
            <w:r>
              <w:rPr>
                <w:bCs/>
                <w:color w:val="auto"/>
                <w:szCs w:val="21"/>
                <w:highlight w:val="none"/>
              </w:rPr>
              <w:t>式中：E</w:t>
            </w:r>
            <w:r>
              <w:rPr>
                <w:bCs/>
                <w:color w:val="auto"/>
                <w:szCs w:val="21"/>
                <w:highlight w:val="none"/>
                <w:vertAlign w:val="subscript"/>
              </w:rPr>
              <w:t>h</w:t>
            </w:r>
            <w:r>
              <w:rPr>
                <w:bCs/>
                <w:color w:val="auto"/>
                <w:szCs w:val="21"/>
                <w:highlight w:val="none"/>
              </w:rPr>
              <w:t>为装卸扬尘的排放系数，kg/t；</w:t>
            </w:r>
          </w:p>
          <w:p w14:paraId="42664FC1">
            <w:pPr>
              <w:adjustRightInd w:val="0"/>
              <w:snapToGrid w:val="0"/>
              <w:spacing w:line="360" w:lineRule="auto"/>
              <w:ind w:firstLine="420" w:firstLineChars="200"/>
              <w:rPr>
                <w:bCs/>
                <w:color w:val="auto"/>
                <w:szCs w:val="21"/>
                <w:highlight w:val="none"/>
              </w:rPr>
            </w:pPr>
            <w:r>
              <w:rPr>
                <w:bCs/>
                <w:color w:val="auto"/>
                <w:szCs w:val="21"/>
                <w:highlight w:val="none"/>
              </w:rPr>
              <w:t>k</w:t>
            </w:r>
            <w:r>
              <w:rPr>
                <w:bCs/>
                <w:color w:val="auto"/>
                <w:szCs w:val="21"/>
                <w:highlight w:val="none"/>
                <w:vertAlign w:val="subscript"/>
              </w:rPr>
              <w:t>i</w:t>
            </w:r>
            <w:r>
              <w:rPr>
                <w:bCs/>
                <w:color w:val="auto"/>
                <w:szCs w:val="21"/>
                <w:highlight w:val="none"/>
              </w:rPr>
              <w:t>为物料的粒度乘数，根据《扬尘源颗粒物排放清单编制技术指南》（试行）中表10，TSP取0.74；</w:t>
            </w:r>
          </w:p>
          <w:p w14:paraId="3F0D16C8">
            <w:pPr>
              <w:adjustRightInd w:val="0"/>
              <w:snapToGrid w:val="0"/>
              <w:spacing w:line="360" w:lineRule="auto"/>
              <w:ind w:firstLine="420" w:firstLineChars="200"/>
              <w:rPr>
                <w:bCs/>
                <w:color w:val="auto"/>
                <w:szCs w:val="21"/>
                <w:highlight w:val="none"/>
              </w:rPr>
            </w:pPr>
            <w:r>
              <w:rPr>
                <w:bCs/>
                <w:color w:val="auto"/>
                <w:szCs w:val="21"/>
                <w:highlight w:val="none"/>
              </w:rPr>
              <w:t>u为地面平均风速，m/s，</w:t>
            </w:r>
            <w:r>
              <w:rPr>
                <w:rFonts w:hint="eastAsia"/>
                <w:bCs/>
                <w:color w:val="auto"/>
                <w:szCs w:val="21"/>
                <w:highlight w:val="none"/>
              </w:rPr>
              <w:t>u</w:t>
            </w:r>
            <w:r>
              <w:rPr>
                <w:bCs/>
                <w:color w:val="auto"/>
                <w:szCs w:val="21"/>
                <w:highlight w:val="none"/>
              </w:rPr>
              <w:t>取</w:t>
            </w:r>
            <w:r>
              <w:rPr>
                <w:rFonts w:hint="eastAsia"/>
                <w:bCs/>
                <w:color w:val="auto"/>
                <w:szCs w:val="21"/>
                <w:highlight w:val="none"/>
              </w:rPr>
              <w:t>0.5m/s（物料棚设置闭合防风抑尘网）</w:t>
            </w:r>
          </w:p>
          <w:p w14:paraId="421CF0E0">
            <w:pPr>
              <w:adjustRightInd w:val="0"/>
              <w:snapToGrid w:val="0"/>
              <w:spacing w:line="360" w:lineRule="auto"/>
              <w:ind w:firstLine="420" w:firstLineChars="200"/>
              <w:rPr>
                <w:bCs/>
                <w:color w:val="auto"/>
                <w:szCs w:val="21"/>
                <w:highlight w:val="none"/>
              </w:rPr>
            </w:pPr>
            <w:r>
              <w:rPr>
                <w:bCs/>
                <w:color w:val="auto"/>
                <w:szCs w:val="21"/>
                <w:highlight w:val="none"/>
              </w:rPr>
              <w:t>M为物料含水率，%。</w:t>
            </w:r>
            <w:r>
              <w:rPr>
                <w:rFonts w:hint="eastAsia"/>
                <w:bCs/>
                <w:color w:val="auto"/>
                <w:szCs w:val="21"/>
                <w:highlight w:val="none"/>
              </w:rPr>
              <w:t>本项目煤泥、精煤、中煤、水处理污泥综合含水率取30%。煤矸石、脱硫石膏、有机肥、炉渣</w:t>
            </w:r>
            <w:r>
              <w:rPr>
                <w:bCs/>
                <w:color w:val="auto"/>
                <w:szCs w:val="21"/>
                <w:highlight w:val="none"/>
              </w:rPr>
              <w:t>根据《扬尘源颗粒物排放清单编制技术指南》（试行）中表11各种行业堆场物料的含水率参考值，取</w:t>
            </w:r>
            <w:r>
              <w:rPr>
                <w:rFonts w:hint="eastAsia"/>
                <w:bCs/>
                <w:color w:val="auto"/>
                <w:szCs w:val="21"/>
                <w:highlight w:val="none"/>
              </w:rPr>
              <w:t>6.9</w:t>
            </w:r>
            <w:r>
              <w:rPr>
                <w:bCs/>
                <w:color w:val="auto"/>
                <w:szCs w:val="21"/>
                <w:highlight w:val="none"/>
              </w:rPr>
              <w:t>%</w:t>
            </w:r>
            <w:r>
              <w:rPr>
                <w:rFonts w:hint="eastAsia"/>
                <w:bCs/>
                <w:color w:val="auto"/>
                <w:szCs w:val="21"/>
                <w:highlight w:val="none"/>
              </w:rPr>
              <w:t>。</w:t>
            </w:r>
            <w:r>
              <w:rPr>
                <w:bCs/>
                <w:color w:val="auto"/>
                <w:szCs w:val="21"/>
                <w:highlight w:val="none"/>
              </w:rPr>
              <w:t>η为污染控制技术对扬尘的去除效率，根据《扬尘源颗粒物排放清单编制技术指南》（试行）中表12，</w:t>
            </w:r>
            <w:r>
              <w:rPr>
                <w:rFonts w:ascii="宋体" w:hAnsi="宋体" w:cs="宋体"/>
                <w:color w:val="auto"/>
                <w:szCs w:val="21"/>
                <w:highlight w:val="none"/>
              </w:rPr>
              <w:t>输</w:t>
            </w:r>
            <w:r>
              <w:rPr>
                <w:color w:val="auto"/>
                <w:szCs w:val="21"/>
                <w:highlight w:val="none"/>
              </w:rPr>
              <w:t>送点位连续洒水操作，TSP控制效率为74%。</w:t>
            </w:r>
            <w:r>
              <w:rPr>
                <w:rFonts w:hint="eastAsia"/>
                <w:bCs/>
                <w:color w:val="auto"/>
                <w:szCs w:val="21"/>
                <w:highlight w:val="none"/>
              </w:rPr>
              <w:t>建筑料堆的三边用孔隙率50%的围挡遮围</w:t>
            </w:r>
            <w:r>
              <w:rPr>
                <w:bCs/>
                <w:color w:val="auto"/>
                <w:szCs w:val="21"/>
                <w:highlight w:val="none"/>
              </w:rPr>
              <w:t>，TSP控制效率为</w:t>
            </w:r>
            <w:r>
              <w:rPr>
                <w:rFonts w:hint="eastAsia"/>
                <w:bCs/>
                <w:color w:val="auto"/>
                <w:szCs w:val="21"/>
                <w:highlight w:val="none"/>
              </w:rPr>
              <w:t>90</w:t>
            </w:r>
            <w:r>
              <w:rPr>
                <w:bCs/>
                <w:color w:val="auto"/>
                <w:szCs w:val="21"/>
                <w:highlight w:val="none"/>
              </w:rPr>
              <w:t>%。</w:t>
            </w:r>
          </w:p>
          <w:p w14:paraId="5F4A7161">
            <w:pPr>
              <w:adjustRightInd w:val="0"/>
              <w:snapToGrid w:val="0"/>
              <w:spacing w:line="360" w:lineRule="auto"/>
              <w:ind w:firstLine="420" w:firstLineChars="200"/>
              <w:rPr>
                <w:bCs/>
                <w:color w:val="auto"/>
                <w:szCs w:val="21"/>
                <w:highlight w:val="none"/>
              </w:rPr>
            </w:pPr>
            <w:r>
              <w:rPr>
                <w:bCs/>
                <w:color w:val="auto"/>
                <w:szCs w:val="21"/>
                <w:highlight w:val="none"/>
              </w:rPr>
              <w:t>堆场风蚀扬尘排放系数的计算方法：</w:t>
            </w:r>
          </w:p>
          <w:p w14:paraId="5BCAFE7D">
            <w:pPr>
              <w:ind w:firstLine="420"/>
              <w:rPr>
                <w:color w:val="auto"/>
                <w:szCs w:val="21"/>
                <w:highlight w:val="none"/>
              </w:rPr>
            </w:pPr>
            <w:r>
              <w:rPr>
                <w:color w:val="auto"/>
                <w:szCs w:val="21"/>
                <w:highlight w:val="none"/>
              </w:rPr>
              <w:drawing>
                <wp:inline distT="0" distB="0" distL="114300" distR="114300">
                  <wp:extent cx="4404360" cy="1607820"/>
                  <wp:effectExtent l="0" t="0" r="15240" b="1143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6"/>
                          <a:stretch>
                            <a:fillRect/>
                          </a:stretch>
                        </pic:blipFill>
                        <pic:spPr>
                          <a:xfrm>
                            <a:off x="0" y="0"/>
                            <a:ext cx="4404360" cy="1607820"/>
                          </a:xfrm>
                          <a:prstGeom prst="rect">
                            <a:avLst/>
                          </a:prstGeom>
                          <a:noFill/>
                          <a:ln>
                            <a:noFill/>
                          </a:ln>
                        </pic:spPr>
                      </pic:pic>
                    </a:graphicData>
                  </a:graphic>
                </wp:inline>
              </w:drawing>
            </w:r>
          </w:p>
          <w:p w14:paraId="688DAC57">
            <w:pPr>
              <w:ind w:firstLine="420"/>
              <w:jc w:val="center"/>
              <w:rPr>
                <w:color w:val="auto"/>
                <w:szCs w:val="21"/>
                <w:highlight w:val="none"/>
              </w:rPr>
            </w:pPr>
            <w:r>
              <w:rPr>
                <w:color w:val="auto"/>
                <w:szCs w:val="21"/>
                <w:highlight w:val="none"/>
              </w:rPr>
              <w:drawing>
                <wp:inline distT="0" distB="0" distL="114300" distR="114300">
                  <wp:extent cx="2682240" cy="518160"/>
                  <wp:effectExtent l="0" t="0" r="3810" b="1524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27"/>
                          <a:stretch>
                            <a:fillRect/>
                          </a:stretch>
                        </pic:blipFill>
                        <pic:spPr>
                          <a:xfrm>
                            <a:off x="0" y="0"/>
                            <a:ext cx="2682240" cy="518160"/>
                          </a:xfrm>
                          <a:prstGeom prst="rect">
                            <a:avLst/>
                          </a:prstGeom>
                          <a:noFill/>
                          <a:ln>
                            <a:noFill/>
                          </a:ln>
                        </pic:spPr>
                      </pic:pic>
                    </a:graphicData>
                  </a:graphic>
                </wp:inline>
              </w:drawing>
            </w:r>
          </w:p>
          <w:p w14:paraId="0A6785D8">
            <w:pPr>
              <w:spacing w:line="360" w:lineRule="auto"/>
              <w:ind w:firstLine="482"/>
              <w:rPr>
                <w:color w:val="auto"/>
                <w:szCs w:val="21"/>
                <w:highlight w:val="none"/>
              </w:rPr>
            </w:pPr>
            <w:r>
              <w:rPr>
                <w:color w:val="auto"/>
                <w:szCs w:val="21"/>
                <w:highlight w:val="none"/>
              </w:rPr>
              <w:t>式中：E</w:t>
            </w:r>
            <w:r>
              <w:rPr>
                <w:color w:val="auto"/>
                <w:szCs w:val="21"/>
                <w:highlight w:val="none"/>
                <w:vertAlign w:val="subscript"/>
              </w:rPr>
              <w:t>w</w:t>
            </w:r>
            <w:r>
              <w:rPr>
                <w:color w:val="auto"/>
                <w:szCs w:val="21"/>
                <w:highlight w:val="none"/>
              </w:rPr>
              <w:t>——堆场风蚀扬尘的排放系数，kg/m</w:t>
            </w:r>
            <w:r>
              <w:rPr>
                <w:color w:val="auto"/>
                <w:szCs w:val="21"/>
                <w:highlight w:val="none"/>
                <w:vertAlign w:val="superscript"/>
              </w:rPr>
              <w:t>2</w:t>
            </w:r>
            <w:r>
              <w:rPr>
                <w:color w:val="auto"/>
                <w:szCs w:val="21"/>
                <w:highlight w:val="none"/>
              </w:rPr>
              <w:t>；</w:t>
            </w:r>
          </w:p>
          <w:p w14:paraId="31CB32ED">
            <w:pPr>
              <w:spacing w:line="360" w:lineRule="auto"/>
              <w:ind w:firstLine="482"/>
              <w:rPr>
                <w:color w:val="auto"/>
                <w:szCs w:val="21"/>
                <w:highlight w:val="none"/>
              </w:rPr>
            </w:pPr>
            <w:r>
              <w:rPr>
                <w:color w:val="auto"/>
                <w:szCs w:val="21"/>
                <w:highlight w:val="none"/>
              </w:rPr>
              <w:t>k</w:t>
            </w:r>
            <w:r>
              <w:rPr>
                <w:color w:val="auto"/>
                <w:szCs w:val="21"/>
                <w:highlight w:val="none"/>
                <w:vertAlign w:val="subscript"/>
              </w:rPr>
              <w:t>i</w:t>
            </w:r>
            <w:r>
              <w:rPr>
                <w:color w:val="auto"/>
                <w:szCs w:val="21"/>
                <w:highlight w:val="none"/>
              </w:rPr>
              <w:t>——物料的粒度乘数，TSP取1.0；</w:t>
            </w:r>
          </w:p>
          <w:p w14:paraId="6F5A6694">
            <w:pPr>
              <w:spacing w:line="360" w:lineRule="auto"/>
              <w:ind w:firstLine="482"/>
              <w:rPr>
                <w:color w:val="auto"/>
                <w:szCs w:val="21"/>
                <w:highlight w:val="none"/>
              </w:rPr>
            </w:pPr>
            <w:r>
              <w:rPr>
                <w:color w:val="auto"/>
                <w:szCs w:val="21"/>
                <w:highlight w:val="none"/>
              </w:rPr>
              <w:t>n——料堆每年受扰动的次数；</w:t>
            </w:r>
          </w:p>
          <w:p w14:paraId="59CCBB1C">
            <w:pPr>
              <w:spacing w:line="360" w:lineRule="auto"/>
              <w:ind w:firstLine="482"/>
              <w:rPr>
                <w:color w:val="auto"/>
                <w:szCs w:val="21"/>
                <w:highlight w:val="none"/>
              </w:rPr>
            </w:pPr>
            <w:r>
              <w:rPr>
                <w:color w:val="auto"/>
                <w:szCs w:val="21"/>
                <w:highlight w:val="none"/>
              </w:rPr>
              <w:t>P</w:t>
            </w:r>
            <w:r>
              <w:rPr>
                <w:color w:val="auto"/>
                <w:szCs w:val="21"/>
                <w:highlight w:val="none"/>
                <w:vertAlign w:val="subscript"/>
              </w:rPr>
              <w:t>i</w:t>
            </w:r>
            <w:r>
              <w:rPr>
                <w:color w:val="auto"/>
                <w:szCs w:val="21"/>
                <w:highlight w:val="none"/>
              </w:rPr>
              <w:t>——第i次扰动中观测的最大风速的风蚀潜势，g/m</w:t>
            </w:r>
            <w:r>
              <w:rPr>
                <w:color w:val="auto"/>
                <w:szCs w:val="21"/>
                <w:highlight w:val="none"/>
                <w:vertAlign w:val="superscript"/>
              </w:rPr>
              <w:t>2</w:t>
            </w:r>
            <w:r>
              <w:rPr>
                <w:color w:val="auto"/>
                <w:szCs w:val="21"/>
                <w:highlight w:val="none"/>
              </w:rPr>
              <w:t>；</w:t>
            </w:r>
          </w:p>
          <w:p w14:paraId="1A9AD2B4">
            <w:pPr>
              <w:spacing w:line="360" w:lineRule="auto"/>
              <w:ind w:firstLine="482"/>
              <w:rPr>
                <w:color w:val="auto"/>
                <w:szCs w:val="21"/>
                <w:highlight w:val="none"/>
              </w:rPr>
            </w:pPr>
            <w:r>
              <w:rPr>
                <w:color w:val="auto"/>
                <w:szCs w:val="21"/>
                <w:highlight w:val="none"/>
              </w:rPr>
              <w:drawing>
                <wp:inline distT="0" distB="0" distL="114300" distR="114300">
                  <wp:extent cx="121920" cy="213360"/>
                  <wp:effectExtent l="0" t="0" r="11430" b="1524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28"/>
                          <a:stretch>
                            <a:fillRect/>
                          </a:stretch>
                        </pic:blipFill>
                        <pic:spPr>
                          <a:xfrm>
                            <a:off x="0" y="0"/>
                            <a:ext cx="121920" cy="213360"/>
                          </a:xfrm>
                          <a:prstGeom prst="rect">
                            <a:avLst/>
                          </a:prstGeom>
                          <a:noFill/>
                          <a:ln>
                            <a:noFill/>
                          </a:ln>
                        </pic:spPr>
                      </pic:pic>
                    </a:graphicData>
                  </a:graphic>
                </wp:inline>
              </w:drawing>
            </w:r>
            <w:r>
              <w:rPr>
                <w:color w:val="auto"/>
                <w:szCs w:val="21"/>
                <w:highlight w:val="none"/>
              </w:rPr>
              <w:t>——污染控制技术对扬尘的去除效率；</w:t>
            </w:r>
          </w:p>
          <w:p w14:paraId="18A34EA8">
            <w:pPr>
              <w:spacing w:line="360" w:lineRule="auto"/>
              <w:ind w:firstLine="482"/>
              <w:rPr>
                <w:color w:val="auto"/>
                <w:szCs w:val="21"/>
                <w:highlight w:val="none"/>
              </w:rPr>
            </w:pPr>
            <w:r>
              <w:rPr>
                <w:color w:val="auto"/>
                <w:szCs w:val="21"/>
                <w:highlight w:val="none"/>
              </w:rPr>
              <w:t>u*——摩擦风速，m/s；</w:t>
            </w:r>
          </w:p>
          <w:p w14:paraId="4D120F82">
            <w:pPr>
              <w:spacing w:line="360" w:lineRule="auto"/>
              <w:ind w:firstLine="482"/>
              <w:rPr>
                <w:color w:val="auto"/>
                <w:szCs w:val="21"/>
                <w:highlight w:val="none"/>
              </w:rPr>
            </w:pPr>
            <w:r>
              <w:rPr>
                <w:color w:val="auto"/>
                <w:szCs w:val="21"/>
                <w:highlight w:val="none"/>
              </w:rPr>
              <w:t>u</w:t>
            </w:r>
            <w:r>
              <w:rPr>
                <w:color w:val="auto"/>
                <w:szCs w:val="21"/>
                <w:highlight w:val="none"/>
                <w:vertAlign w:val="subscript"/>
              </w:rPr>
              <w:t>t</w:t>
            </w:r>
            <w:r>
              <w:rPr>
                <w:color w:val="auto"/>
                <w:szCs w:val="21"/>
                <w:highlight w:val="none"/>
              </w:rPr>
              <w:t>*——阈值摩擦风速，即起尘的临界摩擦风速，取1.</w:t>
            </w:r>
            <w:r>
              <w:rPr>
                <w:rFonts w:hint="eastAsia"/>
                <w:color w:val="auto"/>
                <w:szCs w:val="21"/>
                <w:highlight w:val="none"/>
              </w:rPr>
              <w:t>02</w:t>
            </w:r>
            <w:r>
              <w:rPr>
                <w:color w:val="auto"/>
                <w:szCs w:val="21"/>
                <w:highlight w:val="none"/>
              </w:rPr>
              <w:t>m/s；</w:t>
            </w:r>
          </w:p>
          <w:p w14:paraId="54AF805D">
            <w:pPr>
              <w:adjustRightInd w:val="0"/>
              <w:snapToGrid w:val="0"/>
              <w:spacing w:line="360" w:lineRule="auto"/>
              <w:ind w:firstLine="420" w:firstLineChars="200"/>
              <w:rPr>
                <w:color w:val="auto"/>
                <w:szCs w:val="21"/>
                <w:highlight w:val="none"/>
              </w:rPr>
            </w:pPr>
            <w:r>
              <w:rPr>
                <w:color w:val="auto"/>
                <w:szCs w:val="21"/>
                <w:highlight w:val="none"/>
              </w:rPr>
              <w:t>u（z）——地面风速；</w:t>
            </w:r>
            <w:r>
              <w:rPr>
                <w:rFonts w:hint="eastAsia"/>
                <w:bCs/>
                <w:color w:val="auto"/>
                <w:szCs w:val="21"/>
                <w:highlight w:val="none"/>
              </w:rPr>
              <w:t>u</w:t>
            </w:r>
            <w:r>
              <w:rPr>
                <w:bCs/>
                <w:color w:val="auto"/>
                <w:szCs w:val="21"/>
                <w:highlight w:val="none"/>
              </w:rPr>
              <w:t>取</w:t>
            </w:r>
            <w:r>
              <w:rPr>
                <w:rFonts w:hint="eastAsia"/>
                <w:bCs/>
                <w:color w:val="auto"/>
                <w:szCs w:val="21"/>
                <w:highlight w:val="none"/>
              </w:rPr>
              <w:t>0.5m/s（物料棚设置闭合防风抑尘网）</w:t>
            </w:r>
          </w:p>
          <w:p w14:paraId="0CC14728">
            <w:pPr>
              <w:spacing w:line="360" w:lineRule="auto"/>
              <w:ind w:firstLine="482"/>
              <w:rPr>
                <w:color w:val="auto"/>
                <w:szCs w:val="21"/>
                <w:highlight w:val="none"/>
              </w:rPr>
            </w:pPr>
            <w:r>
              <w:rPr>
                <w:color w:val="auto"/>
                <w:szCs w:val="21"/>
                <w:highlight w:val="none"/>
              </w:rPr>
              <w:t>z——地面风速检测高度，取</w:t>
            </w:r>
            <w:r>
              <w:rPr>
                <w:rFonts w:hint="eastAsia"/>
                <w:color w:val="auto"/>
                <w:szCs w:val="21"/>
                <w:highlight w:val="none"/>
              </w:rPr>
              <w:t>5</w:t>
            </w:r>
            <w:r>
              <w:rPr>
                <w:color w:val="auto"/>
                <w:szCs w:val="21"/>
                <w:highlight w:val="none"/>
              </w:rPr>
              <w:t>m；</w:t>
            </w:r>
          </w:p>
          <w:p w14:paraId="6E1D68AE">
            <w:pPr>
              <w:spacing w:line="360" w:lineRule="auto"/>
              <w:ind w:firstLine="482"/>
              <w:rPr>
                <w:color w:val="auto"/>
                <w:szCs w:val="21"/>
                <w:highlight w:val="none"/>
              </w:rPr>
            </w:pPr>
            <w:r>
              <w:rPr>
                <w:color w:val="auto"/>
                <w:szCs w:val="21"/>
                <w:highlight w:val="none"/>
              </w:rPr>
              <w:t>z</w:t>
            </w:r>
            <w:r>
              <w:rPr>
                <w:color w:val="auto"/>
                <w:szCs w:val="21"/>
                <w:highlight w:val="none"/>
                <w:vertAlign w:val="subscript"/>
              </w:rPr>
              <w:t>0</w:t>
            </w:r>
            <w:r>
              <w:rPr>
                <w:color w:val="auto"/>
                <w:szCs w:val="21"/>
                <w:highlight w:val="none"/>
              </w:rPr>
              <w:t>——地面粗糙度，m，郊区取值0.2；</w:t>
            </w:r>
          </w:p>
          <w:p w14:paraId="5190DF4D">
            <w:pPr>
              <w:spacing w:line="360" w:lineRule="auto"/>
              <w:ind w:firstLine="482"/>
              <w:rPr>
                <w:color w:val="auto"/>
                <w:szCs w:val="21"/>
                <w:highlight w:val="none"/>
              </w:rPr>
            </w:pPr>
            <w:r>
              <w:rPr>
                <w:color w:val="auto"/>
                <w:szCs w:val="21"/>
                <w:highlight w:val="none"/>
              </w:rPr>
              <w:t>0.4——冯卡门常数，无量纲。</w:t>
            </w:r>
          </w:p>
          <w:p w14:paraId="4382612C">
            <w:pPr>
              <w:spacing w:line="360" w:lineRule="auto"/>
              <w:ind w:firstLine="482"/>
              <w:rPr>
                <w:color w:val="auto"/>
                <w:szCs w:val="21"/>
                <w:highlight w:val="none"/>
              </w:rPr>
            </w:pPr>
            <w:r>
              <w:rPr>
                <w:color w:val="auto"/>
                <w:szCs w:val="21"/>
                <w:highlight w:val="none"/>
              </w:rPr>
              <w:t>经计算：</w:t>
            </w:r>
          </w:p>
          <w:p w14:paraId="073E9853">
            <w:pPr>
              <w:spacing w:line="360" w:lineRule="auto"/>
              <w:ind w:firstLine="482"/>
              <w:rPr>
                <w:color w:val="auto"/>
                <w:szCs w:val="21"/>
                <w:highlight w:val="none"/>
              </w:rPr>
            </w:pPr>
            <w:r>
              <w:rPr>
                <w:color w:val="auto"/>
                <w:szCs w:val="21"/>
                <w:highlight w:val="none"/>
              </w:rPr>
              <w:t>项目所在区域u*=0.</w:t>
            </w:r>
            <w:r>
              <w:rPr>
                <w:rFonts w:hint="eastAsia"/>
                <w:color w:val="auto"/>
                <w:szCs w:val="21"/>
                <w:highlight w:val="none"/>
              </w:rPr>
              <w:t>074</w:t>
            </w:r>
            <w:r>
              <w:rPr>
                <w:color w:val="auto"/>
                <w:szCs w:val="21"/>
                <w:highlight w:val="none"/>
              </w:rPr>
              <w:t>＜ut*=1.</w:t>
            </w:r>
            <w:r>
              <w:rPr>
                <w:rFonts w:hint="eastAsia"/>
                <w:color w:val="auto"/>
                <w:szCs w:val="21"/>
                <w:highlight w:val="none"/>
              </w:rPr>
              <w:t>02</w:t>
            </w:r>
            <w:r>
              <w:rPr>
                <w:color w:val="auto"/>
                <w:szCs w:val="21"/>
                <w:highlight w:val="none"/>
              </w:rPr>
              <w:t>，其Pi取0，因此不考虑堆场风蚀扬尘的排放。</w:t>
            </w:r>
          </w:p>
          <w:p w14:paraId="18139298">
            <w:pPr>
              <w:adjustRightInd w:val="0"/>
              <w:snapToGrid w:val="0"/>
              <w:spacing w:line="360" w:lineRule="auto"/>
              <w:ind w:firstLine="420" w:firstLineChars="200"/>
              <w:rPr>
                <w:bCs/>
                <w:color w:val="auto"/>
                <w:szCs w:val="21"/>
                <w:highlight w:val="none"/>
              </w:rPr>
            </w:pPr>
            <w:r>
              <w:rPr>
                <w:bCs/>
                <w:color w:val="auto"/>
                <w:szCs w:val="21"/>
                <w:highlight w:val="none"/>
              </w:rPr>
              <w:t>经计算可知，</w:t>
            </w:r>
            <w:r>
              <w:rPr>
                <w:rFonts w:hint="eastAsia"/>
                <w:bCs/>
                <w:color w:val="auto"/>
                <w:szCs w:val="21"/>
                <w:highlight w:val="none"/>
              </w:rPr>
              <w:t>煤泥、精煤、中煤、水处理污泥堆存</w:t>
            </w:r>
            <w:r>
              <w:rPr>
                <w:bCs/>
                <w:color w:val="auto"/>
                <w:szCs w:val="21"/>
                <w:highlight w:val="none"/>
              </w:rPr>
              <w:t>E</w:t>
            </w:r>
            <w:r>
              <w:rPr>
                <w:bCs/>
                <w:color w:val="auto"/>
                <w:szCs w:val="21"/>
                <w:highlight w:val="none"/>
                <w:vertAlign w:val="subscript"/>
              </w:rPr>
              <w:t>h</w:t>
            </w:r>
            <w:r>
              <w:rPr>
                <w:bCs/>
                <w:color w:val="auto"/>
                <w:szCs w:val="21"/>
                <w:highlight w:val="none"/>
              </w:rPr>
              <w:t>为0.</w:t>
            </w:r>
            <w:r>
              <w:rPr>
                <w:rFonts w:hint="eastAsia"/>
                <w:bCs/>
                <w:color w:val="auto"/>
                <w:szCs w:val="21"/>
                <w:highlight w:val="none"/>
              </w:rPr>
              <w:t>00059</w:t>
            </w:r>
            <w:r>
              <w:rPr>
                <w:bCs/>
                <w:color w:val="auto"/>
                <w:szCs w:val="21"/>
                <w:highlight w:val="none"/>
              </w:rPr>
              <w:t>kg/t，</w:t>
            </w:r>
            <w:r>
              <w:rPr>
                <w:rFonts w:hint="eastAsia"/>
                <w:bCs/>
                <w:color w:val="auto"/>
                <w:szCs w:val="21"/>
                <w:highlight w:val="none"/>
              </w:rPr>
              <w:t>辅料堆存</w:t>
            </w:r>
            <w:r>
              <w:rPr>
                <w:bCs/>
                <w:color w:val="auto"/>
                <w:szCs w:val="21"/>
                <w:highlight w:val="none"/>
              </w:rPr>
              <w:t>E</w:t>
            </w:r>
            <w:r>
              <w:rPr>
                <w:bCs/>
                <w:color w:val="auto"/>
                <w:szCs w:val="21"/>
                <w:highlight w:val="none"/>
                <w:vertAlign w:val="subscript"/>
              </w:rPr>
              <w:t>h</w:t>
            </w:r>
            <w:r>
              <w:rPr>
                <w:bCs/>
                <w:color w:val="auto"/>
                <w:szCs w:val="21"/>
                <w:highlight w:val="none"/>
              </w:rPr>
              <w:t>为0.</w:t>
            </w:r>
            <w:r>
              <w:rPr>
                <w:rFonts w:hint="eastAsia"/>
                <w:bCs/>
                <w:color w:val="auto"/>
                <w:szCs w:val="21"/>
                <w:highlight w:val="none"/>
              </w:rPr>
              <w:t>00459</w:t>
            </w:r>
            <w:r>
              <w:rPr>
                <w:bCs/>
                <w:color w:val="auto"/>
                <w:szCs w:val="21"/>
                <w:highlight w:val="none"/>
              </w:rPr>
              <w:t>kg/t，</w:t>
            </w:r>
            <w:r>
              <w:rPr>
                <w:rFonts w:hint="eastAsia"/>
                <w:bCs/>
                <w:color w:val="auto"/>
                <w:szCs w:val="21"/>
                <w:highlight w:val="none"/>
              </w:rPr>
              <w:t>物料棚</w:t>
            </w:r>
            <w:r>
              <w:rPr>
                <w:bCs/>
                <w:color w:val="auto"/>
                <w:szCs w:val="21"/>
                <w:highlight w:val="none"/>
              </w:rPr>
              <w:t>四周设置抑尘网进行围挡，运输车辆日常装卸过程中</w:t>
            </w:r>
            <w:r>
              <w:rPr>
                <w:rFonts w:hint="eastAsia"/>
                <w:color w:val="auto"/>
                <w:szCs w:val="21"/>
                <w:highlight w:val="none"/>
              </w:rPr>
              <w:t>装车使用洒水车对装车过程进行降尘，卸料过程尽量减少落料过程中高差</w:t>
            </w:r>
            <w:r>
              <w:rPr>
                <w:bCs/>
                <w:color w:val="auto"/>
                <w:szCs w:val="21"/>
                <w:highlight w:val="none"/>
              </w:rPr>
              <w:t>，对储存</w:t>
            </w:r>
            <w:r>
              <w:rPr>
                <w:rFonts w:hint="eastAsia"/>
                <w:bCs/>
                <w:color w:val="auto"/>
                <w:szCs w:val="21"/>
                <w:highlight w:val="none"/>
              </w:rPr>
              <w:t>物料</w:t>
            </w:r>
            <w:r>
              <w:rPr>
                <w:bCs/>
                <w:color w:val="auto"/>
                <w:szCs w:val="21"/>
                <w:highlight w:val="none"/>
              </w:rPr>
              <w:t>使用</w:t>
            </w:r>
            <w:r>
              <w:rPr>
                <w:rFonts w:hint="eastAsia"/>
                <w:bCs/>
                <w:color w:val="auto"/>
                <w:szCs w:val="21"/>
                <w:highlight w:val="none"/>
              </w:rPr>
              <w:t>苫布</w:t>
            </w:r>
            <w:r>
              <w:rPr>
                <w:bCs/>
                <w:color w:val="auto"/>
                <w:szCs w:val="21"/>
                <w:highlight w:val="none"/>
              </w:rPr>
              <w:t>苫盖，</w:t>
            </w:r>
            <w:r>
              <w:rPr>
                <w:rFonts w:hint="eastAsia"/>
                <w:bCs/>
                <w:color w:val="auto"/>
                <w:szCs w:val="21"/>
                <w:highlight w:val="none"/>
              </w:rPr>
              <w:t>本项目</w:t>
            </w:r>
            <w:r>
              <w:rPr>
                <w:bCs/>
                <w:color w:val="auto"/>
                <w:szCs w:val="21"/>
                <w:highlight w:val="none"/>
              </w:rPr>
              <w:t>年</w:t>
            </w:r>
            <w:r>
              <w:rPr>
                <w:rFonts w:hint="eastAsia"/>
                <w:bCs/>
                <w:color w:val="auto"/>
                <w:szCs w:val="21"/>
                <w:highlight w:val="none"/>
              </w:rPr>
              <w:t>转运煤泥20万t，精煤1.5万t，中煤0.7万t，水处理污泥3.5万t，骨料3.9万t，脱硫石膏1.4万t，有机肥</w:t>
            </w:r>
            <w:r>
              <w:rPr>
                <w:rFonts w:hint="eastAsia"/>
                <w:bCs/>
                <w:color w:val="auto"/>
                <w:szCs w:val="21"/>
                <w:highlight w:val="none"/>
                <w:lang w:val="en-US" w:eastAsia="zh-CN"/>
              </w:rPr>
              <w:t>0.6</w:t>
            </w:r>
            <w:r>
              <w:rPr>
                <w:rFonts w:hint="eastAsia"/>
                <w:bCs/>
                <w:color w:val="auto"/>
                <w:szCs w:val="21"/>
                <w:highlight w:val="none"/>
              </w:rPr>
              <w:t>万t</w:t>
            </w:r>
            <w:r>
              <w:rPr>
                <w:rFonts w:hint="eastAsia"/>
                <w:color w:val="auto"/>
                <w:szCs w:val="21"/>
                <w:highlight w:val="none"/>
              </w:rPr>
              <w:t>，炉渣0.7万t，</w:t>
            </w:r>
            <w:r>
              <w:rPr>
                <w:bCs/>
                <w:color w:val="auto"/>
                <w:szCs w:val="21"/>
                <w:highlight w:val="none"/>
              </w:rPr>
              <w:t>经计算本项目</w:t>
            </w:r>
            <w:r>
              <w:rPr>
                <w:rFonts w:hint="eastAsia"/>
                <w:bCs/>
                <w:color w:val="auto"/>
                <w:szCs w:val="21"/>
                <w:highlight w:val="none"/>
              </w:rPr>
              <w:t>物料装卸、储存颗粒物排放</w:t>
            </w:r>
            <w:r>
              <w:rPr>
                <w:bCs/>
                <w:color w:val="auto"/>
                <w:szCs w:val="21"/>
                <w:highlight w:val="none"/>
              </w:rPr>
              <w:t>量为</w:t>
            </w:r>
            <w:r>
              <w:rPr>
                <w:rFonts w:hint="eastAsia"/>
                <w:bCs/>
                <w:color w:val="auto"/>
                <w:szCs w:val="21"/>
                <w:highlight w:val="none"/>
                <w:lang w:val="en-US" w:eastAsia="zh-CN"/>
              </w:rPr>
              <w:t>0.638</w:t>
            </w:r>
            <w:r>
              <w:rPr>
                <w:bCs/>
                <w:color w:val="auto"/>
                <w:szCs w:val="21"/>
                <w:highlight w:val="none"/>
              </w:rPr>
              <w:t>t/a，排放</w:t>
            </w:r>
            <w:r>
              <w:rPr>
                <w:rFonts w:hint="eastAsia"/>
                <w:bCs/>
                <w:color w:val="auto"/>
                <w:szCs w:val="21"/>
                <w:highlight w:val="none"/>
              </w:rPr>
              <w:t>速率为</w:t>
            </w:r>
            <w:r>
              <w:rPr>
                <w:rFonts w:hint="eastAsia"/>
                <w:bCs/>
                <w:color w:val="auto"/>
                <w:szCs w:val="21"/>
                <w:highlight w:val="none"/>
                <w:lang w:val="en-US" w:eastAsia="zh-CN"/>
              </w:rPr>
              <w:t>0.111</w:t>
            </w:r>
            <w:r>
              <w:rPr>
                <w:rFonts w:hint="eastAsia"/>
                <w:bCs/>
                <w:color w:val="auto"/>
                <w:szCs w:val="21"/>
                <w:highlight w:val="none"/>
              </w:rPr>
              <w:t>kg/h。</w:t>
            </w:r>
          </w:p>
          <w:p w14:paraId="3FF7ADD2">
            <w:pPr>
              <w:adjustRightInd w:val="0"/>
              <w:snapToGrid w:val="0"/>
              <w:spacing w:line="360" w:lineRule="auto"/>
              <w:ind w:firstLine="420" w:firstLineChars="200"/>
              <w:rPr>
                <w:bCs/>
                <w:color w:val="auto"/>
                <w:szCs w:val="21"/>
                <w:highlight w:val="none"/>
              </w:rPr>
            </w:pPr>
            <w:r>
              <w:rPr>
                <w:color w:val="auto"/>
                <w:kern w:val="0"/>
                <w:szCs w:val="21"/>
                <w:highlight w:val="none"/>
              </w:rPr>
              <w:t>②</w:t>
            </w:r>
            <w:r>
              <w:rPr>
                <w:bCs/>
                <w:color w:val="auto"/>
                <w:szCs w:val="21"/>
                <w:highlight w:val="none"/>
              </w:rPr>
              <w:t>运输车辆过程扬尘</w:t>
            </w:r>
          </w:p>
          <w:p w14:paraId="7A824A1E">
            <w:pPr>
              <w:adjustRightInd w:val="0"/>
              <w:snapToGrid w:val="0"/>
              <w:spacing w:line="360" w:lineRule="auto"/>
              <w:ind w:firstLine="420" w:firstLineChars="200"/>
              <w:rPr>
                <w:bCs/>
                <w:color w:val="auto"/>
                <w:szCs w:val="21"/>
                <w:highlight w:val="none"/>
              </w:rPr>
            </w:pPr>
            <w:r>
              <w:rPr>
                <w:bCs/>
                <w:color w:val="auto"/>
                <w:szCs w:val="21"/>
                <w:highlight w:val="none"/>
              </w:rPr>
              <w:t>本项目</w:t>
            </w:r>
            <w:r>
              <w:rPr>
                <w:rFonts w:hint="eastAsia"/>
                <w:bCs/>
                <w:color w:val="auto"/>
                <w:szCs w:val="21"/>
                <w:highlight w:val="none"/>
              </w:rPr>
              <w:t>物料、产品运输</w:t>
            </w:r>
            <w:r>
              <w:rPr>
                <w:bCs/>
                <w:color w:val="auto"/>
                <w:szCs w:val="21"/>
                <w:highlight w:val="none"/>
              </w:rPr>
              <w:t>过程中汽车道路行驶引起扬尘，根据《扬尘源颗粒物排放清单编制技术指南》（试行）中铺装道路，扬尘排放系数计算公式如下：</w:t>
            </w:r>
          </w:p>
          <w:p w14:paraId="0AD4396A">
            <w:pPr>
              <w:adjustRightInd w:val="0"/>
              <w:snapToGrid w:val="0"/>
              <w:spacing w:line="360" w:lineRule="auto"/>
              <w:rPr>
                <w:color w:val="auto"/>
                <w:szCs w:val="21"/>
                <w:highlight w:val="none"/>
              </w:rPr>
            </w:pPr>
            <w:r>
              <w:rPr>
                <w:color w:val="auto"/>
                <w:szCs w:val="21"/>
                <w:highlight w:val="none"/>
              </w:rPr>
              <w:drawing>
                <wp:inline distT="0" distB="0" distL="114300" distR="114300">
                  <wp:extent cx="2800350" cy="552450"/>
                  <wp:effectExtent l="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9"/>
                          <a:stretch>
                            <a:fillRect/>
                          </a:stretch>
                        </pic:blipFill>
                        <pic:spPr>
                          <a:xfrm>
                            <a:off x="0" y="0"/>
                            <a:ext cx="2800350" cy="552450"/>
                          </a:xfrm>
                          <a:prstGeom prst="rect">
                            <a:avLst/>
                          </a:prstGeom>
                          <a:noFill/>
                          <a:ln>
                            <a:noFill/>
                          </a:ln>
                        </pic:spPr>
                      </pic:pic>
                    </a:graphicData>
                  </a:graphic>
                </wp:inline>
              </w:drawing>
            </w:r>
          </w:p>
          <w:p w14:paraId="50416C0E">
            <w:pPr>
              <w:pStyle w:val="2"/>
              <w:rPr>
                <w:color w:val="auto"/>
                <w:sz w:val="21"/>
                <w:szCs w:val="21"/>
                <w:highlight w:val="none"/>
              </w:rPr>
            </w:pPr>
            <w:r>
              <w:rPr>
                <w:color w:val="auto"/>
                <w:sz w:val="21"/>
                <w:szCs w:val="21"/>
                <w:highlight w:val="none"/>
              </w:rPr>
              <w:drawing>
                <wp:inline distT="0" distB="0" distL="114300" distR="114300">
                  <wp:extent cx="2952750" cy="371475"/>
                  <wp:effectExtent l="0" t="0" r="0" b="952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0"/>
                          <a:stretch>
                            <a:fillRect/>
                          </a:stretch>
                        </pic:blipFill>
                        <pic:spPr>
                          <a:xfrm>
                            <a:off x="0" y="0"/>
                            <a:ext cx="2952750" cy="371475"/>
                          </a:xfrm>
                          <a:prstGeom prst="rect">
                            <a:avLst/>
                          </a:prstGeom>
                          <a:noFill/>
                          <a:ln>
                            <a:noFill/>
                          </a:ln>
                        </pic:spPr>
                      </pic:pic>
                    </a:graphicData>
                  </a:graphic>
                </wp:inline>
              </w:drawing>
            </w:r>
          </w:p>
          <w:p w14:paraId="20865BAC">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式中：W</w:t>
            </w:r>
            <w:r>
              <w:rPr>
                <w:color w:val="auto"/>
                <w:kern w:val="0"/>
                <w:szCs w:val="21"/>
                <w:highlight w:val="none"/>
                <w:vertAlign w:val="subscript"/>
              </w:rPr>
              <w:t>Ri</w:t>
            </w:r>
            <w:r>
              <w:rPr>
                <w:color w:val="auto"/>
                <w:kern w:val="0"/>
                <w:szCs w:val="21"/>
                <w:highlight w:val="none"/>
              </w:rPr>
              <w:t>：道路扬尘源中颗粒物PMi的总排放量，t/a；</w:t>
            </w:r>
          </w:p>
          <w:p w14:paraId="368514A6">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E</w:t>
            </w:r>
            <w:r>
              <w:rPr>
                <w:color w:val="auto"/>
                <w:kern w:val="0"/>
                <w:szCs w:val="21"/>
                <w:highlight w:val="none"/>
                <w:vertAlign w:val="subscript"/>
              </w:rPr>
              <w:t>Ri</w:t>
            </w:r>
            <w:r>
              <w:rPr>
                <w:color w:val="auto"/>
                <w:kern w:val="0"/>
                <w:szCs w:val="21"/>
                <w:highlight w:val="none"/>
              </w:rPr>
              <w:t>：道路扬尘源中PMi平均排放系数，g/(km•辆)；</w:t>
            </w:r>
          </w:p>
          <w:p w14:paraId="2E8D163E">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L</w:t>
            </w:r>
            <w:r>
              <w:rPr>
                <w:color w:val="auto"/>
                <w:kern w:val="0"/>
                <w:szCs w:val="21"/>
                <w:highlight w:val="none"/>
                <w:vertAlign w:val="subscript"/>
              </w:rPr>
              <w:t>R</w:t>
            </w:r>
            <w:r>
              <w:rPr>
                <w:color w:val="auto"/>
                <w:kern w:val="0"/>
                <w:szCs w:val="21"/>
                <w:highlight w:val="none"/>
              </w:rPr>
              <w:t>：道路长度，km，本项目取0.</w:t>
            </w:r>
            <w:r>
              <w:rPr>
                <w:rFonts w:hint="eastAsia"/>
                <w:color w:val="auto"/>
                <w:kern w:val="0"/>
                <w:szCs w:val="21"/>
                <w:highlight w:val="none"/>
              </w:rPr>
              <w:t>2</w:t>
            </w:r>
            <w:r>
              <w:rPr>
                <w:color w:val="auto"/>
                <w:kern w:val="0"/>
                <w:szCs w:val="21"/>
                <w:highlight w:val="none"/>
              </w:rPr>
              <w:t>km；</w:t>
            </w:r>
          </w:p>
          <w:p w14:paraId="26CD9403">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N</w:t>
            </w:r>
            <w:r>
              <w:rPr>
                <w:color w:val="auto"/>
                <w:kern w:val="0"/>
                <w:szCs w:val="21"/>
                <w:highlight w:val="none"/>
                <w:vertAlign w:val="subscript"/>
              </w:rPr>
              <w:t>R</w:t>
            </w:r>
            <w:r>
              <w:rPr>
                <w:color w:val="auto"/>
                <w:kern w:val="0"/>
                <w:szCs w:val="21"/>
                <w:highlight w:val="none"/>
              </w:rPr>
              <w:t>：一定时期内车辆在该段道路上的平均车流量，辆/a，本项目取</w:t>
            </w:r>
            <w:r>
              <w:rPr>
                <w:rFonts w:hint="eastAsia"/>
                <w:color w:val="auto"/>
                <w:kern w:val="0"/>
                <w:szCs w:val="21"/>
                <w:highlight w:val="none"/>
              </w:rPr>
              <w:t>16600</w:t>
            </w:r>
            <w:r>
              <w:rPr>
                <w:color w:val="auto"/>
                <w:kern w:val="0"/>
                <w:szCs w:val="21"/>
                <w:highlight w:val="none"/>
              </w:rPr>
              <w:t>辆/a；</w:t>
            </w:r>
          </w:p>
          <w:p w14:paraId="3043895E">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n</w:t>
            </w:r>
            <w:r>
              <w:rPr>
                <w:color w:val="auto"/>
                <w:kern w:val="0"/>
                <w:szCs w:val="21"/>
                <w:highlight w:val="none"/>
                <w:vertAlign w:val="subscript"/>
              </w:rPr>
              <w:t>r</w:t>
            </w:r>
            <w:r>
              <w:rPr>
                <w:color w:val="auto"/>
                <w:kern w:val="0"/>
                <w:szCs w:val="21"/>
                <w:highlight w:val="none"/>
              </w:rPr>
              <w:t>：不起尘天数，可使用一年中降水量大于0.25mm/d的天数表示，本项目取20天；</w:t>
            </w:r>
          </w:p>
          <w:p w14:paraId="623926DB">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k</w:t>
            </w:r>
            <w:r>
              <w:rPr>
                <w:color w:val="auto"/>
                <w:kern w:val="0"/>
                <w:szCs w:val="21"/>
                <w:highlight w:val="none"/>
                <w:vertAlign w:val="subscript"/>
              </w:rPr>
              <w:t>i</w:t>
            </w:r>
            <w:r>
              <w:rPr>
                <w:color w:val="auto"/>
                <w:kern w:val="0"/>
                <w:szCs w:val="21"/>
                <w:highlight w:val="none"/>
              </w:rPr>
              <w:t>：产生的扬尘中PMi的粒度乘数，对于铺装道路TSP的粒度乘数取3.23；</w:t>
            </w:r>
          </w:p>
          <w:p w14:paraId="6F23E4D5">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sL：道路积尘负荷，g/m</w:t>
            </w:r>
            <w:r>
              <w:rPr>
                <w:color w:val="auto"/>
                <w:kern w:val="0"/>
                <w:szCs w:val="21"/>
                <w:highlight w:val="none"/>
                <w:vertAlign w:val="superscript"/>
              </w:rPr>
              <w:t>2</w:t>
            </w:r>
            <w:r>
              <w:rPr>
                <w:color w:val="auto"/>
                <w:kern w:val="0"/>
                <w:szCs w:val="21"/>
                <w:highlight w:val="none"/>
              </w:rPr>
              <w:t>，本项目参照《防治城市扬尘污染技术规范HJ/T393-2007》中附录C主干道/机动车道/良，取2.0g/m</w:t>
            </w:r>
            <w:r>
              <w:rPr>
                <w:color w:val="auto"/>
                <w:kern w:val="0"/>
                <w:szCs w:val="21"/>
                <w:highlight w:val="none"/>
                <w:vertAlign w:val="superscript"/>
              </w:rPr>
              <w:t>2</w:t>
            </w:r>
            <w:r>
              <w:rPr>
                <w:color w:val="auto"/>
                <w:kern w:val="0"/>
                <w:szCs w:val="21"/>
                <w:highlight w:val="none"/>
              </w:rPr>
              <w:t>；</w:t>
            </w:r>
          </w:p>
          <w:p w14:paraId="634A5D8A">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W：平均车重，t，本项目取5</w:t>
            </w:r>
            <w:r>
              <w:rPr>
                <w:rFonts w:hint="eastAsia"/>
                <w:color w:val="auto"/>
                <w:kern w:val="0"/>
                <w:szCs w:val="21"/>
                <w:highlight w:val="none"/>
              </w:rPr>
              <w:t>0</w:t>
            </w:r>
            <w:r>
              <w:rPr>
                <w:color w:val="auto"/>
                <w:kern w:val="0"/>
                <w:szCs w:val="21"/>
                <w:highlight w:val="none"/>
              </w:rPr>
              <w:t>t。</w:t>
            </w:r>
          </w:p>
          <w:p w14:paraId="5F869816">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η：污染控制技术对扬尘的去除效率，%。对于所有铺装道路，按洒水2次/天的控制措施，对进入厂区的车辆控制车速，TSP控制效率为66%</w:t>
            </w:r>
            <w:r>
              <w:rPr>
                <w:rFonts w:hint="eastAsia"/>
                <w:color w:val="auto"/>
                <w:kern w:val="0"/>
                <w:szCs w:val="21"/>
                <w:highlight w:val="none"/>
              </w:rPr>
              <w:t>。</w:t>
            </w:r>
          </w:p>
          <w:p w14:paraId="2BE1253D">
            <w:pPr>
              <w:adjustRightInd w:val="0"/>
              <w:snapToGrid w:val="0"/>
              <w:spacing w:line="360" w:lineRule="auto"/>
              <w:ind w:firstLine="420" w:firstLineChars="200"/>
              <w:rPr>
                <w:color w:val="auto"/>
                <w:kern w:val="0"/>
                <w:szCs w:val="21"/>
                <w:highlight w:val="none"/>
              </w:rPr>
            </w:pPr>
            <w:r>
              <w:rPr>
                <w:color w:val="auto"/>
                <w:kern w:val="0"/>
                <w:szCs w:val="21"/>
                <w:highlight w:val="none"/>
              </w:rPr>
              <w:t>经计算，厂区道路扬尘无组织排放量</w:t>
            </w:r>
            <w:r>
              <w:rPr>
                <w:rFonts w:hint="eastAsia"/>
                <w:color w:val="auto"/>
                <w:kern w:val="0"/>
                <w:szCs w:val="21"/>
                <w:highlight w:val="none"/>
              </w:rPr>
              <w:t>0.350t/a</w:t>
            </w:r>
            <w:r>
              <w:rPr>
                <w:color w:val="auto"/>
                <w:kern w:val="0"/>
                <w:szCs w:val="21"/>
                <w:highlight w:val="none"/>
              </w:rPr>
              <w:t>。</w:t>
            </w:r>
          </w:p>
          <w:p w14:paraId="2B2114B5">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③药剂投料过程产生的废气</w:t>
            </w:r>
          </w:p>
          <w:p w14:paraId="2394ACE1">
            <w:pPr>
              <w:widowControl/>
              <w:adjustRightInd w:val="0"/>
              <w:snapToGrid w:val="0"/>
              <w:spacing w:line="360" w:lineRule="auto"/>
              <w:ind w:firstLine="420" w:firstLineChars="200"/>
              <w:jc w:val="left"/>
              <w:rPr>
                <w:color w:val="auto"/>
                <w:kern w:val="0"/>
                <w:szCs w:val="21"/>
                <w:highlight w:val="none"/>
              </w:rPr>
            </w:pPr>
            <w:r>
              <w:rPr>
                <w:rFonts w:hint="default" w:ascii="Times New Roman" w:hAnsi="Times New Roman" w:eastAsia="宋体" w:cs="Times New Roman"/>
                <w:color w:val="auto"/>
                <w:kern w:val="0"/>
                <w:sz w:val="21"/>
                <w:szCs w:val="21"/>
                <w:highlight w:val="none"/>
                <w:lang w:val="en-US" w:eastAsia="zh-CN" w:bidi="ar"/>
              </w:rPr>
              <w:t>本项目煤泥浮选生产线捕收剂、起泡剂投加过程中会产生少量挥发性有机物（VOCs），</w:t>
            </w:r>
            <w:r>
              <w:rPr>
                <w:rFonts w:hint="eastAsia" w:cs="Times New Roman"/>
                <w:color w:val="auto"/>
                <w:kern w:val="0"/>
                <w:sz w:val="21"/>
                <w:szCs w:val="21"/>
                <w:highlight w:val="none"/>
                <w:lang w:val="en-US" w:eastAsia="zh-CN" w:bidi="ar"/>
              </w:rPr>
              <w:t>项目</w:t>
            </w:r>
            <w:r>
              <w:rPr>
                <w:rFonts w:hint="default" w:ascii="Times New Roman" w:hAnsi="Times New Roman" w:eastAsia="宋体" w:cs="Times New Roman"/>
                <w:color w:val="auto"/>
                <w:kern w:val="0"/>
                <w:sz w:val="21"/>
                <w:szCs w:val="21"/>
                <w:highlight w:val="none"/>
                <w:lang w:val="en-US" w:eastAsia="zh-CN" w:bidi="ar"/>
              </w:rPr>
              <w:t>捕收剂、起泡剂</w:t>
            </w:r>
            <w:r>
              <w:rPr>
                <w:rFonts w:hint="eastAsia" w:cs="Times New Roman"/>
                <w:color w:val="auto"/>
                <w:kern w:val="0"/>
                <w:sz w:val="21"/>
                <w:szCs w:val="21"/>
                <w:highlight w:val="none"/>
                <w:lang w:val="en-US" w:eastAsia="zh-CN" w:bidi="ar"/>
              </w:rPr>
              <w:t>均为非极性油类（又称中性油类），参照《散装液态石油产品损耗》（GB11085-89），装车(船)损耗率其他油（不分容器）为0.01%，故本项目</w:t>
            </w:r>
            <w:r>
              <w:rPr>
                <w:rFonts w:hint="default" w:ascii="Times New Roman" w:hAnsi="Times New Roman" w:eastAsia="宋体" w:cs="Times New Roman"/>
                <w:color w:val="auto"/>
                <w:kern w:val="0"/>
                <w:sz w:val="21"/>
                <w:szCs w:val="21"/>
                <w:highlight w:val="none"/>
                <w:lang w:val="en-US" w:eastAsia="zh-CN" w:bidi="ar"/>
              </w:rPr>
              <w:t>挥发性有机物产生量为投加量的0.</w:t>
            </w:r>
            <w:r>
              <w:rPr>
                <w:rFonts w:hint="eastAsia" w:cs="Times New Roman"/>
                <w:color w:val="auto"/>
                <w:kern w:val="0"/>
                <w:sz w:val="21"/>
                <w:szCs w:val="21"/>
                <w:highlight w:val="none"/>
                <w:lang w:val="en-US" w:eastAsia="zh-CN" w:bidi="ar"/>
              </w:rPr>
              <w:t>0</w:t>
            </w:r>
            <w:r>
              <w:rPr>
                <w:rFonts w:hint="default" w:ascii="Times New Roman" w:hAnsi="Times New Roman" w:eastAsia="宋体" w:cs="Times New Roman"/>
                <w:color w:val="auto"/>
                <w:kern w:val="0"/>
                <w:sz w:val="21"/>
                <w:szCs w:val="21"/>
                <w:highlight w:val="none"/>
                <w:lang w:val="en-US" w:eastAsia="zh-CN" w:bidi="ar"/>
              </w:rPr>
              <w:t>1%</w:t>
            </w:r>
            <w:r>
              <w:rPr>
                <w:rFonts w:hint="eastAsia" w:cs="Times New Roman"/>
                <w:color w:val="auto"/>
                <w:kern w:val="0"/>
                <w:sz w:val="21"/>
                <w:szCs w:val="21"/>
                <w:highlight w:val="none"/>
                <w:lang w:val="en-US" w:eastAsia="zh-CN" w:bidi="ar"/>
              </w:rPr>
              <w:t>，</w:t>
            </w:r>
            <w:r>
              <w:rPr>
                <w:color w:val="auto"/>
                <w:kern w:val="0"/>
                <w:szCs w:val="21"/>
                <w:highlight w:val="none"/>
              </w:rPr>
              <w:t>本项目捕收剂年用量为1</w:t>
            </w:r>
            <w:r>
              <w:rPr>
                <w:rFonts w:hint="eastAsia"/>
                <w:color w:val="auto"/>
                <w:kern w:val="0"/>
                <w:szCs w:val="21"/>
                <w:highlight w:val="none"/>
              </w:rPr>
              <w:t>6</w:t>
            </w:r>
            <w:r>
              <w:rPr>
                <w:color w:val="auto"/>
                <w:kern w:val="0"/>
                <w:szCs w:val="21"/>
                <w:highlight w:val="none"/>
              </w:rPr>
              <w:t>0t，起泡剂年用量为</w:t>
            </w:r>
            <w:r>
              <w:rPr>
                <w:rFonts w:hint="eastAsia"/>
                <w:color w:val="auto"/>
                <w:kern w:val="0"/>
                <w:szCs w:val="21"/>
                <w:highlight w:val="none"/>
              </w:rPr>
              <w:t>8</w:t>
            </w:r>
            <w:r>
              <w:rPr>
                <w:color w:val="auto"/>
                <w:kern w:val="0"/>
                <w:szCs w:val="21"/>
                <w:highlight w:val="none"/>
              </w:rPr>
              <w:t>0t，则挥发性有机物产生量为</w:t>
            </w:r>
            <w:r>
              <w:rPr>
                <w:rFonts w:hint="eastAsia"/>
                <w:color w:val="auto"/>
                <w:kern w:val="0"/>
                <w:szCs w:val="21"/>
                <w:highlight w:val="none"/>
                <w:lang w:val="en-US" w:eastAsia="zh-CN"/>
              </w:rPr>
              <w:t>0.024</w:t>
            </w:r>
            <w:r>
              <w:rPr>
                <w:color w:val="auto"/>
                <w:kern w:val="0"/>
                <w:szCs w:val="21"/>
                <w:highlight w:val="none"/>
              </w:rPr>
              <w:t>t/a。通过车间通风无组织排放，故挥发性有机物排放量为</w:t>
            </w:r>
            <w:r>
              <w:rPr>
                <w:rFonts w:hint="eastAsia"/>
                <w:color w:val="auto"/>
                <w:kern w:val="0"/>
                <w:szCs w:val="21"/>
                <w:highlight w:val="none"/>
                <w:lang w:val="en-US" w:eastAsia="zh-CN"/>
              </w:rPr>
              <w:t>0.024</w:t>
            </w:r>
            <w:r>
              <w:rPr>
                <w:color w:val="auto"/>
                <w:kern w:val="0"/>
                <w:szCs w:val="21"/>
                <w:highlight w:val="none"/>
              </w:rPr>
              <w:t>t/a。</w:t>
            </w:r>
          </w:p>
          <w:p w14:paraId="2A8044CF">
            <w:pPr>
              <w:spacing w:line="360" w:lineRule="auto"/>
              <w:ind w:firstLine="420" w:firstLineChars="200"/>
              <w:rPr>
                <w:color w:val="auto"/>
                <w:kern w:val="0"/>
                <w:szCs w:val="21"/>
                <w:highlight w:val="none"/>
              </w:rPr>
            </w:pPr>
            <w:r>
              <w:rPr>
                <w:rFonts w:hint="eastAsia"/>
                <w:color w:val="auto"/>
                <w:kern w:val="0"/>
                <w:szCs w:val="21"/>
                <w:highlight w:val="none"/>
              </w:rPr>
              <w:t>④粉煤灰</w:t>
            </w:r>
            <w:r>
              <w:rPr>
                <w:color w:val="auto"/>
                <w:kern w:val="0"/>
                <w:szCs w:val="21"/>
                <w:highlight w:val="none"/>
              </w:rPr>
              <w:t>仓呼吸粉尘</w:t>
            </w:r>
          </w:p>
          <w:p w14:paraId="7C46885C">
            <w:pPr>
              <w:spacing w:line="360" w:lineRule="auto"/>
              <w:ind w:firstLine="420" w:firstLineChars="200"/>
              <w:rPr>
                <w:color w:val="auto"/>
                <w:kern w:val="0"/>
                <w:szCs w:val="21"/>
                <w:highlight w:val="none"/>
              </w:rPr>
            </w:pPr>
            <w:r>
              <w:rPr>
                <w:color w:val="auto"/>
                <w:kern w:val="0"/>
                <w:szCs w:val="21"/>
                <w:highlight w:val="none"/>
              </w:rPr>
              <w:t>原料</w:t>
            </w:r>
            <w:r>
              <w:rPr>
                <w:rFonts w:hint="eastAsia"/>
                <w:color w:val="auto"/>
                <w:kern w:val="0"/>
                <w:szCs w:val="21"/>
                <w:highlight w:val="none"/>
              </w:rPr>
              <w:t>粉煤灰</w:t>
            </w:r>
            <w:r>
              <w:rPr>
                <w:color w:val="auto"/>
                <w:kern w:val="0"/>
                <w:szCs w:val="21"/>
                <w:highlight w:val="none"/>
              </w:rPr>
              <w:t>由罐车输送到指定的料仓与料仓管道封闭直连，通过输送车内的管道以负压吸入料斗，再以压缩空气（正压）通过管道吹入散装粉料筒仓。生产时，</w:t>
            </w:r>
            <w:r>
              <w:rPr>
                <w:rFonts w:hint="eastAsia"/>
                <w:color w:val="auto"/>
                <w:kern w:val="0"/>
                <w:szCs w:val="21"/>
                <w:highlight w:val="none"/>
              </w:rPr>
              <w:t>粉煤灰</w:t>
            </w:r>
            <w:r>
              <w:rPr>
                <w:color w:val="auto"/>
                <w:kern w:val="0"/>
                <w:szCs w:val="21"/>
                <w:highlight w:val="none"/>
              </w:rPr>
              <w:t>采用气压输送，由管道直接送入搅拌机，整个输送过程在封闭的管道中完成，不会产生粉尘。进料过程仓筒内压力大于大气压，为了保持压力平衡，一般在筒仓顶部设排气口，其排气过程会产生粉尘。筒仓内产生的粉尘通过筒仓上部的滤筒除尘器处理后以无组织的形式排放。呼吸粉尘产生量参考《逸散性工业粉尘控制技术》</w:t>
            </w:r>
            <w:r>
              <w:rPr>
                <w:rFonts w:hint="eastAsia" w:ascii="宋体" w:hAnsi="宋体" w:cs="宋体"/>
                <w:color w:val="auto"/>
                <w:kern w:val="0"/>
                <w:szCs w:val="21"/>
                <w:highlight w:val="none"/>
              </w:rPr>
              <w:t>“</w:t>
            </w:r>
            <w:r>
              <w:rPr>
                <w:color w:val="auto"/>
                <w:kern w:val="0"/>
                <w:szCs w:val="21"/>
                <w:highlight w:val="none"/>
              </w:rPr>
              <w:t>表22-1混凝土分批搅拌厂的散逸尘排放因子</w:t>
            </w:r>
            <w:r>
              <w:rPr>
                <w:rFonts w:hint="eastAsia" w:ascii="宋体" w:hAnsi="宋体" w:cs="宋体"/>
                <w:color w:val="auto"/>
                <w:kern w:val="0"/>
                <w:szCs w:val="21"/>
                <w:highlight w:val="none"/>
              </w:rPr>
              <w:t>”中“</w:t>
            </w:r>
            <w:r>
              <w:rPr>
                <w:color w:val="auto"/>
                <w:kern w:val="0"/>
                <w:szCs w:val="21"/>
                <w:highlight w:val="none"/>
              </w:rPr>
              <w:t>卸水泥至高架贮仓</w:t>
            </w:r>
            <w:r>
              <w:rPr>
                <w:rFonts w:hint="eastAsia" w:ascii="宋体" w:hAnsi="宋体" w:cs="宋体"/>
                <w:color w:val="auto"/>
                <w:kern w:val="0"/>
                <w:szCs w:val="21"/>
                <w:highlight w:val="none"/>
              </w:rPr>
              <w:t>”排</w:t>
            </w:r>
            <w:r>
              <w:rPr>
                <w:color w:val="auto"/>
                <w:kern w:val="0"/>
                <w:szCs w:val="21"/>
                <w:highlight w:val="none"/>
              </w:rPr>
              <w:t>污系数为0.12kg/t粉料</w:t>
            </w:r>
            <w:r>
              <w:rPr>
                <w:rFonts w:hint="eastAsia"/>
                <w:color w:val="auto"/>
                <w:kern w:val="0"/>
                <w:szCs w:val="21"/>
                <w:highlight w:val="none"/>
              </w:rPr>
              <w:t>。</w:t>
            </w:r>
          </w:p>
          <w:p w14:paraId="2CCE0651">
            <w:pPr>
              <w:widowControl/>
              <w:adjustRightInd w:val="0"/>
              <w:snapToGrid w:val="0"/>
              <w:spacing w:line="360" w:lineRule="auto"/>
              <w:ind w:firstLine="420" w:firstLineChars="200"/>
              <w:jc w:val="left"/>
              <w:rPr>
                <w:color w:val="auto"/>
                <w:kern w:val="0"/>
                <w:szCs w:val="21"/>
                <w:highlight w:val="none"/>
              </w:rPr>
            </w:pPr>
            <w:r>
              <w:rPr>
                <w:rFonts w:hint="eastAsia"/>
                <w:color w:val="auto"/>
                <w:kern w:val="0"/>
                <w:szCs w:val="21"/>
                <w:highlight w:val="none"/>
              </w:rPr>
              <w:t>粉煤灰最大</w:t>
            </w:r>
            <w:r>
              <w:rPr>
                <w:color w:val="auto"/>
                <w:kern w:val="0"/>
                <w:szCs w:val="21"/>
                <w:highlight w:val="none"/>
              </w:rPr>
              <w:t>用量为</w:t>
            </w:r>
            <w:r>
              <w:rPr>
                <w:rFonts w:hint="eastAsia"/>
                <w:color w:val="auto"/>
                <w:szCs w:val="21"/>
                <w:highlight w:val="none"/>
              </w:rPr>
              <w:t>7000</w:t>
            </w:r>
            <w:r>
              <w:rPr>
                <w:color w:val="auto"/>
                <w:kern w:val="0"/>
                <w:szCs w:val="21"/>
                <w:highlight w:val="none"/>
              </w:rPr>
              <w:t>t/a；经计算粉尘产生量为</w:t>
            </w:r>
            <w:r>
              <w:rPr>
                <w:rFonts w:hint="eastAsia"/>
                <w:color w:val="auto"/>
                <w:kern w:val="0"/>
                <w:szCs w:val="21"/>
                <w:highlight w:val="none"/>
              </w:rPr>
              <w:t>0.84</w:t>
            </w:r>
            <w:r>
              <w:rPr>
                <w:color w:val="auto"/>
                <w:kern w:val="0"/>
                <w:szCs w:val="21"/>
                <w:highlight w:val="none"/>
              </w:rPr>
              <w:t>t/a；进、出仓按每天3h，年工作时间为</w:t>
            </w:r>
            <w:r>
              <w:rPr>
                <w:rFonts w:hint="eastAsia"/>
                <w:color w:val="auto"/>
                <w:kern w:val="0"/>
                <w:szCs w:val="21"/>
                <w:highlight w:val="none"/>
              </w:rPr>
              <w:t>720</w:t>
            </w:r>
            <w:r>
              <w:rPr>
                <w:color w:val="auto"/>
                <w:kern w:val="0"/>
                <w:szCs w:val="21"/>
                <w:highlight w:val="none"/>
              </w:rPr>
              <w:t>h。筒仓顶部均设有滤筒除尘器（除尘效率99.5%）处理后无组织排放，排放量分别为</w:t>
            </w:r>
            <w:r>
              <w:rPr>
                <w:rFonts w:hint="eastAsia"/>
                <w:color w:val="auto"/>
                <w:kern w:val="0"/>
                <w:szCs w:val="21"/>
                <w:highlight w:val="none"/>
              </w:rPr>
              <w:t>0.004</w:t>
            </w:r>
            <w:r>
              <w:rPr>
                <w:color w:val="auto"/>
                <w:kern w:val="0"/>
                <w:szCs w:val="21"/>
                <w:highlight w:val="none"/>
              </w:rPr>
              <w:t>t/a（排放速率为0.0</w:t>
            </w:r>
            <w:r>
              <w:rPr>
                <w:rFonts w:hint="eastAsia"/>
                <w:color w:val="auto"/>
                <w:kern w:val="0"/>
                <w:szCs w:val="21"/>
                <w:highlight w:val="none"/>
              </w:rPr>
              <w:t>058</w:t>
            </w:r>
            <w:r>
              <w:rPr>
                <w:color w:val="auto"/>
                <w:kern w:val="0"/>
                <w:szCs w:val="21"/>
                <w:highlight w:val="none"/>
              </w:rPr>
              <w:t>kg/h）。</w:t>
            </w:r>
          </w:p>
          <w:p w14:paraId="7B9CEC02">
            <w:pPr>
              <w:adjustRightInd w:val="0"/>
              <w:snapToGrid w:val="0"/>
              <w:spacing w:line="360" w:lineRule="auto"/>
              <w:ind w:firstLine="420" w:firstLineChars="200"/>
              <w:rPr>
                <w:color w:val="auto"/>
                <w:szCs w:val="21"/>
                <w:highlight w:val="none"/>
              </w:rPr>
            </w:pPr>
            <w:r>
              <w:rPr>
                <w:rFonts w:hint="eastAsia"/>
                <w:color w:val="auto"/>
                <w:szCs w:val="21"/>
                <w:highlight w:val="none"/>
              </w:rPr>
              <w:t>⑤皮带输送、计量粉尘</w:t>
            </w:r>
          </w:p>
          <w:p w14:paraId="723D2602">
            <w:pPr>
              <w:adjustRightInd w:val="0"/>
              <w:snapToGrid w:val="0"/>
              <w:spacing w:line="360" w:lineRule="auto"/>
              <w:ind w:firstLine="420" w:firstLineChars="200"/>
              <w:rPr>
                <w:color w:val="auto"/>
                <w:szCs w:val="21"/>
                <w:highlight w:val="none"/>
              </w:rPr>
            </w:pPr>
            <w:r>
              <w:rPr>
                <w:rFonts w:hint="eastAsia"/>
                <w:color w:val="auto"/>
                <w:szCs w:val="21"/>
                <w:highlight w:val="none"/>
              </w:rPr>
              <w:t>本项目粉煤灰上料通过气力输送和皮带，各生产工序均采用电脑控制，各工序联动性和安全性很强，原料输送、计量采用封闭式，外溢的粉尘很少。</w:t>
            </w:r>
          </w:p>
          <w:p w14:paraId="32E7C492">
            <w:pPr>
              <w:adjustRightInd w:val="0"/>
              <w:snapToGrid w:val="0"/>
              <w:spacing w:line="360" w:lineRule="auto"/>
              <w:ind w:firstLine="420" w:firstLineChars="200"/>
              <w:rPr>
                <w:color w:val="auto"/>
                <w:szCs w:val="21"/>
                <w:highlight w:val="none"/>
              </w:rPr>
            </w:pPr>
            <w:r>
              <w:rPr>
                <w:rFonts w:hint="eastAsia"/>
                <w:color w:val="auto"/>
                <w:szCs w:val="21"/>
                <w:highlight w:val="none"/>
              </w:rPr>
              <w:t>⑥上料粉尘</w:t>
            </w:r>
          </w:p>
          <w:p w14:paraId="17E79780">
            <w:pPr>
              <w:adjustRightInd w:val="0"/>
              <w:snapToGrid w:val="0"/>
              <w:spacing w:line="360" w:lineRule="auto"/>
              <w:ind w:firstLine="420" w:firstLineChars="200"/>
              <w:rPr>
                <w:color w:val="auto"/>
                <w:szCs w:val="21"/>
                <w:highlight w:val="none"/>
              </w:rPr>
            </w:pPr>
            <w:r>
              <w:rPr>
                <w:rFonts w:hint="eastAsia"/>
                <w:color w:val="auto"/>
                <w:szCs w:val="21"/>
                <w:highlight w:val="none"/>
              </w:rPr>
              <w:t>本项目煤泥、尾矿泥、水处理污泥由于含水率较高，在投料过程不会产生明显粉尘，骨料、炉渣、脱硫石膏、有机肥投料过程产尘系数参照《逸散性工业粉尘控制技术》，产尘系数参照《逸散性粉尘控制技术》（中国环境科学出版社）表</w:t>
            </w:r>
            <w:r>
              <w:rPr>
                <w:color w:val="auto"/>
                <w:szCs w:val="21"/>
                <w:highlight w:val="none"/>
              </w:rPr>
              <w:t>18-1</w:t>
            </w:r>
            <w:r>
              <w:rPr>
                <w:rFonts w:hint="eastAsia"/>
                <w:color w:val="auto"/>
                <w:szCs w:val="21"/>
                <w:highlight w:val="none"/>
              </w:rPr>
              <w:t>粒料加工厂逸散尘的排放因子，上料粉尘产尘系数为</w:t>
            </w:r>
            <w:r>
              <w:rPr>
                <w:color w:val="auto"/>
                <w:szCs w:val="21"/>
                <w:highlight w:val="none"/>
              </w:rPr>
              <w:t>0.0006kg/t</w:t>
            </w:r>
            <w:r>
              <w:rPr>
                <w:rFonts w:hint="eastAsia"/>
                <w:color w:val="auto"/>
                <w:szCs w:val="21"/>
                <w:highlight w:val="none"/>
              </w:rPr>
              <w:t>，本项目原料量约为</w:t>
            </w:r>
            <w:r>
              <w:rPr>
                <w:rFonts w:hint="eastAsia"/>
                <w:color w:val="auto"/>
                <w:szCs w:val="21"/>
                <w:highlight w:val="none"/>
                <w:lang w:val="en-US" w:eastAsia="zh-CN"/>
              </w:rPr>
              <w:t>91000</w:t>
            </w:r>
            <w:r>
              <w:rPr>
                <w:rFonts w:hint="eastAsia"/>
                <w:color w:val="auto"/>
                <w:szCs w:val="21"/>
                <w:highlight w:val="none"/>
              </w:rPr>
              <w:t>t</w:t>
            </w:r>
            <w:r>
              <w:rPr>
                <w:color w:val="auto"/>
                <w:szCs w:val="21"/>
                <w:highlight w:val="none"/>
              </w:rPr>
              <w:t>/a</w:t>
            </w:r>
            <w:r>
              <w:rPr>
                <w:rFonts w:hint="eastAsia"/>
                <w:color w:val="auto"/>
                <w:szCs w:val="21"/>
                <w:highlight w:val="none"/>
              </w:rPr>
              <w:t>，则粉尘产生量为0.</w:t>
            </w:r>
            <w:r>
              <w:rPr>
                <w:rFonts w:hint="eastAsia"/>
                <w:color w:val="auto"/>
                <w:szCs w:val="21"/>
                <w:highlight w:val="none"/>
                <w:lang w:val="en-US" w:eastAsia="zh-CN"/>
              </w:rPr>
              <w:t>0546</w:t>
            </w:r>
            <w:r>
              <w:rPr>
                <w:color w:val="auto"/>
                <w:szCs w:val="21"/>
                <w:highlight w:val="none"/>
              </w:rPr>
              <w:t>t/a</w:t>
            </w:r>
            <w:r>
              <w:rPr>
                <w:rFonts w:hint="eastAsia"/>
                <w:color w:val="auto"/>
                <w:szCs w:val="21"/>
                <w:highlight w:val="none"/>
              </w:rPr>
              <w:t>。本项目上料口设置三边围挡，上方设置喷淋装置，采取措施后，保守考虑，抑尘率选取90</w:t>
            </w:r>
            <w:r>
              <w:rPr>
                <w:color w:val="auto"/>
                <w:szCs w:val="21"/>
                <w:highlight w:val="none"/>
              </w:rPr>
              <w:t>%</w:t>
            </w:r>
            <w:r>
              <w:rPr>
                <w:rFonts w:hint="eastAsia"/>
                <w:color w:val="auto"/>
                <w:szCs w:val="21"/>
                <w:highlight w:val="none"/>
              </w:rPr>
              <w:t>，则项目上料粉尘排放量为</w:t>
            </w:r>
            <w:r>
              <w:rPr>
                <w:rFonts w:hint="eastAsia"/>
                <w:color w:val="auto"/>
                <w:szCs w:val="21"/>
                <w:highlight w:val="none"/>
                <w:lang w:val="en-US" w:eastAsia="zh-CN"/>
              </w:rPr>
              <w:t>0.006</w:t>
            </w:r>
            <w:r>
              <w:rPr>
                <w:color w:val="auto"/>
                <w:szCs w:val="21"/>
                <w:highlight w:val="none"/>
              </w:rPr>
              <w:t>t/a</w:t>
            </w:r>
            <w:r>
              <w:rPr>
                <w:rFonts w:hint="eastAsia"/>
                <w:color w:val="auto"/>
                <w:szCs w:val="21"/>
                <w:highlight w:val="none"/>
              </w:rPr>
              <w:t>（</w:t>
            </w:r>
            <w:r>
              <w:rPr>
                <w:color w:val="auto"/>
                <w:szCs w:val="21"/>
                <w:highlight w:val="none"/>
              </w:rPr>
              <w:t>0</w:t>
            </w:r>
            <w:r>
              <w:rPr>
                <w:rFonts w:hint="eastAsia"/>
                <w:color w:val="auto"/>
                <w:szCs w:val="21"/>
                <w:highlight w:val="none"/>
              </w:rPr>
              <w:t>.00</w:t>
            </w:r>
            <w:r>
              <w:rPr>
                <w:rFonts w:hint="eastAsia"/>
                <w:color w:val="auto"/>
                <w:szCs w:val="21"/>
                <w:highlight w:val="none"/>
                <w:lang w:val="en-US" w:eastAsia="zh-CN"/>
              </w:rPr>
              <w:t>1</w:t>
            </w:r>
            <w:r>
              <w:rPr>
                <w:color w:val="auto"/>
                <w:szCs w:val="21"/>
                <w:highlight w:val="none"/>
              </w:rPr>
              <w:t>kg/h</w:t>
            </w:r>
            <w:r>
              <w:rPr>
                <w:rFonts w:hint="eastAsia"/>
                <w:color w:val="auto"/>
                <w:szCs w:val="21"/>
                <w:highlight w:val="none"/>
              </w:rPr>
              <w:t>）。</w:t>
            </w:r>
          </w:p>
          <w:p w14:paraId="59BEA64A">
            <w:pPr>
              <w:adjustRightInd w:val="0"/>
              <w:snapToGrid w:val="0"/>
              <w:spacing w:line="360" w:lineRule="auto"/>
              <w:ind w:firstLine="420" w:firstLineChars="200"/>
              <w:rPr>
                <w:color w:val="auto"/>
                <w:szCs w:val="21"/>
                <w:highlight w:val="none"/>
              </w:rPr>
            </w:pPr>
            <w:r>
              <w:rPr>
                <w:rFonts w:hint="eastAsia"/>
                <w:color w:val="auto"/>
                <w:szCs w:val="21"/>
                <w:highlight w:val="none"/>
              </w:rPr>
              <w:t>⑦秸秆粉碎粉尘</w:t>
            </w:r>
          </w:p>
          <w:p w14:paraId="391651FB">
            <w:pPr>
              <w:pStyle w:val="64"/>
              <w:spacing w:line="360" w:lineRule="auto"/>
              <w:ind w:firstLine="408" w:firstLineChars="200"/>
              <w:rPr>
                <w:rFonts w:ascii="Times New Roman" w:hAnsi="Times New Roman" w:eastAsia="宋体" w:cs="Times New Roman"/>
                <w:color w:val="auto"/>
                <w:spacing w:val="-2"/>
                <w:sz w:val="21"/>
                <w:szCs w:val="21"/>
                <w:highlight w:val="none"/>
                <w:lang w:eastAsia="zh-CN"/>
              </w:rPr>
            </w:pPr>
            <w:r>
              <w:rPr>
                <w:rFonts w:ascii="Times New Roman" w:hAnsi="Times New Roman" w:eastAsia="宋体" w:cs="Times New Roman"/>
                <w:color w:val="auto"/>
                <w:spacing w:val="-3"/>
                <w:sz w:val="21"/>
                <w:szCs w:val="21"/>
                <w:highlight w:val="none"/>
                <w:lang w:eastAsia="zh-CN"/>
              </w:rPr>
              <w:t>本项目秸秆粉碎会产生粉尘。根据</w:t>
            </w:r>
            <w:r>
              <w:rPr>
                <w:rFonts w:ascii="Times New Roman" w:hAnsi="Times New Roman" w:eastAsia="宋体" w:cs="Times New Roman"/>
                <w:color w:val="auto"/>
                <w:spacing w:val="1"/>
                <w:sz w:val="21"/>
                <w:szCs w:val="21"/>
                <w:highlight w:val="none"/>
                <w:lang w:eastAsia="zh-CN"/>
              </w:rPr>
              <w:t>《排放源统计调查系数手册》中2625有机</w:t>
            </w:r>
            <w:r>
              <w:rPr>
                <w:rFonts w:ascii="Times New Roman" w:hAnsi="Times New Roman" w:eastAsia="宋体" w:cs="Times New Roman"/>
                <w:color w:val="auto"/>
                <w:spacing w:val="-2"/>
                <w:sz w:val="21"/>
                <w:szCs w:val="21"/>
                <w:highlight w:val="none"/>
                <w:lang w:eastAsia="zh-CN"/>
              </w:rPr>
              <w:t>肥及微生物肥料制造行业系数手册：工段名称为前处理、</w:t>
            </w:r>
            <w:r>
              <w:rPr>
                <w:rFonts w:ascii="Times New Roman" w:hAnsi="Times New Roman" w:eastAsia="宋体" w:cs="Times New Roman"/>
                <w:color w:val="auto"/>
                <w:spacing w:val="-3"/>
                <w:sz w:val="21"/>
                <w:szCs w:val="21"/>
                <w:highlight w:val="none"/>
                <w:lang w:eastAsia="zh-CN"/>
              </w:rPr>
              <w:t>后处理，产品名称为有</w:t>
            </w:r>
            <w:r>
              <w:rPr>
                <w:rFonts w:ascii="Times New Roman" w:hAnsi="Times New Roman" w:eastAsia="宋体" w:cs="Times New Roman"/>
                <w:color w:val="auto"/>
                <w:spacing w:val="-7"/>
                <w:sz w:val="21"/>
                <w:szCs w:val="21"/>
                <w:highlight w:val="none"/>
                <w:lang w:eastAsia="zh-CN"/>
              </w:rPr>
              <w:t>机肥、生物有机肥，</w:t>
            </w:r>
            <w:r>
              <w:rPr>
                <w:rFonts w:ascii="Times New Roman" w:hAnsi="Times New Roman" w:eastAsia="宋体" w:cs="Times New Roman"/>
                <w:color w:val="auto"/>
                <w:spacing w:val="-3"/>
                <w:sz w:val="21"/>
                <w:szCs w:val="21"/>
                <w:highlight w:val="none"/>
                <w:lang w:eastAsia="zh-CN"/>
              </w:rPr>
              <w:t>原料名称为农业废弃物</w:t>
            </w:r>
            <w:r>
              <w:rPr>
                <w:rFonts w:ascii="Times New Roman" w:hAnsi="Times New Roman" w:eastAsia="宋体" w:cs="Times New Roman"/>
                <w:color w:val="auto"/>
                <w:spacing w:val="-7"/>
                <w:sz w:val="21"/>
                <w:szCs w:val="21"/>
                <w:highlight w:val="none"/>
                <w:lang w:eastAsia="zh-CN"/>
              </w:rPr>
              <w:t>、加工副产品，工艺名称</w:t>
            </w:r>
            <w:r>
              <w:rPr>
                <w:rFonts w:ascii="Times New Roman" w:hAnsi="Times New Roman" w:eastAsia="宋体" w:cs="Times New Roman"/>
                <w:color w:val="auto"/>
                <w:spacing w:val="-8"/>
                <w:sz w:val="21"/>
                <w:szCs w:val="21"/>
                <w:highlight w:val="none"/>
                <w:lang w:eastAsia="zh-CN"/>
              </w:rPr>
              <w:t>为</w:t>
            </w:r>
            <w:r>
              <w:rPr>
                <w:rFonts w:ascii="Times New Roman" w:hAnsi="Times New Roman" w:eastAsia="宋体" w:cs="Times New Roman"/>
                <w:color w:val="auto"/>
                <w:spacing w:val="-2"/>
                <w:sz w:val="21"/>
                <w:szCs w:val="21"/>
                <w:highlight w:val="none"/>
                <w:lang w:eastAsia="zh-CN"/>
              </w:rPr>
              <w:t>混配造粒，颗粒物产污系数为0.37kg/t-产品，秸秆粉碎工序年产</w:t>
            </w:r>
            <w:r>
              <w:rPr>
                <w:rFonts w:hint="eastAsia" w:ascii="Times New Roman" w:hAnsi="Times New Roman" w:eastAsia="宋体" w:cs="Times New Roman"/>
                <w:color w:val="auto"/>
                <w:spacing w:val="1"/>
                <w:sz w:val="21"/>
                <w:szCs w:val="21"/>
                <w:highlight w:val="none"/>
                <w:lang w:eastAsia="zh-CN"/>
              </w:rPr>
              <w:t>17800</w:t>
            </w:r>
            <w:r>
              <w:rPr>
                <w:rFonts w:ascii="Times New Roman" w:hAnsi="Times New Roman" w:eastAsia="宋体" w:cs="Times New Roman"/>
                <w:color w:val="auto"/>
                <w:spacing w:val="1"/>
                <w:sz w:val="21"/>
                <w:szCs w:val="21"/>
                <w:highlight w:val="none"/>
                <w:lang w:eastAsia="zh-CN"/>
              </w:rPr>
              <w:t>t</w:t>
            </w:r>
            <w:r>
              <w:rPr>
                <w:rFonts w:ascii="Times New Roman" w:hAnsi="Times New Roman" w:eastAsia="宋体" w:cs="Times New Roman"/>
                <w:color w:val="auto"/>
                <w:spacing w:val="-2"/>
                <w:sz w:val="21"/>
                <w:szCs w:val="21"/>
                <w:highlight w:val="none"/>
                <w:lang w:eastAsia="zh-CN"/>
              </w:rPr>
              <w:t>，则粉尘产生量为</w:t>
            </w:r>
            <w:r>
              <w:rPr>
                <w:rFonts w:hint="eastAsia" w:ascii="Times New Roman" w:hAnsi="Times New Roman" w:eastAsia="宋体" w:cs="Times New Roman"/>
                <w:color w:val="auto"/>
                <w:spacing w:val="-2"/>
                <w:sz w:val="21"/>
                <w:szCs w:val="21"/>
                <w:highlight w:val="none"/>
                <w:lang w:eastAsia="zh-CN"/>
              </w:rPr>
              <w:t>6.586</w:t>
            </w:r>
            <w:r>
              <w:rPr>
                <w:rFonts w:ascii="Times New Roman" w:hAnsi="Times New Roman" w:eastAsia="宋体" w:cs="Times New Roman"/>
                <w:color w:val="auto"/>
                <w:spacing w:val="-2"/>
                <w:sz w:val="21"/>
                <w:szCs w:val="21"/>
                <w:highlight w:val="none"/>
                <w:lang w:eastAsia="zh-CN"/>
              </w:rPr>
              <w:t>t/a，本项目在秸秆粉碎机上方设置集尘装置（收集效率90%），</w:t>
            </w:r>
            <w:r>
              <w:rPr>
                <w:rFonts w:hint="eastAsia" w:ascii="Times New Roman" w:hAnsi="Times New Roman" w:eastAsia="宋体" w:cs="Times New Roman"/>
                <w:color w:val="auto"/>
                <w:spacing w:val="-2"/>
                <w:sz w:val="21"/>
                <w:szCs w:val="21"/>
                <w:highlight w:val="none"/>
                <w:lang w:eastAsia="zh-CN"/>
              </w:rPr>
              <w:t>风机风量为5000m</w:t>
            </w:r>
            <w:r>
              <w:rPr>
                <w:rFonts w:hint="eastAsia" w:ascii="Times New Roman" w:hAnsi="Times New Roman" w:eastAsia="宋体" w:cs="Times New Roman"/>
                <w:color w:val="auto"/>
                <w:spacing w:val="-2"/>
                <w:sz w:val="21"/>
                <w:szCs w:val="21"/>
                <w:highlight w:val="none"/>
                <w:vertAlign w:val="superscript"/>
                <w:lang w:eastAsia="zh-CN"/>
              </w:rPr>
              <w:t>3</w:t>
            </w:r>
            <w:r>
              <w:rPr>
                <w:rFonts w:hint="eastAsia" w:ascii="Times New Roman" w:hAnsi="Times New Roman" w:eastAsia="宋体" w:cs="Times New Roman"/>
                <w:color w:val="auto"/>
                <w:spacing w:val="-2"/>
                <w:sz w:val="21"/>
                <w:szCs w:val="21"/>
                <w:highlight w:val="none"/>
                <w:lang w:eastAsia="zh-CN"/>
              </w:rPr>
              <w:t>/h，</w:t>
            </w:r>
            <w:r>
              <w:rPr>
                <w:rFonts w:ascii="Times New Roman" w:hAnsi="Times New Roman" w:eastAsia="宋体" w:cs="Times New Roman"/>
                <w:color w:val="auto"/>
                <w:spacing w:val="-2"/>
                <w:sz w:val="21"/>
                <w:szCs w:val="21"/>
                <w:highlight w:val="none"/>
                <w:lang w:eastAsia="zh-CN"/>
              </w:rPr>
              <w:t>收集的废气经布袋除尘器处理后经15m</w:t>
            </w:r>
            <w:r>
              <w:rPr>
                <w:rFonts w:hint="eastAsia" w:ascii="Times New Roman" w:hAnsi="Times New Roman" w:eastAsia="宋体" w:cs="Times New Roman"/>
                <w:color w:val="auto"/>
                <w:spacing w:val="-2"/>
                <w:sz w:val="21"/>
                <w:szCs w:val="21"/>
                <w:highlight w:val="none"/>
                <w:lang w:eastAsia="zh-CN"/>
              </w:rPr>
              <w:t>排气筒（DA001）</w:t>
            </w:r>
            <w:r>
              <w:rPr>
                <w:rFonts w:ascii="Times New Roman" w:hAnsi="Times New Roman" w:eastAsia="宋体" w:cs="Times New Roman"/>
                <w:color w:val="auto"/>
                <w:spacing w:val="-2"/>
                <w:sz w:val="21"/>
                <w:szCs w:val="21"/>
                <w:highlight w:val="none"/>
                <w:lang w:eastAsia="zh-CN"/>
              </w:rPr>
              <w:t>排放，</w:t>
            </w:r>
            <w:r>
              <w:rPr>
                <w:rFonts w:ascii="Times New Roman" w:hAnsi="Times New Roman" w:eastAsia="宋体" w:cs="Times New Roman"/>
                <w:color w:val="auto"/>
                <w:sz w:val="21"/>
                <w:szCs w:val="21"/>
                <w:highlight w:val="none"/>
                <w:lang w:eastAsia="zh-CN"/>
              </w:rPr>
              <w:t>布袋除尘器除尘效率为</w:t>
            </w:r>
            <w:r>
              <w:rPr>
                <w:rFonts w:hint="eastAsia" w:ascii="Times New Roman" w:hAnsi="Times New Roman" w:eastAsia="宋体" w:cs="Times New Roman"/>
                <w:color w:val="auto"/>
                <w:sz w:val="21"/>
                <w:szCs w:val="21"/>
                <w:highlight w:val="none"/>
                <w:lang w:val="en-US" w:eastAsia="zh-CN"/>
              </w:rPr>
              <w:t>98</w:t>
            </w:r>
            <w:r>
              <w:rPr>
                <w:rFonts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pacing w:val="-2"/>
                <w:sz w:val="21"/>
                <w:szCs w:val="21"/>
                <w:highlight w:val="none"/>
                <w:lang w:eastAsia="zh-CN"/>
              </w:rPr>
              <w:t>。</w:t>
            </w:r>
            <w:r>
              <w:rPr>
                <w:rFonts w:hint="eastAsia" w:ascii="Times New Roman" w:hAnsi="Times New Roman" w:eastAsia="宋体" w:cs="Times New Roman"/>
                <w:color w:val="auto"/>
                <w:spacing w:val="-3"/>
                <w:sz w:val="21"/>
                <w:szCs w:val="21"/>
                <w:highlight w:val="none"/>
                <w:lang w:eastAsia="zh-CN"/>
              </w:rPr>
              <w:t>秸秆粉碎车间</w:t>
            </w:r>
            <w:r>
              <w:rPr>
                <w:rFonts w:ascii="Times New Roman" w:hAnsi="Times New Roman" w:eastAsia="宋体" w:cs="Times New Roman"/>
                <w:color w:val="auto"/>
                <w:spacing w:val="-3"/>
                <w:sz w:val="21"/>
                <w:szCs w:val="21"/>
                <w:highlight w:val="none"/>
                <w:lang w:eastAsia="zh-CN"/>
              </w:rPr>
              <w:t>封闭式，未被集气</w:t>
            </w:r>
            <w:r>
              <w:rPr>
                <w:rFonts w:ascii="Times New Roman" w:hAnsi="Times New Roman" w:eastAsia="宋体" w:cs="Times New Roman"/>
                <w:color w:val="auto"/>
                <w:spacing w:val="-2"/>
                <w:sz w:val="21"/>
                <w:szCs w:val="21"/>
                <w:highlight w:val="none"/>
                <w:lang w:eastAsia="zh-CN"/>
              </w:rPr>
              <w:t>罩收集的粉尘以无组织排放形式在密闭车间内部排放</w:t>
            </w:r>
            <w:r>
              <w:rPr>
                <w:rFonts w:hint="eastAsia" w:ascii="Times New Roman" w:hAnsi="Times New Roman" w:eastAsia="宋体" w:cs="Times New Roman"/>
                <w:color w:val="auto"/>
                <w:spacing w:val="-2"/>
                <w:sz w:val="21"/>
                <w:szCs w:val="21"/>
                <w:highlight w:val="none"/>
                <w:lang w:eastAsia="zh-CN"/>
              </w:rPr>
              <w:t>，通过产尘点设置洒水装置，除尘效率可达90%以上，以无组织形式排放。</w:t>
            </w:r>
          </w:p>
          <w:p w14:paraId="03375909">
            <w:pPr>
              <w:pStyle w:val="64"/>
              <w:spacing w:line="360" w:lineRule="auto"/>
              <w:ind w:firstLine="412" w:firstLineChars="200"/>
              <w:rPr>
                <w:rFonts w:ascii="Times New Roman" w:hAnsi="Times New Roman" w:eastAsia="宋体" w:cs="Times New Roman"/>
                <w:color w:val="auto"/>
                <w:kern w:val="0"/>
                <w:sz w:val="21"/>
                <w:szCs w:val="21"/>
                <w:highlight w:val="none"/>
                <w:lang w:eastAsia="zh-CN"/>
              </w:rPr>
            </w:pPr>
            <w:r>
              <w:rPr>
                <w:rFonts w:ascii="Times New Roman" w:hAnsi="Times New Roman" w:eastAsia="宋体" w:cs="Times New Roman"/>
                <w:color w:val="auto"/>
                <w:spacing w:val="-2"/>
                <w:sz w:val="21"/>
                <w:szCs w:val="21"/>
                <w:highlight w:val="none"/>
                <w:lang w:eastAsia="zh-CN"/>
              </w:rPr>
              <w:t>则秸秆粉碎工序颗粒物有组织排放量为</w:t>
            </w:r>
            <w:r>
              <w:rPr>
                <w:rFonts w:hint="eastAsia" w:ascii="Times New Roman" w:hAnsi="Times New Roman" w:eastAsia="宋体" w:cs="Times New Roman"/>
                <w:color w:val="auto"/>
                <w:spacing w:val="-2"/>
                <w:sz w:val="21"/>
                <w:szCs w:val="21"/>
                <w:highlight w:val="none"/>
                <w:lang w:val="en-US" w:eastAsia="zh-CN"/>
              </w:rPr>
              <w:t>0.119</w:t>
            </w:r>
            <w:r>
              <w:rPr>
                <w:rFonts w:ascii="Times New Roman" w:hAnsi="Times New Roman" w:eastAsia="宋体" w:cs="Times New Roman"/>
                <w:color w:val="auto"/>
                <w:spacing w:val="-2"/>
                <w:sz w:val="21"/>
                <w:szCs w:val="21"/>
                <w:highlight w:val="none"/>
                <w:lang w:eastAsia="zh-CN"/>
              </w:rPr>
              <w:t>t/a，秸秆粉碎机年运行约</w:t>
            </w:r>
            <w:r>
              <w:rPr>
                <w:rFonts w:hint="eastAsia" w:ascii="Times New Roman" w:hAnsi="Times New Roman" w:eastAsia="宋体" w:cs="Times New Roman"/>
                <w:color w:val="auto"/>
                <w:spacing w:val="-2"/>
                <w:sz w:val="21"/>
                <w:szCs w:val="21"/>
                <w:highlight w:val="none"/>
                <w:lang w:eastAsia="zh-CN"/>
              </w:rPr>
              <w:t>1200</w:t>
            </w:r>
            <w:r>
              <w:rPr>
                <w:rFonts w:ascii="Times New Roman" w:hAnsi="Times New Roman" w:eastAsia="宋体" w:cs="Times New Roman"/>
                <w:color w:val="auto"/>
                <w:spacing w:val="-2"/>
                <w:sz w:val="21"/>
                <w:szCs w:val="21"/>
                <w:highlight w:val="none"/>
                <w:lang w:eastAsia="zh-CN"/>
              </w:rPr>
              <w:t>h，则排放速率为</w:t>
            </w:r>
            <w:r>
              <w:rPr>
                <w:rFonts w:hint="eastAsia" w:ascii="Times New Roman" w:hAnsi="Times New Roman" w:eastAsia="宋体" w:cs="Times New Roman"/>
                <w:color w:val="auto"/>
                <w:spacing w:val="-2"/>
                <w:sz w:val="21"/>
                <w:szCs w:val="21"/>
                <w:highlight w:val="none"/>
                <w:lang w:val="en-US" w:eastAsia="zh-CN"/>
              </w:rPr>
              <w:t>0.099</w:t>
            </w:r>
            <w:r>
              <w:rPr>
                <w:rFonts w:ascii="Times New Roman" w:hAnsi="Times New Roman" w:eastAsia="宋体" w:cs="Times New Roman"/>
                <w:color w:val="auto"/>
                <w:spacing w:val="-2"/>
                <w:sz w:val="21"/>
                <w:szCs w:val="21"/>
                <w:highlight w:val="none"/>
                <w:lang w:eastAsia="zh-CN"/>
              </w:rPr>
              <w:t>kg/h，无组织颗粒物排放量为</w:t>
            </w:r>
            <w:r>
              <w:rPr>
                <w:rFonts w:hint="eastAsia" w:ascii="Times New Roman" w:hAnsi="Times New Roman" w:eastAsia="宋体" w:cs="Times New Roman"/>
                <w:color w:val="auto"/>
                <w:spacing w:val="-2"/>
                <w:sz w:val="21"/>
                <w:szCs w:val="21"/>
                <w:highlight w:val="none"/>
                <w:lang w:val="en-US" w:eastAsia="zh-CN"/>
              </w:rPr>
              <w:t>0.066</w:t>
            </w:r>
            <w:r>
              <w:rPr>
                <w:rFonts w:ascii="Times New Roman" w:hAnsi="Times New Roman" w:eastAsia="宋体" w:cs="Times New Roman"/>
                <w:color w:val="auto"/>
                <w:spacing w:val="-2"/>
                <w:sz w:val="21"/>
                <w:szCs w:val="21"/>
                <w:highlight w:val="none"/>
                <w:lang w:eastAsia="zh-CN"/>
              </w:rPr>
              <w:t>t/h，排放速率为</w:t>
            </w:r>
            <w:r>
              <w:rPr>
                <w:rFonts w:hint="eastAsia" w:ascii="Times New Roman" w:hAnsi="Times New Roman" w:eastAsia="宋体" w:cs="Times New Roman"/>
                <w:color w:val="auto"/>
                <w:spacing w:val="-2"/>
                <w:sz w:val="21"/>
                <w:szCs w:val="21"/>
                <w:highlight w:val="none"/>
                <w:lang w:val="en-US" w:eastAsia="zh-CN"/>
              </w:rPr>
              <w:t>0.549</w:t>
            </w:r>
            <w:r>
              <w:rPr>
                <w:rFonts w:ascii="Times New Roman" w:hAnsi="Times New Roman" w:eastAsia="宋体" w:cs="Times New Roman"/>
                <w:color w:val="auto"/>
                <w:spacing w:val="-2"/>
                <w:sz w:val="21"/>
                <w:szCs w:val="21"/>
                <w:highlight w:val="none"/>
                <w:lang w:eastAsia="zh-CN"/>
              </w:rPr>
              <w:t>kg/h。</w:t>
            </w:r>
          </w:p>
          <w:p w14:paraId="5C846258">
            <w:pPr>
              <w:adjustRightInd w:val="0"/>
              <w:snapToGrid w:val="0"/>
              <w:jc w:val="center"/>
              <w:rPr>
                <w:b/>
                <w:bCs/>
                <w:color w:val="auto"/>
                <w:szCs w:val="21"/>
                <w:highlight w:val="none"/>
              </w:rPr>
            </w:pPr>
            <w:r>
              <w:rPr>
                <w:rFonts w:hint="eastAsia"/>
                <w:b/>
                <w:bCs/>
                <w:color w:val="auto"/>
                <w:szCs w:val="21"/>
                <w:highlight w:val="none"/>
              </w:rPr>
              <w:t>表4-1  废气源强核算表</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4"/>
              <w:gridCol w:w="484"/>
              <w:gridCol w:w="561"/>
              <w:gridCol w:w="737"/>
              <w:gridCol w:w="674"/>
              <w:gridCol w:w="729"/>
              <w:gridCol w:w="954"/>
              <w:gridCol w:w="702"/>
              <w:gridCol w:w="662"/>
              <w:gridCol w:w="698"/>
              <w:gridCol w:w="684"/>
              <w:gridCol w:w="656"/>
            </w:tblGrid>
            <w:tr w14:paraId="76C7B55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594" w:type="dxa"/>
                  <w:vMerge w:val="restart"/>
                  <w:tcBorders>
                    <w:top w:val="single" w:color="auto" w:sz="12" w:space="0"/>
                  </w:tcBorders>
                  <w:noWrap/>
                  <w:vAlign w:val="center"/>
                </w:tcPr>
                <w:p w14:paraId="23785D76">
                  <w:pPr>
                    <w:jc w:val="center"/>
                    <w:rPr>
                      <w:color w:val="auto"/>
                      <w:kern w:val="0"/>
                      <w:sz w:val="18"/>
                      <w:szCs w:val="18"/>
                      <w:highlight w:val="none"/>
                    </w:rPr>
                  </w:pPr>
                  <w:r>
                    <w:rPr>
                      <w:color w:val="auto"/>
                      <w:kern w:val="0"/>
                      <w:sz w:val="18"/>
                      <w:szCs w:val="18"/>
                      <w:highlight w:val="none"/>
                    </w:rPr>
                    <w:t>排放源</w:t>
                  </w:r>
                </w:p>
              </w:tc>
              <w:tc>
                <w:tcPr>
                  <w:tcW w:w="484" w:type="dxa"/>
                  <w:vMerge w:val="restart"/>
                  <w:tcBorders>
                    <w:top w:val="single" w:color="auto" w:sz="12" w:space="0"/>
                  </w:tcBorders>
                  <w:noWrap/>
                  <w:vAlign w:val="center"/>
                </w:tcPr>
                <w:p w14:paraId="469A96DB">
                  <w:pPr>
                    <w:jc w:val="center"/>
                    <w:rPr>
                      <w:color w:val="auto"/>
                      <w:sz w:val="18"/>
                      <w:szCs w:val="18"/>
                      <w:highlight w:val="none"/>
                    </w:rPr>
                  </w:pPr>
                  <w:r>
                    <w:rPr>
                      <w:color w:val="auto"/>
                      <w:kern w:val="0"/>
                      <w:sz w:val="18"/>
                      <w:szCs w:val="18"/>
                      <w:highlight w:val="none"/>
                    </w:rPr>
                    <w:t>污染物</w:t>
                  </w:r>
                </w:p>
              </w:tc>
              <w:tc>
                <w:tcPr>
                  <w:tcW w:w="2701" w:type="dxa"/>
                  <w:gridSpan w:val="4"/>
                  <w:tcBorders>
                    <w:top w:val="single" w:color="auto" w:sz="12" w:space="0"/>
                  </w:tcBorders>
                  <w:noWrap/>
                  <w:vAlign w:val="center"/>
                </w:tcPr>
                <w:p w14:paraId="6F119D99">
                  <w:pPr>
                    <w:jc w:val="center"/>
                    <w:rPr>
                      <w:color w:val="auto"/>
                      <w:sz w:val="18"/>
                      <w:szCs w:val="18"/>
                      <w:highlight w:val="none"/>
                    </w:rPr>
                  </w:pPr>
                  <w:r>
                    <w:rPr>
                      <w:color w:val="auto"/>
                      <w:kern w:val="0"/>
                      <w:sz w:val="18"/>
                      <w:szCs w:val="18"/>
                      <w:highlight w:val="none"/>
                    </w:rPr>
                    <w:t>污染物产生</w:t>
                  </w:r>
                </w:p>
              </w:tc>
              <w:tc>
                <w:tcPr>
                  <w:tcW w:w="1656" w:type="dxa"/>
                  <w:gridSpan w:val="2"/>
                  <w:tcBorders>
                    <w:top w:val="single" w:color="auto" w:sz="12" w:space="0"/>
                  </w:tcBorders>
                  <w:noWrap/>
                  <w:vAlign w:val="center"/>
                </w:tcPr>
                <w:p w14:paraId="4AAE138A">
                  <w:pPr>
                    <w:jc w:val="center"/>
                    <w:rPr>
                      <w:color w:val="auto"/>
                      <w:sz w:val="18"/>
                      <w:szCs w:val="18"/>
                      <w:highlight w:val="none"/>
                    </w:rPr>
                  </w:pPr>
                  <w:r>
                    <w:rPr>
                      <w:color w:val="auto"/>
                      <w:kern w:val="0"/>
                      <w:sz w:val="18"/>
                      <w:szCs w:val="18"/>
                      <w:highlight w:val="none"/>
                    </w:rPr>
                    <w:t>治理措施</w:t>
                  </w:r>
                </w:p>
              </w:tc>
              <w:tc>
                <w:tcPr>
                  <w:tcW w:w="2700" w:type="dxa"/>
                  <w:gridSpan w:val="4"/>
                  <w:tcBorders>
                    <w:top w:val="single" w:color="auto" w:sz="12" w:space="0"/>
                  </w:tcBorders>
                  <w:noWrap/>
                  <w:vAlign w:val="center"/>
                </w:tcPr>
                <w:p w14:paraId="04FFB40D">
                  <w:pPr>
                    <w:jc w:val="center"/>
                    <w:rPr>
                      <w:color w:val="auto"/>
                      <w:sz w:val="18"/>
                      <w:szCs w:val="18"/>
                      <w:highlight w:val="none"/>
                    </w:rPr>
                  </w:pPr>
                  <w:r>
                    <w:rPr>
                      <w:color w:val="auto"/>
                      <w:kern w:val="0"/>
                      <w:sz w:val="18"/>
                      <w:szCs w:val="18"/>
                      <w:highlight w:val="none"/>
                    </w:rPr>
                    <w:t>污染物排放</w:t>
                  </w:r>
                </w:p>
              </w:tc>
            </w:tr>
            <w:tr w14:paraId="335178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594" w:type="dxa"/>
                  <w:vMerge w:val="continue"/>
                  <w:noWrap/>
                  <w:vAlign w:val="center"/>
                </w:tcPr>
                <w:p w14:paraId="516A7736">
                  <w:pPr>
                    <w:jc w:val="center"/>
                    <w:rPr>
                      <w:color w:val="auto"/>
                      <w:sz w:val="18"/>
                      <w:szCs w:val="18"/>
                      <w:highlight w:val="none"/>
                    </w:rPr>
                  </w:pPr>
                </w:p>
              </w:tc>
              <w:tc>
                <w:tcPr>
                  <w:tcW w:w="484" w:type="dxa"/>
                  <w:vMerge w:val="continue"/>
                  <w:noWrap/>
                  <w:vAlign w:val="center"/>
                </w:tcPr>
                <w:p w14:paraId="53A0F49C">
                  <w:pPr>
                    <w:jc w:val="center"/>
                    <w:rPr>
                      <w:color w:val="auto"/>
                      <w:sz w:val="18"/>
                      <w:szCs w:val="18"/>
                      <w:highlight w:val="none"/>
                    </w:rPr>
                  </w:pPr>
                </w:p>
              </w:tc>
              <w:tc>
                <w:tcPr>
                  <w:tcW w:w="561" w:type="dxa"/>
                  <w:noWrap/>
                  <w:vAlign w:val="center"/>
                </w:tcPr>
                <w:p w14:paraId="226FBE13">
                  <w:pPr>
                    <w:jc w:val="center"/>
                    <w:rPr>
                      <w:color w:val="auto"/>
                      <w:sz w:val="18"/>
                      <w:szCs w:val="18"/>
                      <w:highlight w:val="none"/>
                    </w:rPr>
                  </w:pPr>
                  <w:r>
                    <w:rPr>
                      <w:color w:val="auto"/>
                      <w:kern w:val="0"/>
                      <w:sz w:val="18"/>
                      <w:szCs w:val="18"/>
                      <w:highlight w:val="none"/>
                    </w:rPr>
                    <w:t>核算方法</w:t>
                  </w:r>
                </w:p>
              </w:tc>
              <w:tc>
                <w:tcPr>
                  <w:tcW w:w="737" w:type="dxa"/>
                  <w:noWrap/>
                  <w:vAlign w:val="center"/>
                </w:tcPr>
                <w:p w14:paraId="7BBEB704">
                  <w:pPr>
                    <w:jc w:val="center"/>
                    <w:rPr>
                      <w:color w:val="auto"/>
                      <w:sz w:val="18"/>
                      <w:szCs w:val="18"/>
                      <w:highlight w:val="none"/>
                    </w:rPr>
                  </w:pPr>
                  <w:r>
                    <w:rPr>
                      <w:color w:val="auto"/>
                      <w:kern w:val="0"/>
                      <w:sz w:val="18"/>
                      <w:szCs w:val="18"/>
                      <w:highlight w:val="none"/>
                    </w:rPr>
                    <w:t>废气量m</w:t>
                  </w:r>
                  <w:r>
                    <w:rPr>
                      <w:color w:val="auto"/>
                      <w:kern w:val="0"/>
                      <w:sz w:val="18"/>
                      <w:szCs w:val="18"/>
                      <w:highlight w:val="none"/>
                      <w:vertAlign w:val="superscript"/>
                    </w:rPr>
                    <w:t>3</w:t>
                  </w:r>
                  <w:r>
                    <w:rPr>
                      <w:color w:val="auto"/>
                      <w:kern w:val="0"/>
                      <w:sz w:val="18"/>
                      <w:szCs w:val="18"/>
                      <w:highlight w:val="none"/>
                    </w:rPr>
                    <w:t>/h</w:t>
                  </w:r>
                </w:p>
              </w:tc>
              <w:tc>
                <w:tcPr>
                  <w:tcW w:w="674" w:type="dxa"/>
                  <w:noWrap/>
                  <w:vAlign w:val="center"/>
                </w:tcPr>
                <w:p w14:paraId="6250D819">
                  <w:pPr>
                    <w:jc w:val="center"/>
                    <w:rPr>
                      <w:color w:val="auto"/>
                      <w:sz w:val="18"/>
                      <w:szCs w:val="18"/>
                      <w:highlight w:val="none"/>
                    </w:rPr>
                  </w:pPr>
                  <w:r>
                    <w:rPr>
                      <w:color w:val="auto"/>
                      <w:kern w:val="0"/>
                      <w:sz w:val="18"/>
                      <w:szCs w:val="18"/>
                      <w:highlight w:val="none"/>
                    </w:rPr>
                    <w:t>产生浓度mg/m</w:t>
                  </w:r>
                  <w:r>
                    <w:rPr>
                      <w:color w:val="auto"/>
                      <w:kern w:val="0"/>
                      <w:sz w:val="18"/>
                      <w:szCs w:val="18"/>
                      <w:highlight w:val="none"/>
                      <w:vertAlign w:val="superscript"/>
                    </w:rPr>
                    <w:t>3</w:t>
                  </w:r>
                </w:p>
              </w:tc>
              <w:tc>
                <w:tcPr>
                  <w:tcW w:w="729" w:type="dxa"/>
                  <w:noWrap/>
                  <w:vAlign w:val="center"/>
                </w:tcPr>
                <w:p w14:paraId="562205A0">
                  <w:pPr>
                    <w:jc w:val="center"/>
                    <w:rPr>
                      <w:color w:val="auto"/>
                      <w:sz w:val="18"/>
                      <w:szCs w:val="18"/>
                      <w:highlight w:val="none"/>
                    </w:rPr>
                  </w:pPr>
                  <w:r>
                    <w:rPr>
                      <w:color w:val="auto"/>
                      <w:kern w:val="0"/>
                      <w:sz w:val="18"/>
                      <w:szCs w:val="18"/>
                      <w:highlight w:val="none"/>
                    </w:rPr>
                    <w:t>产生量</w:t>
                  </w:r>
                  <w:r>
                    <w:rPr>
                      <w:rFonts w:hint="eastAsia"/>
                      <w:color w:val="auto"/>
                      <w:kern w:val="0"/>
                      <w:sz w:val="18"/>
                      <w:szCs w:val="18"/>
                      <w:highlight w:val="none"/>
                    </w:rPr>
                    <w:t>t</w:t>
                  </w:r>
                  <w:r>
                    <w:rPr>
                      <w:color w:val="auto"/>
                      <w:kern w:val="0"/>
                      <w:sz w:val="18"/>
                      <w:szCs w:val="18"/>
                      <w:highlight w:val="none"/>
                    </w:rPr>
                    <w:t>/a</w:t>
                  </w:r>
                </w:p>
              </w:tc>
              <w:tc>
                <w:tcPr>
                  <w:tcW w:w="954" w:type="dxa"/>
                  <w:noWrap/>
                  <w:vAlign w:val="center"/>
                </w:tcPr>
                <w:p w14:paraId="309CF8EC">
                  <w:pPr>
                    <w:jc w:val="center"/>
                    <w:rPr>
                      <w:color w:val="auto"/>
                      <w:sz w:val="18"/>
                      <w:szCs w:val="18"/>
                      <w:highlight w:val="none"/>
                    </w:rPr>
                  </w:pPr>
                  <w:r>
                    <w:rPr>
                      <w:color w:val="auto"/>
                      <w:kern w:val="0"/>
                      <w:sz w:val="18"/>
                      <w:szCs w:val="18"/>
                      <w:highlight w:val="none"/>
                    </w:rPr>
                    <w:t>工艺</w:t>
                  </w:r>
                </w:p>
              </w:tc>
              <w:tc>
                <w:tcPr>
                  <w:tcW w:w="702" w:type="dxa"/>
                  <w:noWrap/>
                  <w:vAlign w:val="center"/>
                </w:tcPr>
                <w:p w14:paraId="6FCCA35D">
                  <w:pPr>
                    <w:jc w:val="center"/>
                    <w:rPr>
                      <w:color w:val="auto"/>
                      <w:sz w:val="18"/>
                      <w:szCs w:val="18"/>
                      <w:highlight w:val="none"/>
                    </w:rPr>
                  </w:pPr>
                  <w:r>
                    <w:rPr>
                      <w:color w:val="auto"/>
                      <w:kern w:val="0"/>
                      <w:sz w:val="18"/>
                      <w:szCs w:val="18"/>
                      <w:highlight w:val="none"/>
                    </w:rPr>
                    <w:t>效率</w:t>
                  </w:r>
                </w:p>
              </w:tc>
              <w:tc>
                <w:tcPr>
                  <w:tcW w:w="662" w:type="dxa"/>
                  <w:noWrap/>
                  <w:vAlign w:val="center"/>
                </w:tcPr>
                <w:p w14:paraId="15261ABF">
                  <w:pPr>
                    <w:jc w:val="center"/>
                    <w:rPr>
                      <w:color w:val="auto"/>
                      <w:sz w:val="18"/>
                      <w:szCs w:val="18"/>
                      <w:highlight w:val="none"/>
                    </w:rPr>
                  </w:pPr>
                  <w:r>
                    <w:rPr>
                      <w:color w:val="auto"/>
                      <w:kern w:val="0"/>
                      <w:sz w:val="18"/>
                      <w:szCs w:val="18"/>
                      <w:highlight w:val="none"/>
                    </w:rPr>
                    <w:t>核算方法</w:t>
                  </w:r>
                </w:p>
              </w:tc>
              <w:tc>
                <w:tcPr>
                  <w:tcW w:w="698" w:type="dxa"/>
                  <w:noWrap/>
                  <w:vAlign w:val="center"/>
                </w:tcPr>
                <w:p w14:paraId="578C384F">
                  <w:pPr>
                    <w:jc w:val="center"/>
                    <w:rPr>
                      <w:color w:val="auto"/>
                      <w:sz w:val="18"/>
                      <w:szCs w:val="18"/>
                      <w:highlight w:val="none"/>
                    </w:rPr>
                  </w:pPr>
                  <w:r>
                    <w:rPr>
                      <w:color w:val="auto"/>
                      <w:kern w:val="0"/>
                      <w:sz w:val="18"/>
                      <w:szCs w:val="18"/>
                      <w:highlight w:val="none"/>
                    </w:rPr>
                    <w:t>废气量m</w:t>
                  </w:r>
                  <w:r>
                    <w:rPr>
                      <w:color w:val="auto"/>
                      <w:kern w:val="0"/>
                      <w:sz w:val="18"/>
                      <w:szCs w:val="18"/>
                      <w:highlight w:val="none"/>
                      <w:vertAlign w:val="superscript"/>
                    </w:rPr>
                    <w:t>3</w:t>
                  </w:r>
                  <w:r>
                    <w:rPr>
                      <w:color w:val="auto"/>
                      <w:kern w:val="0"/>
                      <w:sz w:val="18"/>
                      <w:szCs w:val="18"/>
                      <w:highlight w:val="none"/>
                    </w:rPr>
                    <w:t>/h</w:t>
                  </w:r>
                </w:p>
              </w:tc>
              <w:tc>
                <w:tcPr>
                  <w:tcW w:w="684" w:type="dxa"/>
                  <w:noWrap/>
                  <w:vAlign w:val="center"/>
                </w:tcPr>
                <w:p w14:paraId="25B2DFE4">
                  <w:pPr>
                    <w:jc w:val="center"/>
                    <w:rPr>
                      <w:color w:val="auto"/>
                      <w:kern w:val="0"/>
                      <w:sz w:val="18"/>
                      <w:szCs w:val="18"/>
                      <w:highlight w:val="none"/>
                    </w:rPr>
                  </w:pPr>
                  <w:r>
                    <w:rPr>
                      <w:color w:val="auto"/>
                      <w:kern w:val="0"/>
                      <w:sz w:val="18"/>
                      <w:szCs w:val="18"/>
                      <w:highlight w:val="none"/>
                    </w:rPr>
                    <w:t>排放</w:t>
                  </w:r>
                </w:p>
                <w:p w14:paraId="38999B3C">
                  <w:pPr>
                    <w:jc w:val="center"/>
                    <w:rPr>
                      <w:color w:val="auto"/>
                      <w:sz w:val="18"/>
                      <w:szCs w:val="18"/>
                      <w:highlight w:val="none"/>
                    </w:rPr>
                  </w:pPr>
                  <w:r>
                    <w:rPr>
                      <w:color w:val="auto"/>
                      <w:kern w:val="0"/>
                      <w:sz w:val="18"/>
                      <w:szCs w:val="18"/>
                      <w:highlight w:val="none"/>
                    </w:rPr>
                    <w:t>浓度mg/m</w:t>
                  </w:r>
                  <w:r>
                    <w:rPr>
                      <w:color w:val="auto"/>
                      <w:kern w:val="0"/>
                      <w:sz w:val="18"/>
                      <w:szCs w:val="18"/>
                      <w:highlight w:val="none"/>
                      <w:vertAlign w:val="superscript"/>
                    </w:rPr>
                    <w:t>3</w:t>
                  </w:r>
                </w:p>
              </w:tc>
              <w:tc>
                <w:tcPr>
                  <w:tcW w:w="656" w:type="dxa"/>
                  <w:noWrap/>
                  <w:vAlign w:val="center"/>
                </w:tcPr>
                <w:p w14:paraId="20F233FD">
                  <w:pPr>
                    <w:jc w:val="center"/>
                    <w:rPr>
                      <w:color w:val="auto"/>
                      <w:sz w:val="18"/>
                      <w:szCs w:val="18"/>
                      <w:highlight w:val="none"/>
                    </w:rPr>
                  </w:pPr>
                  <w:r>
                    <w:rPr>
                      <w:color w:val="auto"/>
                      <w:kern w:val="0"/>
                      <w:sz w:val="18"/>
                      <w:szCs w:val="18"/>
                      <w:highlight w:val="none"/>
                    </w:rPr>
                    <w:t>排放量</w:t>
                  </w:r>
                  <w:r>
                    <w:rPr>
                      <w:rFonts w:hint="eastAsia"/>
                      <w:color w:val="auto"/>
                      <w:kern w:val="0"/>
                      <w:sz w:val="18"/>
                      <w:szCs w:val="18"/>
                      <w:highlight w:val="none"/>
                    </w:rPr>
                    <w:t>t</w:t>
                  </w:r>
                  <w:r>
                    <w:rPr>
                      <w:color w:val="auto"/>
                      <w:kern w:val="0"/>
                      <w:sz w:val="18"/>
                      <w:szCs w:val="18"/>
                      <w:highlight w:val="none"/>
                    </w:rPr>
                    <w:t>/a</w:t>
                  </w:r>
                </w:p>
              </w:tc>
            </w:tr>
            <w:tr w14:paraId="26D85F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594" w:type="dxa"/>
                  <w:noWrap/>
                  <w:vAlign w:val="center"/>
                </w:tcPr>
                <w:p w14:paraId="3691C994">
                  <w:pPr>
                    <w:jc w:val="center"/>
                    <w:rPr>
                      <w:color w:val="auto"/>
                      <w:sz w:val="18"/>
                      <w:szCs w:val="18"/>
                      <w:highlight w:val="none"/>
                    </w:rPr>
                  </w:pPr>
                  <w:r>
                    <w:rPr>
                      <w:rFonts w:hint="eastAsia"/>
                      <w:color w:val="auto"/>
                      <w:sz w:val="18"/>
                      <w:szCs w:val="18"/>
                      <w:highlight w:val="none"/>
                    </w:rPr>
                    <w:t>物料棚</w:t>
                  </w:r>
                </w:p>
              </w:tc>
              <w:tc>
                <w:tcPr>
                  <w:tcW w:w="484" w:type="dxa"/>
                  <w:shd w:val="clear" w:color="auto" w:fill="auto"/>
                  <w:noWrap/>
                  <w:vAlign w:val="center"/>
                </w:tcPr>
                <w:p w14:paraId="7CBC46FD">
                  <w:pPr>
                    <w:jc w:val="center"/>
                    <w:rPr>
                      <w:color w:val="auto"/>
                      <w:sz w:val="18"/>
                      <w:szCs w:val="18"/>
                      <w:highlight w:val="none"/>
                    </w:rPr>
                  </w:pPr>
                  <w:r>
                    <w:rPr>
                      <w:rFonts w:hint="eastAsia"/>
                      <w:color w:val="auto"/>
                      <w:sz w:val="18"/>
                      <w:szCs w:val="18"/>
                      <w:highlight w:val="none"/>
                    </w:rPr>
                    <w:t>颗粒物</w:t>
                  </w:r>
                </w:p>
              </w:tc>
              <w:tc>
                <w:tcPr>
                  <w:tcW w:w="561" w:type="dxa"/>
                  <w:shd w:val="clear" w:color="auto" w:fill="auto"/>
                  <w:noWrap/>
                  <w:vAlign w:val="center"/>
                </w:tcPr>
                <w:p w14:paraId="1AAB09D7">
                  <w:pPr>
                    <w:jc w:val="center"/>
                    <w:rPr>
                      <w:color w:val="auto"/>
                      <w:sz w:val="18"/>
                      <w:szCs w:val="18"/>
                      <w:highlight w:val="none"/>
                    </w:rPr>
                  </w:pPr>
                  <w:r>
                    <w:rPr>
                      <w:color w:val="auto"/>
                      <w:sz w:val="18"/>
                      <w:szCs w:val="18"/>
                      <w:highlight w:val="none"/>
                    </w:rPr>
                    <w:t>系数法</w:t>
                  </w:r>
                </w:p>
              </w:tc>
              <w:tc>
                <w:tcPr>
                  <w:tcW w:w="737" w:type="dxa"/>
                  <w:noWrap/>
                  <w:vAlign w:val="center"/>
                </w:tcPr>
                <w:p w14:paraId="10DDE49C">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2226ECB9">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2183D5B3">
                  <w:pPr>
                    <w:jc w:val="center"/>
                    <w:rPr>
                      <w:rFonts w:hint="default"/>
                      <w:color w:val="auto"/>
                      <w:sz w:val="18"/>
                      <w:szCs w:val="18"/>
                      <w:highlight w:val="none"/>
                      <w:lang w:val="en-US"/>
                    </w:rPr>
                  </w:pPr>
                  <w:r>
                    <w:rPr>
                      <w:rFonts w:hint="eastAsia"/>
                      <w:color w:val="auto"/>
                      <w:sz w:val="18"/>
                      <w:szCs w:val="18"/>
                      <w:highlight w:val="none"/>
                      <w:lang w:val="en-US" w:eastAsia="zh-CN"/>
                    </w:rPr>
                    <w:t>24.541</w:t>
                  </w:r>
                </w:p>
              </w:tc>
              <w:tc>
                <w:tcPr>
                  <w:tcW w:w="954" w:type="dxa"/>
                  <w:noWrap/>
                  <w:vAlign w:val="center"/>
                </w:tcPr>
                <w:p w14:paraId="52CB82F7">
                  <w:pPr>
                    <w:adjustRightInd w:val="0"/>
                    <w:snapToGrid w:val="0"/>
                    <w:jc w:val="center"/>
                    <w:rPr>
                      <w:color w:val="auto"/>
                      <w:sz w:val="18"/>
                      <w:szCs w:val="18"/>
                      <w:highlight w:val="none"/>
                    </w:rPr>
                  </w:pPr>
                  <w:r>
                    <w:rPr>
                      <w:rFonts w:hint="eastAsia"/>
                      <w:color w:val="auto"/>
                      <w:sz w:val="18"/>
                      <w:szCs w:val="18"/>
                      <w:highlight w:val="none"/>
                    </w:rPr>
                    <w:t>防风抑尘网、洒水降尘</w:t>
                  </w:r>
                </w:p>
              </w:tc>
              <w:tc>
                <w:tcPr>
                  <w:tcW w:w="702" w:type="dxa"/>
                  <w:noWrap/>
                  <w:vAlign w:val="center"/>
                </w:tcPr>
                <w:p w14:paraId="6A1D6341">
                  <w:pPr>
                    <w:adjustRightInd w:val="0"/>
                    <w:snapToGrid w:val="0"/>
                    <w:jc w:val="center"/>
                    <w:rPr>
                      <w:rFonts w:hint="default"/>
                      <w:color w:val="auto"/>
                      <w:sz w:val="18"/>
                      <w:szCs w:val="18"/>
                      <w:highlight w:val="none"/>
                      <w:lang w:val="en-US"/>
                    </w:rPr>
                  </w:pPr>
                  <w:r>
                    <w:rPr>
                      <w:rFonts w:hint="eastAsia"/>
                      <w:color w:val="auto"/>
                      <w:sz w:val="18"/>
                      <w:szCs w:val="18"/>
                      <w:highlight w:val="none"/>
                      <w:lang w:val="en-US" w:eastAsia="zh-CN"/>
                    </w:rPr>
                    <w:t>97.4%</w:t>
                  </w:r>
                </w:p>
              </w:tc>
              <w:tc>
                <w:tcPr>
                  <w:tcW w:w="662" w:type="dxa"/>
                  <w:shd w:val="clear" w:color="auto" w:fill="auto"/>
                  <w:noWrap/>
                  <w:vAlign w:val="center"/>
                </w:tcPr>
                <w:p w14:paraId="72CB8E90">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43F7A7E5">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4DCAD0EB">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48173D13">
                  <w:pPr>
                    <w:jc w:val="center"/>
                    <w:rPr>
                      <w:rFonts w:hint="default"/>
                      <w:color w:val="auto"/>
                      <w:sz w:val="18"/>
                      <w:szCs w:val="18"/>
                      <w:highlight w:val="none"/>
                      <w:lang w:val="en-US"/>
                    </w:rPr>
                  </w:pPr>
                  <w:r>
                    <w:rPr>
                      <w:rFonts w:hint="eastAsia"/>
                      <w:color w:val="auto"/>
                      <w:sz w:val="18"/>
                      <w:szCs w:val="18"/>
                      <w:highlight w:val="none"/>
                      <w:lang w:val="en-US" w:eastAsia="zh-CN"/>
                    </w:rPr>
                    <w:t>0.638</w:t>
                  </w:r>
                </w:p>
              </w:tc>
            </w:tr>
            <w:tr w14:paraId="776056A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594" w:type="dxa"/>
                  <w:noWrap/>
                  <w:vAlign w:val="center"/>
                </w:tcPr>
                <w:p w14:paraId="4E64FEAA">
                  <w:pPr>
                    <w:jc w:val="center"/>
                    <w:rPr>
                      <w:color w:val="auto"/>
                      <w:sz w:val="18"/>
                      <w:szCs w:val="18"/>
                      <w:highlight w:val="none"/>
                    </w:rPr>
                  </w:pPr>
                  <w:r>
                    <w:rPr>
                      <w:rFonts w:hint="eastAsia"/>
                      <w:color w:val="auto"/>
                      <w:sz w:val="18"/>
                      <w:szCs w:val="18"/>
                      <w:highlight w:val="none"/>
                    </w:rPr>
                    <w:t>运输扬尘</w:t>
                  </w:r>
                </w:p>
              </w:tc>
              <w:tc>
                <w:tcPr>
                  <w:tcW w:w="484" w:type="dxa"/>
                  <w:noWrap/>
                  <w:vAlign w:val="center"/>
                </w:tcPr>
                <w:p w14:paraId="27A091C4">
                  <w:pPr>
                    <w:jc w:val="center"/>
                    <w:rPr>
                      <w:color w:val="auto"/>
                      <w:sz w:val="18"/>
                      <w:szCs w:val="18"/>
                      <w:highlight w:val="none"/>
                    </w:rPr>
                  </w:pPr>
                  <w:r>
                    <w:rPr>
                      <w:rFonts w:hint="eastAsia"/>
                      <w:color w:val="auto"/>
                      <w:sz w:val="18"/>
                      <w:szCs w:val="18"/>
                      <w:highlight w:val="none"/>
                    </w:rPr>
                    <w:t>颗粒物</w:t>
                  </w:r>
                </w:p>
              </w:tc>
              <w:tc>
                <w:tcPr>
                  <w:tcW w:w="561" w:type="dxa"/>
                  <w:noWrap/>
                  <w:vAlign w:val="center"/>
                </w:tcPr>
                <w:p w14:paraId="357142DA">
                  <w:pPr>
                    <w:jc w:val="center"/>
                    <w:rPr>
                      <w:color w:val="auto"/>
                      <w:sz w:val="18"/>
                      <w:szCs w:val="18"/>
                      <w:highlight w:val="none"/>
                    </w:rPr>
                  </w:pPr>
                  <w:r>
                    <w:rPr>
                      <w:color w:val="auto"/>
                      <w:sz w:val="18"/>
                      <w:szCs w:val="18"/>
                      <w:highlight w:val="none"/>
                    </w:rPr>
                    <w:t>系数法</w:t>
                  </w:r>
                </w:p>
              </w:tc>
              <w:tc>
                <w:tcPr>
                  <w:tcW w:w="737" w:type="dxa"/>
                  <w:noWrap/>
                  <w:vAlign w:val="center"/>
                </w:tcPr>
                <w:p w14:paraId="1E33EEAA">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47668909">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12F323D5">
                  <w:pPr>
                    <w:jc w:val="center"/>
                    <w:rPr>
                      <w:color w:val="auto"/>
                      <w:sz w:val="18"/>
                      <w:szCs w:val="18"/>
                      <w:highlight w:val="none"/>
                    </w:rPr>
                  </w:pPr>
                  <w:r>
                    <w:rPr>
                      <w:rFonts w:hint="eastAsia"/>
                      <w:color w:val="auto"/>
                      <w:sz w:val="18"/>
                      <w:szCs w:val="18"/>
                      <w:highlight w:val="none"/>
                    </w:rPr>
                    <w:t>1.029</w:t>
                  </w:r>
                </w:p>
              </w:tc>
              <w:tc>
                <w:tcPr>
                  <w:tcW w:w="954" w:type="dxa"/>
                  <w:noWrap/>
                  <w:vAlign w:val="center"/>
                </w:tcPr>
                <w:p w14:paraId="323D0011">
                  <w:pPr>
                    <w:adjustRightInd w:val="0"/>
                    <w:snapToGrid w:val="0"/>
                    <w:jc w:val="center"/>
                    <w:rPr>
                      <w:color w:val="auto"/>
                      <w:sz w:val="18"/>
                      <w:szCs w:val="18"/>
                      <w:highlight w:val="none"/>
                    </w:rPr>
                  </w:pPr>
                  <w:r>
                    <w:rPr>
                      <w:rFonts w:hint="eastAsia"/>
                      <w:color w:val="auto"/>
                      <w:sz w:val="18"/>
                      <w:szCs w:val="18"/>
                      <w:highlight w:val="none"/>
                    </w:rPr>
                    <w:t>洒水降尘</w:t>
                  </w:r>
                </w:p>
              </w:tc>
              <w:tc>
                <w:tcPr>
                  <w:tcW w:w="702" w:type="dxa"/>
                  <w:noWrap/>
                  <w:vAlign w:val="center"/>
                </w:tcPr>
                <w:p w14:paraId="5D44BF1F">
                  <w:pPr>
                    <w:adjustRightInd w:val="0"/>
                    <w:snapToGrid w:val="0"/>
                    <w:jc w:val="center"/>
                    <w:rPr>
                      <w:color w:val="auto"/>
                      <w:sz w:val="18"/>
                      <w:szCs w:val="18"/>
                      <w:highlight w:val="none"/>
                    </w:rPr>
                  </w:pPr>
                  <w:r>
                    <w:rPr>
                      <w:rFonts w:hint="eastAsia"/>
                      <w:color w:val="auto"/>
                      <w:sz w:val="18"/>
                      <w:szCs w:val="18"/>
                      <w:highlight w:val="none"/>
                    </w:rPr>
                    <w:t>66%</w:t>
                  </w:r>
                </w:p>
              </w:tc>
              <w:tc>
                <w:tcPr>
                  <w:tcW w:w="662" w:type="dxa"/>
                  <w:noWrap/>
                  <w:vAlign w:val="center"/>
                </w:tcPr>
                <w:p w14:paraId="4D5D9045">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0AE12262">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2C256578">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0EFC58A6">
                  <w:pPr>
                    <w:jc w:val="center"/>
                    <w:rPr>
                      <w:color w:val="auto"/>
                      <w:sz w:val="18"/>
                      <w:szCs w:val="18"/>
                      <w:highlight w:val="none"/>
                    </w:rPr>
                  </w:pPr>
                  <w:r>
                    <w:rPr>
                      <w:rFonts w:hint="eastAsia"/>
                      <w:color w:val="auto"/>
                      <w:sz w:val="18"/>
                      <w:szCs w:val="18"/>
                      <w:highlight w:val="none"/>
                    </w:rPr>
                    <w:t>0.350</w:t>
                  </w:r>
                </w:p>
              </w:tc>
            </w:tr>
            <w:tr w14:paraId="114726A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594" w:type="dxa"/>
                  <w:noWrap/>
                  <w:vAlign w:val="center"/>
                </w:tcPr>
                <w:p w14:paraId="5A7FD960">
                  <w:pPr>
                    <w:jc w:val="center"/>
                    <w:rPr>
                      <w:color w:val="auto"/>
                      <w:sz w:val="18"/>
                      <w:szCs w:val="18"/>
                      <w:highlight w:val="none"/>
                    </w:rPr>
                  </w:pPr>
                  <w:r>
                    <w:rPr>
                      <w:rFonts w:hint="eastAsia"/>
                      <w:color w:val="auto"/>
                      <w:sz w:val="18"/>
                      <w:szCs w:val="18"/>
                      <w:highlight w:val="none"/>
                    </w:rPr>
                    <w:t>生产车间</w:t>
                  </w:r>
                </w:p>
              </w:tc>
              <w:tc>
                <w:tcPr>
                  <w:tcW w:w="484" w:type="dxa"/>
                  <w:shd w:val="clear" w:color="auto" w:fill="auto"/>
                  <w:noWrap/>
                  <w:vAlign w:val="center"/>
                </w:tcPr>
                <w:p w14:paraId="33431EF9">
                  <w:pPr>
                    <w:jc w:val="center"/>
                    <w:rPr>
                      <w:color w:val="auto"/>
                      <w:sz w:val="18"/>
                      <w:szCs w:val="18"/>
                      <w:highlight w:val="none"/>
                    </w:rPr>
                  </w:pPr>
                  <w:r>
                    <w:rPr>
                      <w:rFonts w:hint="eastAsia"/>
                      <w:color w:val="auto"/>
                      <w:sz w:val="18"/>
                      <w:szCs w:val="18"/>
                      <w:highlight w:val="none"/>
                    </w:rPr>
                    <w:t>挥发性有机物</w:t>
                  </w:r>
                </w:p>
              </w:tc>
              <w:tc>
                <w:tcPr>
                  <w:tcW w:w="561" w:type="dxa"/>
                  <w:shd w:val="clear" w:color="auto" w:fill="auto"/>
                  <w:noWrap/>
                  <w:vAlign w:val="center"/>
                </w:tcPr>
                <w:p w14:paraId="5FBDCDD6">
                  <w:pPr>
                    <w:jc w:val="center"/>
                    <w:rPr>
                      <w:color w:val="auto"/>
                      <w:sz w:val="18"/>
                      <w:szCs w:val="18"/>
                      <w:highlight w:val="none"/>
                    </w:rPr>
                  </w:pPr>
                  <w:r>
                    <w:rPr>
                      <w:rFonts w:hint="eastAsia"/>
                      <w:color w:val="auto"/>
                      <w:sz w:val="18"/>
                      <w:szCs w:val="18"/>
                      <w:highlight w:val="none"/>
                    </w:rPr>
                    <w:t>系数法</w:t>
                  </w:r>
                </w:p>
              </w:tc>
              <w:tc>
                <w:tcPr>
                  <w:tcW w:w="737" w:type="dxa"/>
                  <w:noWrap/>
                  <w:vAlign w:val="center"/>
                </w:tcPr>
                <w:p w14:paraId="1B80DC07">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62A804F3">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16C160A3">
                  <w:pPr>
                    <w:jc w:val="center"/>
                    <w:rPr>
                      <w:rFonts w:hint="eastAsia" w:eastAsia="宋体"/>
                      <w:color w:val="auto"/>
                      <w:sz w:val="18"/>
                      <w:szCs w:val="18"/>
                      <w:highlight w:val="none"/>
                      <w:lang w:eastAsia="zh-CN"/>
                    </w:rPr>
                  </w:pPr>
                  <w:r>
                    <w:rPr>
                      <w:rFonts w:hint="eastAsia"/>
                      <w:color w:val="auto"/>
                      <w:sz w:val="18"/>
                      <w:szCs w:val="18"/>
                      <w:highlight w:val="none"/>
                      <w:lang w:eastAsia="zh-CN"/>
                    </w:rPr>
                    <w:t>0.024</w:t>
                  </w:r>
                </w:p>
              </w:tc>
              <w:tc>
                <w:tcPr>
                  <w:tcW w:w="954" w:type="dxa"/>
                  <w:noWrap/>
                  <w:vAlign w:val="center"/>
                </w:tcPr>
                <w:p w14:paraId="1A7F9688">
                  <w:pPr>
                    <w:adjustRightInd w:val="0"/>
                    <w:snapToGrid w:val="0"/>
                    <w:jc w:val="center"/>
                    <w:rPr>
                      <w:color w:val="auto"/>
                      <w:sz w:val="18"/>
                      <w:szCs w:val="18"/>
                      <w:highlight w:val="none"/>
                    </w:rPr>
                  </w:pPr>
                  <w:r>
                    <w:rPr>
                      <w:rFonts w:hint="eastAsia"/>
                      <w:color w:val="auto"/>
                      <w:sz w:val="18"/>
                      <w:szCs w:val="18"/>
                      <w:highlight w:val="none"/>
                    </w:rPr>
                    <w:t>车间通风</w:t>
                  </w:r>
                </w:p>
              </w:tc>
              <w:tc>
                <w:tcPr>
                  <w:tcW w:w="702" w:type="dxa"/>
                  <w:noWrap/>
                  <w:vAlign w:val="center"/>
                </w:tcPr>
                <w:p w14:paraId="7CC7F11F">
                  <w:pPr>
                    <w:adjustRightInd w:val="0"/>
                    <w:snapToGrid w:val="0"/>
                    <w:jc w:val="center"/>
                    <w:rPr>
                      <w:color w:val="auto"/>
                      <w:sz w:val="18"/>
                      <w:szCs w:val="18"/>
                      <w:highlight w:val="none"/>
                    </w:rPr>
                  </w:pPr>
                  <w:r>
                    <w:rPr>
                      <w:rFonts w:hint="eastAsia"/>
                      <w:color w:val="auto"/>
                      <w:sz w:val="18"/>
                      <w:szCs w:val="18"/>
                      <w:highlight w:val="none"/>
                    </w:rPr>
                    <w:t>-</w:t>
                  </w:r>
                </w:p>
              </w:tc>
              <w:tc>
                <w:tcPr>
                  <w:tcW w:w="662" w:type="dxa"/>
                  <w:shd w:val="clear" w:color="auto" w:fill="auto"/>
                  <w:noWrap/>
                  <w:vAlign w:val="center"/>
                </w:tcPr>
                <w:p w14:paraId="632C14EE">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07E5B366">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093D647D">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3F824F45">
                  <w:pPr>
                    <w:jc w:val="center"/>
                    <w:rPr>
                      <w:rFonts w:hint="eastAsia" w:eastAsia="宋体"/>
                      <w:color w:val="auto"/>
                      <w:sz w:val="18"/>
                      <w:szCs w:val="18"/>
                      <w:highlight w:val="none"/>
                      <w:lang w:eastAsia="zh-CN"/>
                    </w:rPr>
                  </w:pPr>
                  <w:r>
                    <w:rPr>
                      <w:rFonts w:hint="eastAsia"/>
                      <w:color w:val="auto"/>
                      <w:sz w:val="18"/>
                      <w:szCs w:val="18"/>
                      <w:highlight w:val="none"/>
                      <w:lang w:eastAsia="zh-CN"/>
                    </w:rPr>
                    <w:t>0.024</w:t>
                  </w:r>
                </w:p>
              </w:tc>
            </w:tr>
            <w:tr w14:paraId="363569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594" w:type="dxa"/>
                  <w:noWrap/>
                  <w:vAlign w:val="center"/>
                </w:tcPr>
                <w:p w14:paraId="22AE0603">
                  <w:pPr>
                    <w:jc w:val="center"/>
                    <w:rPr>
                      <w:color w:val="auto"/>
                      <w:sz w:val="18"/>
                      <w:szCs w:val="18"/>
                      <w:highlight w:val="none"/>
                    </w:rPr>
                  </w:pPr>
                  <w:r>
                    <w:rPr>
                      <w:rFonts w:hint="eastAsia"/>
                      <w:color w:val="auto"/>
                      <w:sz w:val="18"/>
                      <w:szCs w:val="18"/>
                      <w:highlight w:val="none"/>
                    </w:rPr>
                    <w:t>粉煤灰筒仓</w:t>
                  </w:r>
                </w:p>
              </w:tc>
              <w:tc>
                <w:tcPr>
                  <w:tcW w:w="484" w:type="dxa"/>
                  <w:shd w:val="clear" w:color="auto" w:fill="auto"/>
                  <w:noWrap/>
                  <w:vAlign w:val="center"/>
                </w:tcPr>
                <w:p w14:paraId="73012071">
                  <w:pPr>
                    <w:jc w:val="center"/>
                    <w:rPr>
                      <w:color w:val="auto"/>
                      <w:sz w:val="18"/>
                      <w:szCs w:val="18"/>
                      <w:highlight w:val="none"/>
                    </w:rPr>
                  </w:pPr>
                  <w:r>
                    <w:rPr>
                      <w:rFonts w:hint="eastAsia"/>
                      <w:color w:val="auto"/>
                      <w:sz w:val="18"/>
                      <w:szCs w:val="18"/>
                      <w:highlight w:val="none"/>
                    </w:rPr>
                    <w:t>颗粒物</w:t>
                  </w:r>
                </w:p>
              </w:tc>
              <w:tc>
                <w:tcPr>
                  <w:tcW w:w="561" w:type="dxa"/>
                  <w:shd w:val="clear" w:color="auto" w:fill="auto"/>
                  <w:noWrap/>
                  <w:vAlign w:val="center"/>
                </w:tcPr>
                <w:p w14:paraId="19ECD112">
                  <w:pPr>
                    <w:jc w:val="center"/>
                    <w:rPr>
                      <w:color w:val="auto"/>
                      <w:sz w:val="18"/>
                      <w:szCs w:val="18"/>
                      <w:highlight w:val="none"/>
                    </w:rPr>
                  </w:pPr>
                  <w:r>
                    <w:rPr>
                      <w:color w:val="auto"/>
                      <w:sz w:val="18"/>
                      <w:szCs w:val="18"/>
                      <w:highlight w:val="none"/>
                    </w:rPr>
                    <w:t>系数法</w:t>
                  </w:r>
                </w:p>
              </w:tc>
              <w:tc>
                <w:tcPr>
                  <w:tcW w:w="737" w:type="dxa"/>
                  <w:noWrap/>
                  <w:vAlign w:val="center"/>
                </w:tcPr>
                <w:p w14:paraId="2DA05600">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006965E8">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1EDFB4B3">
                  <w:pPr>
                    <w:jc w:val="center"/>
                    <w:rPr>
                      <w:color w:val="auto"/>
                      <w:sz w:val="18"/>
                      <w:szCs w:val="18"/>
                      <w:highlight w:val="none"/>
                    </w:rPr>
                  </w:pPr>
                  <w:r>
                    <w:rPr>
                      <w:rFonts w:hint="eastAsia"/>
                      <w:color w:val="auto"/>
                      <w:kern w:val="0"/>
                      <w:sz w:val="18"/>
                      <w:szCs w:val="18"/>
                      <w:highlight w:val="none"/>
                    </w:rPr>
                    <w:t>0.84</w:t>
                  </w:r>
                </w:p>
              </w:tc>
              <w:tc>
                <w:tcPr>
                  <w:tcW w:w="954" w:type="dxa"/>
                  <w:noWrap/>
                  <w:vAlign w:val="center"/>
                </w:tcPr>
                <w:p w14:paraId="730926E3">
                  <w:pPr>
                    <w:jc w:val="center"/>
                    <w:rPr>
                      <w:color w:val="auto"/>
                      <w:sz w:val="18"/>
                      <w:szCs w:val="18"/>
                      <w:highlight w:val="none"/>
                    </w:rPr>
                  </w:pPr>
                  <w:r>
                    <w:rPr>
                      <w:rFonts w:hint="eastAsia"/>
                      <w:color w:val="auto"/>
                      <w:sz w:val="18"/>
                      <w:szCs w:val="18"/>
                      <w:highlight w:val="none"/>
                    </w:rPr>
                    <w:t>仓顶除尘器</w:t>
                  </w:r>
                </w:p>
              </w:tc>
              <w:tc>
                <w:tcPr>
                  <w:tcW w:w="702" w:type="dxa"/>
                  <w:noWrap/>
                  <w:vAlign w:val="center"/>
                </w:tcPr>
                <w:p w14:paraId="46B76304">
                  <w:pPr>
                    <w:jc w:val="center"/>
                    <w:rPr>
                      <w:color w:val="auto"/>
                      <w:sz w:val="18"/>
                      <w:szCs w:val="18"/>
                      <w:highlight w:val="none"/>
                    </w:rPr>
                  </w:pPr>
                  <w:r>
                    <w:rPr>
                      <w:rFonts w:hint="eastAsia"/>
                      <w:color w:val="auto"/>
                      <w:sz w:val="18"/>
                      <w:szCs w:val="18"/>
                      <w:highlight w:val="none"/>
                    </w:rPr>
                    <w:t>99.5%</w:t>
                  </w:r>
                </w:p>
              </w:tc>
              <w:tc>
                <w:tcPr>
                  <w:tcW w:w="662" w:type="dxa"/>
                  <w:shd w:val="clear" w:color="auto" w:fill="auto"/>
                  <w:noWrap/>
                  <w:vAlign w:val="center"/>
                </w:tcPr>
                <w:p w14:paraId="5113909D">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5BF961FA">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33D79339">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7AD3D410">
                  <w:pPr>
                    <w:jc w:val="center"/>
                    <w:rPr>
                      <w:color w:val="auto"/>
                      <w:sz w:val="18"/>
                      <w:szCs w:val="18"/>
                      <w:highlight w:val="none"/>
                    </w:rPr>
                  </w:pPr>
                  <w:r>
                    <w:rPr>
                      <w:rFonts w:hint="eastAsia"/>
                      <w:color w:val="auto"/>
                      <w:kern w:val="0"/>
                      <w:sz w:val="18"/>
                      <w:szCs w:val="18"/>
                      <w:highlight w:val="none"/>
                    </w:rPr>
                    <w:t>0.004</w:t>
                  </w:r>
                </w:p>
              </w:tc>
            </w:tr>
            <w:tr w14:paraId="778E4C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594" w:type="dxa"/>
                  <w:noWrap/>
                  <w:vAlign w:val="center"/>
                </w:tcPr>
                <w:p w14:paraId="151F27CB">
                  <w:pPr>
                    <w:jc w:val="center"/>
                    <w:rPr>
                      <w:color w:val="auto"/>
                      <w:sz w:val="18"/>
                      <w:szCs w:val="18"/>
                      <w:highlight w:val="none"/>
                    </w:rPr>
                  </w:pPr>
                  <w:r>
                    <w:rPr>
                      <w:rFonts w:hint="eastAsia"/>
                      <w:color w:val="auto"/>
                      <w:sz w:val="18"/>
                      <w:szCs w:val="18"/>
                      <w:highlight w:val="none"/>
                    </w:rPr>
                    <w:t>上料粉尘</w:t>
                  </w:r>
                </w:p>
              </w:tc>
              <w:tc>
                <w:tcPr>
                  <w:tcW w:w="484" w:type="dxa"/>
                  <w:shd w:val="clear" w:color="auto" w:fill="auto"/>
                  <w:noWrap/>
                  <w:vAlign w:val="center"/>
                </w:tcPr>
                <w:p w14:paraId="71A63D71">
                  <w:pPr>
                    <w:jc w:val="center"/>
                    <w:rPr>
                      <w:color w:val="auto"/>
                      <w:sz w:val="18"/>
                      <w:szCs w:val="18"/>
                      <w:highlight w:val="none"/>
                    </w:rPr>
                  </w:pPr>
                  <w:r>
                    <w:rPr>
                      <w:rFonts w:hint="eastAsia"/>
                      <w:color w:val="auto"/>
                      <w:sz w:val="18"/>
                      <w:szCs w:val="18"/>
                      <w:highlight w:val="none"/>
                    </w:rPr>
                    <w:t>颗粒物</w:t>
                  </w:r>
                </w:p>
              </w:tc>
              <w:tc>
                <w:tcPr>
                  <w:tcW w:w="561" w:type="dxa"/>
                  <w:shd w:val="clear" w:color="auto" w:fill="auto"/>
                  <w:noWrap/>
                  <w:vAlign w:val="center"/>
                </w:tcPr>
                <w:p w14:paraId="302E47D0">
                  <w:pPr>
                    <w:jc w:val="center"/>
                    <w:rPr>
                      <w:color w:val="auto"/>
                      <w:sz w:val="18"/>
                      <w:szCs w:val="18"/>
                      <w:highlight w:val="none"/>
                    </w:rPr>
                  </w:pPr>
                  <w:r>
                    <w:rPr>
                      <w:color w:val="auto"/>
                      <w:sz w:val="18"/>
                      <w:szCs w:val="18"/>
                      <w:highlight w:val="none"/>
                    </w:rPr>
                    <w:t>系数法</w:t>
                  </w:r>
                </w:p>
              </w:tc>
              <w:tc>
                <w:tcPr>
                  <w:tcW w:w="737" w:type="dxa"/>
                  <w:noWrap/>
                  <w:vAlign w:val="center"/>
                </w:tcPr>
                <w:p w14:paraId="25BF5A57">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514739CB">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1EFAA1F1">
                  <w:pPr>
                    <w:jc w:val="center"/>
                    <w:rPr>
                      <w:rFonts w:hint="default"/>
                      <w:color w:val="auto"/>
                      <w:sz w:val="18"/>
                      <w:szCs w:val="18"/>
                      <w:highlight w:val="none"/>
                      <w:lang w:val="en-US"/>
                    </w:rPr>
                  </w:pPr>
                  <w:r>
                    <w:rPr>
                      <w:rFonts w:hint="eastAsia"/>
                      <w:color w:val="auto"/>
                      <w:sz w:val="18"/>
                      <w:szCs w:val="18"/>
                      <w:highlight w:val="none"/>
                      <w:lang w:val="en-US" w:eastAsia="zh-CN"/>
                    </w:rPr>
                    <w:t>0.0546</w:t>
                  </w:r>
                </w:p>
              </w:tc>
              <w:tc>
                <w:tcPr>
                  <w:tcW w:w="954" w:type="dxa"/>
                  <w:noWrap/>
                  <w:vAlign w:val="center"/>
                </w:tcPr>
                <w:p w14:paraId="1C37C1C2">
                  <w:pPr>
                    <w:adjustRightInd w:val="0"/>
                    <w:snapToGrid w:val="0"/>
                    <w:jc w:val="center"/>
                    <w:rPr>
                      <w:color w:val="auto"/>
                      <w:sz w:val="18"/>
                      <w:szCs w:val="18"/>
                      <w:highlight w:val="none"/>
                    </w:rPr>
                  </w:pPr>
                  <w:r>
                    <w:rPr>
                      <w:rFonts w:hint="eastAsia"/>
                      <w:color w:val="auto"/>
                      <w:sz w:val="18"/>
                      <w:szCs w:val="18"/>
                      <w:highlight w:val="none"/>
                    </w:rPr>
                    <w:t>三边围挡、喷淋装置</w:t>
                  </w:r>
                </w:p>
              </w:tc>
              <w:tc>
                <w:tcPr>
                  <w:tcW w:w="702" w:type="dxa"/>
                  <w:noWrap/>
                  <w:vAlign w:val="center"/>
                </w:tcPr>
                <w:p w14:paraId="780B9E74">
                  <w:pPr>
                    <w:adjustRightInd w:val="0"/>
                    <w:snapToGrid w:val="0"/>
                    <w:jc w:val="center"/>
                    <w:rPr>
                      <w:color w:val="auto"/>
                      <w:sz w:val="18"/>
                      <w:szCs w:val="18"/>
                      <w:highlight w:val="none"/>
                    </w:rPr>
                  </w:pPr>
                  <w:r>
                    <w:rPr>
                      <w:rFonts w:hint="eastAsia"/>
                      <w:color w:val="auto"/>
                      <w:sz w:val="18"/>
                      <w:szCs w:val="18"/>
                      <w:highlight w:val="none"/>
                    </w:rPr>
                    <w:t>90%</w:t>
                  </w:r>
                </w:p>
              </w:tc>
              <w:tc>
                <w:tcPr>
                  <w:tcW w:w="662" w:type="dxa"/>
                  <w:shd w:val="clear" w:color="auto" w:fill="auto"/>
                  <w:noWrap/>
                  <w:vAlign w:val="center"/>
                </w:tcPr>
                <w:p w14:paraId="32BC59F6">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08995F91">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55110BDE">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061D54C8">
                  <w:pPr>
                    <w:jc w:val="center"/>
                    <w:rPr>
                      <w:rFonts w:hint="default"/>
                      <w:color w:val="auto"/>
                      <w:sz w:val="18"/>
                      <w:szCs w:val="18"/>
                      <w:highlight w:val="none"/>
                      <w:lang w:val="en-US"/>
                    </w:rPr>
                  </w:pPr>
                  <w:r>
                    <w:rPr>
                      <w:rFonts w:hint="eastAsia"/>
                      <w:color w:val="auto"/>
                      <w:sz w:val="18"/>
                      <w:szCs w:val="18"/>
                      <w:highlight w:val="none"/>
                      <w:lang w:val="en-US" w:eastAsia="zh-CN"/>
                    </w:rPr>
                    <w:t>0.006</w:t>
                  </w:r>
                </w:p>
              </w:tc>
            </w:tr>
            <w:tr w14:paraId="5A7B2A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594" w:type="dxa"/>
                  <w:noWrap/>
                  <w:vAlign w:val="center"/>
                </w:tcPr>
                <w:p w14:paraId="67CBB716">
                  <w:pPr>
                    <w:jc w:val="center"/>
                    <w:rPr>
                      <w:color w:val="auto"/>
                      <w:sz w:val="18"/>
                      <w:szCs w:val="18"/>
                      <w:highlight w:val="none"/>
                    </w:rPr>
                  </w:pPr>
                  <w:r>
                    <w:rPr>
                      <w:rFonts w:hint="eastAsia"/>
                      <w:color w:val="auto"/>
                      <w:sz w:val="18"/>
                      <w:szCs w:val="18"/>
                      <w:highlight w:val="none"/>
                    </w:rPr>
                    <w:t>破碎车间DA001</w:t>
                  </w:r>
                </w:p>
              </w:tc>
              <w:tc>
                <w:tcPr>
                  <w:tcW w:w="484" w:type="dxa"/>
                  <w:shd w:val="clear" w:color="auto" w:fill="auto"/>
                  <w:noWrap/>
                  <w:vAlign w:val="center"/>
                </w:tcPr>
                <w:p w14:paraId="0AF749EF">
                  <w:pPr>
                    <w:jc w:val="center"/>
                    <w:rPr>
                      <w:color w:val="auto"/>
                      <w:sz w:val="18"/>
                      <w:szCs w:val="18"/>
                      <w:highlight w:val="none"/>
                    </w:rPr>
                  </w:pPr>
                  <w:r>
                    <w:rPr>
                      <w:rFonts w:hint="eastAsia"/>
                      <w:color w:val="auto"/>
                      <w:sz w:val="18"/>
                      <w:szCs w:val="18"/>
                      <w:highlight w:val="none"/>
                    </w:rPr>
                    <w:t>秸秆粉碎</w:t>
                  </w:r>
                </w:p>
              </w:tc>
              <w:tc>
                <w:tcPr>
                  <w:tcW w:w="561" w:type="dxa"/>
                  <w:shd w:val="clear" w:color="auto" w:fill="auto"/>
                  <w:noWrap/>
                  <w:vAlign w:val="center"/>
                </w:tcPr>
                <w:p w14:paraId="11FDD82F">
                  <w:pPr>
                    <w:jc w:val="center"/>
                    <w:rPr>
                      <w:color w:val="auto"/>
                      <w:sz w:val="18"/>
                      <w:szCs w:val="18"/>
                      <w:highlight w:val="none"/>
                    </w:rPr>
                  </w:pPr>
                  <w:r>
                    <w:rPr>
                      <w:color w:val="auto"/>
                      <w:sz w:val="18"/>
                      <w:szCs w:val="18"/>
                      <w:highlight w:val="none"/>
                    </w:rPr>
                    <w:t>系数法</w:t>
                  </w:r>
                </w:p>
              </w:tc>
              <w:tc>
                <w:tcPr>
                  <w:tcW w:w="737" w:type="dxa"/>
                  <w:noWrap/>
                  <w:vAlign w:val="center"/>
                </w:tcPr>
                <w:p w14:paraId="697C0F0D">
                  <w:pPr>
                    <w:jc w:val="center"/>
                    <w:rPr>
                      <w:color w:val="auto"/>
                      <w:sz w:val="18"/>
                      <w:szCs w:val="18"/>
                      <w:highlight w:val="none"/>
                    </w:rPr>
                  </w:pPr>
                  <w:r>
                    <w:rPr>
                      <w:rFonts w:hint="eastAsia"/>
                      <w:color w:val="auto"/>
                      <w:sz w:val="18"/>
                      <w:szCs w:val="18"/>
                      <w:highlight w:val="none"/>
                    </w:rPr>
                    <w:t>5000</w:t>
                  </w:r>
                </w:p>
              </w:tc>
              <w:tc>
                <w:tcPr>
                  <w:tcW w:w="674" w:type="dxa"/>
                  <w:noWrap/>
                  <w:vAlign w:val="center"/>
                </w:tcPr>
                <w:p w14:paraId="4179531C">
                  <w:pPr>
                    <w:jc w:val="center"/>
                    <w:rPr>
                      <w:rFonts w:hint="default"/>
                      <w:color w:val="auto"/>
                      <w:sz w:val="18"/>
                      <w:szCs w:val="18"/>
                      <w:highlight w:val="none"/>
                      <w:lang w:val="en-US"/>
                    </w:rPr>
                  </w:pPr>
                  <w:r>
                    <w:rPr>
                      <w:rFonts w:hint="eastAsia"/>
                      <w:color w:val="auto"/>
                      <w:sz w:val="18"/>
                      <w:szCs w:val="18"/>
                      <w:highlight w:val="none"/>
                      <w:lang w:val="en-US" w:eastAsia="zh-CN"/>
                    </w:rPr>
                    <w:t>990</w:t>
                  </w:r>
                </w:p>
              </w:tc>
              <w:tc>
                <w:tcPr>
                  <w:tcW w:w="729" w:type="dxa"/>
                  <w:noWrap/>
                  <w:vAlign w:val="center"/>
                </w:tcPr>
                <w:p w14:paraId="1346E1C7">
                  <w:pPr>
                    <w:jc w:val="center"/>
                    <w:rPr>
                      <w:color w:val="auto"/>
                      <w:sz w:val="18"/>
                      <w:szCs w:val="18"/>
                      <w:highlight w:val="none"/>
                    </w:rPr>
                  </w:pPr>
                  <w:r>
                    <w:rPr>
                      <w:rFonts w:hint="eastAsia"/>
                      <w:color w:val="auto"/>
                      <w:sz w:val="18"/>
                      <w:szCs w:val="18"/>
                      <w:highlight w:val="none"/>
                    </w:rPr>
                    <w:t>5.927</w:t>
                  </w:r>
                </w:p>
              </w:tc>
              <w:tc>
                <w:tcPr>
                  <w:tcW w:w="954" w:type="dxa"/>
                  <w:noWrap/>
                  <w:vAlign w:val="center"/>
                </w:tcPr>
                <w:p w14:paraId="4A4B5E42">
                  <w:pPr>
                    <w:adjustRightInd w:val="0"/>
                    <w:snapToGrid w:val="0"/>
                    <w:jc w:val="center"/>
                    <w:rPr>
                      <w:color w:val="auto"/>
                      <w:sz w:val="18"/>
                      <w:szCs w:val="18"/>
                      <w:highlight w:val="none"/>
                    </w:rPr>
                  </w:pPr>
                  <w:r>
                    <w:rPr>
                      <w:rFonts w:hint="eastAsia"/>
                      <w:color w:val="auto"/>
                      <w:sz w:val="18"/>
                      <w:szCs w:val="18"/>
                      <w:highlight w:val="none"/>
                    </w:rPr>
                    <w:t>集气罩、集尘效率90%+布袋除尘器</w:t>
                  </w:r>
                </w:p>
              </w:tc>
              <w:tc>
                <w:tcPr>
                  <w:tcW w:w="702" w:type="dxa"/>
                  <w:noWrap/>
                  <w:vAlign w:val="center"/>
                </w:tcPr>
                <w:p w14:paraId="509F8C09">
                  <w:pPr>
                    <w:adjustRightInd w:val="0"/>
                    <w:snapToGrid w:val="0"/>
                    <w:jc w:val="center"/>
                    <w:rPr>
                      <w:color w:val="auto"/>
                      <w:sz w:val="18"/>
                      <w:szCs w:val="18"/>
                      <w:highlight w:val="none"/>
                    </w:rPr>
                  </w:pPr>
                  <w:r>
                    <w:rPr>
                      <w:rFonts w:hint="eastAsia"/>
                      <w:color w:val="auto"/>
                      <w:sz w:val="18"/>
                      <w:szCs w:val="18"/>
                      <w:highlight w:val="none"/>
                      <w:lang w:val="en-US" w:eastAsia="zh-CN"/>
                    </w:rPr>
                    <w:t>98</w:t>
                  </w:r>
                  <w:r>
                    <w:rPr>
                      <w:rFonts w:hint="eastAsia"/>
                      <w:color w:val="auto"/>
                      <w:sz w:val="18"/>
                      <w:szCs w:val="18"/>
                      <w:highlight w:val="none"/>
                    </w:rPr>
                    <w:t>%</w:t>
                  </w:r>
                </w:p>
              </w:tc>
              <w:tc>
                <w:tcPr>
                  <w:tcW w:w="662" w:type="dxa"/>
                  <w:shd w:val="clear" w:color="auto" w:fill="auto"/>
                  <w:noWrap/>
                  <w:vAlign w:val="center"/>
                </w:tcPr>
                <w:p w14:paraId="38013FD3">
                  <w:pPr>
                    <w:jc w:val="center"/>
                    <w:rPr>
                      <w:color w:val="auto"/>
                      <w:sz w:val="18"/>
                      <w:szCs w:val="18"/>
                      <w:highlight w:val="none"/>
                    </w:rPr>
                  </w:pPr>
                  <w:r>
                    <w:rPr>
                      <w:color w:val="auto"/>
                      <w:sz w:val="18"/>
                      <w:szCs w:val="18"/>
                      <w:highlight w:val="none"/>
                    </w:rPr>
                    <w:t>系数法</w:t>
                  </w:r>
                </w:p>
              </w:tc>
              <w:tc>
                <w:tcPr>
                  <w:tcW w:w="698" w:type="dxa"/>
                  <w:noWrap/>
                  <w:vAlign w:val="center"/>
                </w:tcPr>
                <w:p w14:paraId="2779D5FB">
                  <w:pPr>
                    <w:jc w:val="center"/>
                    <w:rPr>
                      <w:color w:val="auto"/>
                      <w:sz w:val="18"/>
                      <w:szCs w:val="18"/>
                      <w:highlight w:val="none"/>
                    </w:rPr>
                  </w:pPr>
                  <w:r>
                    <w:rPr>
                      <w:rFonts w:hint="eastAsia"/>
                      <w:color w:val="auto"/>
                      <w:sz w:val="18"/>
                      <w:szCs w:val="18"/>
                      <w:highlight w:val="none"/>
                    </w:rPr>
                    <w:t>5000</w:t>
                  </w:r>
                </w:p>
              </w:tc>
              <w:tc>
                <w:tcPr>
                  <w:tcW w:w="684" w:type="dxa"/>
                  <w:noWrap/>
                  <w:vAlign w:val="center"/>
                </w:tcPr>
                <w:p w14:paraId="67DC9AF4">
                  <w:pPr>
                    <w:jc w:val="center"/>
                    <w:rPr>
                      <w:rFonts w:hint="default"/>
                      <w:color w:val="auto"/>
                      <w:sz w:val="18"/>
                      <w:szCs w:val="18"/>
                      <w:highlight w:val="none"/>
                      <w:lang w:val="en-US"/>
                    </w:rPr>
                  </w:pPr>
                  <w:r>
                    <w:rPr>
                      <w:rFonts w:hint="eastAsia"/>
                      <w:color w:val="auto"/>
                      <w:sz w:val="18"/>
                      <w:szCs w:val="18"/>
                      <w:highlight w:val="none"/>
                      <w:lang w:val="en-US" w:eastAsia="zh-CN"/>
                    </w:rPr>
                    <w:t>19.8</w:t>
                  </w:r>
                </w:p>
              </w:tc>
              <w:tc>
                <w:tcPr>
                  <w:tcW w:w="656" w:type="dxa"/>
                  <w:noWrap/>
                  <w:vAlign w:val="center"/>
                </w:tcPr>
                <w:p w14:paraId="10F16F35">
                  <w:pPr>
                    <w:jc w:val="center"/>
                    <w:rPr>
                      <w:rFonts w:hint="default"/>
                      <w:color w:val="auto"/>
                      <w:sz w:val="18"/>
                      <w:szCs w:val="18"/>
                      <w:highlight w:val="none"/>
                      <w:lang w:val="en-US"/>
                    </w:rPr>
                  </w:pPr>
                  <w:r>
                    <w:rPr>
                      <w:rFonts w:hint="eastAsia"/>
                      <w:color w:val="auto"/>
                      <w:sz w:val="18"/>
                      <w:szCs w:val="18"/>
                      <w:highlight w:val="none"/>
                      <w:lang w:val="en-US" w:eastAsia="zh-CN"/>
                    </w:rPr>
                    <w:t>0.119</w:t>
                  </w:r>
                </w:p>
              </w:tc>
            </w:tr>
            <w:tr w14:paraId="676386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594" w:type="dxa"/>
                  <w:noWrap/>
                  <w:vAlign w:val="center"/>
                </w:tcPr>
                <w:p w14:paraId="36B8B8EB">
                  <w:pPr>
                    <w:jc w:val="center"/>
                    <w:rPr>
                      <w:color w:val="auto"/>
                      <w:sz w:val="18"/>
                      <w:szCs w:val="18"/>
                      <w:highlight w:val="none"/>
                    </w:rPr>
                  </w:pPr>
                  <w:r>
                    <w:rPr>
                      <w:rFonts w:hint="eastAsia"/>
                      <w:color w:val="auto"/>
                      <w:sz w:val="18"/>
                      <w:szCs w:val="18"/>
                      <w:highlight w:val="none"/>
                    </w:rPr>
                    <w:t>破碎车间无组织</w:t>
                  </w:r>
                </w:p>
              </w:tc>
              <w:tc>
                <w:tcPr>
                  <w:tcW w:w="484" w:type="dxa"/>
                  <w:shd w:val="clear" w:color="auto" w:fill="auto"/>
                  <w:noWrap/>
                  <w:vAlign w:val="center"/>
                </w:tcPr>
                <w:p w14:paraId="5EDEFB76">
                  <w:pPr>
                    <w:jc w:val="center"/>
                    <w:rPr>
                      <w:color w:val="auto"/>
                      <w:sz w:val="18"/>
                      <w:szCs w:val="18"/>
                      <w:highlight w:val="none"/>
                    </w:rPr>
                  </w:pPr>
                  <w:r>
                    <w:rPr>
                      <w:rFonts w:hint="eastAsia"/>
                      <w:color w:val="auto"/>
                      <w:sz w:val="18"/>
                      <w:szCs w:val="18"/>
                      <w:highlight w:val="none"/>
                    </w:rPr>
                    <w:t>颗粒物</w:t>
                  </w:r>
                </w:p>
              </w:tc>
              <w:tc>
                <w:tcPr>
                  <w:tcW w:w="561" w:type="dxa"/>
                  <w:shd w:val="clear" w:color="auto" w:fill="auto"/>
                  <w:noWrap/>
                  <w:vAlign w:val="center"/>
                </w:tcPr>
                <w:p w14:paraId="1FE3D0FE">
                  <w:pPr>
                    <w:jc w:val="center"/>
                    <w:rPr>
                      <w:color w:val="auto"/>
                      <w:sz w:val="18"/>
                      <w:szCs w:val="18"/>
                      <w:highlight w:val="none"/>
                    </w:rPr>
                  </w:pPr>
                  <w:r>
                    <w:rPr>
                      <w:color w:val="auto"/>
                      <w:sz w:val="18"/>
                      <w:szCs w:val="18"/>
                      <w:highlight w:val="none"/>
                    </w:rPr>
                    <w:t>系数法</w:t>
                  </w:r>
                </w:p>
              </w:tc>
              <w:tc>
                <w:tcPr>
                  <w:tcW w:w="737" w:type="dxa"/>
                  <w:noWrap/>
                  <w:vAlign w:val="center"/>
                </w:tcPr>
                <w:p w14:paraId="7385D764">
                  <w:pPr>
                    <w:jc w:val="center"/>
                    <w:rPr>
                      <w:color w:val="auto"/>
                      <w:sz w:val="18"/>
                      <w:szCs w:val="18"/>
                      <w:highlight w:val="none"/>
                    </w:rPr>
                  </w:pPr>
                  <w:r>
                    <w:rPr>
                      <w:rFonts w:hint="eastAsia"/>
                      <w:color w:val="auto"/>
                      <w:sz w:val="18"/>
                      <w:szCs w:val="18"/>
                      <w:highlight w:val="none"/>
                    </w:rPr>
                    <w:t>-</w:t>
                  </w:r>
                </w:p>
              </w:tc>
              <w:tc>
                <w:tcPr>
                  <w:tcW w:w="674" w:type="dxa"/>
                  <w:noWrap/>
                  <w:vAlign w:val="center"/>
                </w:tcPr>
                <w:p w14:paraId="23F105ED">
                  <w:pPr>
                    <w:jc w:val="center"/>
                    <w:rPr>
                      <w:color w:val="auto"/>
                      <w:sz w:val="18"/>
                      <w:szCs w:val="18"/>
                      <w:highlight w:val="none"/>
                    </w:rPr>
                  </w:pPr>
                  <w:r>
                    <w:rPr>
                      <w:rFonts w:hint="eastAsia"/>
                      <w:color w:val="auto"/>
                      <w:sz w:val="18"/>
                      <w:szCs w:val="18"/>
                      <w:highlight w:val="none"/>
                    </w:rPr>
                    <w:t>-</w:t>
                  </w:r>
                </w:p>
              </w:tc>
              <w:tc>
                <w:tcPr>
                  <w:tcW w:w="729" w:type="dxa"/>
                  <w:noWrap/>
                  <w:vAlign w:val="center"/>
                </w:tcPr>
                <w:p w14:paraId="6DD264A7">
                  <w:pPr>
                    <w:jc w:val="center"/>
                    <w:rPr>
                      <w:color w:val="auto"/>
                      <w:sz w:val="18"/>
                      <w:szCs w:val="18"/>
                      <w:highlight w:val="none"/>
                    </w:rPr>
                  </w:pPr>
                  <w:r>
                    <w:rPr>
                      <w:rFonts w:hint="eastAsia"/>
                      <w:color w:val="auto"/>
                      <w:sz w:val="18"/>
                      <w:szCs w:val="18"/>
                      <w:highlight w:val="none"/>
                    </w:rPr>
                    <w:t>0.659</w:t>
                  </w:r>
                </w:p>
              </w:tc>
              <w:tc>
                <w:tcPr>
                  <w:tcW w:w="954" w:type="dxa"/>
                  <w:noWrap/>
                  <w:vAlign w:val="center"/>
                </w:tcPr>
                <w:p w14:paraId="16A81EEA">
                  <w:pPr>
                    <w:adjustRightInd w:val="0"/>
                    <w:snapToGrid w:val="0"/>
                    <w:jc w:val="center"/>
                    <w:rPr>
                      <w:color w:val="auto"/>
                      <w:sz w:val="18"/>
                      <w:szCs w:val="18"/>
                      <w:highlight w:val="none"/>
                    </w:rPr>
                  </w:pPr>
                  <w:r>
                    <w:rPr>
                      <w:rFonts w:hint="eastAsia"/>
                      <w:color w:val="auto"/>
                      <w:sz w:val="18"/>
                      <w:szCs w:val="18"/>
                      <w:highlight w:val="none"/>
                    </w:rPr>
                    <w:t>洒水降尘、厂房密闭</w:t>
                  </w:r>
                </w:p>
              </w:tc>
              <w:tc>
                <w:tcPr>
                  <w:tcW w:w="702" w:type="dxa"/>
                  <w:noWrap/>
                  <w:vAlign w:val="center"/>
                </w:tcPr>
                <w:p w14:paraId="4936B811">
                  <w:pPr>
                    <w:adjustRightInd w:val="0"/>
                    <w:snapToGrid w:val="0"/>
                    <w:jc w:val="center"/>
                    <w:rPr>
                      <w:color w:val="auto"/>
                      <w:sz w:val="18"/>
                      <w:szCs w:val="18"/>
                      <w:highlight w:val="none"/>
                    </w:rPr>
                  </w:pPr>
                  <w:r>
                    <w:rPr>
                      <w:rFonts w:hint="eastAsia"/>
                      <w:color w:val="auto"/>
                      <w:sz w:val="18"/>
                      <w:szCs w:val="18"/>
                      <w:highlight w:val="none"/>
                    </w:rPr>
                    <w:t>90%</w:t>
                  </w:r>
                </w:p>
              </w:tc>
              <w:tc>
                <w:tcPr>
                  <w:tcW w:w="662" w:type="dxa"/>
                  <w:shd w:val="clear" w:color="auto" w:fill="auto"/>
                  <w:noWrap/>
                  <w:vAlign w:val="center"/>
                </w:tcPr>
                <w:p w14:paraId="5BE5AC99">
                  <w:pPr>
                    <w:jc w:val="center"/>
                    <w:rPr>
                      <w:color w:val="auto"/>
                      <w:sz w:val="18"/>
                      <w:szCs w:val="18"/>
                      <w:highlight w:val="none"/>
                    </w:rPr>
                  </w:pPr>
                  <w:r>
                    <w:rPr>
                      <w:rFonts w:hint="eastAsia"/>
                      <w:color w:val="auto"/>
                      <w:sz w:val="18"/>
                      <w:szCs w:val="18"/>
                      <w:highlight w:val="none"/>
                    </w:rPr>
                    <w:t>系数法</w:t>
                  </w:r>
                </w:p>
              </w:tc>
              <w:tc>
                <w:tcPr>
                  <w:tcW w:w="698" w:type="dxa"/>
                  <w:noWrap/>
                  <w:vAlign w:val="center"/>
                </w:tcPr>
                <w:p w14:paraId="5C5FD638">
                  <w:pPr>
                    <w:jc w:val="center"/>
                    <w:rPr>
                      <w:color w:val="auto"/>
                      <w:sz w:val="18"/>
                      <w:szCs w:val="18"/>
                      <w:highlight w:val="none"/>
                    </w:rPr>
                  </w:pPr>
                  <w:r>
                    <w:rPr>
                      <w:rFonts w:hint="eastAsia"/>
                      <w:color w:val="auto"/>
                      <w:sz w:val="18"/>
                      <w:szCs w:val="18"/>
                      <w:highlight w:val="none"/>
                    </w:rPr>
                    <w:t>-</w:t>
                  </w:r>
                </w:p>
              </w:tc>
              <w:tc>
                <w:tcPr>
                  <w:tcW w:w="684" w:type="dxa"/>
                  <w:noWrap/>
                  <w:vAlign w:val="center"/>
                </w:tcPr>
                <w:p w14:paraId="1EE8A1C5">
                  <w:pPr>
                    <w:jc w:val="center"/>
                    <w:rPr>
                      <w:color w:val="auto"/>
                      <w:sz w:val="18"/>
                      <w:szCs w:val="18"/>
                      <w:highlight w:val="none"/>
                    </w:rPr>
                  </w:pPr>
                  <w:r>
                    <w:rPr>
                      <w:rFonts w:hint="eastAsia"/>
                      <w:color w:val="auto"/>
                      <w:sz w:val="18"/>
                      <w:szCs w:val="18"/>
                      <w:highlight w:val="none"/>
                    </w:rPr>
                    <w:t>-</w:t>
                  </w:r>
                </w:p>
              </w:tc>
              <w:tc>
                <w:tcPr>
                  <w:tcW w:w="656" w:type="dxa"/>
                  <w:noWrap/>
                  <w:vAlign w:val="center"/>
                </w:tcPr>
                <w:p w14:paraId="70AC08AB">
                  <w:pPr>
                    <w:jc w:val="center"/>
                    <w:rPr>
                      <w:rFonts w:hint="default"/>
                      <w:color w:val="auto"/>
                      <w:sz w:val="18"/>
                      <w:szCs w:val="18"/>
                      <w:highlight w:val="none"/>
                      <w:lang w:val="en-US"/>
                    </w:rPr>
                  </w:pPr>
                  <w:r>
                    <w:rPr>
                      <w:rFonts w:hint="eastAsia"/>
                      <w:color w:val="auto"/>
                      <w:sz w:val="18"/>
                      <w:szCs w:val="18"/>
                      <w:highlight w:val="none"/>
                      <w:lang w:val="en-US" w:eastAsia="zh-CN"/>
                    </w:rPr>
                    <w:t>0.066</w:t>
                  </w:r>
                </w:p>
              </w:tc>
            </w:tr>
          </w:tbl>
          <w:p w14:paraId="033B17EB">
            <w:pPr>
              <w:numPr>
                <w:ilvl w:val="0"/>
                <w:numId w:val="0"/>
              </w:numPr>
              <w:adjustRightInd w:val="0"/>
              <w:snapToGrid w:val="0"/>
              <w:spacing w:line="360" w:lineRule="auto"/>
              <w:ind w:firstLine="420" w:firstLineChars="200"/>
              <w:rPr>
                <w:rFonts w:hint="eastAsia"/>
                <w:bCs/>
                <w:color w:val="auto"/>
                <w:szCs w:val="21"/>
                <w:highlight w:val="none"/>
                <w:lang w:eastAsia="zh-CN"/>
              </w:rPr>
            </w:pPr>
            <w:r>
              <w:rPr>
                <w:rFonts w:hint="eastAsia" w:ascii="Times New Roman" w:hAnsi="Times New Roman" w:eastAsia="宋体" w:cs="Times New Roman"/>
                <w:bCs/>
                <w:color w:val="auto"/>
                <w:kern w:val="2"/>
                <w:sz w:val="21"/>
                <w:szCs w:val="21"/>
                <w:highlight w:val="none"/>
                <w:lang w:val="en-US" w:eastAsia="zh-CN" w:bidi="ar-SA"/>
              </w:rPr>
              <w:t>（2）</w:t>
            </w:r>
            <w:r>
              <w:rPr>
                <w:rFonts w:hint="eastAsia"/>
                <w:bCs/>
                <w:color w:val="auto"/>
                <w:szCs w:val="21"/>
                <w:highlight w:val="none"/>
                <w:lang w:eastAsia="zh-CN"/>
              </w:rPr>
              <w:t>非正常工况</w:t>
            </w:r>
          </w:p>
          <w:p w14:paraId="00BE2CFC">
            <w:pPr>
              <w:pStyle w:val="83"/>
              <w:ind w:firstLine="480"/>
              <w:rPr>
                <w:rFonts w:hint="eastAsia"/>
                <w:bCs/>
                <w:color w:val="auto"/>
                <w:szCs w:val="21"/>
                <w:highlight w:val="none"/>
                <w:lang w:eastAsia="zh-CN"/>
              </w:rPr>
            </w:pPr>
            <w:r>
              <w:rPr>
                <w:rStyle w:val="84"/>
                <w:rFonts w:hint="default" w:cs="Times New Roman"/>
                <w:color w:val="auto"/>
                <w:sz w:val="21"/>
                <w:szCs w:val="21"/>
                <w:highlight w:val="none"/>
              </w:rPr>
              <w:t>本项目非正常工况主要体现为</w:t>
            </w:r>
            <w:r>
              <w:rPr>
                <w:rStyle w:val="84"/>
                <w:rFonts w:hint="eastAsia" w:cs="Times New Roman"/>
                <w:color w:val="auto"/>
                <w:sz w:val="21"/>
                <w:szCs w:val="21"/>
                <w:highlight w:val="none"/>
                <w:lang w:eastAsia="zh-CN"/>
              </w:rPr>
              <w:t>粉煤灰筒仓、破碎车间</w:t>
            </w:r>
            <w:r>
              <w:rPr>
                <w:rFonts w:hint="default" w:cs="Times New Roman"/>
                <w:color w:val="auto"/>
                <w:sz w:val="21"/>
                <w:szCs w:val="21"/>
                <w:highlight w:val="none"/>
              </w:rPr>
              <w:t>除尘</w:t>
            </w:r>
            <w:r>
              <w:rPr>
                <w:rStyle w:val="84"/>
                <w:rFonts w:hint="default" w:cs="Times New Roman"/>
                <w:color w:val="auto"/>
                <w:sz w:val="21"/>
                <w:szCs w:val="21"/>
                <w:highlight w:val="none"/>
              </w:rPr>
              <w:t>装置设备故障，</w:t>
            </w:r>
            <w:r>
              <w:rPr>
                <w:rFonts w:hint="default" w:cs="Times New Roman"/>
                <w:color w:val="auto"/>
                <w:sz w:val="21"/>
                <w:szCs w:val="21"/>
                <w:highlight w:val="none"/>
              </w:rPr>
              <w:t>除尘</w:t>
            </w:r>
            <w:r>
              <w:rPr>
                <w:rStyle w:val="84"/>
                <w:rFonts w:hint="default" w:cs="Times New Roman"/>
                <w:color w:val="auto"/>
                <w:sz w:val="21"/>
                <w:szCs w:val="21"/>
                <w:highlight w:val="none"/>
              </w:rPr>
              <w:t>效率降至</w:t>
            </w:r>
            <w:r>
              <w:rPr>
                <w:rStyle w:val="84"/>
                <w:rFonts w:hint="eastAsia" w:cs="Times New Roman"/>
                <w:color w:val="auto"/>
                <w:sz w:val="21"/>
                <w:szCs w:val="21"/>
                <w:highlight w:val="none"/>
                <w:lang w:val="en-US" w:eastAsia="zh-CN"/>
              </w:rPr>
              <w:t>90</w:t>
            </w:r>
            <w:r>
              <w:rPr>
                <w:rStyle w:val="84"/>
                <w:rFonts w:hint="default" w:cs="Times New Roman"/>
                <w:color w:val="auto"/>
                <w:sz w:val="21"/>
                <w:szCs w:val="21"/>
                <w:highlight w:val="none"/>
              </w:rPr>
              <w:t>%</w:t>
            </w:r>
            <w:r>
              <w:rPr>
                <w:rStyle w:val="84"/>
                <w:rFonts w:hint="eastAsia" w:cs="Times New Roman"/>
                <w:color w:val="auto"/>
                <w:sz w:val="21"/>
                <w:szCs w:val="21"/>
                <w:highlight w:val="none"/>
              </w:rPr>
              <w:t>，</w:t>
            </w:r>
            <w:r>
              <w:rPr>
                <w:rStyle w:val="84"/>
                <w:rFonts w:hint="default" w:cs="Times New Roman"/>
                <w:color w:val="auto"/>
                <w:sz w:val="21"/>
                <w:szCs w:val="21"/>
                <w:highlight w:val="none"/>
              </w:rPr>
              <w:t>如突然发现排放浓度异常，应立即组织工作人员对设备进行检查与维修并在检修过后总结设备非正常工作原因，防止此类事件再次发生。非正常工况下废气污染物排放情况见下表。</w:t>
            </w:r>
          </w:p>
          <w:p w14:paraId="43A2E693">
            <w:pPr>
              <w:pStyle w:val="59"/>
              <w:keepNext w:val="0"/>
              <w:keepLines w:val="0"/>
              <w:suppressLineNumbers w:val="0"/>
              <w:spacing w:before="0" w:beforeAutospacing="0" w:after="0" w:afterAutospacing="0" w:line="400" w:lineRule="atLeast"/>
              <w:ind w:left="0" w:right="0"/>
              <w:rPr>
                <w:rFonts w:hint="default"/>
                <w:b/>
                <w:bCs/>
                <w:color w:val="auto"/>
                <w:sz w:val="21"/>
                <w:szCs w:val="21"/>
                <w:highlight w:val="none"/>
              </w:rPr>
            </w:pPr>
            <w:r>
              <w:rPr>
                <w:rFonts w:hint="eastAsia" w:ascii="宋体" w:hAnsi="宋体" w:eastAsia="宋体" w:cs="宋体"/>
                <w:b/>
                <w:bCs/>
                <w:color w:val="auto"/>
                <w:sz w:val="21"/>
                <w:szCs w:val="21"/>
                <w:highlight w:val="none"/>
              </w:rPr>
              <w:t>表</w:t>
            </w:r>
            <w:r>
              <w:rPr>
                <w:rFonts w:hint="default" w:ascii="Times New Roman" w:hAnsi="Times New Roman" w:cs="Times New Roman"/>
                <w:b/>
                <w:bCs/>
                <w:color w:val="auto"/>
                <w:sz w:val="21"/>
                <w:szCs w:val="21"/>
                <w:highlight w:val="none"/>
              </w:rPr>
              <w:t>4-</w:t>
            </w:r>
            <w:r>
              <w:rPr>
                <w:rFonts w:hint="eastAsia" w:ascii="Times New Roman" w:cs="Times New Roman"/>
                <w:b/>
                <w:bCs/>
                <w:color w:val="auto"/>
                <w:sz w:val="21"/>
                <w:szCs w:val="21"/>
                <w:highlight w:val="none"/>
                <w:lang w:val="en-US" w:eastAsia="zh-CN"/>
              </w:rPr>
              <w:t>2</w:t>
            </w:r>
            <w:r>
              <w:rPr>
                <w:rFonts w:hint="eastAsia" w:ascii="宋体" w:hAnsi="宋体" w:eastAsia="宋体" w:cs="宋体"/>
                <w:b/>
                <w:bCs/>
                <w:color w:val="auto"/>
                <w:sz w:val="21"/>
                <w:szCs w:val="21"/>
                <w:highlight w:val="none"/>
              </w:rPr>
              <w:t>污染源非正常排放量核算表</w:t>
            </w:r>
          </w:p>
          <w:tbl>
            <w:tblPr>
              <w:tblStyle w:val="22"/>
              <w:tblW w:w="82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3"/>
              <w:gridCol w:w="615"/>
              <w:gridCol w:w="695"/>
              <w:gridCol w:w="413"/>
              <w:gridCol w:w="665"/>
              <w:gridCol w:w="982"/>
              <w:gridCol w:w="869"/>
              <w:gridCol w:w="585"/>
              <w:gridCol w:w="970"/>
              <w:gridCol w:w="927"/>
              <w:gridCol w:w="561"/>
              <w:gridCol w:w="561"/>
            </w:tblGrid>
            <w:tr w14:paraId="5C4DD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250" w:type="pct"/>
                  <w:vMerge w:val="restart"/>
                  <w:vAlign w:val="center"/>
                </w:tcPr>
                <w:p w14:paraId="10AF8A5D">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工序/生产线</w:t>
                  </w:r>
                </w:p>
              </w:tc>
              <w:tc>
                <w:tcPr>
                  <w:tcW w:w="372" w:type="pct"/>
                  <w:vMerge w:val="restart"/>
                  <w:vAlign w:val="center"/>
                </w:tcPr>
                <w:p w14:paraId="7A454C35">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污染源</w:t>
                  </w:r>
                </w:p>
              </w:tc>
              <w:tc>
                <w:tcPr>
                  <w:tcW w:w="420" w:type="pct"/>
                  <w:vMerge w:val="restart"/>
                  <w:vAlign w:val="center"/>
                </w:tcPr>
                <w:p w14:paraId="5F8931EA">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污染物</w:t>
                  </w:r>
                </w:p>
              </w:tc>
              <w:tc>
                <w:tcPr>
                  <w:tcW w:w="1247" w:type="pct"/>
                  <w:gridSpan w:val="3"/>
                  <w:vAlign w:val="center"/>
                </w:tcPr>
                <w:p w14:paraId="6062FD08">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污染物产生</w:t>
                  </w:r>
                </w:p>
              </w:tc>
              <w:tc>
                <w:tcPr>
                  <w:tcW w:w="880" w:type="pct"/>
                  <w:gridSpan w:val="2"/>
                  <w:vAlign w:val="center"/>
                </w:tcPr>
                <w:p w14:paraId="7F21E077">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治理措施</w:t>
                  </w:r>
                </w:p>
              </w:tc>
              <w:tc>
                <w:tcPr>
                  <w:tcW w:w="1148" w:type="pct"/>
                  <w:gridSpan w:val="2"/>
                  <w:vAlign w:val="center"/>
                </w:tcPr>
                <w:p w14:paraId="60D62569">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污染物排放</w:t>
                  </w:r>
                </w:p>
              </w:tc>
              <w:tc>
                <w:tcPr>
                  <w:tcW w:w="339" w:type="pct"/>
                  <w:vMerge w:val="restart"/>
                  <w:vAlign w:val="center"/>
                </w:tcPr>
                <w:p w14:paraId="64E85C30">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排放</w:t>
                  </w:r>
                </w:p>
                <w:p w14:paraId="3023A324">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时间</w:t>
                  </w:r>
                </w:p>
              </w:tc>
              <w:tc>
                <w:tcPr>
                  <w:tcW w:w="339" w:type="pct"/>
                  <w:vMerge w:val="restart"/>
                  <w:vAlign w:val="center"/>
                </w:tcPr>
                <w:p w14:paraId="4A119DF7">
                  <w:pPr>
                    <w:keepNext w:val="0"/>
                    <w:keepLines w:val="0"/>
                    <w:suppressLineNumbers w:val="0"/>
                    <w:adjustRightInd w:val="0"/>
                    <w:snapToGrid w:val="0"/>
                    <w:spacing w:before="0" w:beforeAutospacing="0" w:after="0" w:afterAutospacing="0"/>
                    <w:ind w:left="0" w:leftChars="0" w:right="0" w:rightChars="0"/>
                    <w:jc w:val="center"/>
                    <w:rPr>
                      <w:rFonts w:hint="default"/>
                      <w:b/>
                      <w:bCs/>
                      <w:color w:val="auto"/>
                      <w:sz w:val="18"/>
                      <w:szCs w:val="18"/>
                      <w:highlight w:val="none"/>
                    </w:rPr>
                  </w:pPr>
                  <w:r>
                    <w:rPr>
                      <w:rFonts w:hint="eastAsia" w:cs="Times New Roman"/>
                      <w:b/>
                      <w:bCs/>
                      <w:color w:val="auto"/>
                      <w:sz w:val="18"/>
                      <w:szCs w:val="18"/>
                      <w:highlight w:val="none"/>
                      <w:lang w:val="en-US" w:eastAsia="zh-CN"/>
                    </w:rPr>
                    <w:t>排放频次</w:t>
                  </w:r>
                </w:p>
              </w:tc>
            </w:tr>
            <w:tr w14:paraId="3B261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3" w:hRule="atLeast"/>
                <w:jc w:val="center"/>
              </w:trPr>
              <w:tc>
                <w:tcPr>
                  <w:tcW w:w="250" w:type="pct"/>
                  <w:vMerge w:val="continue"/>
                  <w:vAlign w:val="center"/>
                </w:tcPr>
                <w:p w14:paraId="63E6C7E1">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p>
              </w:tc>
              <w:tc>
                <w:tcPr>
                  <w:tcW w:w="372" w:type="pct"/>
                  <w:vMerge w:val="continue"/>
                  <w:vAlign w:val="center"/>
                </w:tcPr>
                <w:p w14:paraId="6B915DDF">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p>
              </w:tc>
              <w:tc>
                <w:tcPr>
                  <w:tcW w:w="420" w:type="pct"/>
                  <w:vMerge w:val="continue"/>
                  <w:vAlign w:val="center"/>
                </w:tcPr>
                <w:p w14:paraId="288DB614">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p>
              </w:tc>
              <w:tc>
                <w:tcPr>
                  <w:tcW w:w="250" w:type="pct"/>
                  <w:vAlign w:val="center"/>
                </w:tcPr>
                <w:p w14:paraId="1D0AD941">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核算</w:t>
                  </w:r>
                </w:p>
                <w:p w14:paraId="0C091FE8">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方法</w:t>
                  </w:r>
                </w:p>
              </w:tc>
              <w:tc>
                <w:tcPr>
                  <w:tcW w:w="402" w:type="pct"/>
                  <w:vAlign w:val="center"/>
                </w:tcPr>
                <w:p w14:paraId="48545CD0">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产生量</w:t>
                  </w:r>
                  <w:r>
                    <w:rPr>
                      <w:rFonts w:hint="default" w:ascii="Times New Roman" w:hAnsi="Times New Roman" w:cs="Times New Roman"/>
                      <w:b/>
                      <w:bCs/>
                      <w:color w:val="auto"/>
                      <w:sz w:val="18"/>
                      <w:szCs w:val="18"/>
                      <w:highlight w:val="none"/>
                    </w:rPr>
                    <w:t>kg</w:t>
                  </w:r>
                  <w:r>
                    <w:rPr>
                      <w:rFonts w:hint="default"/>
                      <w:b/>
                      <w:bCs/>
                      <w:color w:val="auto"/>
                      <w:sz w:val="18"/>
                      <w:szCs w:val="18"/>
                      <w:highlight w:val="none"/>
                    </w:rPr>
                    <w:t>/</w:t>
                  </w:r>
                  <w:r>
                    <w:rPr>
                      <w:rFonts w:hint="default" w:ascii="Times New Roman" w:hAnsi="Times New Roman" w:cs="Times New Roman"/>
                      <w:b/>
                      <w:bCs/>
                      <w:color w:val="auto"/>
                      <w:sz w:val="18"/>
                      <w:szCs w:val="18"/>
                      <w:highlight w:val="none"/>
                    </w:rPr>
                    <w:t>h</w:t>
                  </w:r>
                </w:p>
              </w:tc>
              <w:tc>
                <w:tcPr>
                  <w:tcW w:w="594" w:type="pct"/>
                  <w:vAlign w:val="center"/>
                </w:tcPr>
                <w:p w14:paraId="51DC0D20">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eastAsia"/>
                      <w:b/>
                      <w:bCs/>
                      <w:color w:val="auto"/>
                      <w:sz w:val="18"/>
                      <w:szCs w:val="18"/>
                      <w:highlight w:val="none"/>
                    </w:rPr>
                    <w:t>废气产生浓度</w:t>
                  </w:r>
                  <w:r>
                    <w:rPr>
                      <w:rFonts w:hint="default" w:ascii="Times New Roman" w:hAnsi="Times New Roman" w:cs="Times New Roman"/>
                      <w:b/>
                      <w:bCs/>
                      <w:color w:val="auto"/>
                      <w:sz w:val="18"/>
                      <w:szCs w:val="18"/>
                      <w:highlight w:val="none"/>
                    </w:rPr>
                    <w:t>mg</w:t>
                  </w:r>
                  <w:r>
                    <w:rPr>
                      <w:rFonts w:hint="eastAsia"/>
                      <w:b/>
                      <w:bCs/>
                      <w:color w:val="auto"/>
                      <w:sz w:val="18"/>
                      <w:szCs w:val="18"/>
                      <w:highlight w:val="none"/>
                    </w:rPr>
                    <w:t>/</w:t>
                  </w:r>
                  <w:r>
                    <w:rPr>
                      <w:rFonts w:hint="default" w:ascii="Times New Roman" w:hAnsi="Times New Roman" w:cs="Times New Roman"/>
                      <w:b/>
                      <w:bCs/>
                      <w:color w:val="auto"/>
                      <w:sz w:val="18"/>
                      <w:szCs w:val="18"/>
                      <w:highlight w:val="none"/>
                    </w:rPr>
                    <w:t>m</w:t>
                  </w:r>
                  <w:r>
                    <w:rPr>
                      <w:rFonts w:hint="default" w:ascii="Times New Roman" w:hAnsi="Times New Roman" w:cs="Times New Roman"/>
                      <w:b/>
                      <w:bCs/>
                      <w:color w:val="auto"/>
                      <w:sz w:val="18"/>
                      <w:szCs w:val="18"/>
                      <w:highlight w:val="none"/>
                      <w:vertAlign w:val="superscript"/>
                    </w:rPr>
                    <w:t>3</w:t>
                  </w:r>
                </w:p>
              </w:tc>
              <w:tc>
                <w:tcPr>
                  <w:tcW w:w="526" w:type="pct"/>
                  <w:vAlign w:val="center"/>
                </w:tcPr>
                <w:p w14:paraId="240A471A">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工艺</w:t>
                  </w:r>
                </w:p>
              </w:tc>
              <w:tc>
                <w:tcPr>
                  <w:tcW w:w="354" w:type="pct"/>
                  <w:vAlign w:val="center"/>
                </w:tcPr>
                <w:p w14:paraId="5DB2C049">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效率</w:t>
                  </w:r>
                </w:p>
              </w:tc>
              <w:tc>
                <w:tcPr>
                  <w:tcW w:w="587" w:type="pct"/>
                  <w:vAlign w:val="center"/>
                </w:tcPr>
                <w:p w14:paraId="5BE8863D">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b/>
                      <w:bCs/>
                      <w:color w:val="auto"/>
                      <w:sz w:val="18"/>
                      <w:szCs w:val="18"/>
                      <w:highlight w:val="none"/>
                    </w:rPr>
                    <w:t>排放量</w:t>
                  </w:r>
                </w:p>
                <w:p w14:paraId="06860CB3">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default" w:ascii="Times New Roman" w:hAnsi="Times New Roman" w:cs="Times New Roman"/>
                      <w:b/>
                      <w:bCs/>
                      <w:color w:val="auto"/>
                      <w:sz w:val="18"/>
                      <w:szCs w:val="18"/>
                      <w:highlight w:val="none"/>
                    </w:rPr>
                    <w:t>kg</w:t>
                  </w:r>
                  <w:r>
                    <w:rPr>
                      <w:rFonts w:hint="default"/>
                      <w:b/>
                      <w:bCs/>
                      <w:color w:val="auto"/>
                      <w:sz w:val="18"/>
                      <w:szCs w:val="18"/>
                      <w:highlight w:val="none"/>
                    </w:rPr>
                    <w:t>/</w:t>
                  </w:r>
                  <w:r>
                    <w:rPr>
                      <w:rFonts w:hint="default" w:ascii="Times New Roman" w:hAnsi="Times New Roman" w:cs="Times New Roman"/>
                      <w:b/>
                      <w:bCs/>
                      <w:color w:val="auto"/>
                      <w:sz w:val="18"/>
                      <w:szCs w:val="18"/>
                      <w:highlight w:val="none"/>
                    </w:rPr>
                    <w:t>h</w:t>
                  </w:r>
                </w:p>
              </w:tc>
              <w:tc>
                <w:tcPr>
                  <w:tcW w:w="561" w:type="pct"/>
                  <w:vAlign w:val="center"/>
                </w:tcPr>
                <w:p w14:paraId="079E1BA4">
                  <w:pPr>
                    <w:keepNext w:val="0"/>
                    <w:keepLines w:val="0"/>
                    <w:suppressLineNumbers w:val="0"/>
                    <w:adjustRightInd w:val="0"/>
                    <w:snapToGrid w:val="0"/>
                    <w:spacing w:before="0" w:beforeAutospacing="0" w:after="0" w:afterAutospacing="0"/>
                    <w:ind w:left="0" w:right="0"/>
                    <w:jc w:val="center"/>
                    <w:rPr>
                      <w:rFonts w:hint="default"/>
                      <w:b/>
                      <w:bCs/>
                      <w:color w:val="auto"/>
                      <w:sz w:val="18"/>
                      <w:szCs w:val="18"/>
                      <w:highlight w:val="none"/>
                    </w:rPr>
                  </w:pPr>
                  <w:r>
                    <w:rPr>
                      <w:rFonts w:hint="eastAsia"/>
                      <w:b/>
                      <w:bCs/>
                      <w:color w:val="auto"/>
                      <w:sz w:val="18"/>
                      <w:szCs w:val="18"/>
                      <w:highlight w:val="none"/>
                    </w:rPr>
                    <w:t>废气排放浓度</w:t>
                  </w:r>
                  <w:r>
                    <w:rPr>
                      <w:rFonts w:hint="default" w:ascii="Times New Roman" w:hAnsi="Times New Roman" w:cs="Times New Roman"/>
                      <w:b/>
                      <w:bCs/>
                      <w:color w:val="auto"/>
                      <w:sz w:val="18"/>
                      <w:szCs w:val="18"/>
                      <w:highlight w:val="none"/>
                    </w:rPr>
                    <w:t>mg</w:t>
                  </w:r>
                  <w:r>
                    <w:rPr>
                      <w:rFonts w:hint="eastAsia"/>
                      <w:b/>
                      <w:bCs/>
                      <w:color w:val="auto"/>
                      <w:sz w:val="18"/>
                      <w:szCs w:val="18"/>
                      <w:highlight w:val="none"/>
                    </w:rPr>
                    <w:t>/</w:t>
                  </w:r>
                  <w:r>
                    <w:rPr>
                      <w:rFonts w:hint="default" w:ascii="Times New Roman" w:hAnsi="Times New Roman" w:cs="Times New Roman"/>
                      <w:b/>
                      <w:bCs/>
                      <w:color w:val="auto"/>
                      <w:sz w:val="18"/>
                      <w:szCs w:val="18"/>
                      <w:highlight w:val="none"/>
                    </w:rPr>
                    <w:t>m</w:t>
                  </w:r>
                  <w:r>
                    <w:rPr>
                      <w:rFonts w:hint="default" w:ascii="Times New Roman" w:hAnsi="Times New Roman" w:cs="Times New Roman"/>
                      <w:b/>
                      <w:bCs/>
                      <w:color w:val="auto"/>
                      <w:sz w:val="18"/>
                      <w:szCs w:val="18"/>
                      <w:highlight w:val="none"/>
                      <w:vertAlign w:val="superscript"/>
                    </w:rPr>
                    <w:t>3</w:t>
                  </w:r>
                </w:p>
              </w:tc>
              <w:tc>
                <w:tcPr>
                  <w:tcW w:w="339" w:type="pct"/>
                  <w:vMerge w:val="continue"/>
                  <w:vAlign w:val="center"/>
                </w:tcPr>
                <w:p w14:paraId="48B5DFB5">
                  <w:pPr>
                    <w:pStyle w:val="48"/>
                    <w:keepNext w:val="0"/>
                    <w:keepLines w:val="0"/>
                    <w:suppressLineNumbers w:val="0"/>
                    <w:spacing w:before="0" w:beforeAutospacing="0" w:after="0" w:afterAutospacing="0"/>
                    <w:ind w:left="0" w:right="0"/>
                    <w:rPr>
                      <w:rFonts w:hint="default" w:cs="Times New Roman"/>
                      <w:color w:val="auto"/>
                      <w:sz w:val="18"/>
                      <w:szCs w:val="18"/>
                      <w:highlight w:val="none"/>
                    </w:rPr>
                  </w:pPr>
                </w:p>
              </w:tc>
              <w:tc>
                <w:tcPr>
                  <w:tcW w:w="339" w:type="pct"/>
                  <w:vMerge w:val="continue"/>
                  <w:vAlign w:val="center"/>
                </w:tcPr>
                <w:p w14:paraId="5918E4B9">
                  <w:pPr>
                    <w:pStyle w:val="48"/>
                    <w:keepNext w:val="0"/>
                    <w:keepLines w:val="0"/>
                    <w:suppressLineNumbers w:val="0"/>
                    <w:spacing w:before="0" w:beforeAutospacing="0" w:after="0" w:afterAutospacing="0"/>
                    <w:ind w:left="0" w:right="0"/>
                    <w:rPr>
                      <w:rFonts w:hint="default" w:cs="Times New Roman"/>
                      <w:color w:val="auto"/>
                      <w:sz w:val="18"/>
                      <w:szCs w:val="18"/>
                      <w:highlight w:val="none"/>
                    </w:rPr>
                  </w:pPr>
                </w:p>
              </w:tc>
            </w:tr>
            <w:tr w14:paraId="3A4B9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5" w:hRule="atLeast"/>
                <w:jc w:val="center"/>
              </w:trPr>
              <w:tc>
                <w:tcPr>
                  <w:tcW w:w="250" w:type="pct"/>
                  <w:vAlign w:val="center"/>
                </w:tcPr>
                <w:p w14:paraId="08827DAA">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人造土壤基质生产线</w:t>
                  </w:r>
                </w:p>
              </w:tc>
              <w:tc>
                <w:tcPr>
                  <w:tcW w:w="372" w:type="pct"/>
                  <w:vAlign w:val="center"/>
                </w:tcPr>
                <w:p w14:paraId="25C08599">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粉煤灰筒仓</w:t>
                  </w:r>
                </w:p>
              </w:tc>
              <w:tc>
                <w:tcPr>
                  <w:tcW w:w="420" w:type="pct"/>
                  <w:vMerge w:val="restart"/>
                  <w:vAlign w:val="center"/>
                </w:tcPr>
                <w:p w14:paraId="1B5BB3D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颗粒物</w:t>
                  </w:r>
                </w:p>
              </w:tc>
              <w:tc>
                <w:tcPr>
                  <w:tcW w:w="250" w:type="pct"/>
                  <w:vMerge w:val="restart"/>
                  <w:vAlign w:val="center"/>
                </w:tcPr>
                <w:p w14:paraId="7EA7E0A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产污系数法</w:t>
                  </w:r>
                </w:p>
              </w:tc>
              <w:tc>
                <w:tcPr>
                  <w:tcW w:w="402" w:type="pct"/>
                  <w:vAlign w:val="center"/>
                </w:tcPr>
                <w:p w14:paraId="3EA2F7DC">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1.166</w:t>
                  </w:r>
                </w:p>
              </w:tc>
              <w:tc>
                <w:tcPr>
                  <w:tcW w:w="594" w:type="pct"/>
                  <w:vAlign w:val="center"/>
                </w:tcPr>
                <w:p w14:paraId="440FA0BA">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w:t>
                  </w:r>
                </w:p>
              </w:tc>
              <w:tc>
                <w:tcPr>
                  <w:tcW w:w="869" w:type="dxa"/>
                  <w:vAlign w:val="center"/>
                </w:tcPr>
                <w:p w14:paraId="77C1EEF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布袋除尘器故障</w:t>
                  </w:r>
                </w:p>
              </w:tc>
              <w:tc>
                <w:tcPr>
                  <w:tcW w:w="354" w:type="pct"/>
                  <w:vAlign w:val="center"/>
                </w:tcPr>
                <w:p w14:paraId="23CD0000">
                  <w:pPr>
                    <w:keepNext w:val="0"/>
                    <w:keepLines w:val="0"/>
                    <w:suppressLineNumbers w:val="0"/>
                    <w:adjustRightInd w:val="0"/>
                    <w:snapToGrid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587" w:type="pct"/>
                  <w:vAlign w:val="center"/>
                </w:tcPr>
                <w:p w14:paraId="2704CC5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0.117</w:t>
                  </w:r>
                </w:p>
              </w:tc>
              <w:tc>
                <w:tcPr>
                  <w:tcW w:w="561" w:type="pct"/>
                  <w:vAlign w:val="center"/>
                </w:tcPr>
                <w:p w14:paraId="1662068F">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339" w:type="pct"/>
                  <w:vAlign w:val="center"/>
                </w:tcPr>
                <w:p w14:paraId="112F7E7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1h</w:t>
                  </w:r>
                </w:p>
              </w:tc>
              <w:tc>
                <w:tcPr>
                  <w:tcW w:w="339" w:type="pct"/>
                  <w:vAlign w:val="center"/>
                </w:tcPr>
                <w:p w14:paraId="7A1ABF6A">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1次</w:t>
                  </w:r>
                </w:p>
              </w:tc>
            </w:tr>
            <w:tr w14:paraId="67C9D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5" w:hRule="atLeast"/>
                <w:jc w:val="center"/>
              </w:trPr>
              <w:tc>
                <w:tcPr>
                  <w:tcW w:w="250" w:type="pct"/>
                  <w:vAlign w:val="center"/>
                </w:tcPr>
                <w:p w14:paraId="524BD42E">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破碎车间</w:t>
                  </w:r>
                </w:p>
              </w:tc>
              <w:tc>
                <w:tcPr>
                  <w:tcW w:w="372" w:type="pct"/>
                  <w:vAlign w:val="center"/>
                </w:tcPr>
                <w:p w14:paraId="42EC27A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秸秆破碎</w:t>
                  </w:r>
                </w:p>
              </w:tc>
              <w:tc>
                <w:tcPr>
                  <w:tcW w:w="420" w:type="pct"/>
                  <w:vMerge w:val="continue"/>
                  <w:vAlign w:val="center"/>
                </w:tcPr>
                <w:p w14:paraId="180D3DA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p>
              </w:tc>
              <w:tc>
                <w:tcPr>
                  <w:tcW w:w="250" w:type="pct"/>
                  <w:vMerge w:val="continue"/>
                  <w:vAlign w:val="center"/>
                </w:tcPr>
                <w:p w14:paraId="0A377AD3">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p>
              </w:tc>
              <w:tc>
                <w:tcPr>
                  <w:tcW w:w="402" w:type="pct"/>
                  <w:vAlign w:val="center"/>
                </w:tcPr>
                <w:p w14:paraId="53A3FF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4.94</w:t>
                  </w:r>
                </w:p>
              </w:tc>
              <w:tc>
                <w:tcPr>
                  <w:tcW w:w="594" w:type="pct"/>
                  <w:vAlign w:val="center"/>
                </w:tcPr>
                <w:p w14:paraId="3042961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990</w:t>
                  </w:r>
                </w:p>
              </w:tc>
              <w:tc>
                <w:tcPr>
                  <w:tcW w:w="526" w:type="pct"/>
                  <w:vAlign w:val="center"/>
                </w:tcPr>
                <w:p w14:paraId="0B7C458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布袋除尘器故障</w:t>
                  </w:r>
                </w:p>
              </w:tc>
              <w:tc>
                <w:tcPr>
                  <w:tcW w:w="354" w:type="pct"/>
                  <w:vAlign w:val="center"/>
                </w:tcPr>
                <w:p w14:paraId="36A1E92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587" w:type="pct"/>
                  <w:vAlign w:val="center"/>
                </w:tcPr>
                <w:p w14:paraId="16AB491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0.494</w:t>
                  </w:r>
                </w:p>
              </w:tc>
              <w:tc>
                <w:tcPr>
                  <w:tcW w:w="561" w:type="pct"/>
                  <w:vAlign w:val="center"/>
                </w:tcPr>
                <w:p w14:paraId="4BF4991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99</w:t>
                  </w:r>
                </w:p>
              </w:tc>
              <w:tc>
                <w:tcPr>
                  <w:tcW w:w="339" w:type="pct"/>
                  <w:shd w:val="clear" w:color="auto" w:fill="auto"/>
                  <w:vAlign w:val="center"/>
                </w:tcPr>
                <w:p w14:paraId="01686AF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1h</w:t>
                  </w:r>
                </w:p>
              </w:tc>
              <w:tc>
                <w:tcPr>
                  <w:tcW w:w="339" w:type="pct"/>
                  <w:shd w:val="clear" w:color="auto" w:fill="auto"/>
                  <w:vAlign w:val="center"/>
                </w:tcPr>
                <w:p w14:paraId="4F449F8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1次</w:t>
                  </w:r>
                </w:p>
              </w:tc>
            </w:tr>
          </w:tbl>
          <w:p w14:paraId="235795C9">
            <w:pPr>
              <w:adjustRightInd w:val="0"/>
              <w:snapToGrid w:val="0"/>
              <w:spacing w:line="360" w:lineRule="auto"/>
              <w:ind w:firstLine="420" w:firstLineChars="200"/>
              <w:rPr>
                <w:bCs/>
                <w:color w:val="auto"/>
                <w:szCs w:val="21"/>
                <w:highlight w:val="none"/>
              </w:rPr>
            </w:pPr>
            <w:r>
              <w:rPr>
                <w:rFonts w:hint="eastAsia"/>
                <w:bCs/>
                <w:color w:val="auto"/>
                <w:szCs w:val="21"/>
                <w:highlight w:val="none"/>
              </w:rPr>
              <w:t>（</w:t>
            </w:r>
            <w:r>
              <w:rPr>
                <w:rFonts w:hint="eastAsia"/>
                <w:bCs/>
                <w:color w:val="auto"/>
                <w:szCs w:val="21"/>
                <w:highlight w:val="none"/>
                <w:lang w:val="en-US" w:eastAsia="zh-CN"/>
              </w:rPr>
              <w:t>3</w:t>
            </w:r>
            <w:r>
              <w:rPr>
                <w:rFonts w:hint="eastAsia"/>
                <w:bCs/>
                <w:color w:val="auto"/>
                <w:szCs w:val="21"/>
                <w:highlight w:val="none"/>
              </w:rPr>
              <w:t>）环保措施有效性分析</w:t>
            </w:r>
          </w:p>
          <w:p w14:paraId="382986A8">
            <w:pPr>
              <w:spacing w:line="360" w:lineRule="auto"/>
              <w:ind w:firstLine="420" w:firstLineChars="200"/>
              <w:rPr>
                <w:color w:val="auto"/>
                <w:szCs w:val="21"/>
                <w:highlight w:val="none"/>
              </w:rPr>
            </w:pPr>
            <w:r>
              <w:rPr>
                <w:color w:val="auto"/>
                <w:szCs w:val="21"/>
                <w:highlight w:val="none"/>
              </w:rPr>
              <w:t>1）污染防治措施</w:t>
            </w:r>
          </w:p>
          <w:p w14:paraId="6E553BF6">
            <w:pPr>
              <w:spacing w:line="360" w:lineRule="auto"/>
              <w:ind w:firstLine="420" w:firstLineChars="200"/>
              <w:rPr>
                <w:color w:val="auto"/>
                <w:szCs w:val="21"/>
                <w:highlight w:val="none"/>
              </w:rPr>
            </w:pPr>
            <w:r>
              <w:rPr>
                <w:color w:val="auto"/>
                <w:szCs w:val="21"/>
                <w:highlight w:val="none"/>
              </w:rPr>
              <w:t>①</w:t>
            </w:r>
            <w:r>
              <w:rPr>
                <w:rFonts w:hint="eastAsia"/>
                <w:color w:val="auto"/>
                <w:szCs w:val="21"/>
                <w:highlight w:val="none"/>
              </w:rPr>
              <w:t>粉煤灰</w:t>
            </w:r>
            <w:r>
              <w:rPr>
                <w:color w:val="auto"/>
                <w:szCs w:val="21"/>
                <w:highlight w:val="none"/>
              </w:rPr>
              <w:t>采用罐车运输，其他物料均采用汽车运输，并用苫布遮盖，以减少扬尘产生；</w:t>
            </w:r>
          </w:p>
          <w:p w14:paraId="723A5648">
            <w:pPr>
              <w:spacing w:line="360" w:lineRule="auto"/>
              <w:ind w:firstLine="420" w:firstLineChars="200"/>
              <w:rPr>
                <w:color w:val="auto"/>
                <w:szCs w:val="21"/>
                <w:highlight w:val="none"/>
              </w:rPr>
            </w:pPr>
            <w:r>
              <w:rPr>
                <w:color w:val="auto"/>
                <w:szCs w:val="21"/>
                <w:highlight w:val="none"/>
              </w:rPr>
              <w:t>②定期对厂内运输道路进行洒水降尘，洒水周期和水量应根据季节和天气情况确定；</w:t>
            </w:r>
          </w:p>
          <w:p w14:paraId="50852C2C">
            <w:pPr>
              <w:spacing w:line="360" w:lineRule="auto"/>
              <w:ind w:firstLine="420" w:firstLineChars="200"/>
              <w:rPr>
                <w:color w:val="auto"/>
                <w:szCs w:val="21"/>
                <w:highlight w:val="none"/>
              </w:rPr>
            </w:pPr>
            <w:r>
              <w:rPr>
                <w:color w:val="auto"/>
                <w:szCs w:val="21"/>
                <w:highlight w:val="none"/>
              </w:rPr>
              <w:t>③</w:t>
            </w:r>
            <w:r>
              <w:rPr>
                <w:rFonts w:hint="eastAsia"/>
                <w:color w:val="auto"/>
                <w:szCs w:val="21"/>
                <w:highlight w:val="none"/>
              </w:rPr>
              <w:t>物料棚</w:t>
            </w:r>
            <w:r>
              <w:rPr>
                <w:color w:val="auto"/>
                <w:szCs w:val="21"/>
                <w:highlight w:val="none"/>
              </w:rPr>
              <w:t>四周设置防风抑尘网，并定期洒水降尘，以减少扬尘产生</w:t>
            </w:r>
            <w:r>
              <w:rPr>
                <w:rFonts w:hint="eastAsia"/>
                <w:color w:val="auto"/>
                <w:szCs w:val="21"/>
                <w:highlight w:val="none"/>
              </w:rPr>
              <w:t>；</w:t>
            </w:r>
          </w:p>
          <w:p w14:paraId="46CAAF66">
            <w:pPr>
              <w:spacing w:line="360" w:lineRule="auto"/>
              <w:ind w:firstLine="420" w:firstLineChars="200"/>
              <w:rPr>
                <w:color w:val="auto"/>
                <w:szCs w:val="21"/>
                <w:highlight w:val="none"/>
              </w:rPr>
            </w:pPr>
            <w:r>
              <w:rPr>
                <w:rFonts w:hint="eastAsia"/>
                <w:color w:val="auto"/>
                <w:szCs w:val="21"/>
                <w:highlight w:val="none"/>
              </w:rPr>
              <w:t>④粉煤灰</w:t>
            </w:r>
            <w:r>
              <w:rPr>
                <w:color w:val="auto"/>
                <w:szCs w:val="21"/>
                <w:highlight w:val="none"/>
              </w:rPr>
              <w:t>入仓粉尘经仓顶除尘器收尘后无组织排放；</w:t>
            </w:r>
          </w:p>
          <w:p w14:paraId="264CFCC3">
            <w:pPr>
              <w:spacing w:line="360" w:lineRule="auto"/>
              <w:ind w:firstLine="420" w:firstLineChars="200"/>
              <w:rPr>
                <w:color w:val="auto"/>
                <w:szCs w:val="21"/>
                <w:highlight w:val="none"/>
              </w:rPr>
            </w:pPr>
            <w:r>
              <w:rPr>
                <w:rFonts w:hint="eastAsia"/>
                <w:color w:val="auto"/>
                <w:szCs w:val="21"/>
                <w:highlight w:val="none"/>
              </w:rPr>
              <w:t>⑤筛分破碎环节在设备上方安装集气装置，收集的粉尘通过布袋除尘器处理后经15m高排气筒排放。</w:t>
            </w:r>
          </w:p>
          <w:p w14:paraId="53D8A6B0">
            <w:pPr>
              <w:spacing w:line="360" w:lineRule="auto"/>
              <w:ind w:firstLine="420" w:firstLineChars="200"/>
              <w:rPr>
                <w:color w:val="auto"/>
                <w:szCs w:val="21"/>
                <w:highlight w:val="none"/>
              </w:rPr>
            </w:pPr>
            <w:r>
              <w:rPr>
                <w:color w:val="auto"/>
                <w:szCs w:val="21"/>
                <w:highlight w:val="none"/>
              </w:rPr>
              <w:t>2）合理性分析</w:t>
            </w:r>
          </w:p>
          <w:p w14:paraId="45390B31">
            <w:pPr>
              <w:spacing w:line="360" w:lineRule="auto"/>
              <w:ind w:firstLine="420" w:firstLineChars="200"/>
              <w:rPr>
                <w:color w:val="auto"/>
                <w:szCs w:val="21"/>
                <w:highlight w:val="none"/>
              </w:rPr>
            </w:pPr>
            <w:r>
              <w:rPr>
                <w:color w:val="auto"/>
                <w:szCs w:val="21"/>
                <w:highlight w:val="none"/>
              </w:rPr>
              <w:t>①</w:t>
            </w:r>
            <w:r>
              <w:rPr>
                <w:rFonts w:hint="eastAsia"/>
                <w:color w:val="auto"/>
                <w:szCs w:val="21"/>
                <w:highlight w:val="none"/>
              </w:rPr>
              <w:t>筒仓</w:t>
            </w:r>
            <w:r>
              <w:rPr>
                <w:color w:val="auto"/>
                <w:szCs w:val="21"/>
                <w:highlight w:val="none"/>
              </w:rPr>
              <w:t>仓顶除尘器</w:t>
            </w:r>
            <w:r>
              <w:rPr>
                <w:rFonts w:hint="eastAsia"/>
                <w:color w:val="auto"/>
                <w:szCs w:val="21"/>
                <w:highlight w:val="none"/>
              </w:rPr>
              <w:t>、破碎车间布袋除尘器</w:t>
            </w:r>
          </w:p>
          <w:p w14:paraId="7CDB6E71">
            <w:pPr>
              <w:spacing w:line="360" w:lineRule="auto"/>
              <w:ind w:firstLine="420" w:firstLineChars="200"/>
              <w:rPr>
                <w:color w:val="auto"/>
                <w:szCs w:val="21"/>
                <w:highlight w:val="none"/>
              </w:rPr>
            </w:pPr>
            <w:r>
              <w:rPr>
                <w:color w:val="auto"/>
                <w:szCs w:val="21"/>
                <w:highlight w:val="none"/>
              </w:rPr>
              <w:t>在向仓内输送粉料时，仓内外会产生一定的压差，利用压差使含尘气体进入除尘器箱体内，细小尘粒由于布袋的多</w:t>
            </w:r>
            <w:r>
              <w:rPr>
                <w:rFonts w:hint="eastAsia"/>
                <w:color w:val="auto"/>
                <w:szCs w:val="21"/>
                <w:highlight w:val="none"/>
              </w:rPr>
              <w:t>种</w:t>
            </w:r>
            <w:r>
              <w:rPr>
                <w:color w:val="auto"/>
                <w:szCs w:val="21"/>
                <w:highlight w:val="none"/>
              </w:rPr>
              <w:t>效应作用，被滞阻在布袋外壁，净化后的气体通过除尘器上箱体出风口排出。</w:t>
            </w:r>
          </w:p>
          <w:p w14:paraId="05258CB3">
            <w:pPr>
              <w:spacing w:line="360" w:lineRule="auto"/>
              <w:ind w:firstLine="420" w:firstLineChars="200"/>
              <w:rPr>
                <w:color w:val="auto"/>
                <w:szCs w:val="21"/>
                <w:highlight w:val="none"/>
              </w:rPr>
            </w:pPr>
            <w:r>
              <w:rPr>
                <w:color w:val="auto"/>
                <w:szCs w:val="21"/>
                <w:highlight w:val="none"/>
              </w:rPr>
              <w:t>随着使用时间的增长，布袋表面吸附的粉尘增多，布袋的透气性减弱，使除尘器阻力不断增大。为保证除尘器的阻力控制在限定的范围之内，由脉冲控制仪发出信号，循序打开电磁脉冲阀，使气包内的压缩空气由喷吹管各喷孔喷射到对应的文氏管（称为一次风），并在高速气流通过文氏管时诱导数倍于一次风的周围空气（称为二次风）进入滤筒，造成布袋间急剧膨胀，由于反向脉冲气流的冲击作用很快消失，布袋又急剧收缩，这样使积附在布袋外壁上的粉尘被震落回仓内。因此，</w:t>
            </w:r>
            <w:r>
              <w:rPr>
                <w:rFonts w:hint="eastAsia"/>
                <w:color w:val="auto"/>
                <w:szCs w:val="21"/>
                <w:highlight w:val="none"/>
              </w:rPr>
              <w:t>粉煤灰</w:t>
            </w:r>
            <w:r>
              <w:rPr>
                <w:color w:val="auto"/>
                <w:szCs w:val="21"/>
                <w:highlight w:val="none"/>
              </w:rPr>
              <w:t>入仓产生的粉尘在采取仓顶除尘器措施后可达标排放，同时可最大限度减少污染物排放量，满足环境质量改善要求，根据</w:t>
            </w:r>
            <w:r>
              <w:rPr>
                <w:rFonts w:hint="eastAsia"/>
                <w:color w:val="auto"/>
                <w:szCs w:val="21"/>
                <w:highlight w:val="none"/>
                <w:lang w:eastAsia="zh-CN"/>
              </w:rPr>
              <w:t>《大气污染治理工程技术导则》（</w:t>
            </w:r>
            <w:r>
              <w:rPr>
                <w:rFonts w:hint="eastAsia"/>
                <w:color w:val="auto"/>
                <w:szCs w:val="21"/>
                <w:highlight w:val="none"/>
                <w:lang w:val="en-US" w:eastAsia="zh-CN"/>
              </w:rPr>
              <w:t>HJ2000-2010</w:t>
            </w:r>
            <w:r>
              <w:rPr>
                <w:rFonts w:hint="eastAsia"/>
                <w:color w:val="auto"/>
                <w:szCs w:val="21"/>
                <w:highlight w:val="none"/>
                <w:lang w:eastAsia="zh-CN"/>
              </w:rPr>
              <w:t>）</w:t>
            </w:r>
            <w:r>
              <w:rPr>
                <w:rFonts w:hint="eastAsia"/>
                <w:color w:val="auto"/>
                <w:szCs w:val="21"/>
                <w:highlight w:val="none"/>
                <w:lang w:val="en-US" w:eastAsia="zh-CN"/>
              </w:rPr>
              <w:t>6.1.3.5章节，</w:t>
            </w:r>
            <w:r>
              <w:rPr>
                <w:rFonts w:ascii="宋体" w:hAnsi="宋体" w:eastAsia="宋体" w:cs="宋体"/>
                <w:color w:val="auto"/>
                <w:sz w:val="21"/>
                <w:szCs w:val="21"/>
                <w:highlight w:val="none"/>
              </w:rPr>
              <w:t>袋式除尘器属高效除尘设备，宜用于处理风量大、浓度范围广和波动较大的含尘气体</w:t>
            </w:r>
            <w:r>
              <w:rPr>
                <w:rFonts w:hint="eastAsia" w:ascii="宋体" w:hAnsi="宋体" w:eastAsia="宋体" w:cs="宋体"/>
                <w:color w:val="auto"/>
                <w:sz w:val="21"/>
                <w:szCs w:val="21"/>
                <w:highlight w:val="none"/>
                <w:lang w:eastAsia="zh-CN"/>
              </w:rPr>
              <w:t>，</w:t>
            </w:r>
            <w:r>
              <w:rPr>
                <w:rFonts w:ascii="宋体" w:hAnsi="宋体" w:eastAsia="宋体" w:cs="宋体"/>
                <w:color w:val="auto"/>
                <w:sz w:val="21"/>
                <w:szCs w:val="21"/>
                <w:highlight w:val="none"/>
              </w:rPr>
              <w:t>粉尘具有较高的回收价值或烟气排放标准很严格时，宜采用袋式除尘器</w:t>
            </w:r>
            <w:r>
              <w:rPr>
                <w:rFonts w:hint="eastAsia" w:ascii="宋体" w:hAnsi="宋体" w:eastAsia="宋体" w:cs="宋体"/>
                <w:color w:val="auto"/>
                <w:sz w:val="21"/>
                <w:szCs w:val="21"/>
                <w:highlight w:val="none"/>
                <w:lang w:eastAsia="zh-CN"/>
              </w:rPr>
              <w:t>。本项目粉煤灰、秸秆粉碎产生的颗粒物均可回收后用于生产，</w:t>
            </w:r>
            <w:r>
              <w:rPr>
                <w:color w:val="auto"/>
                <w:szCs w:val="21"/>
                <w:highlight w:val="none"/>
              </w:rPr>
              <w:t>因此本项目</w:t>
            </w:r>
            <w:r>
              <w:rPr>
                <w:rFonts w:hint="eastAsia"/>
                <w:color w:val="auto"/>
                <w:szCs w:val="21"/>
                <w:highlight w:val="none"/>
              </w:rPr>
              <w:t>粉煤灰</w:t>
            </w:r>
            <w:r>
              <w:rPr>
                <w:color w:val="auto"/>
                <w:szCs w:val="21"/>
                <w:highlight w:val="none"/>
              </w:rPr>
              <w:t>入仓粉尘经仓顶除尘器收尘后无组织排放</w:t>
            </w:r>
            <w:r>
              <w:rPr>
                <w:rFonts w:hint="eastAsia"/>
                <w:color w:val="auto"/>
                <w:szCs w:val="21"/>
                <w:highlight w:val="none"/>
              </w:rPr>
              <w:t>、破碎车间采用布袋除尘器</w:t>
            </w:r>
            <w:r>
              <w:rPr>
                <w:color w:val="auto"/>
                <w:szCs w:val="21"/>
                <w:highlight w:val="none"/>
              </w:rPr>
              <w:t>措施可行。</w:t>
            </w:r>
          </w:p>
          <w:p w14:paraId="2CC78820">
            <w:pPr>
              <w:spacing w:line="360" w:lineRule="auto"/>
              <w:ind w:firstLine="420" w:firstLineChars="200"/>
              <w:rPr>
                <w:color w:val="auto"/>
                <w:szCs w:val="21"/>
                <w:highlight w:val="none"/>
              </w:rPr>
            </w:pPr>
            <w:r>
              <w:rPr>
                <w:color w:val="auto"/>
                <w:szCs w:val="21"/>
                <w:highlight w:val="none"/>
              </w:rPr>
              <w:t>②</w:t>
            </w:r>
            <w:r>
              <w:rPr>
                <w:rFonts w:hint="eastAsia"/>
                <w:color w:val="auto"/>
                <w:szCs w:val="21"/>
                <w:highlight w:val="none"/>
              </w:rPr>
              <w:t>防风抑尘网、</w:t>
            </w:r>
            <w:r>
              <w:rPr>
                <w:color w:val="auto"/>
                <w:szCs w:val="21"/>
                <w:highlight w:val="none"/>
              </w:rPr>
              <w:t>洒水</w:t>
            </w:r>
            <w:r>
              <w:rPr>
                <w:rFonts w:hint="eastAsia"/>
                <w:color w:val="auto"/>
                <w:szCs w:val="21"/>
                <w:highlight w:val="none"/>
              </w:rPr>
              <w:t>降尘</w:t>
            </w:r>
            <w:r>
              <w:rPr>
                <w:color w:val="auto"/>
                <w:szCs w:val="21"/>
                <w:highlight w:val="none"/>
              </w:rPr>
              <w:t>措施</w:t>
            </w:r>
          </w:p>
          <w:p w14:paraId="7DFE7F02">
            <w:pPr>
              <w:spacing w:line="360" w:lineRule="auto"/>
              <w:ind w:firstLine="420" w:firstLineChars="200"/>
              <w:rPr>
                <w:color w:val="auto"/>
                <w:szCs w:val="21"/>
                <w:highlight w:val="none"/>
              </w:rPr>
            </w:pPr>
            <w:r>
              <w:rPr>
                <w:rFonts w:hint="eastAsia"/>
                <w:color w:val="auto"/>
                <w:szCs w:val="21"/>
                <w:highlight w:val="none"/>
              </w:rPr>
              <w:t>物料棚</w:t>
            </w:r>
            <w:r>
              <w:rPr>
                <w:color w:val="auto"/>
                <w:szCs w:val="21"/>
                <w:highlight w:val="none"/>
              </w:rPr>
              <w:t>、厂内道路定期洒水降尘，可有效减少扬尘产生。洒水可以让空气湿润，地面潮湿，不利于尘埃粒子的飞扬，有利于</w:t>
            </w:r>
            <w:r>
              <w:rPr>
                <w:rFonts w:hint="eastAsia"/>
                <w:color w:val="auto"/>
                <w:szCs w:val="21"/>
                <w:highlight w:val="none"/>
              </w:rPr>
              <w:t>空中飘浮</w:t>
            </w:r>
            <w:r>
              <w:rPr>
                <w:color w:val="auto"/>
                <w:szCs w:val="21"/>
                <w:highlight w:val="none"/>
              </w:rPr>
              <w:t>的尘埃粒子掉落下来，可以起到净化空气的作用。其原理是利用水雾粒子和灰尘粒子之间的碰撞能量和表面张力使灰尘颗粒和水雾颗粒相互结合，最终形成大颗粒物质落地。物料</w:t>
            </w:r>
            <w:r>
              <w:rPr>
                <w:rFonts w:hint="eastAsia"/>
                <w:color w:val="auto"/>
                <w:szCs w:val="21"/>
                <w:highlight w:val="none"/>
              </w:rPr>
              <w:t>最大堆高3m，</w:t>
            </w:r>
            <w:r>
              <w:rPr>
                <w:color w:val="auto"/>
                <w:szCs w:val="21"/>
                <w:highlight w:val="none"/>
              </w:rPr>
              <w:t>四周设置</w:t>
            </w:r>
            <w:r>
              <w:rPr>
                <w:rFonts w:hint="eastAsia"/>
                <w:color w:val="auto"/>
                <w:szCs w:val="21"/>
                <w:highlight w:val="none"/>
              </w:rPr>
              <w:t>4m高</w:t>
            </w:r>
            <w:r>
              <w:rPr>
                <w:color w:val="auto"/>
                <w:szCs w:val="21"/>
                <w:highlight w:val="none"/>
              </w:rPr>
              <w:t>防风抑尘网</w:t>
            </w:r>
            <w:r>
              <w:rPr>
                <w:rFonts w:hint="eastAsia"/>
                <w:color w:val="auto"/>
                <w:szCs w:val="21"/>
                <w:highlight w:val="none"/>
              </w:rPr>
              <w:t>，高于物料最大堆高1m</w:t>
            </w:r>
            <w:r>
              <w:rPr>
                <w:color w:val="auto"/>
                <w:szCs w:val="21"/>
                <w:highlight w:val="none"/>
              </w:rPr>
              <w:t>，</w:t>
            </w:r>
            <w:r>
              <w:rPr>
                <w:rFonts w:hint="eastAsia"/>
                <w:color w:val="auto"/>
                <w:szCs w:val="21"/>
                <w:highlight w:val="none"/>
              </w:rPr>
              <w:t>可有效控制扬尘，故防风抑尘网、洒水降尘措施可行。</w:t>
            </w:r>
          </w:p>
          <w:p w14:paraId="349496A8">
            <w:pPr>
              <w:spacing w:line="360" w:lineRule="auto"/>
              <w:ind w:firstLine="420" w:firstLineChars="200"/>
              <w:rPr>
                <w:color w:val="auto"/>
                <w:szCs w:val="21"/>
                <w:highlight w:val="none"/>
              </w:rPr>
            </w:pPr>
            <w:r>
              <w:rPr>
                <w:color w:val="auto"/>
                <w:szCs w:val="21"/>
                <w:highlight w:val="none"/>
              </w:rPr>
              <w:t>故采取上述措施后，生产及物料堆存过程产生的扬尘对周围环境影响较小。</w:t>
            </w:r>
          </w:p>
          <w:p w14:paraId="5C79E120">
            <w:pPr>
              <w:numPr>
                <w:ilvl w:val="0"/>
                <w:numId w:val="0"/>
              </w:numPr>
              <w:adjustRightInd w:val="0"/>
              <w:snapToGrid w:val="0"/>
              <w:spacing w:line="360" w:lineRule="auto"/>
              <w:ind w:firstLine="420" w:firstLineChars="200"/>
              <w:rPr>
                <w:bCs/>
                <w:color w:val="auto"/>
                <w:szCs w:val="21"/>
                <w:highlight w:val="none"/>
              </w:rPr>
            </w:pPr>
            <w:r>
              <w:rPr>
                <w:rFonts w:ascii="Times New Roman" w:hAnsi="Times New Roman" w:eastAsia="宋体" w:cs="Times New Roman"/>
                <w:bCs/>
                <w:color w:val="auto"/>
                <w:kern w:val="2"/>
                <w:sz w:val="21"/>
                <w:szCs w:val="21"/>
                <w:highlight w:val="none"/>
                <w:lang w:val="en-US" w:eastAsia="zh-CN" w:bidi="ar-SA"/>
              </w:rPr>
              <w:t>（</w:t>
            </w:r>
            <w:r>
              <w:rPr>
                <w:rFonts w:hint="eastAsia" w:cs="Times New Roman"/>
                <w:bCs/>
                <w:color w:val="auto"/>
                <w:kern w:val="2"/>
                <w:sz w:val="21"/>
                <w:szCs w:val="21"/>
                <w:highlight w:val="none"/>
                <w:lang w:val="en-US" w:eastAsia="zh-CN" w:bidi="ar-SA"/>
              </w:rPr>
              <w:t>4</w:t>
            </w:r>
            <w:r>
              <w:rPr>
                <w:rFonts w:ascii="Times New Roman" w:hAnsi="Times New Roman" w:eastAsia="宋体" w:cs="Times New Roman"/>
                <w:bCs/>
                <w:color w:val="auto"/>
                <w:kern w:val="2"/>
                <w:sz w:val="21"/>
                <w:szCs w:val="21"/>
                <w:highlight w:val="none"/>
                <w:lang w:val="en-US" w:eastAsia="zh-CN" w:bidi="ar-SA"/>
              </w:rPr>
              <w:t>）</w:t>
            </w:r>
            <w:r>
              <w:rPr>
                <w:rFonts w:hint="eastAsia"/>
                <w:bCs/>
                <w:color w:val="auto"/>
                <w:szCs w:val="21"/>
                <w:highlight w:val="none"/>
              </w:rPr>
              <w:t>环境影响分析</w:t>
            </w:r>
          </w:p>
          <w:p w14:paraId="3CA9B829">
            <w:pPr>
              <w:spacing w:line="360" w:lineRule="auto"/>
              <w:ind w:firstLine="420" w:firstLineChars="200"/>
              <w:rPr>
                <w:color w:val="auto"/>
                <w:szCs w:val="21"/>
                <w:highlight w:val="none"/>
              </w:rPr>
            </w:pPr>
            <w:r>
              <w:rPr>
                <w:rFonts w:hint="eastAsia"/>
                <w:color w:val="auto"/>
                <w:szCs w:val="21"/>
                <w:highlight w:val="none"/>
              </w:rPr>
              <w:t>本项目</w:t>
            </w:r>
            <w:r>
              <w:rPr>
                <w:color w:val="auto"/>
                <w:szCs w:val="21"/>
                <w:highlight w:val="none"/>
              </w:rPr>
              <w:t>物料采用汽车</w:t>
            </w:r>
            <w:r>
              <w:rPr>
                <w:rFonts w:hint="eastAsia"/>
                <w:color w:val="auto"/>
                <w:szCs w:val="21"/>
                <w:highlight w:val="none"/>
              </w:rPr>
              <w:t>封闭运输</w:t>
            </w:r>
            <w:r>
              <w:rPr>
                <w:color w:val="auto"/>
                <w:szCs w:val="21"/>
                <w:highlight w:val="none"/>
              </w:rPr>
              <w:t>，并用苫布遮盖，</w:t>
            </w:r>
            <w:r>
              <w:rPr>
                <w:rFonts w:hint="eastAsia"/>
                <w:color w:val="auto"/>
                <w:szCs w:val="21"/>
                <w:highlight w:val="none"/>
              </w:rPr>
              <w:t>物料棚</w:t>
            </w:r>
            <w:r>
              <w:rPr>
                <w:color w:val="auto"/>
                <w:szCs w:val="21"/>
                <w:highlight w:val="none"/>
              </w:rPr>
              <w:t>四周设</w:t>
            </w:r>
            <w:r>
              <w:rPr>
                <w:rFonts w:hint="eastAsia"/>
                <w:color w:val="auto"/>
                <w:szCs w:val="21"/>
                <w:highlight w:val="none"/>
              </w:rPr>
              <w:t>防风抑尘</w:t>
            </w:r>
            <w:r>
              <w:rPr>
                <w:color w:val="auto"/>
                <w:szCs w:val="21"/>
                <w:highlight w:val="none"/>
              </w:rPr>
              <w:t>网，</w:t>
            </w:r>
            <w:r>
              <w:rPr>
                <w:rFonts w:hint="eastAsia"/>
                <w:color w:val="auto"/>
                <w:szCs w:val="21"/>
                <w:highlight w:val="none"/>
              </w:rPr>
              <w:t>物料棚、</w:t>
            </w:r>
            <w:r>
              <w:rPr>
                <w:color w:val="auto"/>
                <w:szCs w:val="21"/>
                <w:highlight w:val="none"/>
              </w:rPr>
              <w:t>道路定期洒水降尘，减少厂内扬尘。</w:t>
            </w:r>
            <w:r>
              <w:rPr>
                <w:rFonts w:hint="eastAsia"/>
                <w:color w:val="auto"/>
                <w:szCs w:val="21"/>
                <w:highlight w:val="none"/>
              </w:rPr>
              <w:t>秸秆粉碎工序粉尘经设备上方集气罩收集，通过布袋除尘器处理后经15m高排气筒（DA001）排放，粉煤灰</w:t>
            </w:r>
            <w:r>
              <w:rPr>
                <w:color w:val="auto"/>
                <w:szCs w:val="21"/>
                <w:highlight w:val="none"/>
              </w:rPr>
              <w:t>采用罐车运输，入仓粉尘经仓顶</w:t>
            </w:r>
            <w:r>
              <w:rPr>
                <w:rFonts w:hint="eastAsia"/>
                <w:color w:val="auto"/>
                <w:szCs w:val="21"/>
                <w:highlight w:val="none"/>
              </w:rPr>
              <w:t>除尘器处理后通过呼吸口</w:t>
            </w:r>
            <w:r>
              <w:rPr>
                <w:color w:val="auto"/>
                <w:szCs w:val="21"/>
                <w:highlight w:val="none"/>
              </w:rPr>
              <w:t>无组织排放</w:t>
            </w:r>
            <w:r>
              <w:rPr>
                <w:rFonts w:hint="eastAsia"/>
                <w:color w:val="auto"/>
                <w:szCs w:val="21"/>
                <w:highlight w:val="none"/>
              </w:rPr>
              <w:t>。</w:t>
            </w:r>
            <w:r>
              <w:rPr>
                <w:rFonts w:hint="eastAsia"/>
                <w:bCs/>
                <w:color w:val="auto"/>
                <w:szCs w:val="21"/>
                <w:highlight w:val="none"/>
              </w:rPr>
              <w:t>无组织扬尘执行《煤炭工业污染物排放标准》（GB20426-2006）表5标准，秸秆粉碎工序废气经DA001排气筒排放，执行《大气污染物综合排放标准》（GB16297-1996）表 2 中污染物排放浓度限值要求，煤泥浮选工序</w:t>
            </w:r>
            <w:r>
              <w:rPr>
                <w:rFonts w:hint="eastAsia"/>
                <w:bCs/>
                <w:color w:val="auto"/>
                <w:szCs w:val="21"/>
                <w:highlight w:val="none"/>
                <w:lang w:val="en-US" w:eastAsia="zh-CN"/>
              </w:rPr>
              <w:t>药剂投加过程会产生VOCs，通过车间通风无组织排放，因VOCs产生量较小，</w:t>
            </w:r>
            <w:r>
              <w:rPr>
                <w:rFonts w:hint="eastAsia"/>
                <w:bCs/>
                <w:color w:val="auto"/>
                <w:szCs w:val="21"/>
                <w:highlight w:val="none"/>
              </w:rPr>
              <w:t>车间无组织挥发性有机物</w:t>
            </w:r>
            <w:r>
              <w:rPr>
                <w:rFonts w:hint="eastAsia"/>
                <w:bCs/>
                <w:color w:val="auto"/>
                <w:szCs w:val="21"/>
                <w:highlight w:val="none"/>
                <w:lang w:eastAsia="zh-CN"/>
              </w:rPr>
              <w:t>可满足</w:t>
            </w:r>
            <w:r>
              <w:rPr>
                <w:bCs/>
                <w:color w:val="auto"/>
                <w:szCs w:val="21"/>
                <w:highlight w:val="none"/>
              </w:rPr>
              <w:t>《挥发性有机物无组织排放控制标准》（GB37822-2019）附录A厂区内VOCs无组织排放限值</w:t>
            </w:r>
            <w:r>
              <w:rPr>
                <w:rFonts w:hint="eastAsia"/>
                <w:bCs/>
                <w:color w:val="auto"/>
                <w:szCs w:val="21"/>
                <w:highlight w:val="none"/>
              </w:rPr>
              <w:t>，厂界非甲烷总烃排放浓度</w:t>
            </w:r>
            <w:r>
              <w:rPr>
                <w:rFonts w:hint="eastAsia"/>
                <w:bCs/>
                <w:color w:val="auto"/>
                <w:szCs w:val="21"/>
                <w:highlight w:val="none"/>
                <w:lang w:eastAsia="zh-CN"/>
              </w:rPr>
              <w:t>可满足</w:t>
            </w:r>
            <w:r>
              <w:rPr>
                <w:rFonts w:hint="eastAsia"/>
                <w:bCs/>
                <w:color w:val="auto"/>
                <w:szCs w:val="21"/>
                <w:highlight w:val="none"/>
              </w:rPr>
              <w:t>《大气污染物综合排放标准》（GB16297-1996）表2中污染物排放浓度限值要求</w:t>
            </w:r>
            <w:r>
              <w:rPr>
                <w:bCs/>
                <w:color w:val="auto"/>
                <w:szCs w:val="21"/>
                <w:highlight w:val="none"/>
              </w:rPr>
              <w:t>。</w:t>
            </w:r>
          </w:p>
          <w:p w14:paraId="5D4DC2BF">
            <w:pPr>
              <w:spacing w:line="360" w:lineRule="auto"/>
              <w:ind w:firstLine="420" w:firstLineChars="200"/>
              <w:rPr>
                <w:color w:val="auto"/>
                <w:szCs w:val="21"/>
                <w:highlight w:val="none"/>
              </w:rPr>
            </w:pPr>
            <w:r>
              <w:rPr>
                <w:color w:val="auto"/>
                <w:szCs w:val="21"/>
                <w:highlight w:val="none"/>
              </w:rPr>
              <w:t>综上所述，该项目在采取本报告表提出的污染防治措施情况下，排放的污染物不会对大气环境产生危害性影响，从环境空气影响角度分析，本项目建设可行。</w:t>
            </w:r>
          </w:p>
          <w:p w14:paraId="5322978F">
            <w:pPr>
              <w:adjustRightInd w:val="0"/>
              <w:snapToGrid w:val="0"/>
              <w:spacing w:line="360" w:lineRule="auto"/>
              <w:ind w:firstLine="420" w:firstLineChars="200"/>
              <w:rPr>
                <w:bCs/>
                <w:color w:val="auto"/>
                <w:szCs w:val="21"/>
                <w:highlight w:val="none"/>
              </w:rPr>
            </w:pPr>
            <w:r>
              <w:rPr>
                <w:rFonts w:hint="eastAsia"/>
                <w:bCs/>
                <w:color w:val="auto"/>
                <w:szCs w:val="21"/>
                <w:highlight w:val="none"/>
              </w:rPr>
              <w:t>（</w:t>
            </w:r>
            <w:r>
              <w:rPr>
                <w:rFonts w:hint="eastAsia"/>
                <w:color w:val="auto"/>
                <w:highlight w:val="none"/>
                <w:lang w:val="en-US" w:eastAsia="zh-CN"/>
              </w:rPr>
              <w:t>5</w:t>
            </w:r>
            <w:r>
              <w:rPr>
                <w:rFonts w:hint="eastAsia"/>
                <w:bCs/>
                <w:color w:val="auto"/>
                <w:szCs w:val="21"/>
                <w:highlight w:val="none"/>
              </w:rPr>
              <w:t>）</w:t>
            </w:r>
            <w:r>
              <w:rPr>
                <w:bCs/>
                <w:color w:val="auto"/>
                <w:szCs w:val="21"/>
                <w:highlight w:val="none"/>
              </w:rPr>
              <w:t>监测要求</w:t>
            </w:r>
          </w:p>
          <w:p w14:paraId="11A0824E">
            <w:pPr>
              <w:spacing w:line="360" w:lineRule="auto"/>
              <w:ind w:firstLine="420" w:firstLineChars="200"/>
              <w:rPr>
                <w:color w:val="auto"/>
                <w:szCs w:val="21"/>
                <w:highlight w:val="none"/>
              </w:rPr>
            </w:pPr>
            <w:r>
              <w:rPr>
                <w:color w:val="auto"/>
                <w:szCs w:val="21"/>
                <w:highlight w:val="none"/>
              </w:rPr>
              <w:t>根据《排污单位自行监测技术指南 总则》（HJ819-2017），运营期废气监测要求详见表4-</w:t>
            </w:r>
            <w:r>
              <w:rPr>
                <w:rFonts w:hint="eastAsia"/>
                <w:color w:val="auto"/>
                <w:szCs w:val="21"/>
                <w:highlight w:val="none"/>
                <w:lang w:val="en-US" w:eastAsia="zh-CN"/>
              </w:rPr>
              <w:t>3</w:t>
            </w:r>
            <w:r>
              <w:rPr>
                <w:color w:val="auto"/>
                <w:szCs w:val="21"/>
                <w:highlight w:val="none"/>
              </w:rPr>
              <w:t>。</w:t>
            </w:r>
          </w:p>
          <w:p w14:paraId="35462B25">
            <w:pPr>
              <w:adjustRightInd w:val="0"/>
              <w:snapToGrid w:val="0"/>
              <w:jc w:val="center"/>
              <w:rPr>
                <w:b/>
                <w:bCs/>
                <w:color w:val="auto"/>
                <w:szCs w:val="21"/>
                <w:highlight w:val="none"/>
              </w:rPr>
            </w:pPr>
            <w:r>
              <w:rPr>
                <w:rFonts w:hint="eastAsia"/>
                <w:b/>
                <w:bCs/>
                <w:color w:val="auto"/>
                <w:szCs w:val="21"/>
                <w:highlight w:val="none"/>
              </w:rPr>
              <w:t>表4-</w:t>
            </w:r>
            <w:r>
              <w:rPr>
                <w:rFonts w:hint="eastAsia"/>
                <w:b/>
                <w:bCs/>
                <w:color w:val="auto"/>
                <w:szCs w:val="21"/>
                <w:highlight w:val="none"/>
                <w:lang w:val="en-US" w:eastAsia="zh-CN"/>
              </w:rPr>
              <w:t>3</w:t>
            </w:r>
            <w:r>
              <w:rPr>
                <w:rFonts w:hint="eastAsia"/>
                <w:b/>
                <w:bCs/>
                <w:color w:val="auto"/>
                <w:szCs w:val="21"/>
                <w:highlight w:val="none"/>
              </w:rPr>
              <w:t xml:space="preserve">  监测要求</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053"/>
              <w:gridCol w:w="1016"/>
              <w:gridCol w:w="1056"/>
              <w:gridCol w:w="3976"/>
            </w:tblGrid>
            <w:tr w14:paraId="52942BD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056" w:type="dxa"/>
                  <w:tcBorders>
                    <w:top w:val="single" w:color="auto" w:sz="12" w:space="0"/>
                  </w:tcBorders>
                  <w:noWrap/>
                  <w:vAlign w:val="center"/>
                </w:tcPr>
                <w:p w14:paraId="07EEDA85">
                  <w:pPr>
                    <w:adjustRightInd w:val="0"/>
                    <w:snapToGrid w:val="0"/>
                    <w:jc w:val="center"/>
                    <w:rPr>
                      <w:bCs/>
                      <w:color w:val="auto"/>
                      <w:sz w:val="18"/>
                      <w:szCs w:val="18"/>
                      <w:highlight w:val="none"/>
                    </w:rPr>
                  </w:pPr>
                  <w:r>
                    <w:rPr>
                      <w:rFonts w:hint="eastAsia"/>
                      <w:bCs/>
                      <w:color w:val="auto"/>
                      <w:sz w:val="18"/>
                      <w:szCs w:val="18"/>
                      <w:highlight w:val="none"/>
                    </w:rPr>
                    <w:t>监测类别</w:t>
                  </w:r>
                </w:p>
              </w:tc>
              <w:tc>
                <w:tcPr>
                  <w:tcW w:w="1074" w:type="dxa"/>
                  <w:tcBorders>
                    <w:top w:val="single" w:color="auto" w:sz="12" w:space="0"/>
                  </w:tcBorders>
                  <w:noWrap/>
                  <w:vAlign w:val="center"/>
                </w:tcPr>
                <w:p w14:paraId="705203DC">
                  <w:pPr>
                    <w:adjustRightInd w:val="0"/>
                    <w:snapToGrid w:val="0"/>
                    <w:jc w:val="center"/>
                    <w:rPr>
                      <w:bCs/>
                      <w:color w:val="auto"/>
                      <w:sz w:val="18"/>
                      <w:szCs w:val="18"/>
                      <w:highlight w:val="none"/>
                    </w:rPr>
                  </w:pPr>
                  <w:r>
                    <w:rPr>
                      <w:bCs/>
                      <w:color w:val="auto"/>
                      <w:sz w:val="18"/>
                      <w:szCs w:val="18"/>
                      <w:highlight w:val="none"/>
                    </w:rPr>
                    <w:t>监测点位</w:t>
                  </w:r>
                </w:p>
              </w:tc>
              <w:tc>
                <w:tcPr>
                  <w:tcW w:w="1036" w:type="dxa"/>
                  <w:tcBorders>
                    <w:top w:val="single" w:color="auto" w:sz="12" w:space="0"/>
                  </w:tcBorders>
                  <w:noWrap/>
                  <w:vAlign w:val="center"/>
                </w:tcPr>
                <w:p w14:paraId="6B4DDA35">
                  <w:pPr>
                    <w:adjustRightInd w:val="0"/>
                    <w:snapToGrid w:val="0"/>
                    <w:jc w:val="center"/>
                    <w:rPr>
                      <w:bCs/>
                      <w:color w:val="auto"/>
                      <w:sz w:val="18"/>
                      <w:szCs w:val="18"/>
                      <w:highlight w:val="none"/>
                    </w:rPr>
                  </w:pPr>
                  <w:r>
                    <w:rPr>
                      <w:bCs/>
                      <w:color w:val="auto"/>
                      <w:sz w:val="18"/>
                      <w:szCs w:val="18"/>
                      <w:highlight w:val="none"/>
                    </w:rPr>
                    <w:t>监测因子</w:t>
                  </w:r>
                </w:p>
              </w:tc>
              <w:tc>
                <w:tcPr>
                  <w:tcW w:w="1077" w:type="dxa"/>
                  <w:tcBorders>
                    <w:top w:val="single" w:color="auto" w:sz="12" w:space="0"/>
                  </w:tcBorders>
                  <w:noWrap/>
                  <w:vAlign w:val="center"/>
                </w:tcPr>
                <w:p w14:paraId="4200C49F">
                  <w:pPr>
                    <w:adjustRightInd w:val="0"/>
                    <w:snapToGrid w:val="0"/>
                    <w:jc w:val="center"/>
                    <w:rPr>
                      <w:bCs/>
                      <w:color w:val="auto"/>
                      <w:sz w:val="18"/>
                      <w:szCs w:val="18"/>
                      <w:highlight w:val="none"/>
                    </w:rPr>
                  </w:pPr>
                  <w:r>
                    <w:rPr>
                      <w:bCs/>
                      <w:color w:val="auto"/>
                      <w:sz w:val="18"/>
                      <w:szCs w:val="18"/>
                      <w:highlight w:val="none"/>
                    </w:rPr>
                    <w:t>监测频次</w:t>
                  </w:r>
                </w:p>
              </w:tc>
              <w:tc>
                <w:tcPr>
                  <w:tcW w:w="4073" w:type="dxa"/>
                  <w:tcBorders>
                    <w:top w:val="single" w:color="auto" w:sz="12" w:space="0"/>
                  </w:tcBorders>
                  <w:noWrap/>
                  <w:vAlign w:val="center"/>
                </w:tcPr>
                <w:p w14:paraId="488D1228">
                  <w:pPr>
                    <w:adjustRightInd w:val="0"/>
                    <w:snapToGrid w:val="0"/>
                    <w:jc w:val="center"/>
                    <w:rPr>
                      <w:bCs/>
                      <w:color w:val="auto"/>
                      <w:sz w:val="18"/>
                      <w:szCs w:val="18"/>
                      <w:highlight w:val="none"/>
                    </w:rPr>
                  </w:pPr>
                  <w:r>
                    <w:rPr>
                      <w:rFonts w:hint="eastAsia"/>
                      <w:bCs/>
                      <w:color w:val="auto"/>
                      <w:sz w:val="18"/>
                      <w:szCs w:val="18"/>
                      <w:highlight w:val="none"/>
                    </w:rPr>
                    <w:t>执行标准</w:t>
                  </w:r>
                </w:p>
              </w:tc>
            </w:tr>
            <w:tr w14:paraId="685E11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1056" w:type="dxa"/>
                  <w:vMerge w:val="restart"/>
                  <w:noWrap/>
                  <w:vAlign w:val="center"/>
                </w:tcPr>
                <w:p w14:paraId="7257434A">
                  <w:pPr>
                    <w:adjustRightInd w:val="0"/>
                    <w:snapToGrid w:val="0"/>
                    <w:jc w:val="center"/>
                    <w:rPr>
                      <w:bCs/>
                      <w:color w:val="auto"/>
                      <w:sz w:val="18"/>
                      <w:szCs w:val="18"/>
                      <w:highlight w:val="none"/>
                    </w:rPr>
                  </w:pPr>
                  <w:r>
                    <w:rPr>
                      <w:rFonts w:hint="eastAsia"/>
                      <w:bCs/>
                      <w:color w:val="auto"/>
                      <w:sz w:val="18"/>
                      <w:szCs w:val="18"/>
                      <w:highlight w:val="none"/>
                    </w:rPr>
                    <w:t>无组织废气</w:t>
                  </w:r>
                </w:p>
              </w:tc>
              <w:tc>
                <w:tcPr>
                  <w:tcW w:w="1074" w:type="dxa"/>
                  <w:noWrap/>
                  <w:vAlign w:val="center"/>
                </w:tcPr>
                <w:p w14:paraId="05048CAA">
                  <w:pPr>
                    <w:adjustRightInd w:val="0"/>
                    <w:snapToGrid w:val="0"/>
                    <w:jc w:val="center"/>
                    <w:rPr>
                      <w:bCs/>
                      <w:color w:val="auto"/>
                      <w:sz w:val="18"/>
                      <w:szCs w:val="18"/>
                      <w:highlight w:val="none"/>
                    </w:rPr>
                  </w:pPr>
                  <w:r>
                    <w:rPr>
                      <w:bCs/>
                      <w:color w:val="auto"/>
                      <w:sz w:val="18"/>
                      <w:szCs w:val="18"/>
                      <w:highlight w:val="none"/>
                    </w:rPr>
                    <w:t>厂界</w:t>
                  </w:r>
                </w:p>
              </w:tc>
              <w:tc>
                <w:tcPr>
                  <w:tcW w:w="1036" w:type="dxa"/>
                  <w:noWrap/>
                  <w:vAlign w:val="center"/>
                </w:tcPr>
                <w:p w14:paraId="687A7F1B">
                  <w:pPr>
                    <w:adjustRightInd w:val="0"/>
                    <w:snapToGrid w:val="0"/>
                    <w:jc w:val="center"/>
                    <w:rPr>
                      <w:bCs/>
                      <w:color w:val="auto"/>
                      <w:sz w:val="18"/>
                      <w:szCs w:val="18"/>
                      <w:highlight w:val="none"/>
                    </w:rPr>
                  </w:pPr>
                  <w:r>
                    <w:rPr>
                      <w:bCs/>
                      <w:color w:val="auto"/>
                      <w:sz w:val="18"/>
                      <w:szCs w:val="18"/>
                      <w:highlight w:val="none"/>
                    </w:rPr>
                    <w:t>颗粒物</w:t>
                  </w:r>
                </w:p>
              </w:tc>
              <w:tc>
                <w:tcPr>
                  <w:tcW w:w="1077" w:type="dxa"/>
                  <w:noWrap/>
                  <w:vAlign w:val="center"/>
                </w:tcPr>
                <w:p w14:paraId="137EECC8">
                  <w:pPr>
                    <w:adjustRightInd w:val="0"/>
                    <w:snapToGrid w:val="0"/>
                    <w:jc w:val="center"/>
                    <w:rPr>
                      <w:bCs/>
                      <w:color w:val="auto"/>
                      <w:sz w:val="18"/>
                      <w:szCs w:val="18"/>
                      <w:highlight w:val="none"/>
                    </w:rPr>
                  </w:pPr>
                  <w:r>
                    <w:rPr>
                      <w:bCs/>
                      <w:color w:val="auto"/>
                      <w:sz w:val="18"/>
                      <w:szCs w:val="18"/>
                      <w:highlight w:val="none"/>
                    </w:rPr>
                    <w:t>1次/</w:t>
                  </w:r>
                  <w:r>
                    <w:rPr>
                      <w:rFonts w:hint="eastAsia"/>
                      <w:bCs/>
                      <w:color w:val="auto"/>
                      <w:sz w:val="18"/>
                      <w:szCs w:val="18"/>
                      <w:highlight w:val="none"/>
                    </w:rPr>
                    <w:t>季度</w:t>
                  </w:r>
                </w:p>
              </w:tc>
              <w:tc>
                <w:tcPr>
                  <w:tcW w:w="4073" w:type="dxa"/>
                  <w:noWrap/>
                  <w:vAlign w:val="center"/>
                </w:tcPr>
                <w:p w14:paraId="3713C173">
                  <w:pPr>
                    <w:adjustRightInd w:val="0"/>
                    <w:snapToGrid w:val="0"/>
                    <w:jc w:val="center"/>
                    <w:rPr>
                      <w:color w:val="auto"/>
                      <w:sz w:val="18"/>
                      <w:szCs w:val="18"/>
                      <w:highlight w:val="none"/>
                    </w:rPr>
                  </w:pPr>
                  <w:r>
                    <w:rPr>
                      <w:bCs/>
                      <w:color w:val="auto"/>
                      <w:sz w:val="18"/>
                      <w:szCs w:val="18"/>
                      <w:highlight w:val="none"/>
                    </w:rPr>
                    <w:t>《煤炭工业污染物排放标准》（GB20426-2006）</w:t>
                  </w:r>
                </w:p>
              </w:tc>
            </w:tr>
            <w:tr w14:paraId="4D6129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056" w:type="dxa"/>
                  <w:vMerge w:val="continue"/>
                  <w:noWrap/>
                  <w:vAlign w:val="center"/>
                </w:tcPr>
                <w:p w14:paraId="11BEC2DC">
                  <w:pPr>
                    <w:adjustRightInd w:val="0"/>
                    <w:snapToGrid w:val="0"/>
                    <w:jc w:val="center"/>
                    <w:rPr>
                      <w:bCs/>
                      <w:color w:val="auto"/>
                      <w:sz w:val="18"/>
                      <w:szCs w:val="18"/>
                      <w:highlight w:val="none"/>
                    </w:rPr>
                  </w:pPr>
                </w:p>
              </w:tc>
              <w:tc>
                <w:tcPr>
                  <w:tcW w:w="1074" w:type="dxa"/>
                  <w:noWrap/>
                  <w:vAlign w:val="center"/>
                </w:tcPr>
                <w:p w14:paraId="392AE921">
                  <w:pPr>
                    <w:adjustRightInd w:val="0"/>
                    <w:snapToGrid w:val="0"/>
                    <w:jc w:val="center"/>
                    <w:rPr>
                      <w:bCs/>
                      <w:color w:val="auto"/>
                      <w:sz w:val="18"/>
                      <w:szCs w:val="18"/>
                      <w:highlight w:val="none"/>
                    </w:rPr>
                  </w:pPr>
                  <w:r>
                    <w:rPr>
                      <w:bCs/>
                      <w:color w:val="auto"/>
                      <w:sz w:val="18"/>
                      <w:szCs w:val="18"/>
                      <w:highlight w:val="none"/>
                    </w:rPr>
                    <w:t>厂房外设</w:t>
                  </w:r>
                </w:p>
                <w:p w14:paraId="4432691A">
                  <w:pPr>
                    <w:adjustRightInd w:val="0"/>
                    <w:snapToGrid w:val="0"/>
                    <w:jc w:val="center"/>
                    <w:rPr>
                      <w:bCs/>
                      <w:color w:val="auto"/>
                      <w:sz w:val="18"/>
                      <w:szCs w:val="18"/>
                      <w:highlight w:val="none"/>
                    </w:rPr>
                  </w:pPr>
                  <w:r>
                    <w:rPr>
                      <w:bCs/>
                      <w:color w:val="auto"/>
                      <w:sz w:val="18"/>
                      <w:szCs w:val="18"/>
                      <w:highlight w:val="none"/>
                    </w:rPr>
                    <w:t>置监控点</w:t>
                  </w:r>
                </w:p>
              </w:tc>
              <w:tc>
                <w:tcPr>
                  <w:tcW w:w="1036" w:type="dxa"/>
                  <w:noWrap/>
                  <w:vAlign w:val="center"/>
                </w:tcPr>
                <w:p w14:paraId="7F480B95">
                  <w:pPr>
                    <w:adjustRightInd w:val="0"/>
                    <w:snapToGrid w:val="0"/>
                    <w:jc w:val="center"/>
                    <w:rPr>
                      <w:bCs/>
                      <w:color w:val="auto"/>
                      <w:sz w:val="18"/>
                      <w:szCs w:val="18"/>
                      <w:highlight w:val="none"/>
                    </w:rPr>
                  </w:pPr>
                  <w:r>
                    <w:rPr>
                      <w:bCs/>
                      <w:color w:val="auto"/>
                      <w:sz w:val="18"/>
                      <w:szCs w:val="18"/>
                      <w:highlight w:val="none"/>
                    </w:rPr>
                    <w:t>VOCs（以</w:t>
                  </w:r>
                </w:p>
                <w:p w14:paraId="71E8E5FD">
                  <w:pPr>
                    <w:adjustRightInd w:val="0"/>
                    <w:snapToGrid w:val="0"/>
                    <w:jc w:val="center"/>
                    <w:rPr>
                      <w:bCs/>
                      <w:color w:val="auto"/>
                      <w:sz w:val="18"/>
                      <w:szCs w:val="18"/>
                      <w:highlight w:val="none"/>
                    </w:rPr>
                  </w:pPr>
                  <w:r>
                    <w:rPr>
                      <w:bCs/>
                      <w:color w:val="auto"/>
                      <w:sz w:val="18"/>
                      <w:szCs w:val="18"/>
                      <w:highlight w:val="none"/>
                    </w:rPr>
                    <w:t>NMHC 计）</w:t>
                  </w:r>
                </w:p>
              </w:tc>
              <w:tc>
                <w:tcPr>
                  <w:tcW w:w="1077" w:type="dxa"/>
                  <w:noWrap/>
                  <w:vAlign w:val="center"/>
                </w:tcPr>
                <w:p w14:paraId="11C06243">
                  <w:pPr>
                    <w:adjustRightInd w:val="0"/>
                    <w:snapToGrid w:val="0"/>
                    <w:jc w:val="center"/>
                    <w:rPr>
                      <w:bCs/>
                      <w:color w:val="auto"/>
                      <w:sz w:val="18"/>
                      <w:szCs w:val="18"/>
                      <w:highlight w:val="none"/>
                    </w:rPr>
                  </w:pPr>
                  <w:r>
                    <w:rPr>
                      <w:bCs/>
                      <w:color w:val="auto"/>
                      <w:sz w:val="18"/>
                      <w:szCs w:val="18"/>
                      <w:highlight w:val="none"/>
                    </w:rPr>
                    <w:t>1次/年</w:t>
                  </w:r>
                </w:p>
              </w:tc>
              <w:tc>
                <w:tcPr>
                  <w:tcW w:w="4073" w:type="dxa"/>
                  <w:noWrap/>
                  <w:vAlign w:val="center"/>
                </w:tcPr>
                <w:p w14:paraId="4368E111">
                  <w:pPr>
                    <w:adjustRightInd w:val="0"/>
                    <w:snapToGrid w:val="0"/>
                    <w:jc w:val="center"/>
                    <w:rPr>
                      <w:bCs/>
                      <w:color w:val="auto"/>
                      <w:sz w:val="18"/>
                      <w:szCs w:val="18"/>
                      <w:highlight w:val="none"/>
                    </w:rPr>
                  </w:pPr>
                  <w:r>
                    <w:rPr>
                      <w:bCs/>
                      <w:color w:val="auto"/>
                      <w:sz w:val="18"/>
                      <w:szCs w:val="18"/>
                      <w:highlight w:val="none"/>
                    </w:rPr>
                    <w:t>《挥发性有机物无组织排放控制标准》（GB37822-2019）附录 A 厂区内 VOCs 无组织排放限值</w:t>
                  </w:r>
                </w:p>
              </w:tc>
            </w:tr>
            <w:tr w14:paraId="07F316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056" w:type="dxa"/>
                  <w:vMerge w:val="continue"/>
                  <w:noWrap/>
                  <w:vAlign w:val="center"/>
                </w:tcPr>
                <w:p w14:paraId="57C1D8FD">
                  <w:pPr>
                    <w:adjustRightInd w:val="0"/>
                    <w:snapToGrid w:val="0"/>
                    <w:jc w:val="center"/>
                    <w:rPr>
                      <w:bCs/>
                      <w:color w:val="auto"/>
                      <w:sz w:val="18"/>
                      <w:szCs w:val="18"/>
                      <w:highlight w:val="none"/>
                    </w:rPr>
                  </w:pPr>
                </w:p>
              </w:tc>
              <w:tc>
                <w:tcPr>
                  <w:tcW w:w="1074" w:type="dxa"/>
                  <w:noWrap/>
                  <w:vAlign w:val="center"/>
                </w:tcPr>
                <w:p w14:paraId="04814FF5">
                  <w:pPr>
                    <w:adjustRightInd w:val="0"/>
                    <w:snapToGrid w:val="0"/>
                    <w:jc w:val="center"/>
                    <w:rPr>
                      <w:bCs/>
                      <w:color w:val="auto"/>
                      <w:sz w:val="18"/>
                      <w:szCs w:val="18"/>
                      <w:highlight w:val="none"/>
                    </w:rPr>
                  </w:pPr>
                  <w:r>
                    <w:rPr>
                      <w:bCs/>
                      <w:color w:val="auto"/>
                      <w:sz w:val="18"/>
                      <w:szCs w:val="18"/>
                      <w:highlight w:val="none"/>
                    </w:rPr>
                    <w:t>厂界</w:t>
                  </w:r>
                </w:p>
              </w:tc>
              <w:tc>
                <w:tcPr>
                  <w:tcW w:w="1036" w:type="dxa"/>
                  <w:noWrap/>
                  <w:vAlign w:val="center"/>
                </w:tcPr>
                <w:p w14:paraId="4E032622">
                  <w:pPr>
                    <w:adjustRightInd w:val="0"/>
                    <w:snapToGrid w:val="0"/>
                    <w:jc w:val="center"/>
                    <w:rPr>
                      <w:bCs/>
                      <w:color w:val="auto"/>
                      <w:sz w:val="18"/>
                      <w:szCs w:val="18"/>
                      <w:highlight w:val="none"/>
                    </w:rPr>
                  </w:pPr>
                  <w:r>
                    <w:rPr>
                      <w:rFonts w:hint="eastAsia"/>
                      <w:bCs/>
                      <w:color w:val="auto"/>
                      <w:sz w:val="18"/>
                      <w:szCs w:val="18"/>
                      <w:highlight w:val="none"/>
                    </w:rPr>
                    <w:t>非甲烷总烃</w:t>
                  </w:r>
                </w:p>
              </w:tc>
              <w:tc>
                <w:tcPr>
                  <w:tcW w:w="1077" w:type="dxa"/>
                  <w:noWrap/>
                  <w:vAlign w:val="center"/>
                </w:tcPr>
                <w:p w14:paraId="05090889">
                  <w:pPr>
                    <w:pStyle w:val="48"/>
                    <w:rPr>
                      <w:rFonts w:ascii="Times New Roman" w:hAnsi="Times New Roman"/>
                      <w:bCs/>
                      <w:color w:val="auto"/>
                      <w:sz w:val="18"/>
                      <w:szCs w:val="18"/>
                      <w:highlight w:val="none"/>
                    </w:rPr>
                  </w:pPr>
                  <w:r>
                    <w:rPr>
                      <w:rFonts w:ascii="Times New Roman" w:hAnsi="Times New Roman"/>
                      <w:color w:val="auto"/>
                      <w:sz w:val="18"/>
                      <w:szCs w:val="18"/>
                      <w:highlight w:val="none"/>
                    </w:rPr>
                    <w:t>1次/年</w:t>
                  </w:r>
                </w:p>
              </w:tc>
              <w:tc>
                <w:tcPr>
                  <w:tcW w:w="4073" w:type="dxa"/>
                  <w:noWrap/>
                  <w:vAlign w:val="center"/>
                </w:tcPr>
                <w:p w14:paraId="6799F506">
                  <w:pPr>
                    <w:pStyle w:val="48"/>
                    <w:rPr>
                      <w:rFonts w:ascii="Times New Roman" w:hAnsi="Times New Roman"/>
                      <w:bCs/>
                      <w:color w:val="auto"/>
                      <w:sz w:val="18"/>
                      <w:szCs w:val="18"/>
                      <w:highlight w:val="none"/>
                    </w:rPr>
                  </w:pPr>
                  <w:r>
                    <w:rPr>
                      <w:rFonts w:ascii="Times New Roman" w:hAnsi="Times New Roman"/>
                      <w:color w:val="auto"/>
                      <w:sz w:val="18"/>
                      <w:szCs w:val="18"/>
                      <w:highlight w:val="none"/>
                    </w:rPr>
                    <w:t>《大气污染物综合排放标准》（GB16297-1996）中无组织排放监控浓度限值要求</w:t>
                  </w:r>
                </w:p>
              </w:tc>
            </w:tr>
            <w:tr w14:paraId="39DE6D7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056" w:type="dxa"/>
                  <w:noWrap/>
                  <w:vAlign w:val="center"/>
                </w:tcPr>
                <w:p w14:paraId="01F23207">
                  <w:pPr>
                    <w:adjustRightInd w:val="0"/>
                    <w:snapToGrid w:val="0"/>
                    <w:jc w:val="center"/>
                    <w:rPr>
                      <w:bCs/>
                      <w:color w:val="auto"/>
                      <w:sz w:val="18"/>
                      <w:szCs w:val="18"/>
                      <w:highlight w:val="none"/>
                    </w:rPr>
                  </w:pPr>
                  <w:r>
                    <w:rPr>
                      <w:rFonts w:hint="eastAsia"/>
                      <w:bCs/>
                      <w:color w:val="auto"/>
                      <w:sz w:val="18"/>
                      <w:szCs w:val="18"/>
                      <w:highlight w:val="none"/>
                    </w:rPr>
                    <w:t>有组织废气</w:t>
                  </w:r>
                </w:p>
              </w:tc>
              <w:tc>
                <w:tcPr>
                  <w:tcW w:w="1074" w:type="dxa"/>
                  <w:noWrap/>
                  <w:vAlign w:val="center"/>
                </w:tcPr>
                <w:p w14:paraId="33773DA4">
                  <w:pPr>
                    <w:adjustRightInd w:val="0"/>
                    <w:snapToGrid w:val="0"/>
                    <w:jc w:val="center"/>
                    <w:rPr>
                      <w:bCs/>
                      <w:color w:val="auto"/>
                      <w:sz w:val="18"/>
                      <w:szCs w:val="18"/>
                      <w:highlight w:val="none"/>
                    </w:rPr>
                  </w:pPr>
                  <w:r>
                    <w:rPr>
                      <w:rFonts w:hint="eastAsia"/>
                      <w:bCs/>
                      <w:color w:val="auto"/>
                      <w:sz w:val="18"/>
                      <w:szCs w:val="18"/>
                      <w:highlight w:val="none"/>
                    </w:rPr>
                    <w:t>DA001排气筒</w:t>
                  </w:r>
                </w:p>
              </w:tc>
              <w:tc>
                <w:tcPr>
                  <w:tcW w:w="1036" w:type="dxa"/>
                  <w:noWrap/>
                  <w:vAlign w:val="center"/>
                </w:tcPr>
                <w:p w14:paraId="30B68C8C">
                  <w:pPr>
                    <w:adjustRightInd w:val="0"/>
                    <w:snapToGrid w:val="0"/>
                    <w:jc w:val="center"/>
                    <w:rPr>
                      <w:bCs/>
                      <w:color w:val="auto"/>
                      <w:sz w:val="18"/>
                      <w:szCs w:val="18"/>
                      <w:highlight w:val="none"/>
                    </w:rPr>
                  </w:pPr>
                  <w:r>
                    <w:rPr>
                      <w:bCs/>
                      <w:color w:val="auto"/>
                      <w:sz w:val="18"/>
                      <w:szCs w:val="18"/>
                      <w:highlight w:val="none"/>
                    </w:rPr>
                    <w:t>颗粒物</w:t>
                  </w:r>
                </w:p>
              </w:tc>
              <w:tc>
                <w:tcPr>
                  <w:tcW w:w="1077" w:type="dxa"/>
                  <w:noWrap/>
                  <w:vAlign w:val="center"/>
                </w:tcPr>
                <w:p w14:paraId="78B01592">
                  <w:pPr>
                    <w:adjustRightInd w:val="0"/>
                    <w:snapToGrid w:val="0"/>
                    <w:jc w:val="center"/>
                    <w:rPr>
                      <w:color w:val="auto"/>
                      <w:sz w:val="18"/>
                      <w:szCs w:val="18"/>
                      <w:highlight w:val="none"/>
                    </w:rPr>
                  </w:pPr>
                  <w:r>
                    <w:rPr>
                      <w:bCs/>
                      <w:color w:val="auto"/>
                      <w:sz w:val="18"/>
                      <w:szCs w:val="18"/>
                      <w:highlight w:val="none"/>
                    </w:rPr>
                    <w:t>1次/</w:t>
                  </w:r>
                  <w:r>
                    <w:rPr>
                      <w:rFonts w:hint="eastAsia"/>
                      <w:bCs/>
                      <w:color w:val="auto"/>
                      <w:sz w:val="18"/>
                      <w:szCs w:val="18"/>
                      <w:highlight w:val="none"/>
                    </w:rPr>
                    <w:t>年</w:t>
                  </w:r>
                </w:p>
              </w:tc>
              <w:tc>
                <w:tcPr>
                  <w:tcW w:w="4073" w:type="dxa"/>
                  <w:noWrap/>
                  <w:vAlign w:val="center"/>
                </w:tcPr>
                <w:p w14:paraId="041D8C41">
                  <w:pPr>
                    <w:adjustRightInd w:val="0"/>
                    <w:snapToGrid w:val="0"/>
                    <w:jc w:val="center"/>
                    <w:rPr>
                      <w:color w:val="auto"/>
                      <w:sz w:val="18"/>
                      <w:szCs w:val="18"/>
                      <w:highlight w:val="none"/>
                    </w:rPr>
                  </w:pPr>
                  <w:r>
                    <w:rPr>
                      <w:color w:val="auto"/>
                      <w:sz w:val="18"/>
                      <w:szCs w:val="18"/>
                      <w:highlight w:val="none"/>
                    </w:rPr>
                    <w:t>《大气污染物综合排放标准》（GB16297-1996）表2中二级标准限值</w:t>
                  </w:r>
                </w:p>
              </w:tc>
            </w:tr>
          </w:tbl>
          <w:p w14:paraId="3898F589">
            <w:pPr>
              <w:adjustRightInd w:val="0"/>
              <w:snapToGrid w:val="0"/>
              <w:spacing w:line="360" w:lineRule="auto"/>
              <w:rPr>
                <w:b/>
                <w:color w:val="auto"/>
                <w:szCs w:val="21"/>
                <w:highlight w:val="none"/>
              </w:rPr>
            </w:pPr>
            <w:r>
              <w:rPr>
                <w:b/>
                <w:color w:val="auto"/>
                <w:szCs w:val="21"/>
                <w:highlight w:val="none"/>
              </w:rPr>
              <w:t>2、废水</w:t>
            </w:r>
          </w:p>
          <w:p w14:paraId="09C14303">
            <w:pPr>
              <w:adjustRightInd w:val="0"/>
              <w:snapToGrid w:val="0"/>
              <w:spacing w:line="360" w:lineRule="auto"/>
              <w:ind w:firstLine="420" w:firstLineChars="200"/>
              <w:rPr>
                <w:color w:val="auto"/>
                <w:highlight w:val="none"/>
              </w:rPr>
            </w:pPr>
            <w:r>
              <w:rPr>
                <w:color w:val="auto"/>
                <w:highlight w:val="none"/>
              </w:rPr>
              <w:t>（1）废水种类及产排污量</w:t>
            </w:r>
          </w:p>
          <w:p w14:paraId="499A697D">
            <w:pPr>
              <w:adjustRightInd w:val="0"/>
              <w:snapToGrid w:val="0"/>
              <w:spacing w:line="360" w:lineRule="auto"/>
              <w:ind w:firstLine="420" w:firstLineChars="200"/>
              <w:rPr>
                <w:color w:val="auto"/>
                <w:highlight w:val="none"/>
              </w:rPr>
            </w:pPr>
            <w:r>
              <w:rPr>
                <w:color w:val="auto"/>
                <w:highlight w:val="none"/>
              </w:rPr>
              <w:t>1）生产废水</w:t>
            </w:r>
          </w:p>
          <w:p w14:paraId="63216414">
            <w:pPr>
              <w:adjustRightInd w:val="0"/>
              <w:snapToGrid w:val="0"/>
              <w:spacing w:line="360" w:lineRule="auto"/>
              <w:ind w:firstLine="420" w:firstLineChars="200"/>
              <w:rPr>
                <w:color w:val="auto"/>
                <w:highlight w:val="none"/>
              </w:rPr>
            </w:pPr>
            <w:r>
              <w:rPr>
                <w:color w:val="auto"/>
                <w:highlight w:val="none"/>
              </w:rPr>
              <w:t>项目煤泥浮选生产线产生的煤泥水经浓缩、沉淀处理后回用于生产</w:t>
            </w:r>
            <w:r>
              <w:rPr>
                <w:rFonts w:hint="eastAsia"/>
                <w:color w:val="auto"/>
                <w:highlight w:val="none"/>
              </w:rPr>
              <w:t>线</w:t>
            </w:r>
            <w:r>
              <w:rPr>
                <w:color w:val="auto"/>
                <w:highlight w:val="none"/>
              </w:rPr>
              <w:t>。</w:t>
            </w:r>
          </w:p>
          <w:p w14:paraId="09F1F5E4">
            <w:pPr>
              <w:adjustRightInd w:val="0"/>
              <w:snapToGrid w:val="0"/>
              <w:spacing w:line="360" w:lineRule="auto"/>
              <w:ind w:firstLine="420" w:firstLineChars="200"/>
              <w:rPr>
                <w:color w:val="auto"/>
                <w:highlight w:val="none"/>
              </w:rPr>
            </w:pPr>
            <w:r>
              <w:rPr>
                <w:color w:val="auto"/>
                <w:highlight w:val="none"/>
              </w:rPr>
              <w:t>本项目煤泥浮选生产线、煤矸石洗选生产线压滤水通过水泵泵入循环水池沉淀后循环使用；尾矿及大部分液体通过浆泵泵入浓缩机，浓缩沉降后浓缩机溢流水通过水泵泵入循环水池沉淀后循环使用；浓缩机底流经底流泵打到尾矿压滤机入料搅拌桶，再经压滤机脱水，压滤水通过水泵泵入循环水池沉淀后循环使用。</w:t>
            </w:r>
            <w:r>
              <w:rPr>
                <w:rFonts w:hint="eastAsia"/>
                <w:color w:val="auto"/>
                <w:highlight w:val="none"/>
              </w:rPr>
              <w:t>生产</w:t>
            </w:r>
            <w:r>
              <w:rPr>
                <w:color w:val="auto"/>
                <w:highlight w:val="none"/>
              </w:rPr>
              <w:t>车间、浓缩车间及循环水池位置相邻，设备之间、各池体之间均采用密闭管道连接，各池体结构均采用防渗结构，本项目生产废水形成闭路循环，不外排。</w:t>
            </w:r>
          </w:p>
          <w:p w14:paraId="329A45F1">
            <w:pPr>
              <w:pStyle w:val="64"/>
              <w:adjustRightInd w:val="0"/>
              <w:snapToGrid w:val="0"/>
              <w:spacing w:line="360" w:lineRule="auto"/>
              <w:ind w:firstLine="420" w:firstLineChars="200"/>
              <w:rPr>
                <w:rFonts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lang w:eastAsia="zh-CN"/>
              </w:rPr>
              <w:t>2）生活污水</w:t>
            </w:r>
          </w:p>
          <w:p w14:paraId="77392997">
            <w:pPr>
              <w:adjustRightInd w:val="0"/>
              <w:snapToGrid w:val="0"/>
              <w:spacing w:line="360" w:lineRule="auto"/>
              <w:ind w:firstLine="420" w:firstLineChars="200"/>
              <w:rPr>
                <w:color w:val="auto"/>
                <w:kern w:val="0"/>
                <w:szCs w:val="21"/>
                <w:highlight w:val="none"/>
              </w:rPr>
            </w:pPr>
            <w:r>
              <w:rPr>
                <w:color w:val="auto"/>
                <w:szCs w:val="21"/>
                <w:highlight w:val="none"/>
              </w:rPr>
              <w:t>本项目劳动定员</w:t>
            </w:r>
            <w:r>
              <w:rPr>
                <w:rFonts w:hint="eastAsia"/>
                <w:color w:val="auto"/>
                <w:szCs w:val="21"/>
                <w:highlight w:val="none"/>
              </w:rPr>
              <w:t>16</w:t>
            </w:r>
            <w:r>
              <w:rPr>
                <w:color w:val="auto"/>
                <w:szCs w:val="21"/>
                <w:highlight w:val="none"/>
              </w:rPr>
              <w:t>人，员工生活污水排放量按用水量的80%计，约为3.84t/d，1152t/a，生活废水排入防渗旱厕，定期清掏，外运堆肥，不外排。</w:t>
            </w:r>
            <w:r>
              <w:rPr>
                <w:color w:val="auto"/>
                <w:kern w:val="0"/>
                <w:szCs w:val="21"/>
                <w:highlight w:val="none"/>
              </w:rPr>
              <w:t>根据《给水排水设计手册（第六册）》，同时根据我国北方典型生活污水水质，确定该项目生活污水产生浓度分别为 COD350mg/L，BOD</w:t>
            </w:r>
            <w:r>
              <w:rPr>
                <w:color w:val="auto"/>
                <w:kern w:val="0"/>
                <w:szCs w:val="21"/>
                <w:highlight w:val="none"/>
                <w:vertAlign w:val="subscript"/>
              </w:rPr>
              <w:t>5</w:t>
            </w:r>
            <w:r>
              <w:rPr>
                <w:color w:val="auto"/>
                <w:kern w:val="0"/>
                <w:szCs w:val="21"/>
                <w:highlight w:val="none"/>
              </w:rPr>
              <w:t>240mg/L，SS143mg/L，氨氮 35mg/L。</w:t>
            </w:r>
          </w:p>
          <w:p w14:paraId="10058847">
            <w:pPr>
              <w:adjustRightInd w:val="0"/>
              <w:snapToGrid w:val="0"/>
              <w:spacing w:line="360" w:lineRule="auto"/>
              <w:ind w:firstLine="416" w:firstLineChars="200"/>
              <w:rPr>
                <w:color w:val="auto"/>
                <w:spacing w:val="-1"/>
                <w:szCs w:val="21"/>
                <w:highlight w:val="none"/>
              </w:rPr>
            </w:pPr>
            <w:r>
              <w:rPr>
                <w:rFonts w:hint="eastAsia"/>
                <w:color w:val="auto"/>
                <w:spacing w:val="-1"/>
                <w:szCs w:val="21"/>
                <w:highlight w:val="none"/>
              </w:rPr>
              <w:t>3）初期雨水</w:t>
            </w:r>
          </w:p>
          <w:p w14:paraId="053F2CDA">
            <w:pPr>
              <w:adjustRightInd w:val="0"/>
              <w:snapToGrid w:val="0"/>
              <w:spacing w:line="360" w:lineRule="auto"/>
              <w:ind w:firstLine="420" w:firstLineChars="200"/>
              <w:rPr>
                <w:bCs/>
                <w:color w:val="auto"/>
                <w:szCs w:val="21"/>
                <w:highlight w:val="none"/>
              </w:rPr>
            </w:pPr>
            <w:r>
              <w:rPr>
                <w:rFonts w:hint="eastAsia"/>
                <w:bCs/>
                <w:color w:val="auto"/>
                <w:szCs w:val="21"/>
                <w:highlight w:val="none"/>
              </w:rPr>
              <w:t>厂区汇集雨水主要来源为降水，即初期雨水。按照暴雨强度公式，进而推出雨水汇水量，暴雨强度根据软件计算：</w:t>
            </w:r>
          </w:p>
          <w:p w14:paraId="756E2F0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center"/>
              <w:textAlignment w:val="auto"/>
              <w:rPr>
                <w:color w:val="auto"/>
                <w:szCs w:val="21"/>
                <w:highlight w:val="none"/>
              </w:rPr>
            </w:pPr>
            <w:r>
              <w:rPr>
                <w:color w:val="auto"/>
                <w:highlight w:val="none"/>
              </w:rPr>
              <w:drawing>
                <wp:inline distT="0" distB="0" distL="114300" distR="114300">
                  <wp:extent cx="3275965" cy="3413125"/>
                  <wp:effectExtent l="0" t="0" r="635" b="1587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1"/>
                          <a:stretch>
                            <a:fillRect/>
                          </a:stretch>
                        </pic:blipFill>
                        <pic:spPr>
                          <a:xfrm>
                            <a:off x="0" y="0"/>
                            <a:ext cx="3275965" cy="3413125"/>
                          </a:xfrm>
                          <a:prstGeom prst="rect">
                            <a:avLst/>
                          </a:prstGeom>
                          <a:noFill/>
                          <a:ln>
                            <a:noFill/>
                          </a:ln>
                        </pic:spPr>
                      </pic:pic>
                    </a:graphicData>
                  </a:graphic>
                </wp:inline>
              </w:drawing>
            </w:r>
          </w:p>
          <w:p w14:paraId="44509061">
            <w:pPr>
              <w:pStyle w:val="2"/>
              <w:spacing w:before="0" w:after="0" w:line="360" w:lineRule="auto"/>
              <w:ind w:right="0"/>
              <w:jc w:val="center"/>
              <w:rPr>
                <w:color w:val="auto"/>
                <w:sz w:val="21"/>
                <w:szCs w:val="21"/>
                <w:highlight w:val="none"/>
              </w:rPr>
            </w:pPr>
            <w:r>
              <w:rPr>
                <w:rFonts w:hint="eastAsia"/>
                <w:b/>
                <w:bCs/>
                <w:color w:val="auto"/>
                <w:kern w:val="2"/>
                <w:sz w:val="21"/>
                <w:szCs w:val="21"/>
                <w:highlight w:val="none"/>
              </w:rPr>
              <w:t>图4-1  暴雨强度及雨水流量计算截图</w:t>
            </w:r>
          </w:p>
          <w:p w14:paraId="60632B57">
            <w:pPr>
              <w:adjustRightInd w:val="0"/>
              <w:snapToGrid w:val="0"/>
              <w:spacing w:line="360" w:lineRule="auto"/>
              <w:ind w:firstLine="420" w:firstLineChars="200"/>
              <w:rPr>
                <w:bCs/>
                <w:color w:val="auto"/>
                <w:szCs w:val="21"/>
                <w:highlight w:val="none"/>
              </w:rPr>
            </w:pPr>
            <w:r>
              <w:rPr>
                <w:rFonts w:hint="eastAsia"/>
                <w:bCs/>
                <w:color w:val="auto"/>
                <w:szCs w:val="21"/>
                <w:highlight w:val="none"/>
              </w:rPr>
              <w:t>由上计算可知，初期雨水15min汇水量为145.79m</w:t>
            </w:r>
            <w:r>
              <w:rPr>
                <w:rFonts w:hint="eastAsia"/>
                <w:bCs/>
                <w:color w:val="auto"/>
                <w:szCs w:val="21"/>
                <w:highlight w:val="none"/>
                <w:vertAlign w:val="superscript"/>
              </w:rPr>
              <w:t>3</w:t>
            </w:r>
            <w:r>
              <w:rPr>
                <w:rFonts w:hint="eastAsia"/>
                <w:bCs/>
                <w:color w:val="auto"/>
                <w:szCs w:val="21"/>
                <w:highlight w:val="none"/>
              </w:rPr>
              <w:t>，厂区四周设置雨水导流沟，雨水收集池建设在厂区东北角，本项目设置容积为150m</w:t>
            </w:r>
            <w:r>
              <w:rPr>
                <w:rFonts w:hint="eastAsia"/>
                <w:bCs/>
                <w:color w:val="auto"/>
                <w:szCs w:val="21"/>
                <w:highlight w:val="none"/>
                <w:vertAlign w:val="superscript"/>
              </w:rPr>
              <w:t>3</w:t>
            </w:r>
            <w:r>
              <w:rPr>
                <w:rFonts w:hint="eastAsia"/>
                <w:bCs/>
                <w:color w:val="auto"/>
                <w:szCs w:val="21"/>
                <w:highlight w:val="none"/>
              </w:rPr>
              <w:t>，通过截断阀控制初期雨水收集，收集沉淀后用于降尘用水。</w:t>
            </w:r>
          </w:p>
          <w:p w14:paraId="0E24A2AF">
            <w:pPr>
              <w:spacing w:line="360" w:lineRule="auto"/>
              <w:ind w:firstLine="420" w:firstLineChars="200"/>
              <w:rPr>
                <w:b/>
                <w:bCs/>
                <w:color w:val="auto"/>
                <w:szCs w:val="21"/>
                <w:highlight w:val="none"/>
              </w:rPr>
            </w:pPr>
            <w:r>
              <w:rPr>
                <w:rFonts w:hint="eastAsia"/>
                <w:color w:val="auto"/>
                <w:szCs w:val="21"/>
                <w:highlight w:val="none"/>
              </w:rPr>
              <w:t>本项目设置雨水收集池及导流沟对雨水进行收集，通过截断阀控制初期雨水，收集后的雨水经沉淀后回用于洒水降尘。由上文可知，本项目雨水收集池体积通过鸡西市暴雨强度推导出雨水汇水量进而计算得出的，项目雨水收集池体积在计算结果上进行增加，雨水收集池池容能够满足初期雨水收集需求。</w:t>
            </w:r>
          </w:p>
          <w:p w14:paraId="7F1FB4D8">
            <w:pPr>
              <w:spacing w:line="360" w:lineRule="auto"/>
              <w:ind w:firstLine="420" w:firstLineChars="200"/>
              <w:rPr>
                <w:rFonts w:hint="eastAsia" w:eastAsia="宋体"/>
                <w:color w:val="auto"/>
                <w:spacing w:val="-1"/>
                <w:szCs w:val="21"/>
                <w:highlight w:val="none"/>
                <w:lang w:eastAsia="zh-CN"/>
              </w:rPr>
            </w:pPr>
            <w:r>
              <w:rPr>
                <w:rFonts w:hint="eastAsia"/>
                <w:bCs/>
                <w:color w:val="auto"/>
                <w:szCs w:val="21"/>
                <w:highlight w:val="none"/>
              </w:rPr>
              <w:t>由上计算可知，初期雨水15min汇水量为145.79m</w:t>
            </w:r>
            <w:r>
              <w:rPr>
                <w:rFonts w:hint="eastAsia"/>
                <w:bCs/>
                <w:color w:val="auto"/>
                <w:szCs w:val="21"/>
                <w:highlight w:val="none"/>
                <w:vertAlign w:val="superscript"/>
              </w:rPr>
              <w:t>3</w:t>
            </w:r>
            <w:r>
              <w:rPr>
                <w:rFonts w:hint="eastAsia"/>
                <w:bCs/>
                <w:color w:val="auto"/>
                <w:szCs w:val="21"/>
                <w:highlight w:val="none"/>
              </w:rPr>
              <w:t>，间歇降雨频次按</w:t>
            </w:r>
            <w:r>
              <w:rPr>
                <w:rFonts w:hint="eastAsia"/>
                <w:bCs/>
                <w:color w:val="auto"/>
                <w:szCs w:val="21"/>
                <w:highlight w:val="none"/>
                <w:lang w:val="en-US" w:eastAsia="zh-CN"/>
              </w:rPr>
              <w:t>10</w:t>
            </w:r>
            <w:r>
              <w:rPr>
                <w:rFonts w:hint="eastAsia"/>
                <w:bCs/>
                <w:color w:val="auto"/>
                <w:szCs w:val="21"/>
                <w:highlight w:val="none"/>
              </w:rPr>
              <w:t>次/年计，</w:t>
            </w:r>
            <w:r>
              <w:rPr>
                <w:rFonts w:hint="eastAsia"/>
                <w:color w:val="auto"/>
                <w:szCs w:val="21"/>
                <w:highlight w:val="none"/>
              </w:rPr>
              <w:t>年初期雨水量</w:t>
            </w:r>
            <w:r>
              <w:rPr>
                <w:rFonts w:hint="eastAsia"/>
                <w:bCs/>
                <w:color w:val="auto"/>
                <w:szCs w:val="21"/>
                <w:highlight w:val="none"/>
              </w:rPr>
              <w:t>约为</w:t>
            </w:r>
            <w:r>
              <w:rPr>
                <w:rFonts w:hint="eastAsia"/>
                <w:bCs/>
                <w:color w:val="auto"/>
                <w:szCs w:val="21"/>
                <w:highlight w:val="none"/>
                <w:lang w:val="en-US" w:eastAsia="zh-CN"/>
              </w:rPr>
              <w:t>1457.9</w:t>
            </w:r>
            <w:r>
              <w:rPr>
                <w:rFonts w:hint="eastAsia"/>
                <w:bCs/>
                <w:color w:val="auto"/>
                <w:szCs w:val="21"/>
                <w:highlight w:val="none"/>
              </w:rPr>
              <w:t>m</w:t>
            </w:r>
            <w:r>
              <w:rPr>
                <w:rFonts w:hint="eastAsia"/>
                <w:bCs/>
                <w:color w:val="auto"/>
                <w:szCs w:val="21"/>
                <w:highlight w:val="none"/>
                <w:vertAlign w:val="superscript"/>
              </w:rPr>
              <w:t>3</w:t>
            </w:r>
            <w:r>
              <w:rPr>
                <w:rFonts w:hint="eastAsia"/>
                <w:bCs/>
                <w:color w:val="auto"/>
                <w:szCs w:val="21"/>
                <w:highlight w:val="none"/>
              </w:rPr>
              <w:t>/a，</w:t>
            </w:r>
            <w:r>
              <w:rPr>
                <w:rFonts w:hint="eastAsia"/>
                <w:color w:val="auto"/>
                <w:szCs w:val="21"/>
                <w:highlight w:val="none"/>
              </w:rPr>
              <w:t>根据上文水平衡可知，堆场及道路洒水年使用量1584m</w:t>
            </w:r>
            <w:r>
              <w:rPr>
                <w:rFonts w:hint="eastAsia"/>
                <w:color w:val="auto"/>
                <w:szCs w:val="21"/>
                <w:highlight w:val="none"/>
                <w:vertAlign w:val="superscript"/>
              </w:rPr>
              <w:t>3</w:t>
            </w:r>
            <w:r>
              <w:rPr>
                <w:rFonts w:hint="eastAsia"/>
                <w:color w:val="auto"/>
                <w:szCs w:val="21"/>
                <w:highlight w:val="none"/>
              </w:rPr>
              <w:t>，雨水收集池收集的初期雨水能够全部用于洒水降尘</w:t>
            </w:r>
            <w:r>
              <w:rPr>
                <w:rFonts w:hint="eastAsia"/>
                <w:color w:val="auto"/>
                <w:szCs w:val="21"/>
                <w:highlight w:val="none"/>
                <w:lang w:val="en-US" w:eastAsia="zh-CN"/>
              </w:rPr>
              <w:t>。</w:t>
            </w:r>
          </w:p>
          <w:p w14:paraId="68D3188C">
            <w:pPr>
              <w:adjustRightInd w:val="0"/>
              <w:snapToGrid w:val="0"/>
              <w:spacing w:line="360" w:lineRule="auto"/>
              <w:ind w:firstLine="420" w:firstLineChars="200"/>
              <w:rPr>
                <w:color w:val="auto"/>
                <w:szCs w:val="21"/>
                <w:highlight w:val="none"/>
              </w:rPr>
            </w:pPr>
            <w:r>
              <w:rPr>
                <w:color w:val="auto"/>
                <w:szCs w:val="21"/>
                <w:highlight w:val="none"/>
              </w:rPr>
              <w:t>（2）污染防治措施合理性分析</w:t>
            </w:r>
          </w:p>
          <w:p w14:paraId="7A5455BC">
            <w:pPr>
              <w:adjustRightInd w:val="0"/>
              <w:snapToGrid w:val="0"/>
              <w:spacing w:line="360" w:lineRule="auto"/>
              <w:ind w:firstLine="420" w:firstLineChars="200"/>
              <w:rPr>
                <w:color w:val="auto"/>
                <w:szCs w:val="21"/>
                <w:highlight w:val="none"/>
              </w:rPr>
            </w:pPr>
            <w:r>
              <w:rPr>
                <w:color w:val="auto"/>
                <w:szCs w:val="21"/>
                <w:highlight w:val="none"/>
              </w:rPr>
              <w:t>1）生产废水</w:t>
            </w:r>
          </w:p>
          <w:p w14:paraId="005EF793">
            <w:pPr>
              <w:adjustRightInd w:val="0"/>
              <w:snapToGrid w:val="0"/>
              <w:spacing w:line="360" w:lineRule="auto"/>
              <w:ind w:firstLine="420" w:firstLineChars="200"/>
              <w:rPr>
                <w:color w:val="auto"/>
                <w:szCs w:val="21"/>
                <w:highlight w:val="none"/>
              </w:rPr>
            </w:pPr>
            <w:r>
              <w:rPr>
                <w:color w:val="auto"/>
                <w:szCs w:val="21"/>
                <w:highlight w:val="none"/>
              </w:rPr>
              <w:t>项目煤泥浮选生产线的煤泥水经浓缩、沉淀处理后回用于</w:t>
            </w:r>
            <w:r>
              <w:rPr>
                <w:rFonts w:hint="eastAsia"/>
                <w:color w:val="auto"/>
                <w:szCs w:val="21"/>
                <w:highlight w:val="none"/>
                <w:lang w:val="en-US" w:eastAsia="zh-CN"/>
              </w:rPr>
              <w:t>浮选</w:t>
            </w:r>
            <w:r>
              <w:rPr>
                <w:color w:val="auto"/>
                <w:szCs w:val="21"/>
                <w:highlight w:val="none"/>
              </w:rPr>
              <w:t>生产过程。本项目无工艺废水排放；生产过程中补充的新水，大部分被产品带走</w:t>
            </w:r>
            <w:r>
              <w:rPr>
                <w:rFonts w:hint="eastAsia"/>
                <w:color w:val="auto"/>
                <w:szCs w:val="21"/>
                <w:highlight w:val="none"/>
                <w:lang w:val="en-US" w:eastAsia="zh-CN"/>
              </w:rPr>
              <w:t>和蒸发消耗</w:t>
            </w:r>
            <w:r>
              <w:rPr>
                <w:color w:val="auto"/>
                <w:szCs w:val="21"/>
                <w:highlight w:val="none"/>
              </w:rPr>
              <w:t>，无排放。</w:t>
            </w:r>
          </w:p>
          <w:p w14:paraId="3377DBE0">
            <w:pPr>
              <w:adjustRightInd w:val="0"/>
              <w:snapToGrid w:val="0"/>
              <w:spacing w:line="360" w:lineRule="auto"/>
              <w:ind w:firstLine="420" w:firstLineChars="200"/>
              <w:rPr>
                <w:color w:val="auto"/>
                <w:szCs w:val="21"/>
                <w:highlight w:val="none"/>
              </w:rPr>
            </w:pPr>
            <w:r>
              <w:rPr>
                <w:color w:val="auto"/>
                <w:szCs w:val="21"/>
                <w:highlight w:val="none"/>
              </w:rPr>
              <w:t>2）初期雨水和堆场淋溶水</w:t>
            </w:r>
          </w:p>
          <w:p w14:paraId="5203D740">
            <w:pPr>
              <w:adjustRightInd w:val="0"/>
              <w:snapToGrid w:val="0"/>
              <w:spacing w:line="360" w:lineRule="auto"/>
              <w:ind w:firstLine="420" w:firstLineChars="200"/>
              <w:rPr>
                <w:color w:val="auto"/>
                <w:szCs w:val="21"/>
                <w:highlight w:val="none"/>
              </w:rPr>
            </w:pPr>
            <w:r>
              <w:rPr>
                <w:color w:val="auto"/>
                <w:szCs w:val="21"/>
                <w:highlight w:val="none"/>
              </w:rPr>
              <w:t>本项目</w:t>
            </w:r>
            <w:r>
              <w:rPr>
                <w:rFonts w:hint="eastAsia"/>
                <w:color w:val="auto"/>
                <w:szCs w:val="21"/>
                <w:highlight w:val="none"/>
              </w:rPr>
              <w:t>物料棚</w:t>
            </w:r>
            <w:r>
              <w:rPr>
                <w:color w:val="auto"/>
                <w:szCs w:val="21"/>
                <w:highlight w:val="none"/>
              </w:rPr>
              <w:t>四周设置雨水收集沟，将初期雨水收集至初期雨水池，经沉淀处理后用于洒水降尘。防止雨水溢流污染周围环境。初期雨水中污染物主要为</w:t>
            </w:r>
            <w:r>
              <w:rPr>
                <w:rFonts w:hint="eastAsia"/>
                <w:color w:val="auto"/>
                <w:szCs w:val="21"/>
                <w:highlight w:val="none"/>
              </w:rPr>
              <w:t>物料棚</w:t>
            </w:r>
            <w:r>
              <w:rPr>
                <w:color w:val="auto"/>
                <w:szCs w:val="21"/>
                <w:highlight w:val="none"/>
              </w:rPr>
              <w:t>地面因沉降、洒落等粉尘，经收集后可以回用于洒水降尘</w:t>
            </w:r>
            <w:r>
              <w:rPr>
                <w:rFonts w:hint="eastAsia"/>
                <w:color w:val="auto"/>
                <w:szCs w:val="21"/>
                <w:highlight w:val="none"/>
              </w:rPr>
              <w:t>、浮选用水</w:t>
            </w:r>
            <w:r>
              <w:rPr>
                <w:color w:val="auto"/>
                <w:szCs w:val="21"/>
                <w:highlight w:val="none"/>
              </w:rPr>
              <w:t>，废水利用措施合理且可行。本项目初期雨水收集池容积为</w:t>
            </w:r>
            <w:r>
              <w:rPr>
                <w:rFonts w:hint="eastAsia"/>
                <w:color w:val="auto"/>
                <w:szCs w:val="21"/>
                <w:highlight w:val="none"/>
              </w:rPr>
              <w:t>150</w:t>
            </w:r>
            <w:r>
              <w:rPr>
                <w:color w:val="auto"/>
                <w:szCs w:val="21"/>
                <w:highlight w:val="none"/>
              </w:rPr>
              <w:t>m</w:t>
            </w:r>
            <w:r>
              <w:rPr>
                <w:color w:val="auto"/>
                <w:szCs w:val="21"/>
                <w:highlight w:val="none"/>
                <w:vertAlign w:val="superscript"/>
              </w:rPr>
              <w:t>3</w:t>
            </w:r>
            <w:r>
              <w:rPr>
                <w:color w:val="auto"/>
                <w:szCs w:val="21"/>
                <w:highlight w:val="none"/>
              </w:rPr>
              <w:t>，可以满足厂区内初期雨水容纳需求池体容积可行，初期雨水收集池位于厂区低洼处，能够保证厂区内初期雨水被全部收集。</w:t>
            </w:r>
          </w:p>
          <w:p w14:paraId="5D01D449">
            <w:pPr>
              <w:adjustRightInd w:val="0"/>
              <w:snapToGrid w:val="0"/>
              <w:spacing w:line="360" w:lineRule="auto"/>
              <w:ind w:firstLine="420" w:firstLineChars="200"/>
              <w:rPr>
                <w:color w:val="auto"/>
                <w:szCs w:val="21"/>
                <w:highlight w:val="none"/>
              </w:rPr>
            </w:pPr>
            <w:r>
              <w:rPr>
                <w:rFonts w:hint="eastAsia"/>
                <w:color w:val="auto"/>
                <w:szCs w:val="21"/>
                <w:highlight w:val="none"/>
              </w:rPr>
              <w:t>3</w:t>
            </w:r>
            <w:r>
              <w:rPr>
                <w:color w:val="auto"/>
                <w:szCs w:val="21"/>
                <w:highlight w:val="none"/>
              </w:rPr>
              <w:t>）生活污水</w:t>
            </w:r>
          </w:p>
          <w:p w14:paraId="247B5477">
            <w:pPr>
              <w:adjustRightInd w:val="0"/>
              <w:snapToGrid w:val="0"/>
              <w:spacing w:line="360" w:lineRule="auto"/>
              <w:ind w:firstLine="420" w:firstLineChars="200"/>
              <w:rPr>
                <w:color w:val="auto"/>
                <w:szCs w:val="21"/>
                <w:highlight w:val="none"/>
              </w:rPr>
            </w:pPr>
            <w:r>
              <w:rPr>
                <w:color w:val="auto"/>
                <w:szCs w:val="21"/>
                <w:highlight w:val="none"/>
              </w:rPr>
              <w:t>生活污水排入防渗旱厕，定期清掏，外运堆肥，不外排。</w:t>
            </w:r>
          </w:p>
          <w:p w14:paraId="64F3B71D">
            <w:pPr>
              <w:adjustRightInd w:val="0"/>
              <w:snapToGrid w:val="0"/>
              <w:spacing w:line="360" w:lineRule="auto"/>
              <w:ind w:firstLine="420" w:firstLineChars="200"/>
              <w:rPr>
                <w:color w:val="auto"/>
                <w:szCs w:val="21"/>
                <w:highlight w:val="none"/>
              </w:rPr>
            </w:pPr>
            <w:r>
              <w:rPr>
                <w:color w:val="auto"/>
                <w:szCs w:val="21"/>
                <w:highlight w:val="none"/>
              </w:rPr>
              <w:t>（3）地表水环境影响结论</w:t>
            </w:r>
          </w:p>
          <w:p w14:paraId="6462A835">
            <w:pPr>
              <w:adjustRightInd w:val="0"/>
              <w:snapToGrid w:val="0"/>
              <w:spacing w:line="360" w:lineRule="auto"/>
              <w:ind w:firstLine="420" w:firstLineChars="200"/>
              <w:rPr>
                <w:bCs/>
                <w:color w:val="auto"/>
                <w:szCs w:val="21"/>
                <w:highlight w:val="none"/>
              </w:rPr>
            </w:pPr>
            <w:r>
              <w:rPr>
                <w:color w:val="auto"/>
                <w:szCs w:val="21"/>
                <w:highlight w:val="none"/>
              </w:rPr>
              <w:t>本项目在采取本报告表提出的污染防治措施情况下，排放的污染物对地表水环境影响较小，从水环境影响角度分析，本项目建设可行。</w:t>
            </w:r>
          </w:p>
          <w:p w14:paraId="2A921D05">
            <w:pPr>
              <w:widowControl/>
              <w:adjustRightInd w:val="0"/>
              <w:snapToGrid w:val="0"/>
              <w:spacing w:line="360" w:lineRule="auto"/>
              <w:ind w:firstLine="420" w:firstLineChars="200"/>
              <w:jc w:val="left"/>
              <w:rPr>
                <w:rFonts w:ascii="宋体" w:hAnsi="宋体" w:cs="宋体"/>
                <w:b/>
                <w:bCs/>
                <w:color w:val="auto"/>
                <w:szCs w:val="21"/>
                <w:highlight w:val="none"/>
              </w:rPr>
            </w:pPr>
            <w:r>
              <w:rPr>
                <w:color w:val="auto"/>
                <w:szCs w:val="21"/>
                <w:highlight w:val="none"/>
              </w:rPr>
              <w:t>本项目废水污染源源强核算结果见表4-</w:t>
            </w:r>
            <w:r>
              <w:rPr>
                <w:rFonts w:hint="eastAsia"/>
                <w:color w:val="auto"/>
                <w:szCs w:val="21"/>
                <w:highlight w:val="none"/>
                <w:lang w:val="en-US" w:eastAsia="zh-CN"/>
              </w:rPr>
              <w:t>4</w:t>
            </w:r>
            <w:r>
              <w:rPr>
                <w:rFonts w:hint="eastAsia" w:ascii="宋体" w:hAnsi="宋体" w:cs="宋体"/>
                <w:color w:val="auto"/>
                <w:szCs w:val="21"/>
                <w:highlight w:val="none"/>
              </w:rPr>
              <w:t>。</w:t>
            </w:r>
          </w:p>
          <w:p w14:paraId="451BA1EC">
            <w:pPr>
              <w:adjustRightInd w:val="0"/>
              <w:snapToGrid w:val="0"/>
              <w:jc w:val="center"/>
              <w:rPr>
                <w:b/>
                <w:bCs/>
                <w:color w:val="auto"/>
                <w:szCs w:val="21"/>
                <w:highlight w:val="none"/>
              </w:rPr>
            </w:pPr>
            <w:r>
              <w:rPr>
                <w:rFonts w:hint="eastAsia"/>
                <w:b/>
                <w:bCs/>
                <w:color w:val="auto"/>
                <w:szCs w:val="21"/>
                <w:highlight w:val="none"/>
              </w:rPr>
              <w:t>表4-</w:t>
            </w:r>
            <w:r>
              <w:rPr>
                <w:rFonts w:hint="eastAsia"/>
                <w:b/>
                <w:bCs/>
                <w:color w:val="auto"/>
                <w:szCs w:val="21"/>
                <w:highlight w:val="none"/>
                <w:lang w:val="en-US" w:eastAsia="zh-CN"/>
              </w:rPr>
              <w:t>4</w:t>
            </w:r>
            <w:r>
              <w:rPr>
                <w:rFonts w:hint="eastAsia"/>
                <w:b/>
                <w:bCs/>
                <w:color w:val="auto"/>
                <w:szCs w:val="21"/>
                <w:highlight w:val="none"/>
              </w:rPr>
              <w:t xml:space="preserve"> 废水污染物排放源</w:t>
            </w:r>
          </w:p>
          <w:tbl>
            <w:tblPr>
              <w:tblStyle w:val="22"/>
              <w:tblW w:w="81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834"/>
              <w:gridCol w:w="1198"/>
              <w:gridCol w:w="1337"/>
              <w:gridCol w:w="1256"/>
              <w:gridCol w:w="2388"/>
            </w:tblGrid>
            <w:tr w14:paraId="27156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89" w:type="pct"/>
                  <w:noWrap/>
                  <w:vAlign w:val="center"/>
                </w:tcPr>
                <w:p w14:paraId="64A7511D">
                  <w:pPr>
                    <w:adjustRightInd w:val="0"/>
                    <w:snapToGrid w:val="0"/>
                    <w:jc w:val="center"/>
                    <w:rPr>
                      <w:bCs/>
                      <w:color w:val="auto"/>
                      <w:sz w:val="18"/>
                      <w:szCs w:val="18"/>
                      <w:highlight w:val="none"/>
                    </w:rPr>
                  </w:pPr>
                  <w:r>
                    <w:rPr>
                      <w:rFonts w:hint="eastAsia"/>
                      <w:bCs/>
                      <w:color w:val="auto"/>
                      <w:sz w:val="18"/>
                      <w:szCs w:val="18"/>
                      <w:highlight w:val="none"/>
                    </w:rPr>
                    <w:t>产排污环节</w:t>
                  </w:r>
                </w:p>
              </w:tc>
              <w:tc>
                <w:tcPr>
                  <w:tcW w:w="512" w:type="pct"/>
                  <w:noWrap/>
                  <w:vAlign w:val="center"/>
                </w:tcPr>
                <w:p w14:paraId="6F1A069F">
                  <w:pPr>
                    <w:adjustRightInd w:val="0"/>
                    <w:snapToGrid w:val="0"/>
                    <w:jc w:val="center"/>
                    <w:rPr>
                      <w:bCs/>
                      <w:color w:val="auto"/>
                      <w:sz w:val="18"/>
                      <w:szCs w:val="18"/>
                      <w:highlight w:val="none"/>
                    </w:rPr>
                  </w:pPr>
                  <w:r>
                    <w:rPr>
                      <w:rFonts w:hint="eastAsia"/>
                      <w:bCs/>
                      <w:color w:val="auto"/>
                      <w:sz w:val="18"/>
                      <w:szCs w:val="18"/>
                      <w:highlight w:val="none"/>
                    </w:rPr>
                    <w:t>污染物种类</w:t>
                  </w:r>
                </w:p>
              </w:tc>
              <w:tc>
                <w:tcPr>
                  <w:tcW w:w="736" w:type="pct"/>
                  <w:noWrap/>
                  <w:vAlign w:val="center"/>
                </w:tcPr>
                <w:p w14:paraId="12B87B7E">
                  <w:pPr>
                    <w:adjustRightInd w:val="0"/>
                    <w:snapToGrid w:val="0"/>
                    <w:jc w:val="center"/>
                    <w:rPr>
                      <w:bCs/>
                      <w:color w:val="auto"/>
                      <w:sz w:val="18"/>
                      <w:szCs w:val="18"/>
                      <w:highlight w:val="none"/>
                    </w:rPr>
                  </w:pPr>
                  <w:r>
                    <w:rPr>
                      <w:rFonts w:hint="eastAsia"/>
                      <w:bCs/>
                      <w:color w:val="auto"/>
                      <w:sz w:val="18"/>
                      <w:szCs w:val="18"/>
                      <w:highlight w:val="none"/>
                    </w:rPr>
                    <w:t>污染物产生量t/a</w:t>
                  </w:r>
                </w:p>
              </w:tc>
              <w:tc>
                <w:tcPr>
                  <w:tcW w:w="821" w:type="pct"/>
                  <w:noWrap/>
                  <w:vAlign w:val="center"/>
                </w:tcPr>
                <w:p w14:paraId="77D1F5F6">
                  <w:pPr>
                    <w:adjustRightInd w:val="0"/>
                    <w:snapToGrid w:val="0"/>
                    <w:jc w:val="center"/>
                    <w:rPr>
                      <w:bCs/>
                      <w:color w:val="auto"/>
                      <w:sz w:val="18"/>
                      <w:szCs w:val="18"/>
                      <w:highlight w:val="none"/>
                    </w:rPr>
                  </w:pPr>
                  <w:r>
                    <w:rPr>
                      <w:rFonts w:hint="eastAsia"/>
                      <w:bCs/>
                      <w:color w:val="auto"/>
                      <w:sz w:val="18"/>
                      <w:szCs w:val="18"/>
                      <w:highlight w:val="none"/>
                    </w:rPr>
                    <w:t>污染物产生浓度mg/L</w:t>
                  </w:r>
                </w:p>
              </w:tc>
              <w:tc>
                <w:tcPr>
                  <w:tcW w:w="772" w:type="pct"/>
                  <w:noWrap/>
                  <w:vAlign w:val="center"/>
                </w:tcPr>
                <w:p w14:paraId="45A83A11">
                  <w:pPr>
                    <w:adjustRightInd w:val="0"/>
                    <w:snapToGrid w:val="0"/>
                    <w:jc w:val="center"/>
                    <w:rPr>
                      <w:bCs/>
                      <w:color w:val="auto"/>
                      <w:sz w:val="18"/>
                      <w:szCs w:val="18"/>
                      <w:highlight w:val="none"/>
                    </w:rPr>
                  </w:pPr>
                  <w:r>
                    <w:rPr>
                      <w:rFonts w:hint="eastAsia"/>
                      <w:bCs/>
                      <w:color w:val="auto"/>
                      <w:sz w:val="18"/>
                      <w:szCs w:val="18"/>
                      <w:highlight w:val="none"/>
                    </w:rPr>
                    <w:t>污染物排放量t/a</w:t>
                  </w:r>
                </w:p>
              </w:tc>
              <w:tc>
                <w:tcPr>
                  <w:tcW w:w="1467" w:type="pct"/>
                  <w:noWrap/>
                  <w:vAlign w:val="center"/>
                </w:tcPr>
                <w:p w14:paraId="5D466261">
                  <w:pPr>
                    <w:adjustRightInd w:val="0"/>
                    <w:snapToGrid w:val="0"/>
                    <w:jc w:val="center"/>
                    <w:rPr>
                      <w:bCs/>
                      <w:color w:val="auto"/>
                      <w:sz w:val="18"/>
                      <w:szCs w:val="18"/>
                      <w:highlight w:val="none"/>
                    </w:rPr>
                  </w:pPr>
                  <w:r>
                    <w:rPr>
                      <w:rFonts w:hint="eastAsia"/>
                      <w:bCs/>
                      <w:color w:val="auto"/>
                      <w:sz w:val="18"/>
                      <w:szCs w:val="18"/>
                      <w:highlight w:val="none"/>
                    </w:rPr>
                    <w:t>治理设施</w:t>
                  </w:r>
                </w:p>
              </w:tc>
            </w:tr>
            <w:tr w14:paraId="28582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restart"/>
                  <w:noWrap/>
                  <w:vAlign w:val="center"/>
                </w:tcPr>
                <w:p w14:paraId="18D75633">
                  <w:pPr>
                    <w:adjustRightInd w:val="0"/>
                    <w:snapToGrid w:val="0"/>
                    <w:jc w:val="center"/>
                    <w:rPr>
                      <w:bCs/>
                      <w:color w:val="auto"/>
                      <w:sz w:val="18"/>
                      <w:szCs w:val="18"/>
                      <w:highlight w:val="none"/>
                    </w:rPr>
                  </w:pPr>
                  <w:r>
                    <w:rPr>
                      <w:rFonts w:hint="eastAsia"/>
                      <w:bCs/>
                      <w:color w:val="auto"/>
                      <w:sz w:val="18"/>
                      <w:szCs w:val="18"/>
                      <w:highlight w:val="none"/>
                    </w:rPr>
                    <w:t>生活污水</w:t>
                  </w:r>
                </w:p>
              </w:tc>
              <w:tc>
                <w:tcPr>
                  <w:tcW w:w="512" w:type="pct"/>
                  <w:noWrap/>
                  <w:vAlign w:val="center"/>
                </w:tcPr>
                <w:p w14:paraId="36FE2376">
                  <w:pPr>
                    <w:adjustRightInd w:val="0"/>
                    <w:snapToGrid w:val="0"/>
                    <w:jc w:val="center"/>
                    <w:rPr>
                      <w:bCs/>
                      <w:color w:val="auto"/>
                      <w:sz w:val="18"/>
                      <w:szCs w:val="18"/>
                      <w:highlight w:val="none"/>
                    </w:rPr>
                  </w:pPr>
                  <w:r>
                    <w:rPr>
                      <w:rFonts w:hint="eastAsia"/>
                      <w:bCs/>
                      <w:color w:val="auto"/>
                      <w:sz w:val="18"/>
                      <w:szCs w:val="18"/>
                      <w:highlight w:val="none"/>
                    </w:rPr>
                    <w:t>COD</w:t>
                  </w:r>
                </w:p>
              </w:tc>
              <w:tc>
                <w:tcPr>
                  <w:tcW w:w="736" w:type="pct"/>
                  <w:noWrap/>
                  <w:vAlign w:val="center"/>
                </w:tcPr>
                <w:p w14:paraId="194565A7">
                  <w:pPr>
                    <w:adjustRightInd w:val="0"/>
                    <w:snapToGrid w:val="0"/>
                    <w:jc w:val="center"/>
                    <w:rPr>
                      <w:bCs/>
                      <w:color w:val="auto"/>
                      <w:sz w:val="18"/>
                      <w:szCs w:val="18"/>
                      <w:highlight w:val="none"/>
                    </w:rPr>
                  </w:pPr>
                  <w:r>
                    <w:rPr>
                      <w:rFonts w:hint="eastAsia"/>
                      <w:color w:val="auto"/>
                      <w:spacing w:val="-1"/>
                      <w:sz w:val="18"/>
                      <w:szCs w:val="18"/>
                      <w:highlight w:val="none"/>
                    </w:rPr>
                    <w:t>0.086</w:t>
                  </w:r>
                </w:p>
              </w:tc>
              <w:tc>
                <w:tcPr>
                  <w:tcW w:w="821" w:type="pct"/>
                  <w:noWrap/>
                  <w:vAlign w:val="center"/>
                </w:tcPr>
                <w:p w14:paraId="72B2C6E2">
                  <w:pPr>
                    <w:adjustRightInd w:val="0"/>
                    <w:snapToGrid w:val="0"/>
                    <w:jc w:val="center"/>
                    <w:rPr>
                      <w:bCs/>
                      <w:color w:val="auto"/>
                      <w:sz w:val="18"/>
                      <w:szCs w:val="18"/>
                      <w:highlight w:val="none"/>
                    </w:rPr>
                  </w:pPr>
                  <w:r>
                    <w:rPr>
                      <w:rFonts w:hint="eastAsia"/>
                      <w:color w:val="auto"/>
                      <w:spacing w:val="-1"/>
                      <w:sz w:val="18"/>
                      <w:szCs w:val="18"/>
                      <w:highlight w:val="none"/>
                    </w:rPr>
                    <w:t>350</w:t>
                  </w:r>
                </w:p>
              </w:tc>
              <w:tc>
                <w:tcPr>
                  <w:tcW w:w="1285" w:type="dxa"/>
                  <w:shd w:val="clear" w:color="auto" w:fill="auto"/>
                  <w:noWrap/>
                  <w:vAlign w:val="center"/>
                </w:tcPr>
                <w:p w14:paraId="0065C2B8">
                  <w:pPr>
                    <w:adjustRightInd w:val="0"/>
                    <w:snapToGrid w:val="0"/>
                    <w:jc w:val="center"/>
                    <w:rPr>
                      <w:bCs/>
                      <w:color w:val="auto"/>
                      <w:sz w:val="18"/>
                      <w:szCs w:val="18"/>
                      <w:highlight w:val="none"/>
                    </w:rPr>
                  </w:pPr>
                  <w:r>
                    <w:rPr>
                      <w:rFonts w:hint="eastAsia"/>
                      <w:color w:val="auto"/>
                      <w:spacing w:val="-1"/>
                      <w:sz w:val="18"/>
                      <w:szCs w:val="18"/>
                      <w:highlight w:val="none"/>
                    </w:rPr>
                    <w:t>0.086</w:t>
                  </w:r>
                </w:p>
              </w:tc>
              <w:tc>
                <w:tcPr>
                  <w:tcW w:w="1467" w:type="pct"/>
                  <w:vMerge w:val="restart"/>
                  <w:noWrap/>
                  <w:vAlign w:val="center"/>
                </w:tcPr>
                <w:p w14:paraId="0225F965">
                  <w:pPr>
                    <w:adjustRightInd w:val="0"/>
                    <w:snapToGrid w:val="0"/>
                    <w:jc w:val="center"/>
                    <w:rPr>
                      <w:bCs/>
                      <w:color w:val="auto"/>
                      <w:sz w:val="18"/>
                      <w:szCs w:val="18"/>
                      <w:highlight w:val="none"/>
                    </w:rPr>
                  </w:pPr>
                  <w:r>
                    <w:rPr>
                      <w:rFonts w:hint="eastAsia"/>
                      <w:bCs/>
                      <w:color w:val="auto"/>
                      <w:sz w:val="18"/>
                      <w:szCs w:val="18"/>
                      <w:highlight w:val="none"/>
                    </w:rPr>
                    <w:t>生活污水排入防渗旱厕，定期清掏，外运堆肥，不外排。</w:t>
                  </w:r>
                </w:p>
              </w:tc>
            </w:tr>
            <w:tr w14:paraId="66346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9" w:type="pct"/>
                  <w:vMerge w:val="continue"/>
                  <w:noWrap/>
                  <w:vAlign w:val="center"/>
                </w:tcPr>
                <w:p w14:paraId="44185727">
                  <w:pPr>
                    <w:adjustRightInd w:val="0"/>
                    <w:snapToGrid w:val="0"/>
                    <w:jc w:val="center"/>
                    <w:rPr>
                      <w:bCs/>
                      <w:color w:val="auto"/>
                      <w:sz w:val="18"/>
                      <w:szCs w:val="18"/>
                      <w:highlight w:val="none"/>
                    </w:rPr>
                  </w:pPr>
                </w:p>
              </w:tc>
              <w:tc>
                <w:tcPr>
                  <w:tcW w:w="512" w:type="pct"/>
                  <w:noWrap/>
                  <w:vAlign w:val="center"/>
                </w:tcPr>
                <w:p w14:paraId="2A4B9A07">
                  <w:pPr>
                    <w:adjustRightInd w:val="0"/>
                    <w:snapToGrid w:val="0"/>
                    <w:jc w:val="center"/>
                    <w:rPr>
                      <w:bCs/>
                      <w:color w:val="auto"/>
                      <w:sz w:val="18"/>
                      <w:szCs w:val="18"/>
                      <w:highlight w:val="none"/>
                    </w:rPr>
                  </w:pPr>
                  <w:r>
                    <w:rPr>
                      <w:rFonts w:hint="eastAsia"/>
                      <w:bCs/>
                      <w:color w:val="auto"/>
                      <w:sz w:val="18"/>
                      <w:szCs w:val="18"/>
                      <w:highlight w:val="none"/>
                    </w:rPr>
                    <w:t>氨氮</w:t>
                  </w:r>
                </w:p>
              </w:tc>
              <w:tc>
                <w:tcPr>
                  <w:tcW w:w="736" w:type="pct"/>
                  <w:noWrap/>
                  <w:vAlign w:val="center"/>
                </w:tcPr>
                <w:p w14:paraId="2F6C3897">
                  <w:pPr>
                    <w:adjustRightInd w:val="0"/>
                    <w:snapToGrid w:val="0"/>
                    <w:jc w:val="center"/>
                    <w:rPr>
                      <w:bCs/>
                      <w:color w:val="auto"/>
                      <w:sz w:val="18"/>
                      <w:szCs w:val="18"/>
                      <w:highlight w:val="none"/>
                    </w:rPr>
                  </w:pPr>
                  <w:r>
                    <w:rPr>
                      <w:rFonts w:hint="eastAsia"/>
                      <w:color w:val="auto"/>
                      <w:spacing w:val="-1"/>
                      <w:sz w:val="18"/>
                      <w:szCs w:val="18"/>
                      <w:highlight w:val="none"/>
                    </w:rPr>
                    <w:t>0.009</w:t>
                  </w:r>
                </w:p>
              </w:tc>
              <w:tc>
                <w:tcPr>
                  <w:tcW w:w="821" w:type="pct"/>
                  <w:noWrap/>
                  <w:vAlign w:val="center"/>
                </w:tcPr>
                <w:p w14:paraId="1FAA48DA">
                  <w:pPr>
                    <w:adjustRightInd w:val="0"/>
                    <w:snapToGrid w:val="0"/>
                    <w:jc w:val="center"/>
                    <w:rPr>
                      <w:bCs/>
                      <w:color w:val="auto"/>
                      <w:sz w:val="18"/>
                      <w:szCs w:val="18"/>
                      <w:highlight w:val="none"/>
                    </w:rPr>
                  </w:pPr>
                  <w:r>
                    <w:rPr>
                      <w:rFonts w:hint="eastAsia"/>
                      <w:color w:val="auto"/>
                      <w:spacing w:val="-1"/>
                      <w:sz w:val="18"/>
                      <w:szCs w:val="18"/>
                      <w:highlight w:val="none"/>
                    </w:rPr>
                    <w:t>35</w:t>
                  </w:r>
                </w:p>
              </w:tc>
              <w:tc>
                <w:tcPr>
                  <w:tcW w:w="1285" w:type="dxa"/>
                  <w:shd w:val="clear" w:color="auto" w:fill="auto"/>
                  <w:noWrap/>
                  <w:vAlign w:val="center"/>
                </w:tcPr>
                <w:p w14:paraId="3F61FB5E">
                  <w:pPr>
                    <w:adjustRightInd w:val="0"/>
                    <w:snapToGrid w:val="0"/>
                    <w:jc w:val="center"/>
                    <w:rPr>
                      <w:bCs/>
                      <w:color w:val="auto"/>
                      <w:sz w:val="18"/>
                      <w:szCs w:val="18"/>
                      <w:highlight w:val="none"/>
                    </w:rPr>
                  </w:pPr>
                  <w:r>
                    <w:rPr>
                      <w:rFonts w:hint="eastAsia"/>
                      <w:color w:val="auto"/>
                      <w:spacing w:val="-1"/>
                      <w:sz w:val="18"/>
                      <w:szCs w:val="18"/>
                      <w:highlight w:val="none"/>
                    </w:rPr>
                    <w:t>0.009</w:t>
                  </w:r>
                </w:p>
              </w:tc>
              <w:tc>
                <w:tcPr>
                  <w:tcW w:w="1467" w:type="pct"/>
                  <w:vMerge w:val="continue"/>
                  <w:noWrap/>
                  <w:vAlign w:val="center"/>
                </w:tcPr>
                <w:p w14:paraId="5F66A8FA">
                  <w:pPr>
                    <w:adjustRightInd w:val="0"/>
                    <w:snapToGrid w:val="0"/>
                    <w:jc w:val="center"/>
                    <w:rPr>
                      <w:bCs/>
                      <w:color w:val="auto"/>
                      <w:sz w:val="18"/>
                      <w:szCs w:val="18"/>
                      <w:highlight w:val="none"/>
                    </w:rPr>
                  </w:pPr>
                </w:p>
              </w:tc>
            </w:tr>
            <w:tr w14:paraId="71AEA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continue"/>
                  <w:noWrap/>
                  <w:vAlign w:val="center"/>
                </w:tcPr>
                <w:p w14:paraId="4656675C">
                  <w:pPr>
                    <w:adjustRightInd w:val="0"/>
                    <w:snapToGrid w:val="0"/>
                    <w:jc w:val="center"/>
                    <w:rPr>
                      <w:bCs/>
                      <w:color w:val="auto"/>
                      <w:sz w:val="18"/>
                      <w:szCs w:val="18"/>
                      <w:highlight w:val="none"/>
                    </w:rPr>
                  </w:pPr>
                </w:p>
              </w:tc>
              <w:tc>
                <w:tcPr>
                  <w:tcW w:w="512" w:type="pct"/>
                  <w:noWrap/>
                  <w:vAlign w:val="center"/>
                </w:tcPr>
                <w:p w14:paraId="2C7A8306">
                  <w:pPr>
                    <w:adjustRightInd w:val="0"/>
                    <w:snapToGrid w:val="0"/>
                    <w:jc w:val="center"/>
                    <w:rPr>
                      <w:bCs/>
                      <w:color w:val="auto"/>
                      <w:sz w:val="18"/>
                      <w:szCs w:val="18"/>
                      <w:highlight w:val="none"/>
                    </w:rPr>
                  </w:pPr>
                  <w:r>
                    <w:rPr>
                      <w:rFonts w:hint="eastAsia"/>
                      <w:bCs/>
                      <w:color w:val="auto"/>
                      <w:sz w:val="18"/>
                      <w:szCs w:val="18"/>
                      <w:highlight w:val="none"/>
                    </w:rPr>
                    <w:t>SS</w:t>
                  </w:r>
                </w:p>
              </w:tc>
              <w:tc>
                <w:tcPr>
                  <w:tcW w:w="736" w:type="pct"/>
                  <w:noWrap/>
                  <w:vAlign w:val="center"/>
                </w:tcPr>
                <w:p w14:paraId="58E85AD3">
                  <w:pPr>
                    <w:adjustRightInd w:val="0"/>
                    <w:snapToGrid w:val="0"/>
                    <w:jc w:val="center"/>
                    <w:rPr>
                      <w:bCs/>
                      <w:color w:val="auto"/>
                      <w:sz w:val="18"/>
                      <w:szCs w:val="18"/>
                      <w:highlight w:val="none"/>
                    </w:rPr>
                  </w:pPr>
                  <w:r>
                    <w:rPr>
                      <w:rFonts w:hint="eastAsia"/>
                      <w:color w:val="auto"/>
                      <w:spacing w:val="-1"/>
                      <w:sz w:val="18"/>
                      <w:szCs w:val="18"/>
                      <w:highlight w:val="none"/>
                    </w:rPr>
                    <w:t>0.035</w:t>
                  </w:r>
                </w:p>
              </w:tc>
              <w:tc>
                <w:tcPr>
                  <w:tcW w:w="821" w:type="pct"/>
                  <w:noWrap/>
                  <w:vAlign w:val="center"/>
                </w:tcPr>
                <w:p w14:paraId="7E7A3B16">
                  <w:pPr>
                    <w:adjustRightInd w:val="0"/>
                    <w:snapToGrid w:val="0"/>
                    <w:jc w:val="center"/>
                    <w:rPr>
                      <w:bCs/>
                      <w:color w:val="auto"/>
                      <w:sz w:val="18"/>
                      <w:szCs w:val="18"/>
                      <w:highlight w:val="none"/>
                    </w:rPr>
                  </w:pPr>
                  <w:r>
                    <w:rPr>
                      <w:rFonts w:hint="eastAsia"/>
                      <w:color w:val="auto"/>
                      <w:spacing w:val="-1"/>
                      <w:sz w:val="18"/>
                      <w:szCs w:val="18"/>
                      <w:highlight w:val="none"/>
                    </w:rPr>
                    <w:t>143</w:t>
                  </w:r>
                </w:p>
              </w:tc>
              <w:tc>
                <w:tcPr>
                  <w:tcW w:w="1285" w:type="dxa"/>
                  <w:shd w:val="clear" w:color="auto" w:fill="auto"/>
                  <w:noWrap/>
                  <w:vAlign w:val="center"/>
                </w:tcPr>
                <w:p w14:paraId="22B52135">
                  <w:pPr>
                    <w:adjustRightInd w:val="0"/>
                    <w:snapToGrid w:val="0"/>
                    <w:jc w:val="center"/>
                    <w:rPr>
                      <w:bCs/>
                      <w:color w:val="auto"/>
                      <w:sz w:val="18"/>
                      <w:szCs w:val="18"/>
                      <w:highlight w:val="none"/>
                    </w:rPr>
                  </w:pPr>
                  <w:r>
                    <w:rPr>
                      <w:rFonts w:hint="eastAsia"/>
                      <w:color w:val="auto"/>
                      <w:spacing w:val="-1"/>
                      <w:sz w:val="18"/>
                      <w:szCs w:val="18"/>
                      <w:highlight w:val="none"/>
                    </w:rPr>
                    <w:t>0.035</w:t>
                  </w:r>
                </w:p>
              </w:tc>
              <w:tc>
                <w:tcPr>
                  <w:tcW w:w="1467" w:type="pct"/>
                  <w:vMerge w:val="continue"/>
                  <w:noWrap/>
                  <w:vAlign w:val="center"/>
                </w:tcPr>
                <w:p w14:paraId="0114EA50">
                  <w:pPr>
                    <w:adjustRightInd w:val="0"/>
                    <w:snapToGrid w:val="0"/>
                    <w:jc w:val="center"/>
                    <w:rPr>
                      <w:bCs/>
                      <w:color w:val="auto"/>
                      <w:sz w:val="18"/>
                      <w:szCs w:val="18"/>
                      <w:highlight w:val="none"/>
                    </w:rPr>
                  </w:pPr>
                </w:p>
              </w:tc>
            </w:tr>
            <w:tr w14:paraId="0C96A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89" w:type="pct"/>
                  <w:vMerge w:val="continue"/>
                  <w:noWrap/>
                  <w:vAlign w:val="center"/>
                </w:tcPr>
                <w:p w14:paraId="79CA4C10">
                  <w:pPr>
                    <w:adjustRightInd w:val="0"/>
                    <w:snapToGrid w:val="0"/>
                    <w:jc w:val="center"/>
                    <w:rPr>
                      <w:bCs/>
                      <w:color w:val="auto"/>
                      <w:sz w:val="18"/>
                      <w:szCs w:val="18"/>
                      <w:highlight w:val="none"/>
                    </w:rPr>
                  </w:pPr>
                </w:p>
              </w:tc>
              <w:tc>
                <w:tcPr>
                  <w:tcW w:w="512" w:type="pct"/>
                  <w:noWrap/>
                  <w:vAlign w:val="center"/>
                </w:tcPr>
                <w:p w14:paraId="4D66C9DD">
                  <w:pPr>
                    <w:adjustRightInd w:val="0"/>
                    <w:snapToGrid w:val="0"/>
                    <w:jc w:val="center"/>
                    <w:rPr>
                      <w:bCs/>
                      <w:color w:val="auto"/>
                      <w:sz w:val="18"/>
                      <w:szCs w:val="18"/>
                      <w:highlight w:val="none"/>
                    </w:rPr>
                  </w:pPr>
                  <w:r>
                    <w:rPr>
                      <w:rFonts w:hint="eastAsia"/>
                      <w:bCs/>
                      <w:color w:val="auto"/>
                      <w:sz w:val="18"/>
                      <w:szCs w:val="18"/>
                      <w:highlight w:val="none"/>
                    </w:rPr>
                    <w:t>BOD</w:t>
                  </w:r>
                  <w:r>
                    <w:rPr>
                      <w:rFonts w:hint="eastAsia"/>
                      <w:bCs/>
                      <w:color w:val="auto"/>
                      <w:sz w:val="18"/>
                      <w:szCs w:val="18"/>
                      <w:highlight w:val="none"/>
                      <w:vertAlign w:val="subscript"/>
                    </w:rPr>
                    <w:t>5</w:t>
                  </w:r>
                </w:p>
              </w:tc>
              <w:tc>
                <w:tcPr>
                  <w:tcW w:w="736" w:type="pct"/>
                  <w:noWrap/>
                  <w:vAlign w:val="center"/>
                </w:tcPr>
                <w:p w14:paraId="60691C4C">
                  <w:pPr>
                    <w:adjustRightInd w:val="0"/>
                    <w:snapToGrid w:val="0"/>
                    <w:jc w:val="center"/>
                    <w:rPr>
                      <w:bCs/>
                      <w:color w:val="auto"/>
                      <w:sz w:val="18"/>
                      <w:szCs w:val="18"/>
                      <w:highlight w:val="none"/>
                    </w:rPr>
                  </w:pPr>
                  <w:r>
                    <w:rPr>
                      <w:rFonts w:hint="eastAsia"/>
                      <w:color w:val="auto"/>
                      <w:spacing w:val="-1"/>
                      <w:sz w:val="18"/>
                      <w:szCs w:val="18"/>
                      <w:highlight w:val="none"/>
                    </w:rPr>
                    <w:t>0.059</w:t>
                  </w:r>
                </w:p>
              </w:tc>
              <w:tc>
                <w:tcPr>
                  <w:tcW w:w="821" w:type="pct"/>
                  <w:noWrap/>
                  <w:vAlign w:val="center"/>
                </w:tcPr>
                <w:p w14:paraId="649277E3">
                  <w:pPr>
                    <w:adjustRightInd w:val="0"/>
                    <w:snapToGrid w:val="0"/>
                    <w:jc w:val="center"/>
                    <w:rPr>
                      <w:bCs/>
                      <w:color w:val="auto"/>
                      <w:sz w:val="18"/>
                      <w:szCs w:val="18"/>
                      <w:highlight w:val="none"/>
                    </w:rPr>
                  </w:pPr>
                  <w:r>
                    <w:rPr>
                      <w:rFonts w:hint="eastAsia"/>
                      <w:color w:val="auto"/>
                      <w:spacing w:val="-1"/>
                      <w:sz w:val="18"/>
                      <w:szCs w:val="18"/>
                      <w:highlight w:val="none"/>
                    </w:rPr>
                    <w:t>240</w:t>
                  </w:r>
                </w:p>
              </w:tc>
              <w:tc>
                <w:tcPr>
                  <w:tcW w:w="1285" w:type="dxa"/>
                  <w:shd w:val="clear" w:color="auto" w:fill="auto"/>
                  <w:noWrap/>
                  <w:vAlign w:val="center"/>
                </w:tcPr>
                <w:p w14:paraId="24051D10">
                  <w:pPr>
                    <w:adjustRightInd w:val="0"/>
                    <w:snapToGrid w:val="0"/>
                    <w:jc w:val="center"/>
                    <w:rPr>
                      <w:bCs/>
                      <w:color w:val="auto"/>
                      <w:sz w:val="18"/>
                      <w:szCs w:val="18"/>
                      <w:highlight w:val="none"/>
                    </w:rPr>
                  </w:pPr>
                  <w:r>
                    <w:rPr>
                      <w:rFonts w:hint="eastAsia"/>
                      <w:color w:val="auto"/>
                      <w:spacing w:val="-1"/>
                      <w:sz w:val="18"/>
                      <w:szCs w:val="18"/>
                      <w:highlight w:val="none"/>
                    </w:rPr>
                    <w:t>0.059</w:t>
                  </w:r>
                </w:p>
              </w:tc>
              <w:tc>
                <w:tcPr>
                  <w:tcW w:w="1467" w:type="pct"/>
                  <w:vMerge w:val="continue"/>
                  <w:noWrap/>
                  <w:vAlign w:val="center"/>
                </w:tcPr>
                <w:p w14:paraId="0413ECD0">
                  <w:pPr>
                    <w:adjustRightInd w:val="0"/>
                    <w:snapToGrid w:val="0"/>
                    <w:jc w:val="center"/>
                    <w:rPr>
                      <w:bCs/>
                      <w:color w:val="auto"/>
                      <w:sz w:val="18"/>
                      <w:szCs w:val="18"/>
                      <w:highlight w:val="none"/>
                    </w:rPr>
                  </w:pPr>
                </w:p>
              </w:tc>
            </w:tr>
            <w:tr w14:paraId="72310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89" w:type="pct"/>
                  <w:noWrap/>
                  <w:vAlign w:val="center"/>
                </w:tcPr>
                <w:p w14:paraId="65316B9E">
                  <w:pPr>
                    <w:adjustRightInd w:val="0"/>
                    <w:snapToGrid w:val="0"/>
                    <w:jc w:val="center"/>
                    <w:rPr>
                      <w:bCs/>
                      <w:color w:val="auto"/>
                      <w:sz w:val="18"/>
                      <w:szCs w:val="18"/>
                      <w:highlight w:val="none"/>
                    </w:rPr>
                  </w:pPr>
                  <w:r>
                    <w:rPr>
                      <w:rFonts w:hint="eastAsia"/>
                      <w:bCs/>
                      <w:color w:val="auto"/>
                      <w:sz w:val="18"/>
                      <w:szCs w:val="18"/>
                      <w:highlight w:val="none"/>
                    </w:rPr>
                    <w:t>初期雨水</w:t>
                  </w:r>
                </w:p>
              </w:tc>
              <w:tc>
                <w:tcPr>
                  <w:tcW w:w="512" w:type="pct"/>
                  <w:noWrap/>
                  <w:vAlign w:val="center"/>
                </w:tcPr>
                <w:p w14:paraId="6CC07E0F">
                  <w:pPr>
                    <w:adjustRightInd w:val="0"/>
                    <w:snapToGrid w:val="0"/>
                    <w:jc w:val="center"/>
                    <w:rPr>
                      <w:bCs/>
                      <w:color w:val="auto"/>
                      <w:sz w:val="18"/>
                      <w:szCs w:val="18"/>
                      <w:highlight w:val="none"/>
                    </w:rPr>
                  </w:pPr>
                  <w:r>
                    <w:rPr>
                      <w:rFonts w:hint="eastAsia"/>
                      <w:bCs/>
                      <w:color w:val="auto"/>
                      <w:sz w:val="18"/>
                      <w:szCs w:val="18"/>
                      <w:highlight w:val="none"/>
                    </w:rPr>
                    <w:t>SS</w:t>
                  </w:r>
                </w:p>
              </w:tc>
              <w:tc>
                <w:tcPr>
                  <w:tcW w:w="736" w:type="pct"/>
                  <w:noWrap/>
                  <w:vAlign w:val="center"/>
                </w:tcPr>
                <w:p w14:paraId="644099CE">
                  <w:pPr>
                    <w:adjustRightInd w:val="0"/>
                    <w:snapToGrid w:val="0"/>
                    <w:jc w:val="center"/>
                    <w:rPr>
                      <w:bCs/>
                      <w:color w:val="auto"/>
                      <w:sz w:val="18"/>
                      <w:szCs w:val="18"/>
                      <w:highlight w:val="none"/>
                    </w:rPr>
                  </w:pPr>
                  <w:r>
                    <w:rPr>
                      <w:rFonts w:hint="eastAsia"/>
                      <w:bCs/>
                      <w:color w:val="auto"/>
                      <w:sz w:val="18"/>
                      <w:szCs w:val="18"/>
                      <w:highlight w:val="none"/>
                    </w:rPr>
                    <w:t>2.041</w:t>
                  </w:r>
                </w:p>
              </w:tc>
              <w:tc>
                <w:tcPr>
                  <w:tcW w:w="821" w:type="pct"/>
                  <w:noWrap/>
                  <w:vAlign w:val="center"/>
                </w:tcPr>
                <w:p w14:paraId="0D106A0D">
                  <w:pPr>
                    <w:adjustRightInd w:val="0"/>
                    <w:snapToGrid w:val="0"/>
                    <w:jc w:val="center"/>
                    <w:rPr>
                      <w:bCs/>
                      <w:color w:val="auto"/>
                      <w:sz w:val="18"/>
                      <w:szCs w:val="18"/>
                      <w:highlight w:val="none"/>
                    </w:rPr>
                  </w:pPr>
                  <w:r>
                    <w:rPr>
                      <w:rFonts w:hint="eastAsia"/>
                      <w:bCs/>
                      <w:color w:val="auto"/>
                      <w:sz w:val="18"/>
                      <w:szCs w:val="18"/>
                      <w:highlight w:val="none"/>
                    </w:rPr>
                    <w:t>700</w:t>
                  </w:r>
                </w:p>
              </w:tc>
              <w:tc>
                <w:tcPr>
                  <w:tcW w:w="772" w:type="pct"/>
                  <w:noWrap/>
                  <w:vAlign w:val="center"/>
                </w:tcPr>
                <w:p w14:paraId="6B4DE4E6">
                  <w:pPr>
                    <w:adjustRightInd w:val="0"/>
                    <w:snapToGrid w:val="0"/>
                    <w:jc w:val="center"/>
                    <w:rPr>
                      <w:bCs/>
                      <w:color w:val="auto"/>
                      <w:sz w:val="18"/>
                      <w:szCs w:val="18"/>
                      <w:highlight w:val="none"/>
                    </w:rPr>
                  </w:pPr>
                  <w:r>
                    <w:rPr>
                      <w:rFonts w:hint="eastAsia"/>
                      <w:bCs/>
                      <w:color w:val="auto"/>
                      <w:sz w:val="18"/>
                      <w:szCs w:val="18"/>
                      <w:highlight w:val="none"/>
                    </w:rPr>
                    <w:t>不排放</w:t>
                  </w:r>
                </w:p>
              </w:tc>
              <w:tc>
                <w:tcPr>
                  <w:tcW w:w="1467" w:type="pct"/>
                  <w:noWrap/>
                  <w:vAlign w:val="center"/>
                </w:tcPr>
                <w:p w14:paraId="20F0D1C6">
                  <w:pPr>
                    <w:adjustRightInd w:val="0"/>
                    <w:snapToGrid w:val="0"/>
                    <w:jc w:val="center"/>
                    <w:rPr>
                      <w:bCs/>
                      <w:color w:val="auto"/>
                      <w:sz w:val="18"/>
                      <w:szCs w:val="18"/>
                      <w:highlight w:val="none"/>
                    </w:rPr>
                  </w:pPr>
                  <w:r>
                    <w:rPr>
                      <w:rFonts w:hint="eastAsia"/>
                      <w:bCs/>
                      <w:color w:val="auto"/>
                      <w:sz w:val="18"/>
                      <w:szCs w:val="18"/>
                      <w:highlight w:val="none"/>
                    </w:rPr>
                    <w:t>洒水降尘</w:t>
                  </w:r>
                </w:p>
              </w:tc>
            </w:tr>
            <w:tr w14:paraId="24468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689" w:type="pct"/>
                  <w:noWrap/>
                  <w:vAlign w:val="center"/>
                </w:tcPr>
                <w:p w14:paraId="32116B49">
                  <w:pPr>
                    <w:adjustRightInd w:val="0"/>
                    <w:snapToGrid w:val="0"/>
                    <w:jc w:val="center"/>
                    <w:rPr>
                      <w:bCs/>
                      <w:color w:val="auto"/>
                      <w:sz w:val="18"/>
                      <w:szCs w:val="18"/>
                      <w:highlight w:val="none"/>
                    </w:rPr>
                  </w:pPr>
                  <w:r>
                    <w:rPr>
                      <w:rFonts w:hint="eastAsia"/>
                      <w:bCs/>
                      <w:color w:val="auto"/>
                      <w:sz w:val="18"/>
                      <w:szCs w:val="18"/>
                      <w:highlight w:val="none"/>
                    </w:rPr>
                    <w:t>洗选生产线</w:t>
                  </w:r>
                </w:p>
              </w:tc>
              <w:tc>
                <w:tcPr>
                  <w:tcW w:w="512" w:type="pct"/>
                  <w:noWrap/>
                  <w:vAlign w:val="center"/>
                </w:tcPr>
                <w:p w14:paraId="1D02094F">
                  <w:pPr>
                    <w:adjustRightInd w:val="0"/>
                    <w:snapToGrid w:val="0"/>
                    <w:jc w:val="center"/>
                    <w:rPr>
                      <w:bCs/>
                      <w:color w:val="auto"/>
                      <w:sz w:val="18"/>
                      <w:szCs w:val="18"/>
                      <w:highlight w:val="none"/>
                    </w:rPr>
                  </w:pPr>
                  <w:r>
                    <w:rPr>
                      <w:rFonts w:hint="eastAsia"/>
                      <w:bCs/>
                      <w:color w:val="auto"/>
                      <w:sz w:val="18"/>
                      <w:szCs w:val="18"/>
                      <w:highlight w:val="none"/>
                    </w:rPr>
                    <w:t>SS</w:t>
                  </w:r>
                </w:p>
              </w:tc>
              <w:tc>
                <w:tcPr>
                  <w:tcW w:w="736" w:type="pct"/>
                  <w:noWrap/>
                  <w:vAlign w:val="center"/>
                </w:tcPr>
                <w:p w14:paraId="46A3D85A">
                  <w:pPr>
                    <w:adjustRightInd w:val="0"/>
                    <w:snapToGrid w:val="0"/>
                    <w:jc w:val="center"/>
                    <w:rPr>
                      <w:bCs/>
                      <w:color w:val="auto"/>
                      <w:sz w:val="18"/>
                      <w:szCs w:val="18"/>
                      <w:highlight w:val="none"/>
                    </w:rPr>
                  </w:pPr>
                  <w:r>
                    <w:rPr>
                      <w:rFonts w:hint="eastAsia"/>
                      <w:bCs/>
                      <w:color w:val="auto"/>
                      <w:sz w:val="18"/>
                      <w:szCs w:val="18"/>
                      <w:highlight w:val="none"/>
                    </w:rPr>
                    <w:t>/</w:t>
                  </w:r>
                </w:p>
              </w:tc>
              <w:tc>
                <w:tcPr>
                  <w:tcW w:w="821" w:type="pct"/>
                  <w:noWrap/>
                  <w:vAlign w:val="center"/>
                </w:tcPr>
                <w:p w14:paraId="6D2924C2">
                  <w:pPr>
                    <w:adjustRightInd w:val="0"/>
                    <w:snapToGrid w:val="0"/>
                    <w:jc w:val="center"/>
                    <w:rPr>
                      <w:bCs/>
                      <w:color w:val="auto"/>
                      <w:sz w:val="18"/>
                      <w:szCs w:val="18"/>
                      <w:highlight w:val="none"/>
                    </w:rPr>
                  </w:pPr>
                  <w:r>
                    <w:rPr>
                      <w:rFonts w:hint="eastAsia"/>
                      <w:bCs/>
                      <w:color w:val="auto"/>
                      <w:sz w:val="18"/>
                      <w:szCs w:val="18"/>
                      <w:highlight w:val="none"/>
                    </w:rPr>
                    <w:t>/</w:t>
                  </w:r>
                </w:p>
              </w:tc>
              <w:tc>
                <w:tcPr>
                  <w:tcW w:w="772" w:type="pct"/>
                  <w:noWrap/>
                  <w:vAlign w:val="center"/>
                </w:tcPr>
                <w:p w14:paraId="214F4B00">
                  <w:pPr>
                    <w:adjustRightInd w:val="0"/>
                    <w:snapToGrid w:val="0"/>
                    <w:jc w:val="center"/>
                    <w:rPr>
                      <w:bCs/>
                      <w:color w:val="auto"/>
                      <w:sz w:val="18"/>
                      <w:szCs w:val="18"/>
                      <w:highlight w:val="none"/>
                    </w:rPr>
                  </w:pPr>
                  <w:r>
                    <w:rPr>
                      <w:rFonts w:hint="eastAsia"/>
                      <w:bCs/>
                      <w:color w:val="auto"/>
                      <w:sz w:val="18"/>
                      <w:szCs w:val="18"/>
                      <w:highlight w:val="none"/>
                    </w:rPr>
                    <w:t>不排放</w:t>
                  </w:r>
                </w:p>
              </w:tc>
              <w:tc>
                <w:tcPr>
                  <w:tcW w:w="1467" w:type="pct"/>
                  <w:noWrap/>
                  <w:vAlign w:val="center"/>
                </w:tcPr>
                <w:p w14:paraId="53230223">
                  <w:pPr>
                    <w:adjustRightInd w:val="0"/>
                    <w:snapToGrid w:val="0"/>
                    <w:jc w:val="center"/>
                    <w:rPr>
                      <w:bCs/>
                      <w:color w:val="auto"/>
                      <w:sz w:val="18"/>
                      <w:szCs w:val="18"/>
                      <w:highlight w:val="none"/>
                    </w:rPr>
                  </w:pPr>
                  <w:r>
                    <w:rPr>
                      <w:color w:val="auto"/>
                      <w:spacing w:val="-1"/>
                      <w:sz w:val="18"/>
                      <w:szCs w:val="18"/>
                      <w:highlight w:val="none"/>
                    </w:rPr>
                    <w:t>经循环水池沉淀后回用</w:t>
                  </w:r>
                </w:p>
              </w:tc>
            </w:tr>
          </w:tbl>
          <w:p w14:paraId="01B7E248">
            <w:pPr>
              <w:pStyle w:val="38"/>
              <w:spacing w:beforeLines="0" w:afterLines="0" w:line="360" w:lineRule="auto"/>
              <w:ind w:firstLine="0" w:firstLineChars="0"/>
              <w:textAlignment w:val="baseline"/>
              <w:rPr>
                <w:b/>
                <w:bCs/>
                <w:color w:val="auto"/>
                <w:sz w:val="21"/>
                <w:szCs w:val="21"/>
                <w:highlight w:val="none"/>
              </w:rPr>
            </w:pPr>
            <w:r>
              <w:rPr>
                <w:b/>
                <w:bCs/>
                <w:color w:val="auto"/>
                <w:sz w:val="21"/>
                <w:szCs w:val="21"/>
                <w:highlight w:val="none"/>
              </w:rPr>
              <w:t>3、噪声</w:t>
            </w:r>
          </w:p>
          <w:p w14:paraId="0F21C27A">
            <w:pPr>
              <w:adjustRightInd w:val="0"/>
              <w:snapToGrid w:val="0"/>
              <w:spacing w:line="360" w:lineRule="auto"/>
              <w:ind w:firstLine="420" w:firstLineChars="200"/>
              <w:rPr>
                <w:bCs/>
                <w:color w:val="auto"/>
                <w:szCs w:val="21"/>
                <w:highlight w:val="none"/>
              </w:rPr>
            </w:pPr>
            <w:r>
              <w:rPr>
                <w:bCs/>
                <w:color w:val="auto"/>
                <w:szCs w:val="21"/>
                <w:highlight w:val="none"/>
              </w:rPr>
              <w:t>本项目噪声主要</w:t>
            </w:r>
            <w:r>
              <w:rPr>
                <w:rFonts w:hint="eastAsia"/>
                <w:bCs/>
                <w:color w:val="auto"/>
                <w:szCs w:val="21"/>
                <w:highlight w:val="none"/>
              </w:rPr>
              <w:t>为</w:t>
            </w:r>
            <w:r>
              <w:rPr>
                <w:bCs/>
                <w:color w:val="auto"/>
                <w:szCs w:val="21"/>
                <w:highlight w:val="none"/>
              </w:rPr>
              <w:t>浮选机、压滤机、浓缩机</w:t>
            </w:r>
            <w:r>
              <w:rPr>
                <w:rFonts w:hint="eastAsia"/>
                <w:bCs/>
                <w:color w:val="auto"/>
                <w:szCs w:val="21"/>
                <w:highlight w:val="none"/>
              </w:rPr>
              <w:t>等</w:t>
            </w:r>
            <w:r>
              <w:rPr>
                <w:bCs/>
                <w:color w:val="auto"/>
                <w:szCs w:val="21"/>
                <w:highlight w:val="none"/>
              </w:rPr>
              <w:t>设备运行产生</w:t>
            </w:r>
            <w:r>
              <w:rPr>
                <w:color w:val="auto"/>
                <w:szCs w:val="21"/>
                <w:highlight w:val="none"/>
              </w:rPr>
              <w:t>的机械噪声。本项目针对各种机械设备的噪声，采取的治理措施有：企业在购买时选用低噪声设备；平时加强设备的维护，使设备长期运行在良好状态，为了减少噪声对周围环境的影响。根据类比调查，噪声源强在</w:t>
            </w:r>
            <w:r>
              <w:rPr>
                <w:rFonts w:hint="eastAsia"/>
                <w:color w:val="auto"/>
                <w:szCs w:val="21"/>
                <w:highlight w:val="none"/>
              </w:rPr>
              <w:t>80</w:t>
            </w:r>
            <w:r>
              <w:rPr>
                <w:color w:val="auto"/>
                <w:szCs w:val="21"/>
                <w:highlight w:val="none"/>
              </w:rPr>
              <w:t>~</w:t>
            </w:r>
            <w:r>
              <w:rPr>
                <w:rFonts w:hint="eastAsia"/>
                <w:color w:val="auto"/>
                <w:szCs w:val="21"/>
                <w:highlight w:val="none"/>
              </w:rPr>
              <w:t>90</w:t>
            </w:r>
            <w:r>
              <w:rPr>
                <w:color w:val="auto"/>
                <w:szCs w:val="21"/>
                <w:highlight w:val="none"/>
              </w:rPr>
              <w:t>dB</w:t>
            </w:r>
            <w:r>
              <w:rPr>
                <w:rFonts w:hint="eastAsia"/>
                <w:color w:val="auto"/>
                <w:szCs w:val="21"/>
                <w:highlight w:val="none"/>
              </w:rPr>
              <w:t>（</w:t>
            </w:r>
            <w:r>
              <w:rPr>
                <w:color w:val="auto"/>
                <w:szCs w:val="21"/>
                <w:highlight w:val="none"/>
              </w:rPr>
              <w:t>A</w:t>
            </w:r>
            <w:r>
              <w:rPr>
                <w:rFonts w:hint="eastAsia"/>
                <w:color w:val="auto"/>
                <w:szCs w:val="21"/>
                <w:highlight w:val="none"/>
              </w:rPr>
              <w:t>）</w:t>
            </w:r>
            <w:r>
              <w:rPr>
                <w:color w:val="auto"/>
                <w:szCs w:val="21"/>
                <w:highlight w:val="none"/>
              </w:rPr>
              <w:t>，根据工程设备噪声源强分析及对其采取噪声控制措施，通过公式计算厂界噪声值。</w:t>
            </w:r>
          </w:p>
          <w:p w14:paraId="24FCD602">
            <w:pPr>
              <w:numPr>
                <w:ilvl w:val="0"/>
                <w:numId w:val="3"/>
              </w:numPr>
              <w:adjustRightInd w:val="0"/>
              <w:snapToGrid w:val="0"/>
              <w:spacing w:line="360" w:lineRule="auto"/>
              <w:ind w:firstLine="420" w:firstLineChars="200"/>
              <w:rPr>
                <w:bCs/>
                <w:color w:val="auto"/>
                <w:szCs w:val="21"/>
                <w:highlight w:val="none"/>
              </w:rPr>
            </w:pPr>
            <w:r>
              <w:rPr>
                <w:bCs/>
                <w:color w:val="auto"/>
                <w:szCs w:val="21"/>
                <w:highlight w:val="none"/>
              </w:rPr>
              <w:t>噪声污染源源强</w:t>
            </w:r>
            <w:r>
              <w:rPr>
                <w:rFonts w:hint="eastAsia"/>
                <w:bCs/>
                <w:color w:val="auto"/>
                <w:szCs w:val="21"/>
                <w:highlight w:val="none"/>
              </w:rPr>
              <w:t>核算</w:t>
            </w:r>
          </w:p>
          <w:p w14:paraId="5A5D635E">
            <w:pPr>
              <w:adjustRightInd w:val="0"/>
              <w:snapToGrid w:val="0"/>
              <w:jc w:val="center"/>
              <w:rPr>
                <w:bCs/>
                <w:color w:val="auto"/>
                <w:szCs w:val="21"/>
                <w:highlight w:val="none"/>
              </w:rPr>
            </w:pPr>
            <w:r>
              <w:rPr>
                <w:rFonts w:hint="eastAsia"/>
                <w:b/>
                <w:bCs/>
                <w:color w:val="auto"/>
                <w:szCs w:val="21"/>
                <w:highlight w:val="none"/>
              </w:rPr>
              <w:t>表4-</w:t>
            </w:r>
            <w:r>
              <w:rPr>
                <w:rFonts w:hint="eastAsia"/>
                <w:b/>
                <w:bCs/>
                <w:color w:val="auto"/>
                <w:szCs w:val="21"/>
                <w:highlight w:val="none"/>
                <w:lang w:val="en-US" w:eastAsia="zh-CN"/>
              </w:rPr>
              <w:t>5</w:t>
            </w:r>
            <w:r>
              <w:rPr>
                <w:rFonts w:hint="eastAsia"/>
                <w:b/>
                <w:bCs/>
                <w:color w:val="auto"/>
                <w:szCs w:val="21"/>
                <w:highlight w:val="none"/>
              </w:rPr>
              <w:t xml:space="preserve"> 设备噪声源强一览表</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1137"/>
              <w:gridCol w:w="789"/>
              <w:gridCol w:w="750"/>
              <w:gridCol w:w="800"/>
              <w:gridCol w:w="751"/>
              <w:gridCol w:w="800"/>
              <w:gridCol w:w="750"/>
              <w:gridCol w:w="800"/>
              <w:gridCol w:w="759"/>
            </w:tblGrid>
            <w:tr w14:paraId="32BF0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99" w:type="dxa"/>
                  <w:vMerge w:val="restart"/>
                  <w:tcBorders>
                    <w:tl2br w:val="nil"/>
                    <w:tr2bl w:val="nil"/>
                  </w:tcBorders>
                  <w:vAlign w:val="center"/>
                </w:tcPr>
                <w:p w14:paraId="3986B457">
                  <w:pPr>
                    <w:adjustRightInd w:val="0"/>
                    <w:snapToGrid w:val="0"/>
                    <w:jc w:val="center"/>
                    <w:rPr>
                      <w:color w:val="auto"/>
                      <w:sz w:val="18"/>
                      <w:szCs w:val="18"/>
                      <w:highlight w:val="none"/>
                    </w:rPr>
                  </w:pPr>
                  <w:r>
                    <w:rPr>
                      <w:rFonts w:hint="eastAsia"/>
                      <w:color w:val="auto"/>
                      <w:sz w:val="18"/>
                      <w:szCs w:val="18"/>
                      <w:highlight w:val="none"/>
                    </w:rPr>
                    <w:t>序号</w:t>
                  </w:r>
                </w:p>
              </w:tc>
              <w:tc>
                <w:tcPr>
                  <w:tcW w:w="1137" w:type="dxa"/>
                  <w:vMerge w:val="restart"/>
                  <w:tcBorders>
                    <w:tl2br w:val="nil"/>
                    <w:tr2bl w:val="nil"/>
                  </w:tcBorders>
                  <w:vAlign w:val="center"/>
                </w:tcPr>
                <w:p w14:paraId="226AC03A">
                  <w:pPr>
                    <w:adjustRightInd w:val="0"/>
                    <w:snapToGrid w:val="0"/>
                    <w:jc w:val="center"/>
                    <w:rPr>
                      <w:color w:val="auto"/>
                      <w:sz w:val="18"/>
                      <w:szCs w:val="18"/>
                      <w:highlight w:val="none"/>
                    </w:rPr>
                  </w:pPr>
                  <w:r>
                    <w:rPr>
                      <w:color w:val="auto"/>
                      <w:sz w:val="18"/>
                      <w:szCs w:val="18"/>
                      <w:highlight w:val="none"/>
                    </w:rPr>
                    <w:t>噪声源</w:t>
                  </w:r>
                </w:p>
              </w:tc>
              <w:tc>
                <w:tcPr>
                  <w:tcW w:w="789" w:type="dxa"/>
                  <w:vMerge w:val="restart"/>
                  <w:tcBorders>
                    <w:tl2br w:val="nil"/>
                    <w:tr2bl w:val="nil"/>
                  </w:tcBorders>
                  <w:vAlign w:val="center"/>
                </w:tcPr>
                <w:p w14:paraId="0EE1FA1F">
                  <w:pPr>
                    <w:adjustRightInd w:val="0"/>
                    <w:snapToGrid w:val="0"/>
                    <w:jc w:val="center"/>
                    <w:rPr>
                      <w:color w:val="auto"/>
                      <w:sz w:val="18"/>
                      <w:szCs w:val="18"/>
                      <w:highlight w:val="none"/>
                    </w:rPr>
                  </w:pPr>
                  <w:r>
                    <w:rPr>
                      <w:color w:val="auto"/>
                      <w:sz w:val="18"/>
                      <w:szCs w:val="18"/>
                      <w:highlight w:val="none"/>
                    </w:rPr>
                    <w:t>声源</w:t>
                  </w:r>
                </w:p>
                <w:p w14:paraId="42F1AF50">
                  <w:pPr>
                    <w:adjustRightInd w:val="0"/>
                    <w:snapToGrid w:val="0"/>
                    <w:jc w:val="center"/>
                    <w:rPr>
                      <w:color w:val="auto"/>
                      <w:sz w:val="18"/>
                      <w:szCs w:val="18"/>
                      <w:highlight w:val="none"/>
                    </w:rPr>
                  </w:pPr>
                  <w:r>
                    <w:rPr>
                      <w:color w:val="auto"/>
                      <w:sz w:val="18"/>
                      <w:szCs w:val="18"/>
                      <w:highlight w:val="none"/>
                    </w:rPr>
                    <w:t>类型</w:t>
                  </w:r>
                </w:p>
                <w:p w14:paraId="7BF53F50">
                  <w:pPr>
                    <w:adjustRightInd w:val="0"/>
                    <w:snapToGrid w:val="0"/>
                    <w:jc w:val="center"/>
                    <w:rPr>
                      <w:color w:val="auto"/>
                      <w:sz w:val="18"/>
                      <w:szCs w:val="18"/>
                      <w:highlight w:val="none"/>
                    </w:rPr>
                  </w:pPr>
                  <w:r>
                    <w:rPr>
                      <w:color w:val="auto"/>
                      <w:sz w:val="18"/>
                      <w:szCs w:val="18"/>
                      <w:highlight w:val="none"/>
                    </w:rPr>
                    <w:t>（偶发、频</w:t>
                  </w:r>
                </w:p>
                <w:p w14:paraId="34AEEBC3">
                  <w:pPr>
                    <w:adjustRightInd w:val="0"/>
                    <w:snapToGrid w:val="0"/>
                    <w:jc w:val="center"/>
                    <w:rPr>
                      <w:color w:val="auto"/>
                      <w:sz w:val="18"/>
                      <w:szCs w:val="18"/>
                      <w:highlight w:val="none"/>
                    </w:rPr>
                  </w:pPr>
                  <w:r>
                    <w:rPr>
                      <w:color w:val="auto"/>
                      <w:sz w:val="18"/>
                      <w:szCs w:val="18"/>
                      <w:highlight w:val="none"/>
                    </w:rPr>
                    <w:t>发等）</w:t>
                  </w:r>
                </w:p>
              </w:tc>
              <w:tc>
                <w:tcPr>
                  <w:tcW w:w="1550" w:type="dxa"/>
                  <w:gridSpan w:val="2"/>
                  <w:tcBorders>
                    <w:tl2br w:val="nil"/>
                    <w:tr2bl w:val="nil"/>
                  </w:tcBorders>
                  <w:vAlign w:val="center"/>
                </w:tcPr>
                <w:p w14:paraId="6E526551">
                  <w:pPr>
                    <w:adjustRightInd w:val="0"/>
                    <w:snapToGrid w:val="0"/>
                    <w:jc w:val="center"/>
                    <w:rPr>
                      <w:color w:val="auto"/>
                      <w:sz w:val="18"/>
                      <w:szCs w:val="18"/>
                      <w:highlight w:val="none"/>
                    </w:rPr>
                  </w:pPr>
                  <w:r>
                    <w:rPr>
                      <w:color w:val="auto"/>
                      <w:sz w:val="18"/>
                      <w:szCs w:val="18"/>
                      <w:highlight w:val="none"/>
                    </w:rPr>
                    <w:t>噪声产生量</w:t>
                  </w:r>
                </w:p>
              </w:tc>
              <w:tc>
                <w:tcPr>
                  <w:tcW w:w="1551" w:type="dxa"/>
                  <w:gridSpan w:val="2"/>
                  <w:tcBorders>
                    <w:tl2br w:val="nil"/>
                    <w:tr2bl w:val="nil"/>
                  </w:tcBorders>
                  <w:vAlign w:val="center"/>
                </w:tcPr>
                <w:p w14:paraId="159E9489">
                  <w:pPr>
                    <w:adjustRightInd w:val="0"/>
                    <w:snapToGrid w:val="0"/>
                    <w:jc w:val="center"/>
                    <w:rPr>
                      <w:color w:val="auto"/>
                      <w:sz w:val="18"/>
                      <w:szCs w:val="18"/>
                      <w:highlight w:val="none"/>
                    </w:rPr>
                  </w:pPr>
                  <w:r>
                    <w:rPr>
                      <w:color w:val="auto"/>
                      <w:sz w:val="18"/>
                      <w:szCs w:val="18"/>
                      <w:highlight w:val="none"/>
                    </w:rPr>
                    <w:t>降噪措施</w:t>
                  </w:r>
                </w:p>
              </w:tc>
              <w:tc>
                <w:tcPr>
                  <w:tcW w:w="1550" w:type="dxa"/>
                  <w:gridSpan w:val="2"/>
                  <w:tcBorders>
                    <w:tl2br w:val="nil"/>
                    <w:tr2bl w:val="nil"/>
                  </w:tcBorders>
                  <w:vAlign w:val="center"/>
                </w:tcPr>
                <w:p w14:paraId="0C4576DC">
                  <w:pPr>
                    <w:adjustRightInd w:val="0"/>
                    <w:snapToGrid w:val="0"/>
                    <w:jc w:val="center"/>
                    <w:rPr>
                      <w:color w:val="auto"/>
                      <w:sz w:val="18"/>
                      <w:szCs w:val="18"/>
                      <w:highlight w:val="none"/>
                    </w:rPr>
                  </w:pPr>
                  <w:r>
                    <w:rPr>
                      <w:color w:val="auto"/>
                      <w:sz w:val="18"/>
                      <w:szCs w:val="18"/>
                      <w:highlight w:val="none"/>
                    </w:rPr>
                    <w:t>噪声排放量</w:t>
                  </w:r>
                </w:p>
              </w:tc>
              <w:tc>
                <w:tcPr>
                  <w:tcW w:w="759" w:type="dxa"/>
                  <w:vMerge w:val="restart"/>
                  <w:tcBorders>
                    <w:tl2br w:val="nil"/>
                    <w:tr2bl w:val="nil"/>
                  </w:tcBorders>
                  <w:vAlign w:val="center"/>
                </w:tcPr>
                <w:p w14:paraId="25852F4D">
                  <w:pPr>
                    <w:adjustRightInd w:val="0"/>
                    <w:snapToGrid w:val="0"/>
                    <w:jc w:val="center"/>
                    <w:rPr>
                      <w:color w:val="auto"/>
                      <w:sz w:val="18"/>
                      <w:szCs w:val="18"/>
                      <w:highlight w:val="none"/>
                    </w:rPr>
                  </w:pPr>
                  <w:r>
                    <w:rPr>
                      <w:color w:val="auto"/>
                      <w:sz w:val="18"/>
                      <w:szCs w:val="18"/>
                      <w:highlight w:val="none"/>
                    </w:rPr>
                    <w:t>持续</w:t>
                  </w:r>
                </w:p>
                <w:p w14:paraId="445181C5">
                  <w:pPr>
                    <w:adjustRightInd w:val="0"/>
                    <w:snapToGrid w:val="0"/>
                    <w:jc w:val="center"/>
                    <w:rPr>
                      <w:color w:val="auto"/>
                      <w:sz w:val="18"/>
                      <w:szCs w:val="18"/>
                      <w:highlight w:val="none"/>
                    </w:rPr>
                  </w:pPr>
                  <w:r>
                    <w:rPr>
                      <w:color w:val="auto"/>
                      <w:sz w:val="18"/>
                      <w:szCs w:val="18"/>
                      <w:highlight w:val="none"/>
                    </w:rPr>
                    <w:t>时间</w:t>
                  </w:r>
                </w:p>
                <w:p w14:paraId="66CE68F3">
                  <w:pPr>
                    <w:adjustRightInd w:val="0"/>
                    <w:snapToGrid w:val="0"/>
                    <w:jc w:val="center"/>
                    <w:rPr>
                      <w:color w:val="auto"/>
                      <w:sz w:val="18"/>
                      <w:szCs w:val="18"/>
                      <w:highlight w:val="none"/>
                    </w:rPr>
                  </w:pPr>
                  <w:r>
                    <w:rPr>
                      <w:color w:val="auto"/>
                      <w:sz w:val="18"/>
                      <w:szCs w:val="18"/>
                      <w:highlight w:val="none"/>
                    </w:rPr>
                    <w:t>/h</w:t>
                  </w:r>
                </w:p>
              </w:tc>
            </w:tr>
            <w:tr w14:paraId="4400A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1" w:hRule="atLeast"/>
              </w:trPr>
              <w:tc>
                <w:tcPr>
                  <w:tcW w:w="799" w:type="dxa"/>
                  <w:vMerge w:val="continue"/>
                  <w:tcBorders>
                    <w:tl2br w:val="nil"/>
                    <w:tr2bl w:val="nil"/>
                  </w:tcBorders>
                  <w:vAlign w:val="center"/>
                </w:tcPr>
                <w:p w14:paraId="45F5A2C7">
                  <w:pPr>
                    <w:adjustRightInd w:val="0"/>
                    <w:snapToGrid w:val="0"/>
                    <w:jc w:val="center"/>
                    <w:rPr>
                      <w:color w:val="auto"/>
                      <w:sz w:val="18"/>
                      <w:szCs w:val="18"/>
                      <w:highlight w:val="none"/>
                    </w:rPr>
                  </w:pPr>
                </w:p>
              </w:tc>
              <w:tc>
                <w:tcPr>
                  <w:tcW w:w="1137" w:type="dxa"/>
                  <w:vMerge w:val="continue"/>
                  <w:tcBorders>
                    <w:tl2br w:val="nil"/>
                    <w:tr2bl w:val="nil"/>
                  </w:tcBorders>
                  <w:vAlign w:val="center"/>
                </w:tcPr>
                <w:p w14:paraId="6EF4C15B">
                  <w:pPr>
                    <w:adjustRightInd w:val="0"/>
                    <w:snapToGrid w:val="0"/>
                    <w:jc w:val="center"/>
                    <w:rPr>
                      <w:color w:val="auto"/>
                      <w:sz w:val="18"/>
                      <w:szCs w:val="18"/>
                      <w:highlight w:val="none"/>
                    </w:rPr>
                  </w:pPr>
                </w:p>
              </w:tc>
              <w:tc>
                <w:tcPr>
                  <w:tcW w:w="789" w:type="dxa"/>
                  <w:vMerge w:val="continue"/>
                  <w:tcBorders>
                    <w:tl2br w:val="nil"/>
                    <w:tr2bl w:val="nil"/>
                  </w:tcBorders>
                  <w:vAlign w:val="center"/>
                </w:tcPr>
                <w:p w14:paraId="2682C471">
                  <w:pPr>
                    <w:adjustRightInd w:val="0"/>
                    <w:snapToGrid w:val="0"/>
                    <w:jc w:val="center"/>
                    <w:rPr>
                      <w:color w:val="auto"/>
                      <w:sz w:val="18"/>
                      <w:szCs w:val="18"/>
                      <w:highlight w:val="none"/>
                    </w:rPr>
                  </w:pPr>
                </w:p>
              </w:tc>
              <w:tc>
                <w:tcPr>
                  <w:tcW w:w="750" w:type="dxa"/>
                  <w:tcBorders>
                    <w:tl2br w:val="nil"/>
                    <w:tr2bl w:val="nil"/>
                  </w:tcBorders>
                  <w:vAlign w:val="center"/>
                </w:tcPr>
                <w:p w14:paraId="18C44000">
                  <w:pPr>
                    <w:adjustRightInd w:val="0"/>
                    <w:snapToGrid w:val="0"/>
                    <w:jc w:val="center"/>
                    <w:rPr>
                      <w:color w:val="auto"/>
                      <w:sz w:val="18"/>
                      <w:szCs w:val="18"/>
                      <w:highlight w:val="none"/>
                    </w:rPr>
                  </w:pPr>
                  <w:r>
                    <w:rPr>
                      <w:color w:val="auto"/>
                      <w:sz w:val="18"/>
                      <w:szCs w:val="18"/>
                      <w:highlight w:val="none"/>
                    </w:rPr>
                    <w:t>核算方法</w:t>
                  </w:r>
                </w:p>
              </w:tc>
              <w:tc>
                <w:tcPr>
                  <w:tcW w:w="800" w:type="dxa"/>
                  <w:tcBorders>
                    <w:tl2br w:val="nil"/>
                    <w:tr2bl w:val="nil"/>
                  </w:tcBorders>
                  <w:vAlign w:val="center"/>
                </w:tcPr>
                <w:p w14:paraId="376E9901">
                  <w:pPr>
                    <w:adjustRightInd w:val="0"/>
                    <w:snapToGrid w:val="0"/>
                    <w:jc w:val="center"/>
                    <w:rPr>
                      <w:color w:val="auto"/>
                      <w:sz w:val="18"/>
                      <w:szCs w:val="18"/>
                      <w:highlight w:val="none"/>
                    </w:rPr>
                  </w:pPr>
                  <w:r>
                    <w:rPr>
                      <w:color w:val="auto"/>
                      <w:sz w:val="18"/>
                      <w:szCs w:val="18"/>
                      <w:highlight w:val="none"/>
                    </w:rPr>
                    <w:t>噪声</w:t>
                  </w:r>
                </w:p>
                <w:p w14:paraId="787956AD">
                  <w:pPr>
                    <w:adjustRightInd w:val="0"/>
                    <w:snapToGrid w:val="0"/>
                    <w:jc w:val="center"/>
                    <w:rPr>
                      <w:color w:val="auto"/>
                      <w:sz w:val="18"/>
                      <w:szCs w:val="18"/>
                      <w:highlight w:val="none"/>
                    </w:rPr>
                  </w:pPr>
                  <w:r>
                    <w:rPr>
                      <w:color w:val="auto"/>
                      <w:sz w:val="18"/>
                      <w:szCs w:val="18"/>
                      <w:highlight w:val="none"/>
                    </w:rPr>
                    <w:t>值</w:t>
                  </w:r>
                </w:p>
                <w:p w14:paraId="4B00BA2E">
                  <w:pPr>
                    <w:adjustRightInd w:val="0"/>
                    <w:snapToGrid w:val="0"/>
                    <w:jc w:val="center"/>
                    <w:rPr>
                      <w:color w:val="auto"/>
                      <w:sz w:val="18"/>
                      <w:szCs w:val="18"/>
                      <w:highlight w:val="none"/>
                    </w:rPr>
                  </w:pPr>
                  <w:r>
                    <w:rPr>
                      <w:color w:val="auto"/>
                      <w:sz w:val="18"/>
                      <w:szCs w:val="18"/>
                      <w:highlight w:val="none"/>
                    </w:rPr>
                    <w:t>/dB(A)</w:t>
                  </w:r>
                </w:p>
              </w:tc>
              <w:tc>
                <w:tcPr>
                  <w:tcW w:w="751" w:type="dxa"/>
                  <w:tcBorders>
                    <w:tl2br w:val="nil"/>
                    <w:tr2bl w:val="nil"/>
                  </w:tcBorders>
                  <w:vAlign w:val="center"/>
                </w:tcPr>
                <w:p w14:paraId="024E7034">
                  <w:pPr>
                    <w:adjustRightInd w:val="0"/>
                    <w:snapToGrid w:val="0"/>
                    <w:jc w:val="center"/>
                    <w:rPr>
                      <w:color w:val="auto"/>
                      <w:sz w:val="18"/>
                      <w:szCs w:val="18"/>
                      <w:highlight w:val="none"/>
                    </w:rPr>
                  </w:pPr>
                  <w:r>
                    <w:rPr>
                      <w:color w:val="auto"/>
                      <w:sz w:val="18"/>
                      <w:szCs w:val="18"/>
                      <w:highlight w:val="none"/>
                    </w:rPr>
                    <w:t>工艺</w:t>
                  </w:r>
                </w:p>
              </w:tc>
              <w:tc>
                <w:tcPr>
                  <w:tcW w:w="800" w:type="dxa"/>
                  <w:tcBorders>
                    <w:tl2br w:val="nil"/>
                    <w:tr2bl w:val="nil"/>
                  </w:tcBorders>
                  <w:vAlign w:val="center"/>
                </w:tcPr>
                <w:p w14:paraId="2054C1ED">
                  <w:pPr>
                    <w:adjustRightInd w:val="0"/>
                    <w:snapToGrid w:val="0"/>
                    <w:jc w:val="center"/>
                    <w:rPr>
                      <w:color w:val="auto"/>
                      <w:sz w:val="18"/>
                      <w:szCs w:val="18"/>
                      <w:highlight w:val="none"/>
                    </w:rPr>
                  </w:pPr>
                  <w:r>
                    <w:rPr>
                      <w:color w:val="auto"/>
                      <w:sz w:val="18"/>
                      <w:szCs w:val="18"/>
                      <w:highlight w:val="none"/>
                    </w:rPr>
                    <w:t>降噪效果/dB(A)</w:t>
                  </w:r>
                </w:p>
              </w:tc>
              <w:tc>
                <w:tcPr>
                  <w:tcW w:w="750" w:type="dxa"/>
                  <w:tcBorders>
                    <w:tl2br w:val="nil"/>
                    <w:tr2bl w:val="nil"/>
                  </w:tcBorders>
                  <w:vAlign w:val="center"/>
                </w:tcPr>
                <w:p w14:paraId="63D5997A">
                  <w:pPr>
                    <w:adjustRightInd w:val="0"/>
                    <w:snapToGrid w:val="0"/>
                    <w:jc w:val="center"/>
                    <w:rPr>
                      <w:color w:val="auto"/>
                      <w:sz w:val="18"/>
                      <w:szCs w:val="18"/>
                      <w:highlight w:val="none"/>
                    </w:rPr>
                  </w:pPr>
                  <w:r>
                    <w:rPr>
                      <w:color w:val="auto"/>
                      <w:sz w:val="18"/>
                      <w:szCs w:val="18"/>
                      <w:highlight w:val="none"/>
                    </w:rPr>
                    <w:t>核算方法</w:t>
                  </w:r>
                </w:p>
              </w:tc>
              <w:tc>
                <w:tcPr>
                  <w:tcW w:w="800" w:type="dxa"/>
                  <w:tcBorders>
                    <w:tl2br w:val="nil"/>
                    <w:tr2bl w:val="nil"/>
                  </w:tcBorders>
                  <w:vAlign w:val="center"/>
                </w:tcPr>
                <w:p w14:paraId="017AEC81">
                  <w:pPr>
                    <w:adjustRightInd w:val="0"/>
                    <w:snapToGrid w:val="0"/>
                    <w:jc w:val="center"/>
                    <w:rPr>
                      <w:color w:val="auto"/>
                      <w:sz w:val="18"/>
                      <w:szCs w:val="18"/>
                      <w:highlight w:val="none"/>
                    </w:rPr>
                  </w:pPr>
                  <w:r>
                    <w:rPr>
                      <w:color w:val="auto"/>
                      <w:sz w:val="18"/>
                      <w:szCs w:val="18"/>
                      <w:highlight w:val="none"/>
                    </w:rPr>
                    <w:t>噪声值/dB(A)</w:t>
                  </w:r>
                </w:p>
              </w:tc>
              <w:tc>
                <w:tcPr>
                  <w:tcW w:w="759" w:type="dxa"/>
                  <w:vMerge w:val="continue"/>
                  <w:tcBorders>
                    <w:tl2br w:val="nil"/>
                    <w:tr2bl w:val="nil"/>
                  </w:tcBorders>
                  <w:vAlign w:val="center"/>
                </w:tcPr>
                <w:p w14:paraId="45A96582">
                  <w:pPr>
                    <w:adjustRightInd w:val="0"/>
                    <w:snapToGrid w:val="0"/>
                    <w:jc w:val="center"/>
                    <w:rPr>
                      <w:color w:val="auto"/>
                      <w:sz w:val="18"/>
                      <w:szCs w:val="18"/>
                      <w:highlight w:val="none"/>
                    </w:rPr>
                  </w:pPr>
                </w:p>
              </w:tc>
            </w:tr>
            <w:tr w14:paraId="2E75C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4EA877EF">
                  <w:pPr>
                    <w:adjustRightInd w:val="0"/>
                    <w:snapToGrid w:val="0"/>
                    <w:jc w:val="center"/>
                    <w:rPr>
                      <w:color w:val="auto"/>
                      <w:sz w:val="18"/>
                      <w:szCs w:val="18"/>
                      <w:highlight w:val="none"/>
                    </w:rPr>
                  </w:pPr>
                  <w:r>
                    <w:rPr>
                      <w:rFonts w:hint="eastAsia"/>
                      <w:color w:val="auto"/>
                      <w:sz w:val="18"/>
                      <w:szCs w:val="18"/>
                      <w:highlight w:val="none"/>
                    </w:rPr>
                    <w:t>1</w:t>
                  </w:r>
                </w:p>
              </w:tc>
              <w:tc>
                <w:tcPr>
                  <w:tcW w:w="1137" w:type="dxa"/>
                  <w:tcBorders>
                    <w:tl2br w:val="nil"/>
                    <w:tr2bl w:val="nil"/>
                  </w:tcBorders>
                  <w:vAlign w:val="center"/>
                </w:tcPr>
                <w:p w14:paraId="64D645A8">
                  <w:pPr>
                    <w:jc w:val="center"/>
                    <w:rPr>
                      <w:color w:val="auto"/>
                      <w:sz w:val="18"/>
                      <w:szCs w:val="18"/>
                      <w:highlight w:val="none"/>
                    </w:rPr>
                  </w:pPr>
                  <w:r>
                    <w:rPr>
                      <w:rFonts w:hint="eastAsia"/>
                      <w:color w:val="auto"/>
                      <w:sz w:val="18"/>
                      <w:szCs w:val="18"/>
                      <w:highlight w:val="none"/>
                    </w:rPr>
                    <w:t>截粗筛</w:t>
                  </w:r>
                </w:p>
              </w:tc>
              <w:tc>
                <w:tcPr>
                  <w:tcW w:w="789" w:type="dxa"/>
                  <w:tcBorders>
                    <w:tl2br w:val="nil"/>
                    <w:tr2bl w:val="nil"/>
                  </w:tcBorders>
                  <w:vAlign w:val="center"/>
                </w:tcPr>
                <w:p w14:paraId="219D0B38">
                  <w:pPr>
                    <w:adjustRightInd w:val="0"/>
                    <w:snapToGrid w:val="0"/>
                    <w:jc w:val="center"/>
                    <w:rPr>
                      <w:color w:val="auto"/>
                      <w:sz w:val="18"/>
                      <w:szCs w:val="18"/>
                      <w:highlight w:val="none"/>
                    </w:rPr>
                  </w:pPr>
                  <w:r>
                    <w:rPr>
                      <w:color w:val="auto"/>
                      <w:sz w:val="18"/>
                      <w:szCs w:val="18"/>
                      <w:highlight w:val="none"/>
                    </w:rPr>
                    <w:t>频发</w:t>
                  </w:r>
                </w:p>
              </w:tc>
              <w:tc>
                <w:tcPr>
                  <w:tcW w:w="750" w:type="dxa"/>
                  <w:vMerge w:val="restart"/>
                  <w:tcBorders>
                    <w:tl2br w:val="nil"/>
                    <w:tr2bl w:val="nil"/>
                  </w:tcBorders>
                  <w:vAlign w:val="center"/>
                </w:tcPr>
                <w:p w14:paraId="2D36F356">
                  <w:pPr>
                    <w:adjustRightInd w:val="0"/>
                    <w:snapToGrid w:val="0"/>
                    <w:jc w:val="center"/>
                    <w:rPr>
                      <w:color w:val="auto"/>
                      <w:sz w:val="18"/>
                      <w:szCs w:val="18"/>
                      <w:highlight w:val="none"/>
                    </w:rPr>
                  </w:pPr>
                  <w:r>
                    <w:rPr>
                      <w:rFonts w:hint="eastAsia"/>
                      <w:color w:val="auto"/>
                      <w:sz w:val="18"/>
                      <w:szCs w:val="18"/>
                      <w:highlight w:val="none"/>
                    </w:rPr>
                    <w:t>类比法</w:t>
                  </w:r>
                </w:p>
              </w:tc>
              <w:tc>
                <w:tcPr>
                  <w:tcW w:w="800" w:type="dxa"/>
                  <w:tcBorders>
                    <w:tl2br w:val="nil"/>
                    <w:tr2bl w:val="nil"/>
                  </w:tcBorders>
                  <w:vAlign w:val="center"/>
                </w:tcPr>
                <w:p w14:paraId="591CFFF3">
                  <w:pPr>
                    <w:jc w:val="center"/>
                    <w:rPr>
                      <w:color w:val="auto"/>
                      <w:sz w:val="18"/>
                      <w:szCs w:val="18"/>
                      <w:highlight w:val="none"/>
                    </w:rPr>
                  </w:pPr>
                  <w:r>
                    <w:rPr>
                      <w:rFonts w:eastAsia="Times New Roman"/>
                      <w:color w:val="auto"/>
                      <w:spacing w:val="-3"/>
                      <w:sz w:val="18"/>
                      <w:szCs w:val="18"/>
                      <w:highlight w:val="none"/>
                    </w:rPr>
                    <w:t>85</w:t>
                  </w:r>
                </w:p>
              </w:tc>
              <w:tc>
                <w:tcPr>
                  <w:tcW w:w="751" w:type="dxa"/>
                  <w:vMerge w:val="restart"/>
                  <w:tcBorders>
                    <w:tl2br w:val="nil"/>
                    <w:tr2bl w:val="nil"/>
                  </w:tcBorders>
                  <w:vAlign w:val="center"/>
                </w:tcPr>
                <w:p w14:paraId="5515B532">
                  <w:pPr>
                    <w:adjustRightInd w:val="0"/>
                    <w:snapToGrid w:val="0"/>
                    <w:jc w:val="center"/>
                    <w:rPr>
                      <w:rFonts w:hint="eastAsia" w:eastAsia="宋体"/>
                      <w:color w:val="auto"/>
                      <w:sz w:val="18"/>
                      <w:szCs w:val="18"/>
                      <w:highlight w:val="none"/>
                      <w:lang w:eastAsia="zh-CN"/>
                    </w:rPr>
                  </w:pPr>
                  <w:r>
                    <w:rPr>
                      <w:rFonts w:hint="eastAsia"/>
                      <w:color w:val="auto"/>
                      <w:sz w:val="18"/>
                      <w:szCs w:val="18"/>
                      <w:highlight w:val="none"/>
                    </w:rPr>
                    <w:t>基础减震、厂房隔声</w:t>
                  </w:r>
                  <w:r>
                    <w:rPr>
                      <w:rFonts w:hint="eastAsia"/>
                      <w:color w:val="auto"/>
                      <w:sz w:val="18"/>
                      <w:szCs w:val="18"/>
                      <w:highlight w:val="none"/>
                      <w:lang w:eastAsia="zh-CN"/>
                    </w:rPr>
                    <w:t>、风机消声器、水泵隔声罩</w:t>
                  </w:r>
                </w:p>
              </w:tc>
              <w:tc>
                <w:tcPr>
                  <w:tcW w:w="800" w:type="dxa"/>
                  <w:tcBorders>
                    <w:tl2br w:val="nil"/>
                    <w:tr2bl w:val="nil"/>
                  </w:tcBorders>
                  <w:vAlign w:val="center"/>
                </w:tcPr>
                <w:p w14:paraId="5534C916">
                  <w:pPr>
                    <w:jc w:val="center"/>
                    <w:rPr>
                      <w:color w:val="auto"/>
                      <w:sz w:val="18"/>
                      <w:szCs w:val="18"/>
                      <w:highlight w:val="none"/>
                    </w:rPr>
                  </w:pPr>
                  <w:r>
                    <w:rPr>
                      <w:rFonts w:hint="eastAsia"/>
                      <w:color w:val="auto"/>
                      <w:spacing w:val="-12"/>
                      <w:sz w:val="18"/>
                      <w:szCs w:val="18"/>
                      <w:highlight w:val="none"/>
                    </w:rPr>
                    <w:t>20</w:t>
                  </w:r>
                </w:p>
              </w:tc>
              <w:tc>
                <w:tcPr>
                  <w:tcW w:w="750" w:type="dxa"/>
                  <w:vMerge w:val="restart"/>
                  <w:tcBorders>
                    <w:tl2br w:val="nil"/>
                    <w:tr2bl w:val="nil"/>
                  </w:tcBorders>
                  <w:vAlign w:val="center"/>
                </w:tcPr>
                <w:p w14:paraId="60B370A0">
                  <w:pPr>
                    <w:adjustRightInd w:val="0"/>
                    <w:snapToGrid w:val="0"/>
                    <w:jc w:val="center"/>
                    <w:rPr>
                      <w:color w:val="auto"/>
                      <w:sz w:val="18"/>
                      <w:szCs w:val="18"/>
                      <w:highlight w:val="none"/>
                    </w:rPr>
                  </w:pPr>
                  <w:r>
                    <w:rPr>
                      <w:rFonts w:hint="eastAsia"/>
                      <w:color w:val="auto"/>
                      <w:sz w:val="18"/>
                      <w:szCs w:val="18"/>
                      <w:highlight w:val="none"/>
                    </w:rPr>
                    <w:t>类比法</w:t>
                  </w:r>
                </w:p>
              </w:tc>
              <w:tc>
                <w:tcPr>
                  <w:tcW w:w="800" w:type="dxa"/>
                  <w:tcBorders>
                    <w:tl2br w:val="nil"/>
                    <w:tr2bl w:val="nil"/>
                  </w:tcBorders>
                  <w:vAlign w:val="center"/>
                </w:tcPr>
                <w:p w14:paraId="38AA1E87">
                  <w:pPr>
                    <w:adjustRightInd w:val="0"/>
                    <w:snapToGrid w:val="0"/>
                    <w:jc w:val="center"/>
                    <w:rPr>
                      <w:color w:val="auto"/>
                      <w:sz w:val="18"/>
                      <w:szCs w:val="18"/>
                      <w:highlight w:val="none"/>
                    </w:rPr>
                  </w:pPr>
                  <w:r>
                    <w:rPr>
                      <w:rFonts w:hint="eastAsia"/>
                      <w:color w:val="auto"/>
                      <w:sz w:val="18"/>
                      <w:szCs w:val="18"/>
                      <w:highlight w:val="none"/>
                    </w:rPr>
                    <w:t>65</w:t>
                  </w:r>
                </w:p>
              </w:tc>
              <w:tc>
                <w:tcPr>
                  <w:tcW w:w="759" w:type="dxa"/>
                  <w:vMerge w:val="restart"/>
                  <w:tcBorders>
                    <w:tl2br w:val="nil"/>
                    <w:tr2bl w:val="nil"/>
                  </w:tcBorders>
                  <w:vAlign w:val="center"/>
                </w:tcPr>
                <w:p w14:paraId="2DFF1F39">
                  <w:pPr>
                    <w:adjustRightInd w:val="0"/>
                    <w:snapToGrid w:val="0"/>
                    <w:jc w:val="center"/>
                    <w:rPr>
                      <w:color w:val="auto"/>
                      <w:sz w:val="18"/>
                      <w:szCs w:val="18"/>
                      <w:highlight w:val="none"/>
                    </w:rPr>
                  </w:pPr>
                  <w:r>
                    <w:rPr>
                      <w:rFonts w:hint="eastAsia"/>
                      <w:color w:val="auto"/>
                      <w:sz w:val="18"/>
                      <w:szCs w:val="18"/>
                      <w:highlight w:val="none"/>
                    </w:rPr>
                    <w:t>5760</w:t>
                  </w:r>
                </w:p>
              </w:tc>
            </w:tr>
            <w:tr w14:paraId="362C0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01CA1A2D">
                  <w:pPr>
                    <w:adjustRightInd w:val="0"/>
                    <w:snapToGrid w:val="0"/>
                    <w:jc w:val="center"/>
                    <w:rPr>
                      <w:color w:val="auto"/>
                      <w:sz w:val="18"/>
                      <w:szCs w:val="18"/>
                      <w:highlight w:val="none"/>
                    </w:rPr>
                  </w:pPr>
                  <w:r>
                    <w:rPr>
                      <w:rFonts w:hint="eastAsia"/>
                      <w:color w:val="auto"/>
                      <w:sz w:val="18"/>
                      <w:szCs w:val="18"/>
                      <w:highlight w:val="none"/>
                    </w:rPr>
                    <w:t>2</w:t>
                  </w:r>
                </w:p>
              </w:tc>
              <w:tc>
                <w:tcPr>
                  <w:tcW w:w="1137" w:type="dxa"/>
                  <w:tcBorders>
                    <w:tl2br w:val="nil"/>
                    <w:tr2bl w:val="nil"/>
                  </w:tcBorders>
                  <w:vAlign w:val="center"/>
                </w:tcPr>
                <w:p w14:paraId="572F66DD">
                  <w:pPr>
                    <w:jc w:val="center"/>
                    <w:rPr>
                      <w:color w:val="auto"/>
                      <w:sz w:val="18"/>
                      <w:szCs w:val="18"/>
                      <w:highlight w:val="none"/>
                    </w:rPr>
                  </w:pPr>
                  <w:r>
                    <w:rPr>
                      <w:rFonts w:hint="eastAsia"/>
                      <w:color w:val="auto"/>
                      <w:sz w:val="18"/>
                      <w:szCs w:val="18"/>
                      <w:highlight w:val="none"/>
                    </w:rPr>
                    <w:t>脱泥筛</w:t>
                  </w:r>
                </w:p>
              </w:tc>
              <w:tc>
                <w:tcPr>
                  <w:tcW w:w="789" w:type="dxa"/>
                  <w:tcBorders>
                    <w:tl2br w:val="nil"/>
                    <w:tr2bl w:val="nil"/>
                  </w:tcBorders>
                  <w:vAlign w:val="center"/>
                </w:tcPr>
                <w:p w14:paraId="2BB88FC8">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7C0688D0">
                  <w:pPr>
                    <w:adjustRightInd w:val="0"/>
                    <w:snapToGrid w:val="0"/>
                    <w:jc w:val="center"/>
                    <w:rPr>
                      <w:color w:val="auto"/>
                      <w:sz w:val="18"/>
                      <w:szCs w:val="18"/>
                      <w:highlight w:val="none"/>
                    </w:rPr>
                  </w:pPr>
                </w:p>
              </w:tc>
              <w:tc>
                <w:tcPr>
                  <w:tcW w:w="800" w:type="dxa"/>
                  <w:tcBorders>
                    <w:tl2br w:val="nil"/>
                    <w:tr2bl w:val="nil"/>
                  </w:tcBorders>
                  <w:vAlign w:val="center"/>
                </w:tcPr>
                <w:p w14:paraId="25D50142">
                  <w:pPr>
                    <w:jc w:val="center"/>
                    <w:rPr>
                      <w:color w:val="auto"/>
                      <w:sz w:val="18"/>
                      <w:szCs w:val="18"/>
                      <w:highlight w:val="none"/>
                    </w:rPr>
                  </w:pPr>
                  <w:r>
                    <w:rPr>
                      <w:rFonts w:eastAsia="Times New Roman"/>
                      <w:color w:val="auto"/>
                      <w:spacing w:val="-3"/>
                      <w:sz w:val="18"/>
                      <w:szCs w:val="18"/>
                      <w:highlight w:val="none"/>
                    </w:rPr>
                    <w:t>85</w:t>
                  </w:r>
                </w:p>
              </w:tc>
              <w:tc>
                <w:tcPr>
                  <w:tcW w:w="751" w:type="dxa"/>
                  <w:vMerge w:val="continue"/>
                  <w:tcBorders>
                    <w:tl2br w:val="nil"/>
                    <w:tr2bl w:val="nil"/>
                  </w:tcBorders>
                  <w:vAlign w:val="center"/>
                </w:tcPr>
                <w:p w14:paraId="3A45525B">
                  <w:pPr>
                    <w:adjustRightInd w:val="0"/>
                    <w:snapToGrid w:val="0"/>
                    <w:jc w:val="center"/>
                    <w:rPr>
                      <w:color w:val="auto"/>
                      <w:sz w:val="18"/>
                      <w:szCs w:val="18"/>
                      <w:highlight w:val="none"/>
                    </w:rPr>
                  </w:pPr>
                </w:p>
              </w:tc>
              <w:tc>
                <w:tcPr>
                  <w:tcW w:w="800" w:type="dxa"/>
                  <w:tcBorders>
                    <w:tl2br w:val="nil"/>
                    <w:tr2bl w:val="nil"/>
                  </w:tcBorders>
                  <w:vAlign w:val="center"/>
                </w:tcPr>
                <w:p w14:paraId="642B29BE">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35BD6144">
                  <w:pPr>
                    <w:adjustRightInd w:val="0"/>
                    <w:snapToGrid w:val="0"/>
                    <w:jc w:val="center"/>
                    <w:rPr>
                      <w:color w:val="auto"/>
                      <w:sz w:val="18"/>
                      <w:szCs w:val="18"/>
                      <w:highlight w:val="none"/>
                    </w:rPr>
                  </w:pPr>
                </w:p>
              </w:tc>
              <w:tc>
                <w:tcPr>
                  <w:tcW w:w="800" w:type="dxa"/>
                  <w:tcBorders>
                    <w:tl2br w:val="nil"/>
                    <w:tr2bl w:val="nil"/>
                  </w:tcBorders>
                  <w:vAlign w:val="center"/>
                </w:tcPr>
                <w:p w14:paraId="49D7647D">
                  <w:pPr>
                    <w:adjustRightInd w:val="0"/>
                    <w:snapToGrid w:val="0"/>
                    <w:jc w:val="center"/>
                    <w:rPr>
                      <w:color w:val="auto"/>
                      <w:sz w:val="18"/>
                      <w:szCs w:val="18"/>
                      <w:highlight w:val="none"/>
                    </w:rPr>
                  </w:pPr>
                  <w:r>
                    <w:rPr>
                      <w:rFonts w:hint="eastAsia"/>
                      <w:color w:val="auto"/>
                      <w:sz w:val="18"/>
                      <w:szCs w:val="18"/>
                      <w:highlight w:val="none"/>
                    </w:rPr>
                    <w:t>65</w:t>
                  </w:r>
                </w:p>
              </w:tc>
              <w:tc>
                <w:tcPr>
                  <w:tcW w:w="759" w:type="dxa"/>
                  <w:vMerge w:val="continue"/>
                  <w:tcBorders>
                    <w:tl2br w:val="nil"/>
                    <w:tr2bl w:val="nil"/>
                  </w:tcBorders>
                  <w:vAlign w:val="center"/>
                </w:tcPr>
                <w:p w14:paraId="387D0AAB">
                  <w:pPr>
                    <w:adjustRightInd w:val="0"/>
                    <w:snapToGrid w:val="0"/>
                    <w:jc w:val="center"/>
                    <w:rPr>
                      <w:color w:val="auto"/>
                      <w:sz w:val="18"/>
                      <w:szCs w:val="18"/>
                      <w:highlight w:val="none"/>
                    </w:rPr>
                  </w:pPr>
                </w:p>
              </w:tc>
            </w:tr>
            <w:tr w14:paraId="19AA9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2AB2ED78">
                  <w:pPr>
                    <w:adjustRightInd w:val="0"/>
                    <w:snapToGrid w:val="0"/>
                    <w:jc w:val="center"/>
                    <w:rPr>
                      <w:color w:val="auto"/>
                      <w:sz w:val="18"/>
                      <w:szCs w:val="18"/>
                      <w:highlight w:val="none"/>
                    </w:rPr>
                  </w:pPr>
                  <w:r>
                    <w:rPr>
                      <w:rFonts w:hint="eastAsia"/>
                      <w:color w:val="auto"/>
                      <w:sz w:val="18"/>
                      <w:szCs w:val="18"/>
                      <w:highlight w:val="none"/>
                    </w:rPr>
                    <w:t>3</w:t>
                  </w:r>
                </w:p>
              </w:tc>
              <w:tc>
                <w:tcPr>
                  <w:tcW w:w="1137" w:type="dxa"/>
                  <w:tcBorders>
                    <w:tl2br w:val="nil"/>
                    <w:tr2bl w:val="nil"/>
                  </w:tcBorders>
                  <w:vAlign w:val="center"/>
                </w:tcPr>
                <w:p w14:paraId="65CBA88C">
                  <w:pPr>
                    <w:jc w:val="center"/>
                    <w:rPr>
                      <w:color w:val="auto"/>
                      <w:sz w:val="18"/>
                      <w:szCs w:val="18"/>
                      <w:highlight w:val="none"/>
                    </w:rPr>
                  </w:pPr>
                  <w:r>
                    <w:rPr>
                      <w:rFonts w:hint="eastAsia"/>
                      <w:color w:val="auto"/>
                      <w:sz w:val="18"/>
                      <w:szCs w:val="18"/>
                      <w:highlight w:val="none"/>
                    </w:rPr>
                    <w:t>浮选机</w:t>
                  </w:r>
                </w:p>
              </w:tc>
              <w:tc>
                <w:tcPr>
                  <w:tcW w:w="789" w:type="dxa"/>
                  <w:tcBorders>
                    <w:tl2br w:val="nil"/>
                    <w:tr2bl w:val="nil"/>
                  </w:tcBorders>
                  <w:vAlign w:val="center"/>
                </w:tcPr>
                <w:p w14:paraId="59F1242E">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5012897C">
                  <w:pPr>
                    <w:adjustRightInd w:val="0"/>
                    <w:snapToGrid w:val="0"/>
                    <w:jc w:val="center"/>
                    <w:rPr>
                      <w:color w:val="auto"/>
                      <w:sz w:val="18"/>
                      <w:szCs w:val="18"/>
                      <w:highlight w:val="none"/>
                    </w:rPr>
                  </w:pPr>
                </w:p>
              </w:tc>
              <w:tc>
                <w:tcPr>
                  <w:tcW w:w="800" w:type="dxa"/>
                  <w:tcBorders>
                    <w:tl2br w:val="nil"/>
                    <w:tr2bl w:val="nil"/>
                  </w:tcBorders>
                  <w:vAlign w:val="center"/>
                </w:tcPr>
                <w:p w14:paraId="6C61EEDC">
                  <w:pPr>
                    <w:jc w:val="center"/>
                    <w:rPr>
                      <w:color w:val="auto"/>
                      <w:sz w:val="18"/>
                      <w:szCs w:val="18"/>
                      <w:highlight w:val="none"/>
                    </w:rPr>
                  </w:pPr>
                  <w:r>
                    <w:rPr>
                      <w:rFonts w:eastAsia="Times New Roman"/>
                      <w:color w:val="auto"/>
                      <w:spacing w:val="-3"/>
                      <w:sz w:val="18"/>
                      <w:szCs w:val="18"/>
                      <w:highlight w:val="none"/>
                    </w:rPr>
                    <w:t>8</w:t>
                  </w:r>
                  <w:r>
                    <w:rPr>
                      <w:rFonts w:hint="eastAsia"/>
                      <w:color w:val="auto"/>
                      <w:spacing w:val="-3"/>
                      <w:sz w:val="18"/>
                      <w:szCs w:val="18"/>
                      <w:highlight w:val="none"/>
                    </w:rPr>
                    <w:t>5</w:t>
                  </w:r>
                </w:p>
              </w:tc>
              <w:tc>
                <w:tcPr>
                  <w:tcW w:w="751" w:type="dxa"/>
                  <w:vMerge w:val="continue"/>
                  <w:tcBorders>
                    <w:tl2br w:val="nil"/>
                    <w:tr2bl w:val="nil"/>
                  </w:tcBorders>
                  <w:vAlign w:val="center"/>
                </w:tcPr>
                <w:p w14:paraId="3158D62A">
                  <w:pPr>
                    <w:adjustRightInd w:val="0"/>
                    <w:snapToGrid w:val="0"/>
                    <w:jc w:val="center"/>
                    <w:rPr>
                      <w:color w:val="auto"/>
                      <w:sz w:val="18"/>
                      <w:szCs w:val="18"/>
                      <w:highlight w:val="none"/>
                    </w:rPr>
                  </w:pPr>
                </w:p>
              </w:tc>
              <w:tc>
                <w:tcPr>
                  <w:tcW w:w="800" w:type="dxa"/>
                  <w:tcBorders>
                    <w:tl2br w:val="nil"/>
                    <w:tr2bl w:val="nil"/>
                  </w:tcBorders>
                  <w:vAlign w:val="center"/>
                </w:tcPr>
                <w:p w14:paraId="015727C9">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157AC512">
                  <w:pPr>
                    <w:adjustRightInd w:val="0"/>
                    <w:snapToGrid w:val="0"/>
                    <w:jc w:val="center"/>
                    <w:rPr>
                      <w:color w:val="auto"/>
                      <w:sz w:val="18"/>
                      <w:szCs w:val="18"/>
                      <w:highlight w:val="none"/>
                    </w:rPr>
                  </w:pPr>
                </w:p>
              </w:tc>
              <w:tc>
                <w:tcPr>
                  <w:tcW w:w="800" w:type="dxa"/>
                  <w:tcBorders>
                    <w:tl2br w:val="nil"/>
                    <w:tr2bl w:val="nil"/>
                  </w:tcBorders>
                  <w:vAlign w:val="center"/>
                </w:tcPr>
                <w:p w14:paraId="6F7B8DCA">
                  <w:pPr>
                    <w:adjustRightInd w:val="0"/>
                    <w:snapToGrid w:val="0"/>
                    <w:jc w:val="center"/>
                    <w:rPr>
                      <w:color w:val="auto"/>
                      <w:sz w:val="18"/>
                      <w:szCs w:val="18"/>
                      <w:highlight w:val="none"/>
                    </w:rPr>
                  </w:pPr>
                  <w:r>
                    <w:rPr>
                      <w:rFonts w:hint="eastAsia"/>
                      <w:color w:val="auto"/>
                      <w:sz w:val="18"/>
                      <w:szCs w:val="18"/>
                      <w:highlight w:val="none"/>
                    </w:rPr>
                    <w:t>65</w:t>
                  </w:r>
                </w:p>
              </w:tc>
              <w:tc>
                <w:tcPr>
                  <w:tcW w:w="759" w:type="dxa"/>
                  <w:vMerge w:val="continue"/>
                  <w:tcBorders>
                    <w:tl2br w:val="nil"/>
                    <w:tr2bl w:val="nil"/>
                  </w:tcBorders>
                  <w:vAlign w:val="center"/>
                </w:tcPr>
                <w:p w14:paraId="34E6A551">
                  <w:pPr>
                    <w:adjustRightInd w:val="0"/>
                    <w:snapToGrid w:val="0"/>
                    <w:jc w:val="center"/>
                    <w:rPr>
                      <w:color w:val="auto"/>
                      <w:sz w:val="18"/>
                      <w:szCs w:val="18"/>
                      <w:highlight w:val="none"/>
                    </w:rPr>
                  </w:pPr>
                </w:p>
              </w:tc>
            </w:tr>
            <w:tr w14:paraId="3570F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9" w:hRule="atLeast"/>
              </w:trPr>
              <w:tc>
                <w:tcPr>
                  <w:tcW w:w="799" w:type="dxa"/>
                  <w:tcBorders>
                    <w:tl2br w:val="nil"/>
                    <w:tr2bl w:val="nil"/>
                  </w:tcBorders>
                  <w:vAlign w:val="center"/>
                </w:tcPr>
                <w:p w14:paraId="39CFAD61">
                  <w:pPr>
                    <w:adjustRightInd w:val="0"/>
                    <w:snapToGrid w:val="0"/>
                    <w:jc w:val="center"/>
                    <w:rPr>
                      <w:color w:val="auto"/>
                      <w:sz w:val="18"/>
                      <w:szCs w:val="18"/>
                      <w:highlight w:val="none"/>
                    </w:rPr>
                  </w:pPr>
                  <w:r>
                    <w:rPr>
                      <w:rFonts w:hint="eastAsia"/>
                      <w:color w:val="auto"/>
                      <w:sz w:val="18"/>
                      <w:szCs w:val="18"/>
                      <w:highlight w:val="none"/>
                    </w:rPr>
                    <w:t>4</w:t>
                  </w:r>
                </w:p>
              </w:tc>
              <w:tc>
                <w:tcPr>
                  <w:tcW w:w="1137" w:type="dxa"/>
                  <w:tcBorders>
                    <w:tl2br w:val="nil"/>
                    <w:tr2bl w:val="nil"/>
                  </w:tcBorders>
                  <w:vAlign w:val="center"/>
                </w:tcPr>
                <w:p w14:paraId="59B16D0F">
                  <w:pPr>
                    <w:jc w:val="center"/>
                    <w:rPr>
                      <w:color w:val="auto"/>
                      <w:sz w:val="18"/>
                      <w:szCs w:val="18"/>
                      <w:highlight w:val="none"/>
                    </w:rPr>
                  </w:pPr>
                  <w:r>
                    <w:rPr>
                      <w:rFonts w:hint="eastAsia"/>
                      <w:color w:val="auto"/>
                      <w:sz w:val="18"/>
                      <w:szCs w:val="18"/>
                      <w:highlight w:val="none"/>
                    </w:rPr>
                    <w:t>中煤压滤机</w:t>
                  </w:r>
                </w:p>
              </w:tc>
              <w:tc>
                <w:tcPr>
                  <w:tcW w:w="789" w:type="dxa"/>
                  <w:tcBorders>
                    <w:tl2br w:val="nil"/>
                    <w:tr2bl w:val="nil"/>
                  </w:tcBorders>
                  <w:vAlign w:val="center"/>
                </w:tcPr>
                <w:p w14:paraId="16519EE3">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46F82E39">
                  <w:pPr>
                    <w:adjustRightInd w:val="0"/>
                    <w:snapToGrid w:val="0"/>
                    <w:jc w:val="center"/>
                    <w:rPr>
                      <w:color w:val="auto"/>
                      <w:sz w:val="18"/>
                      <w:szCs w:val="18"/>
                      <w:highlight w:val="none"/>
                    </w:rPr>
                  </w:pPr>
                </w:p>
              </w:tc>
              <w:tc>
                <w:tcPr>
                  <w:tcW w:w="800" w:type="dxa"/>
                  <w:tcBorders>
                    <w:tl2br w:val="nil"/>
                    <w:tr2bl w:val="nil"/>
                  </w:tcBorders>
                  <w:vAlign w:val="center"/>
                </w:tcPr>
                <w:p w14:paraId="21A0FA80">
                  <w:pPr>
                    <w:jc w:val="center"/>
                    <w:rPr>
                      <w:color w:val="auto"/>
                      <w:sz w:val="18"/>
                      <w:szCs w:val="18"/>
                      <w:highlight w:val="none"/>
                    </w:rPr>
                  </w:pPr>
                  <w:r>
                    <w:rPr>
                      <w:rFonts w:eastAsia="Times New Roman"/>
                      <w:color w:val="auto"/>
                      <w:spacing w:val="-3"/>
                      <w:sz w:val="18"/>
                      <w:szCs w:val="18"/>
                      <w:highlight w:val="none"/>
                    </w:rPr>
                    <w:t>80</w:t>
                  </w:r>
                </w:p>
              </w:tc>
              <w:tc>
                <w:tcPr>
                  <w:tcW w:w="751" w:type="dxa"/>
                  <w:vMerge w:val="continue"/>
                  <w:tcBorders>
                    <w:tl2br w:val="nil"/>
                    <w:tr2bl w:val="nil"/>
                  </w:tcBorders>
                  <w:vAlign w:val="center"/>
                </w:tcPr>
                <w:p w14:paraId="4316277A">
                  <w:pPr>
                    <w:adjustRightInd w:val="0"/>
                    <w:snapToGrid w:val="0"/>
                    <w:jc w:val="center"/>
                    <w:rPr>
                      <w:color w:val="auto"/>
                      <w:sz w:val="18"/>
                      <w:szCs w:val="18"/>
                      <w:highlight w:val="none"/>
                    </w:rPr>
                  </w:pPr>
                </w:p>
              </w:tc>
              <w:tc>
                <w:tcPr>
                  <w:tcW w:w="800" w:type="dxa"/>
                  <w:tcBorders>
                    <w:tl2br w:val="nil"/>
                    <w:tr2bl w:val="nil"/>
                  </w:tcBorders>
                  <w:vAlign w:val="center"/>
                </w:tcPr>
                <w:p w14:paraId="5E1F96D6">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7AE56702">
                  <w:pPr>
                    <w:adjustRightInd w:val="0"/>
                    <w:snapToGrid w:val="0"/>
                    <w:jc w:val="center"/>
                    <w:rPr>
                      <w:color w:val="auto"/>
                      <w:sz w:val="18"/>
                      <w:szCs w:val="18"/>
                      <w:highlight w:val="none"/>
                    </w:rPr>
                  </w:pPr>
                </w:p>
              </w:tc>
              <w:tc>
                <w:tcPr>
                  <w:tcW w:w="800" w:type="dxa"/>
                  <w:tcBorders>
                    <w:tl2br w:val="nil"/>
                    <w:tr2bl w:val="nil"/>
                  </w:tcBorders>
                  <w:vAlign w:val="center"/>
                </w:tcPr>
                <w:p w14:paraId="2C13513F">
                  <w:pPr>
                    <w:adjustRightInd w:val="0"/>
                    <w:snapToGrid w:val="0"/>
                    <w:jc w:val="center"/>
                    <w:rPr>
                      <w:color w:val="auto"/>
                      <w:sz w:val="18"/>
                      <w:szCs w:val="18"/>
                      <w:highlight w:val="none"/>
                    </w:rPr>
                  </w:pPr>
                  <w:r>
                    <w:rPr>
                      <w:rFonts w:hint="eastAsia"/>
                      <w:color w:val="auto"/>
                      <w:sz w:val="18"/>
                      <w:szCs w:val="18"/>
                      <w:highlight w:val="none"/>
                    </w:rPr>
                    <w:t>60</w:t>
                  </w:r>
                </w:p>
              </w:tc>
              <w:tc>
                <w:tcPr>
                  <w:tcW w:w="759" w:type="dxa"/>
                  <w:vMerge w:val="continue"/>
                  <w:tcBorders>
                    <w:tl2br w:val="nil"/>
                    <w:tr2bl w:val="nil"/>
                  </w:tcBorders>
                  <w:vAlign w:val="center"/>
                </w:tcPr>
                <w:p w14:paraId="0493ADB7">
                  <w:pPr>
                    <w:adjustRightInd w:val="0"/>
                    <w:snapToGrid w:val="0"/>
                    <w:jc w:val="center"/>
                    <w:rPr>
                      <w:color w:val="auto"/>
                      <w:sz w:val="18"/>
                      <w:szCs w:val="18"/>
                      <w:highlight w:val="none"/>
                    </w:rPr>
                  </w:pPr>
                </w:p>
              </w:tc>
            </w:tr>
            <w:tr w14:paraId="274DC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9" w:hRule="atLeast"/>
              </w:trPr>
              <w:tc>
                <w:tcPr>
                  <w:tcW w:w="799" w:type="dxa"/>
                  <w:tcBorders>
                    <w:tl2br w:val="nil"/>
                    <w:tr2bl w:val="nil"/>
                  </w:tcBorders>
                  <w:vAlign w:val="center"/>
                </w:tcPr>
                <w:p w14:paraId="7BF4B8DE">
                  <w:pPr>
                    <w:adjustRightInd w:val="0"/>
                    <w:snapToGrid w:val="0"/>
                    <w:jc w:val="center"/>
                    <w:rPr>
                      <w:color w:val="auto"/>
                      <w:sz w:val="18"/>
                      <w:szCs w:val="18"/>
                      <w:highlight w:val="none"/>
                    </w:rPr>
                  </w:pPr>
                  <w:r>
                    <w:rPr>
                      <w:rFonts w:hint="eastAsia"/>
                      <w:color w:val="auto"/>
                      <w:sz w:val="18"/>
                      <w:szCs w:val="18"/>
                      <w:highlight w:val="none"/>
                    </w:rPr>
                    <w:t>5</w:t>
                  </w:r>
                </w:p>
              </w:tc>
              <w:tc>
                <w:tcPr>
                  <w:tcW w:w="1137" w:type="dxa"/>
                  <w:tcBorders>
                    <w:tl2br w:val="nil"/>
                    <w:tr2bl w:val="nil"/>
                  </w:tcBorders>
                  <w:vAlign w:val="center"/>
                </w:tcPr>
                <w:p w14:paraId="6ED1996F">
                  <w:pPr>
                    <w:jc w:val="center"/>
                    <w:rPr>
                      <w:color w:val="auto"/>
                      <w:sz w:val="18"/>
                      <w:szCs w:val="18"/>
                      <w:highlight w:val="none"/>
                    </w:rPr>
                  </w:pPr>
                  <w:r>
                    <w:rPr>
                      <w:rFonts w:hint="eastAsia"/>
                      <w:color w:val="auto"/>
                      <w:sz w:val="18"/>
                      <w:szCs w:val="18"/>
                      <w:highlight w:val="none"/>
                    </w:rPr>
                    <w:t>尾矿压滤机</w:t>
                  </w:r>
                </w:p>
              </w:tc>
              <w:tc>
                <w:tcPr>
                  <w:tcW w:w="789" w:type="dxa"/>
                  <w:tcBorders>
                    <w:tl2br w:val="nil"/>
                    <w:tr2bl w:val="nil"/>
                  </w:tcBorders>
                  <w:vAlign w:val="center"/>
                </w:tcPr>
                <w:p w14:paraId="14155C57">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62FEF789">
                  <w:pPr>
                    <w:adjustRightInd w:val="0"/>
                    <w:snapToGrid w:val="0"/>
                    <w:jc w:val="center"/>
                    <w:rPr>
                      <w:color w:val="auto"/>
                      <w:sz w:val="18"/>
                      <w:szCs w:val="18"/>
                      <w:highlight w:val="none"/>
                    </w:rPr>
                  </w:pPr>
                </w:p>
              </w:tc>
              <w:tc>
                <w:tcPr>
                  <w:tcW w:w="800" w:type="dxa"/>
                  <w:tcBorders>
                    <w:tl2br w:val="nil"/>
                    <w:tr2bl w:val="nil"/>
                  </w:tcBorders>
                  <w:vAlign w:val="center"/>
                </w:tcPr>
                <w:p w14:paraId="1C2A05B8">
                  <w:pPr>
                    <w:jc w:val="center"/>
                    <w:rPr>
                      <w:color w:val="auto"/>
                      <w:sz w:val="18"/>
                      <w:szCs w:val="18"/>
                      <w:highlight w:val="none"/>
                    </w:rPr>
                  </w:pPr>
                  <w:r>
                    <w:rPr>
                      <w:rFonts w:eastAsia="Times New Roman"/>
                      <w:color w:val="auto"/>
                      <w:spacing w:val="-3"/>
                      <w:sz w:val="18"/>
                      <w:szCs w:val="18"/>
                      <w:highlight w:val="none"/>
                    </w:rPr>
                    <w:t>80</w:t>
                  </w:r>
                </w:p>
              </w:tc>
              <w:tc>
                <w:tcPr>
                  <w:tcW w:w="751" w:type="dxa"/>
                  <w:vMerge w:val="continue"/>
                  <w:tcBorders>
                    <w:tl2br w:val="nil"/>
                    <w:tr2bl w:val="nil"/>
                  </w:tcBorders>
                  <w:vAlign w:val="center"/>
                </w:tcPr>
                <w:p w14:paraId="20DA73DE">
                  <w:pPr>
                    <w:adjustRightInd w:val="0"/>
                    <w:snapToGrid w:val="0"/>
                    <w:jc w:val="center"/>
                    <w:rPr>
                      <w:color w:val="auto"/>
                      <w:sz w:val="18"/>
                      <w:szCs w:val="18"/>
                      <w:highlight w:val="none"/>
                    </w:rPr>
                  </w:pPr>
                </w:p>
              </w:tc>
              <w:tc>
                <w:tcPr>
                  <w:tcW w:w="800" w:type="dxa"/>
                  <w:tcBorders>
                    <w:tl2br w:val="nil"/>
                    <w:tr2bl w:val="nil"/>
                  </w:tcBorders>
                  <w:vAlign w:val="center"/>
                </w:tcPr>
                <w:p w14:paraId="4FBDD4B0">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5C86735B">
                  <w:pPr>
                    <w:adjustRightInd w:val="0"/>
                    <w:snapToGrid w:val="0"/>
                    <w:jc w:val="center"/>
                    <w:rPr>
                      <w:color w:val="auto"/>
                      <w:sz w:val="18"/>
                      <w:szCs w:val="18"/>
                      <w:highlight w:val="none"/>
                    </w:rPr>
                  </w:pPr>
                </w:p>
              </w:tc>
              <w:tc>
                <w:tcPr>
                  <w:tcW w:w="800" w:type="dxa"/>
                  <w:tcBorders>
                    <w:tl2br w:val="nil"/>
                    <w:tr2bl w:val="nil"/>
                  </w:tcBorders>
                  <w:vAlign w:val="center"/>
                </w:tcPr>
                <w:p w14:paraId="2276324B">
                  <w:pPr>
                    <w:adjustRightInd w:val="0"/>
                    <w:snapToGrid w:val="0"/>
                    <w:jc w:val="center"/>
                    <w:rPr>
                      <w:color w:val="auto"/>
                      <w:sz w:val="18"/>
                      <w:szCs w:val="18"/>
                      <w:highlight w:val="none"/>
                    </w:rPr>
                  </w:pPr>
                  <w:r>
                    <w:rPr>
                      <w:rFonts w:hint="eastAsia"/>
                      <w:color w:val="auto"/>
                      <w:sz w:val="18"/>
                      <w:szCs w:val="18"/>
                      <w:highlight w:val="none"/>
                    </w:rPr>
                    <w:t>60</w:t>
                  </w:r>
                </w:p>
              </w:tc>
              <w:tc>
                <w:tcPr>
                  <w:tcW w:w="759" w:type="dxa"/>
                  <w:vMerge w:val="continue"/>
                  <w:tcBorders>
                    <w:tl2br w:val="nil"/>
                    <w:tr2bl w:val="nil"/>
                  </w:tcBorders>
                  <w:vAlign w:val="center"/>
                </w:tcPr>
                <w:p w14:paraId="19707F6C">
                  <w:pPr>
                    <w:adjustRightInd w:val="0"/>
                    <w:snapToGrid w:val="0"/>
                    <w:jc w:val="center"/>
                    <w:rPr>
                      <w:color w:val="auto"/>
                      <w:sz w:val="18"/>
                      <w:szCs w:val="18"/>
                      <w:highlight w:val="none"/>
                    </w:rPr>
                  </w:pPr>
                </w:p>
              </w:tc>
            </w:tr>
            <w:tr w14:paraId="762BB0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4B52F63D">
                  <w:pPr>
                    <w:adjustRightInd w:val="0"/>
                    <w:snapToGrid w:val="0"/>
                    <w:jc w:val="center"/>
                    <w:rPr>
                      <w:color w:val="auto"/>
                      <w:sz w:val="18"/>
                      <w:szCs w:val="18"/>
                      <w:highlight w:val="none"/>
                    </w:rPr>
                  </w:pPr>
                  <w:r>
                    <w:rPr>
                      <w:rFonts w:hint="eastAsia"/>
                      <w:color w:val="auto"/>
                      <w:sz w:val="18"/>
                      <w:szCs w:val="18"/>
                      <w:highlight w:val="none"/>
                    </w:rPr>
                    <w:t>6</w:t>
                  </w:r>
                </w:p>
              </w:tc>
              <w:tc>
                <w:tcPr>
                  <w:tcW w:w="1137" w:type="dxa"/>
                  <w:tcBorders>
                    <w:tl2br w:val="nil"/>
                    <w:tr2bl w:val="nil"/>
                  </w:tcBorders>
                  <w:vAlign w:val="center"/>
                </w:tcPr>
                <w:p w14:paraId="793A175F">
                  <w:pPr>
                    <w:jc w:val="center"/>
                    <w:rPr>
                      <w:color w:val="auto"/>
                      <w:sz w:val="18"/>
                      <w:szCs w:val="18"/>
                      <w:highlight w:val="none"/>
                    </w:rPr>
                  </w:pPr>
                  <w:r>
                    <w:rPr>
                      <w:rFonts w:hint="eastAsia"/>
                      <w:color w:val="auto"/>
                      <w:sz w:val="18"/>
                      <w:szCs w:val="18"/>
                      <w:highlight w:val="none"/>
                    </w:rPr>
                    <w:t>浮选上料泵</w:t>
                  </w:r>
                </w:p>
              </w:tc>
              <w:tc>
                <w:tcPr>
                  <w:tcW w:w="789" w:type="dxa"/>
                  <w:tcBorders>
                    <w:tl2br w:val="nil"/>
                    <w:tr2bl w:val="nil"/>
                  </w:tcBorders>
                  <w:vAlign w:val="center"/>
                </w:tcPr>
                <w:p w14:paraId="106C9608">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23872E53">
                  <w:pPr>
                    <w:adjustRightInd w:val="0"/>
                    <w:snapToGrid w:val="0"/>
                    <w:jc w:val="center"/>
                    <w:rPr>
                      <w:color w:val="auto"/>
                      <w:sz w:val="18"/>
                      <w:szCs w:val="18"/>
                      <w:highlight w:val="none"/>
                    </w:rPr>
                  </w:pPr>
                </w:p>
              </w:tc>
              <w:tc>
                <w:tcPr>
                  <w:tcW w:w="800" w:type="dxa"/>
                  <w:tcBorders>
                    <w:tl2br w:val="nil"/>
                    <w:tr2bl w:val="nil"/>
                  </w:tcBorders>
                  <w:vAlign w:val="center"/>
                </w:tcPr>
                <w:p w14:paraId="4BC3BA4F">
                  <w:pPr>
                    <w:jc w:val="center"/>
                    <w:rPr>
                      <w:color w:val="auto"/>
                      <w:sz w:val="18"/>
                      <w:szCs w:val="18"/>
                      <w:highlight w:val="none"/>
                    </w:rPr>
                  </w:pPr>
                  <w:r>
                    <w:rPr>
                      <w:rFonts w:hint="eastAsia"/>
                      <w:color w:val="auto"/>
                      <w:spacing w:val="-3"/>
                      <w:sz w:val="18"/>
                      <w:szCs w:val="18"/>
                      <w:highlight w:val="none"/>
                    </w:rPr>
                    <w:t>90</w:t>
                  </w:r>
                </w:p>
              </w:tc>
              <w:tc>
                <w:tcPr>
                  <w:tcW w:w="751" w:type="dxa"/>
                  <w:vMerge w:val="continue"/>
                  <w:tcBorders>
                    <w:tl2br w:val="nil"/>
                    <w:tr2bl w:val="nil"/>
                  </w:tcBorders>
                  <w:vAlign w:val="center"/>
                </w:tcPr>
                <w:p w14:paraId="5B187735">
                  <w:pPr>
                    <w:adjustRightInd w:val="0"/>
                    <w:snapToGrid w:val="0"/>
                    <w:jc w:val="center"/>
                    <w:rPr>
                      <w:color w:val="auto"/>
                      <w:sz w:val="18"/>
                      <w:szCs w:val="18"/>
                      <w:highlight w:val="none"/>
                    </w:rPr>
                  </w:pPr>
                </w:p>
              </w:tc>
              <w:tc>
                <w:tcPr>
                  <w:tcW w:w="800" w:type="dxa"/>
                  <w:tcBorders>
                    <w:tl2br w:val="nil"/>
                    <w:tr2bl w:val="nil"/>
                  </w:tcBorders>
                  <w:vAlign w:val="center"/>
                </w:tcPr>
                <w:p w14:paraId="51729B6B">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19FBF7F4">
                  <w:pPr>
                    <w:adjustRightInd w:val="0"/>
                    <w:snapToGrid w:val="0"/>
                    <w:jc w:val="center"/>
                    <w:rPr>
                      <w:color w:val="auto"/>
                      <w:sz w:val="18"/>
                      <w:szCs w:val="18"/>
                      <w:highlight w:val="none"/>
                    </w:rPr>
                  </w:pPr>
                </w:p>
              </w:tc>
              <w:tc>
                <w:tcPr>
                  <w:tcW w:w="800" w:type="dxa"/>
                  <w:tcBorders>
                    <w:tl2br w:val="nil"/>
                    <w:tr2bl w:val="nil"/>
                  </w:tcBorders>
                  <w:vAlign w:val="center"/>
                </w:tcPr>
                <w:p w14:paraId="14B3E8AF">
                  <w:pPr>
                    <w:adjustRightInd w:val="0"/>
                    <w:snapToGrid w:val="0"/>
                    <w:jc w:val="center"/>
                    <w:rPr>
                      <w:color w:val="auto"/>
                      <w:sz w:val="18"/>
                      <w:szCs w:val="18"/>
                      <w:highlight w:val="none"/>
                    </w:rPr>
                  </w:pPr>
                  <w:r>
                    <w:rPr>
                      <w:rFonts w:hint="eastAsia"/>
                      <w:color w:val="auto"/>
                      <w:sz w:val="18"/>
                      <w:szCs w:val="18"/>
                      <w:highlight w:val="none"/>
                    </w:rPr>
                    <w:t>70</w:t>
                  </w:r>
                </w:p>
              </w:tc>
              <w:tc>
                <w:tcPr>
                  <w:tcW w:w="759" w:type="dxa"/>
                  <w:vMerge w:val="continue"/>
                  <w:tcBorders>
                    <w:tl2br w:val="nil"/>
                    <w:tr2bl w:val="nil"/>
                  </w:tcBorders>
                  <w:vAlign w:val="center"/>
                </w:tcPr>
                <w:p w14:paraId="145CA87A">
                  <w:pPr>
                    <w:adjustRightInd w:val="0"/>
                    <w:snapToGrid w:val="0"/>
                    <w:jc w:val="center"/>
                    <w:rPr>
                      <w:color w:val="auto"/>
                      <w:sz w:val="18"/>
                      <w:szCs w:val="18"/>
                      <w:highlight w:val="none"/>
                    </w:rPr>
                  </w:pPr>
                </w:p>
              </w:tc>
            </w:tr>
            <w:tr w14:paraId="4DD6F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9" w:hRule="atLeast"/>
              </w:trPr>
              <w:tc>
                <w:tcPr>
                  <w:tcW w:w="799" w:type="dxa"/>
                  <w:tcBorders>
                    <w:tl2br w:val="nil"/>
                    <w:tr2bl w:val="nil"/>
                  </w:tcBorders>
                  <w:vAlign w:val="center"/>
                </w:tcPr>
                <w:p w14:paraId="2351FFB2">
                  <w:pPr>
                    <w:adjustRightInd w:val="0"/>
                    <w:snapToGrid w:val="0"/>
                    <w:jc w:val="center"/>
                    <w:rPr>
                      <w:color w:val="auto"/>
                      <w:sz w:val="18"/>
                      <w:szCs w:val="18"/>
                      <w:highlight w:val="none"/>
                    </w:rPr>
                  </w:pPr>
                  <w:r>
                    <w:rPr>
                      <w:rFonts w:hint="eastAsia"/>
                      <w:color w:val="auto"/>
                      <w:sz w:val="18"/>
                      <w:szCs w:val="18"/>
                      <w:highlight w:val="none"/>
                    </w:rPr>
                    <w:t>7</w:t>
                  </w:r>
                </w:p>
              </w:tc>
              <w:tc>
                <w:tcPr>
                  <w:tcW w:w="1137" w:type="dxa"/>
                  <w:tcBorders>
                    <w:tl2br w:val="nil"/>
                    <w:tr2bl w:val="nil"/>
                  </w:tcBorders>
                  <w:vAlign w:val="center"/>
                </w:tcPr>
                <w:p w14:paraId="6EC492EB">
                  <w:pPr>
                    <w:jc w:val="center"/>
                    <w:rPr>
                      <w:color w:val="auto"/>
                      <w:sz w:val="18"/>
                      <w:szCs w:val="18"/>
                      <w:highlight w:val="none"/>
                    </w:rPr>
                  </w:pPr>
                  <w:r>
                    <w:rPr>
                      <w:rFonts w:hint="eastAsia"/>
                      <w:color w:val="auto"/>
                      <w:sz w:val="18"/>
                      <w:szCs w:val="18"/>
                      <w:highlight w:val="none"/>
                    </w:rPr>
                    <w:t>浮选压滤上料泵</w:t>
                  </w:r>
                </w:p>
              </w:tc>
              <w:tc>
                <w:tcPr>
                  <w:tcW w:w="789" w:type="dxa"/>
                  <w:tcBorders>
                    <w:tl2br w:val="nil"/>
                    <w:tr2bl w:val="nil"/>
                  </w:tcBorders>
                  <w:vAlign w:val="center"/>
                </w:tcPr>
                <w:p w14:paraId="58CEE50F">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1672D097">
                  <w:pPr>
                    <w:adjustRightInd w:val="0"/>
                    <w:snapToGrid w:val="0"/>
                    <w:jc w:val="center"/>
                    <w:rPr>
                      <w:color w:val="auto"/>
                      <w:sz w:val="18"/>
                      <w:szCs w:val="18"/>
                      <w:highlight w:val="none"/>
                    </w:rPr>
                  </w:pPr>
                </w:p>
              </w:tc>
              <w:tc>
                <w:tcPr>
                  <w:tcW w:w="800" w:type="dxa"/>
                  <w:tcBorders>
                    <w:tl2br w:val="nil"/>
                    <w:tr2bl w:val="nil"/>
                  </w:tcBorders>
                  <w:vAlign w:val="center"/>
                </w:tcPr>
                <w:p w14:paraId="52772E47">
                  <w:pPr>
                    <w:jc w:val="center"/>
                    <w:rPr>
                      <w:color w:val="auto"/>
                      <w:sz w:val="18"/>
                      <w:szCs w:val="18"/>
                      <w:highlight w:val="none"/>
                    </w:rPr>
                  </w:pPr>
                  <w:r>
                    <w:rPr>
                      <w:rFonts w:hint="eastAsia"/>
                      <w:color w:val="auto"/>
                      <w:spacing w:val="-3"/>
                      <w:sz w:val="18"/>
                      <w:szCs w:val="18"/>
                      <w:highlight w:val="none"/>
                    </w:rPr>
                    <w:t>90</w:t>
                  </w:r>
                </w:p>
              </w:tc>
              <w:tc>
                <w:tcPr>
                  <w:tcW w:w="751" w:type="dxa"/>
                  <w:vMerge w:val="continue"/>
                  <w:tcBorders>
                    <w:tl2br w:val="nil"/>
                    <w:tr2bl w:val="nil"/>
                  </w:tcBorders>
                  <w:vAlign w:val="center"/>
                </w:tcPr>
                <w:p w14:paraId="7721B08C">
                  <w:pPr>
                    <w:adjustRightInd w:val="0"/>
                    <w:snapToGrid w:val="0"/>
                    <w:jc w:val="center"/>
                    <w:rPr>
                      <w:color w:val="auto"/>
                      <w:sz w:val="18"/>
                      <w:szCs w:val="18"/>
                      <w:highlight w:val="none"/>
                    </w:rPr>
                  </w:pPr>
                </w:p>
              </w:tc>
              <w:tc>
                <w:tcPr>
                  <w:tcW w:w="800" w:type="dxa"/>
                  <w:tcBorders>
                    <w:tl2br w:val="nil"/>
                    <w:tr2bl w:val="nil"/>
                  </w:tcBorders>
                  <w:vAlign w:val="center"/>
                </w:tcPr>
                <w:p w14:paraId="6F050E3E">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65EA9E37">
                  <w:pPr>
                    <w:adjustRightInd w:val="0"/>
                    <w:snapToGrid w:val="0"/>
                    <w:jc w:val="center"/>
                    <w:rPr>
                      <w:color w:val="auto"/>
                      <w:sz w:val="18"/>
                      <w:szCs w:val="18"/>
                      <w:highlight w:val="none"/>
                    </w:rPr>
                  </w:pPr>
                </w:p>
              </w:tc>
              <w:tc>
                <w:tcPr>
                  <w:tcW w:w="800" w:type="dxa"/>
                  <w:tcBorders>
                    <w:tl2br w:val="nil"/>
                    <w:tr2bl w:val="nil"/>
                  </w:tcBorders>
                  <w:vAlign w:val="center"/>
                </w:tcPr>
                <w:p w14:paraId="140ACD4E">
                  <w:pPr>
                    <w:adjustRightInd w:val="0"/>
                    <w:snapToGrid w:val="0"/>
                    <w:jc w:val="center"/>
                    <w:rPr>
                      <w:color w:val="auto"/>
                      <w:sz w:val="18"/>
                      <w:szCs w:val="18"/>
                      <w:highlight w:val="none"/>
                    </w:rPr>
                  </w:pPr>
                  <w:r>
                    <w:rPr>
                      <w:rFonts w:hint="eastAsia"/>
                      <w:color w:val="auto"/>
                      <w:sz w:val="18"/>
                      <w:szCs w:val="18"/>
                      <w:highlight w:val="none"/>
                    </w:rPr>
                    <w:t>70</w:t>
                  </w:r>
                </w:p>
              </w:tc>
              <w:tc>
                <w:tcPr>
                  <w:tcW w:w="759" w:type="dxa"/>
                  <w:vMerge w:val="continue"/>
                  <w:tcBorders>
                    <w:tl2br w:val="nil"/>
                    <w:tr2bl w:val="nil"/>
                  </w:tcBorders>
                  <w:vAlign w:val="center"/>
                </w:tcPr>
                <w:p w14:paraId="0D554114">
                  <w:pPr>
                    <w:adjustRightInd w:val="0"/>
                    <w:snapToGrid w:val="0"/>
                    <w:jc w:val="center"/>
                    <w:rPr>
                      <w:color w:val="auto"/>
                      <w:sz w:val="18"/>
                      <w:szCs w:val="18"/>
                      <w:highlight w:val="none"/>
                    </w:rPr>
                  </w:pPr>
                </w:p>
              </w:tc>
            </w:tr>
            <w:tr w14:paraId="6EA11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9" w:hRule="atLeast"/>
              </w:trPr>
              <w:tc>
                <w:tcPr>
                  <w:tcW w:w="799" w:type="dxa"/>
                  <w:tcBorders>
                    <w:tl2br w:val="nil"/>
                    <w:tr2bl w:val="nil"/>
                  </w:tcBorders>
                  <w:vAlign w:val="center"/>
                </w:tcPr>
                <w:p w14:paraId="0E362E15">
                  <w:pPr>
                    <w:adjustRightInd w:val="0"/>
                    <w:snapToGrid w:val="0"/>
                    <w:jc w:val="center"/>
                    <w:rPr>
                      <w:color w:val="auto"/>
                      <w:sz w:val="18"/>
                      <w:szCs w:val="18"/>
                      <w:highlight w:val="none"/>
                    </w:rPr>
                  </w:pPr>
                  <w:r>
                    <w:rPr>
                      <w:rFonts w:hint="eastAsia"/>
                      <w:color w:val="auto"/>
                      <w:sz w:val="18"/>
                      <w:szCs w:val="18"/>
                      <w:highlight w:val="none"/>
                    </w:rPr>
                    <w:t>8</w:t>
                  </w:r>
                </w:p>
              </w:tc>
              <w:tc>
                <w:tcPr>
                  <w:tcW w:w="1137" w:type="dxa"/>
                  <w:tcBorders>
                    <w:tl2br w:val="nil"/>
                    <w:tr2bl w:val="nil"/>
                  </w:tcBorders>
                  <w:vAlign w:val="center"/>
                </w:tcPr>
                <w:p w14:paraId="1638AF76">
                  <w:pPr>
                    <w:jc w:val="center"/>
                    <w:rPr>
                      <w:color w:val="auto"/>
                      <w:sz w:val="18"/>
                      <w:szCs w:val="18"/>
                      <w:highlight w:val="none"/>
                    </w:rPr>
                  </w:pPr>
                  <w:r>
                    <w:rPr>
                      <w:rFonts w:hint="eastAsia"/>
                      <w:color w:val="auto"/>
                      <w:sz w:val="18"/>
                      <w:szCs w:val="18"/>
                      <w:highlight w:val="none"/>
                    </w:rPr>
                    <w:t>中煤压滤上料泵</w:t>
                  </w:r>
                </w:p>
              </w:tc>
              <w:tc>
                <w:tcPr>
                  <w:tcW w:w="789" w:type="dxa"/>
                  <w:tcBorders>
                    <w:tl2br w:val="nil"/>
                    <w:tr2bl w:val="nil"/>
                  </w:tcBorders>
                  <w:vAlign w:val="center"/>
                </w:tcPr>
                <w:p w14:paraId="03F90902">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704C52F1">
                  <w:pPr>
                    <w:adjustRightInd w:val="0"/>
                    <w:snapToGrid w:val="0"/>
                    <w:jc w:val="center"/>
                    <w:rPr>
                      <w:color w:val="auto"/>
                      <w:sz w:val="18"/>
                      <w:szCs w:val="18"/>
                      <w:highlight w:val="none"/>
                    </w:rPr>
                  </w:pPr>
                </w:p>
              </w:tc>
              <w:tc>
                <w:tcPr>
                  <w:tcW w:w="800" w:type="dxa"/>
                  <w:tcBorders>
                    <w:tl2br w:val="nil"/>
                    <w:tr2bl w:val="nil"/>
                  </w:tcBorders>
                  <w:vAlign w:val="center"/>
                </w:tcPr>
                <w:p w14:paraId="57A2B21E">
                  <w:pPr>
                    <w:jc w:val="center"/>
                    <w:rPr>
                      <w:color w:val="auto"/>
                      <w:sz w:val="18"/>
                      <w:szCs w:val="18"/>
                      <w:highlight w:val="none"/>
                    </w:rPr>
                  </w:pPr>
                  <w:r>
                    <w:rPr>
                      <w:rFonts w:hint="eastAsia"/>
                      <w:color w:val="auto"/>
                      <w:spacing w:val="-3"/>
                      <w:sz w:val="18"/>
                      <w:szCs w:val="18"/>
                      <w:highlight w:val="none"/>
                    </w:rPr>
                    <w:t>90</w:t>
                  </w:r>
                </w:p>
              </w:tc>
              <w:tc>
                <w:tcPr>
                  <w:tcW w:w="751" w:type="dxa"/>
                  <w:vMerge w:val="continue"/>
                  <w:tcBorders>
                    <w:tl2br w:val="nil"/>
                    <w:tr2bl w:val="nil"/>
                  </w:tcBorders>
                  <w:vAlign w:val="center"/>
                </w:tcPr>
                <w:p w14:paraId="326D8C71">
                  <w:pPr>
                    <w:adjustRightInd w:val="0"/>
                    <w:snapToGrid w:val="0"/>
                    <w:jc w:val="center"/>
                    <w:rPr>
                      <w:color w:val="auto"/>
                      <w:sz w:val="18"/>
                      <w:szCs w:val="18"/>
                      <w:highlight w:val="none"/>
                    </w:rPr>
                  </w:pPr>
                </w:p>
              </w:tc>
              <w:tc>
                <w:tcPr>
                  <w:tcW w:w="800" w:type="dxa"/>
                  <w:tcBorders>
                    <w:tl2br w:val="nil"/>
                    <w:tr2bl w:val="nil"/>
                  </w:tcBorders>
                  <w:vAlign w:val="center"/>
                </w:tcPr>
                <w:p w14:paraId="50C333A3">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1200F189">
                  <w:pPr>
                    <w:adjustRightInd w:val="0"/>
                    <w:snapToGrid w:val="0"/>
                    <w:jc w:val="center"/>
                    <w:rPr>
                      <w:color w:val="auto"/>
                      <w:sz w:val="18"/>
                      <w:szCs w:val="18"/>
                      <w:highlight w:val="none"/>
                    </w:rPr>
                  </w:pPr>
                </w:p>
              </w:tc>
              <w:tc>
                <w:tcPr>
                  <w:tcW w:w="800" w:type="dxa"/>
                  <w:tcBorders>
                    <w:tl2br w:val="nil"/>
                    <w:tr2bl w:val="nil"/>
                  </w:tcBorders>
                  <w:vAlign w:val="center"/>
                </w:tcPr>
                <w:p w14:paraId="23A9BB9D">
                  <w:pPr>
                    <w:adjustRightInd w:val="0"/>
                    <w:snapToGrid w:val="0"/>
                    <w:jc w:val="center"/>
                    <w:rPr>
                      <w:color w:val="auto"/>
                      <w:sz w:val="18"/>
                      <w:szCs w:val="18"/>
                      <w:highlight w:val="none"/>
                    </w:rPr>
                  </w:pPr>
                  <w:r>
                    <w:rPr>
                      <w:rFonts w:hint="eastAsia"/>
                      <w:color w:val="auto"/>
                      <w:sz w:val="18"/>
                      <w:szCs w:val="18"/>
                      <w:highlight w:val="none"/>
                    </w:rPr>
                    <w:t>70</w:t>
                  </w:r>
                </w:p>
              </w:tc>
              <w:tc>
                <w:tcPr>
                  <w:tcW w:w="759" w:type="dxa"/>
                  <w:vMerge w:val="continue"/>
                  <w:tcBorders>
                    <w:tl2br w:val="nil"/>
                    <w:tr2bl w:val="nil"/>
                  </w:tcBorders>
                  <w:vAlign w:val="center"/>
                </w:tcPr>
                <w:p w14:paraId="47E40627">
                  <w:pPr>
                    <w:adjustRightInd w:val="0"/>
                    <w:snapToGrid w:val="0"/>
                    <w:jc w:val="center"/>
                    <w:rPr>
                      <w:color w:val="auto"/>
                      <w:sz w:val="18"/>
                      <w:szCs w:val="18"/>
                      <w:highlight w:val="none"/>
                    </w:rPr>
                  </w:pPr>
                </w:p>
              </w:tc>
            </w:tr>
            <w:tr w14:paraId="761DC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6B6D8DDD">
                  <w:pPr>
                    <w:adjustRightInd w:val="0"/>
                    <w:snapToGrid w:val="0"/>
                    <w:jc w:val="center"/>
                    <w:rPr>
                      <w:color w:val="auto"/>
                      <w:sz w:val="18"/>
                      <w:szCs w:val="18"/>
                      <w:highlight w:val="none"/>
                    </w:rPr>
                  </w:pPr>
                  <w:r>
                    <w:rPr>
                      <w:rFonts w:hint="eastAsia"/>
                      <w:color w:val="auto"/>
                      <w:sz w:val="18"/>
                      <w:szCs w:val="18"/>
                      <w:highlight w:val="none"/>
                    </w:rPr>
                    <w:t>9</w:t>
                  </w:r>
                </w:p>
              </w:tc>
              <w:tc>
                <w:tcPr>
                  <w:tcW w:w="1137" w:type="dxa"/>
                  <w:tcBorders>
                    <w:tl2br w:val="nil"/>
                    <w:tr2bl w:val="nil"/>
                  </w:tcBorders>
                  <w:vAlign w:val="center"/>
                </w:tcPr>
                <w:p w14:paraId="082E23F9">
                  <w:pPr>
                    <w:jc w:val="center"/>
                    <w:rPr>
                      <w:color w:val="auto"/>
                      <w:sz w:val="18"/>
                      <w:szCs w:val="18"/>
                      <w:highlight w:val="none"/>
                    </w:rPr>
                  </w:pPr>
                  <w:r>
                    <w:rPr>
                      <w:rFonts w:hint="eastAsia"/>
                      <w:color w:val="auto"/>
                      <w:sz w:val="18"/>
                      <w:szCs w:val="18"/>
                      <w:highlight w:val="none"/>
                    </w:rPr>
                    <w:t>水泵</w:t>
                  </w:r>
                </w:p>
              </w:tc>
              <w:tc>
                <w:tcPr>
                  <w:tcW w:w="789" w:type="dxa"/>
                  <w:tcBorders>
                    <w:tl2br w:val="nil"/>
                    <w:tr2bl w:val="nil"/>
                  </w:tcBorders>
                  <w:vAlign w:val="center"/>
                </w:tcPr>
                <w:p w14:paraId="3B8CBA4F">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10C5038E">
                  <w:pPr>
                    <w:adjustRightInd w:val="0"/>
                    <w:snapToGrid w:val="0"/>
                    <w:jc w:val="center"/>
                    <w:rPr>
                      <w:color w:val="auto"/>
                      <w:sz w:val="18"/>
                      <w:szCs w:val="18"/>
                      <w:highlight w:val="none"/>
                    </w:rPr>
                  </w:pPr>
                </w:p>
              </w:tc>
              <w:tc>
                <w:tcPr>
                  <w:tcW w:w="800" w:type="dxa"/>
                  <w:tcBorders>
                    <w:tl2br w:val="nil"/>
                    <w:tr2bl w:val="nil"/>
                  </w:tcBorders>
                  <w:vAlign w:val="center"/>
                </w:tcPr>
                <w:p w14:paraId="622DE1AA">
                  <w:pPr>
                    <w:jc w:val="center"/>
                    <w:rPr>
                      <w:color w:val="auto"/>
                      <w:sz w:val="18"/>
                      <w:szCs w:val="18"/>
                      <w:highlight w:val="none"/>
                    </w:rPr>
                  </w:pPr>
                  <w:r>
                    <w:rPr>
                      <w:rFonts w:hint="eastAsia"/>
                      <w:color w:val="auto"/>
                      <w:spacing w:val="-3"/>
                      <w:sz w:val="18"/>
                      <w:szCs w:val="18"/>
                      <w:highlight w:val="none"/>
                    </w:rPr>
                    <w:t>90</w:t>
                  </w:r>
                </w:p>
              </w:tc>
              <w:tc>
                <w:tcPr>
                  <w:tcW w:w="751" w:type="dxa"/>
                  <w:vMerge w:val="continue"/>
                  <w:tcBorders>
                    <w:tl2br w:val="nil"/>
                    <w:tr2bl w:val="nil"/>
                  </w:tcBorders>
                  <w:vAlign w:val="center"/>
                </w:tcPr>
                <w:p w14:paraId="18275AD2">
                  <w:pPr>
                    <w:adjustRightInd w:val="0"/>
                    <w:snapToGrid w:val="0"/>
                    <w:jc w:val="center"/>
                    <w:rPr>
                      <w:color w:val="auto"/>
                      <w:sz w:val="18"/>
                      <w:szCs w:val="18"/>
                      <w:highlight w:val="none"/>
                    </w:rPr>
                  </w:pPr>
                </w:p>
              </w:tc>
              <w:tc>
                <w:tcPr>
                  <w:tcW w:w="800" w:type="dxa"/>
                  <w:tcBorders>
                    <w:tl2br w:val="nil"/>
                    <w:tr2bl w:val="nil"/>
                  </w:tcBorders>
                  <w:vAlign w:val="center"/>
                </w:tcPr>
                <w:p w14:paraId="6930FE67">
                  <w:pPr>
                    <w:jc w:val="center"/>
                    <w:rPr>
                      <w:color w:val="auto"/>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0AD30A94">
                  <w:pPr>
                    <w:adjustRightInd w:val="0"/>
                    <w:snapToGrid w:val="0"/>
                    <w:jc w:val="center"/>
                    <w:rPr>
                      <w:color w:val="auto"/>
                      <w:sz w:val="18"/>
                      <w:szCs w:val="18"/>
                      <w:highlight w:val="none"/>
                    </w:rPr>
                  </w:pPr>
                </w:p>
              </w:tc>
              <w:tc>
                <w:tcPr>
                  <w:tcW w:w="800" w:type="dxa"/>
                  <w:tcBorders>
                    <w:tl2br w:val="nil"/>
                    <w:tr2bl w:val="nil"/>
                  </w:tcBorders>
                  <w:vAlign w:val="center"/>
                </w:tcPr>
                <w:p w14:paraId="356C33D4">
                  <w:pPr>
                    <w:adjustRightInd w:val="0"/>
                    <w:snapToGrid w:val="0"/>
                    <w:jc w:val="center"/>
                    <w:rPr>
                      <w:color w:val="auto"/>
                      <w:sz w:val="18"/>
                      <w:szCs w:val="18"/>
                      <w:highlight w:val="none"/>
                    </w:rPr>
                  </w:pPr>
                  <w:r>
                    <w:rPr>
                      <w:rFonts w:hint="eastAsia"/>
                      <w:color w:val="auto"/>
                      <w:sz w:val="18"/>
                      <w:szCs w:val="18"/>
                      <w:highlight w:val="none"/>
                    </w:rPr>
                    <w:t>70</w:t>
                  </w:r>
                </w:p>
              </w:tc>
              <w:tc>
                <w:tcPr>
                  <w:tcW w:w="759" w:type="dxa"/>
                  <w:vMerge w:val="continue"/>
                  <w:tcBorders>
                    <w:tl2br w:val="nil"/>
                    <w:tr2bl w:val="nil"/>
                  </w:tcBorders>
                  <w:vAlign w:val="center"/>
                </w:tcPr>
                <w:p w14:paraId="7DE72952">
                  <w:pPr>
                    <w:adjustRightInd w:val="0"/>
                    <w:snapToGrid w:val="0"/>
                    <w:jc w:val="center"/>
                    <w:rPr>
                      <w:color w:val="auto"/>
                      <w:sz w:val="18"/>
                      <w:szCs w:val="18"/>
                      <w:highlight w:val="none"/>
                    </w:rPr>
                  </w:pPr>
                </w:p>
              </w:tc>
            </w:tr>
            <w:tr w14:paraId="6DBE2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5E7E38F4">
                  <w:pPr>
                    <w:adjustRightInd w:val="0"/>
                    <w:snapToGrid w:val="0"/>
                    <w:jc w:val="center"/>
                    <w:rPr>
                      <w:color w:val="auto"/>
                      <w:sz w:val="18"/>
                      <w:szCs w:val="18"/>
                      <w:highlight w:val="none"/>
                    </w:rPr>
                  </w:pPr>
                  <w:r>
                    <w:rPr>
                      <w:rFonts w:hint="eastAsia"/>
                      <w:color w:val="auto"/>
                      <w:sz w:val="18"/>
                      <w:szCs w:val="18"/>
                      <w:highlight w:val="none"/>
                    </w:rPr>
                    <w:t>10</w:t>
                  </w:r>
                </w:p>
              </w:tc>
              <w:tc>
                <w:tcPr>
                  <w:tcW w:w="1137" w:type="dxa"/>
                  <w:tcBorders>
                    <w:tl2br w:val="nil"/>
                    <w:tr2bl w:val="nil"/>
                  </w:tcBorders>
                  <w:vAlign w:val="center"/>
                </w:tcPr>
                <w:p w14:paraId="6C2296F2">
                  <w:pPr>
                    <w:adjustRightInd w:val="0"/>
                    <w:snapToGrid w:val="0"/>
                    <w:jc w:val="center"/>
                    <w:rPr>
                      <w:color w:val="auto"/>
                      <w:sz w:val="18"/>
                      <w:szCs w:val="18"/>
                      <w:highlight w:val="none"/>
                    </w:rPr>
                  </w:pPr>
                  <w:r>
                    <w:rPr>
                      <w:rFonts w:hint="eastAsia"/>
                      <w:color w:val="auto"/>
                      <w:sz w:val="18"/>
                      <w:szCs w:val="18"/>
                      <w:highlight w:val="none"/>
                    </w:rPr>
                    <w:t>除尘风机</w:t>
                  </w:r>
                </w:p>
              </w:tc>
              <w:tc>
                <w:tcPr>
                  <w:tcW w:w="789" w:type="dxa"/>
                  <w:tcBorders>
                    <w:tl2br w:val="nil"/>
                    <w:tr2bl w:val="nil"/>
                  </w:tcBorders>
                  <w:vAlign w:val="center"/>
                </w:tcPr>
                <w:p w14:paraId="19BC8E08">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477B2D9A">
                  <w:pPr>
                    <w:adjustRightInd w:val="0"/>
                    <w:snapToGrid w:val="0"/>
                    <w:jc w:val="center"/>
                    <w:rPr>
                      <w:color w:val="auto"/>
                      <w:sz w:val="18"/>
                      <w:szCs w:val="18"/>
                      <w:highlight w:val="none"/>
                    </w:rPr>
                  </w:pPr>
                </w:p>
              </w:tc>
              <w:tc>
                <w:tcPr>
                  <w:tcW w:w="800" w:type="dxa"/>
                  <w:tcBorders>
                    <w:tl2br w:val="nil"/>
                    <w:tr2bl w:val="nil"/>
                  </w:tcBorders>
                  <w:vAlign w:val="center"/>
                </w:tcPr>
                <w:p w14:paraId="6F22ECB8">
                  <w:pPr>
                    <w:jc w:val="center"/>
                    <w:rPr>
                      <w:color w:val="auto"/>
                      <w:spacing w:val="-3"/>
                      <w:sz w:val="18"/>
                      <w:szCs w:val="18"/>
                      <w:highlight w:val="none"/>
                    </w:rPr>
                  </w:pPr>
                  <w:r>
                    <w:rPr>
                      <w:rFonts w:hint="eastAsia"/>
                      <w:color w:val="auto"/>
                      <w:spacing w:val="-3"/>
                      <w:sz w:val="18"/>
                      <w:szCs w:val="18"/>
                      <w:highlight w:val="none"/>
                    </w:rPr>
                    <w:t>90</w:t>
                  </w:r>
                </w:p>
              </w:tc>
              <w:tc>
                <w:tcPr>
                  <w:tcW w:w="751" w:type="dxa"/>
                  <w:vMerge w:val="continue"/>
                  <w:tcBorders>
                    <w:tl2br w:val="nil"/>
                    <w:tr2bl w:val="nil"/>
                  </w:tcBorders>
                  <w:vAlign w:val="center"/>
                </w:tcPr>
                <w:p w14:paraId="36360E09">
                  <w:pPr>
                    <w:adjustRightInd w:val="0"/>
                    <w:snapToGrid w:val="0"/>
                    <w:jc w:val="center"/>
                    <w:rPr>
                      <w:color w:val="auto"/>
                      <w:sz w:val="18"/>
                      <w:szCs w:val="18"/>
                      <w:highlight w:val="none"/>
                    </w:rPr>
                  </w:pPr>
                </w:p>
              </w:tc>
              <w:tc>
                <w:tcPr>
                  <w:tcW w:w="800" w:type="dxa"/>
                  <w:tcBorders>
                    <w:tl2br w:val="nil"/>
                    <w:tr2bl w:val="nil"/>
                  </w:tcBorders>
                  <w:vAlign w:val="center"/>
                </w:tcPr>
                <w:p w14:paraId="58FB7928">
                  <w:pPr>
                    <w:jc w:val="center"/>
                    <w:rPr>
                      <w:color w:val="auto"/>
                      <w:spacing w:val="-12"/>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5105E946">
                  <w:pPr>
                    <w:adjustRightInd w:val="0"/>
                    <w:snapToGrid w:val="0"/>
                    <w:jc w:val="center"/>
                    <w:rPr>
                      <w:color w:val="auto"/>
                      <w:sz w:val="18"/>
                      <w:szCs w:val="18"/>
                      <w:highlight w:val="none"/>
                    </w:rPr>
                  </w:pPr>
                </w:p>
              </w:tc>
              <w:tc>
                <w:tcPr>
                  <w:tcW w:w="800" w:type="dxa"/>
                  <w:tcBorders>
                    <w:tl2br w:val="nil"/>
                    <w:tr2bl w:val="nil"/>
                  </w:tcBorders>
                  <w:vAlign w:val="center"/>
                </w:tcPr>
                <w:p w14:paraId="507A4535">
                  <w:pPr>
                    <w:jc w:val="center"/>
                    <w:rPr>
                      <w:color w:val="auto"/>
                      <w:sz w:val="18"/>
                      <w:szCs w:val="18"/>
                      <w:highlight w:val="none"/>
                    </w:rPr>
                  </w:pPr>
                  <w:r>
                    <w:rPr>
                      <w:rFonts w:hint="eastAsia"/>
                      <w:color w:val="auto"/>
                      <w:spacing w:val="-12"/>
                      <w:sz w:val="18"/>
                      <w:szCs w:val="18"/>
                      <w:highlight w:val="none"/>
                    </w:rPr>
                    <w:t>70</w:t>
                  </w:r>
                </w:p>
              </w:tc>
              <w:tc>
                <w:tcPr>
                  <w:tcW w:w="759" w:type="dxa"/>
                  <w:vMerge w:val="restart"/>
                  <w:tcBorders>
                    <w:tl2br w:val="nil"/>
                    <w:tr2bl w:val="nil"/>
                  </w:tcBorders>
                  <w:vAlign w:val="center"/>
                </w:tcPr>
                <w:p w14:paraId="036FD3C5">
                  <w:pPr>
                    <w:adjustRightInd w:val="0"/>
                    <w:snapToGrid w:val="0"/>
                    <w:jc w:val="center"/>
                    <w:rPr>
                      <w:color w:val="auto"/>
                      <w:sz w:val="18"/>
                      <w:szCs w:val="18"/>
                      <w:highlight w:val="none"/>
                    </w:rPr>
                  </w:pPr>
                  <w:r>
                    <w:rPr>
                      <w:rFonts w:hint="eastAsia"/>
                      <w:color w:val="auto"/>
                      <w:sz w:val="18"/>
                      <w:szCs w:val="18"/>
                      <w:highlight w:val="none"/>
                    </w:rPr>
                    <w:t>1200</w:t>
                  </w:r>
                </w:p>
              </w:tc>
            </w:tr>
            <w:tr w14:paraId="5A5AF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42B3378B">
                  <w:pPr>
                    <w:adjustRightInd w:val="0"/>
                    <w:snapToGrid w:val="0"/>
                    <w:jc w:val="center"/>
                    <w:rPr>
                      <w:color w:val="auto"/>
                      <w:sz w:val="18"/>
                      <w:szCs w:val="18"/>
                      <w:highlight w:val="none"/>
                    </w:rPr>
                  </w:pPr>
                  <w:r>
                    <w:rPr>
                      <w:rFonts w:hint="eastAsia"/>
                      <w:color w:val="auto"/>
                      <w:sz w:val="18"/>
                      <w:szCs w:val="18"/>
                      <w:highlight w:val="none"/>
                    </w:rPr>
                    <w:t>11</w:t>
                  </w:r>
                </w:p>
              </w:tc>
              <w:tc>
                <w:tcPr>
                  <w:tcW w:w="1137" w:type="dxa"/>
                  <w:tcBorders>
                    <w:tl2br w:val="nil"/>
                    <w:tr2bl w:val="nil"/>
                  </w:tcBorders>
                  <w:vAlign w:val="center"/>
                </w:tcPr>
                <w:p w14:paraId="628186C0">
                  <w:pPr>
                    <w:adjustRightInd w:val="0"/>
                    <w:snapToGrid w:val="0"/>
                    <w:jc w:val="center"/>
                    <w:rPr>
                      <w:color w:val="auto"/>
                      <w:sz w:val="18"/>
                      <w:szCs w:val="18"/>
                      <w:highlight w:val="none"/>
                    </w:rPr>
                  </w:pPr>
                  <w:r>
                    <w:rPr>
                      <w:rFonts w:hint="eastAsia"/>
                      <w:color w:val="auto"/>
                      <w:sz w:val="18"/>
                      <w:szCs w:val="18"/>
                      <w:highlight w:val="none"/>
                    </w:rPr>
                    <w:t>圆盘粉碎机</w:t>
                  </w:r>
                </w:p>
              </w:tc>
              <w:tc>
                <w:tcPr>
                  <w:tcW w:w="789" w:type="dxa"/>
                  <w:tcBorders>
                    <w:tl2br w:val="nil"/>
                    <w:tr2bl w:val="nil"/>
                  </w:tcBorders>
                  <w:vAlign w:val="center"/>
                </w:tcPr>
                <w:p w14:paraId="415DE4E6">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0609FE55">
                  <w:pPr>
                    <w:adjustRightInd w:val="0"/>
                    <w:snapToGrid w:val="0"/>
                    <w:jc w:val="center"/>
                    <w:rPr>
                      <w:color w:val="auto"/>
                      <w:sz w:val="18"/>
                      <w:szCs w:val="18"/>
                      <w:highlight w:val="none"/>
                    </w:rPr>
                  </w:pPr>
                </w:p>
              </w:tc>
              <w:tc>
                <w:tcPr>
                  <w:tcW w:w="800" w:type="dxa"/>
                  <w:tcBorders>
                    <w:tl2br w:val="nil"/>
                    <w:tr2bl w:val="nil"/>
                  </w:tcBorders>
                  <w:vAlign w:val="center"/>
                </w:tcPr>
                <w:p w14:paraId="7DC1611B">
                  <w:pPr>
                    <w:jc w:val="center"/>
                    <w:rPr>
                      <w:color w:val="auto"/>
                      <w:spacing w:val="-3"/>
                      <w:sz w:val="18"/>
                      <w:szCs w:val="18"/>
                      <w:highlight w:val="none"/>
                    </w:rPr>
                  </w:pPr>
                  <w:r>
                    <w:rPr>
                      <w:rFonts w:hint="eastAsia"/>
                      <w:color w:val="auto"/>
                      <w:spacing w:val="-3"/>
                      <w:sz w:val="18"/>
                      <w:szCs w:val="18"/>
                      <w:highlight w:val="none"/>
                    </w:rPr>
                    <w:t>85</w:t>
                  </w:r>
                </w:p>
              </w:tc>
              <w:tc>
                <w:tcPr>
                  <w:tcW w:w="751" w:type="dxa"/>
                  <w:vMerge w:val="continue"/>
                  <w:tcBorders>
                    <w:tl2br w:val="nil"/>
                    <w:tr2bl w:val="nil"/>
                  </w:tcBorders>
                  <w:vAlign w:val="center"/>
                </w:tcPr>
                <w:p w14:paraId="4B0C59CF">
                  <w:pPr>
                    <w:adjustRightInd w:val="0"/>
                    <w:snapToGrid w:val="0"/>
                    <w:jc w:val="center"/>
                    <w:rPr>
                      <w:color w:val="auto"/>
                      <w:sz w:val="18"/>
                      <w:szCs w:val="18"/>
                      <w:highlight w:val="none"/>
                    </w:rPr>
                  </w:pPr>
                </w:p>
              </w:tc>
              <w:tc>
                <w:tcPr>
                  <w:tcW w:w="800" w:type="dxa"/>
                  <w:tcBorders>
                    <w:tl2br w:val="nil"/>
                    <w:tr2bl w:val="nil"/>
                  </w:tcBorders>
                  <w:vAlign w:val="center"/>
                </w:tcPr>
                <w:p w14:paraId="0C9F1787">
                  <w:pPr>
                    <w:jc w:val="center"/>
                    <w:rPr>
                      <w:color w:val="auto"/>
                      <w:spacing w:val="-12"/>
                      <w:sz w:val="18"/>
                      <w:szCs w:val="18"/>
                      <w:highlight w:val="none"/>
                    </w:rPr>
                  </w:pPr>
                  <w:r>
                    <w:rPr>
                      <w:rFonts w:hint="eastAsia"/>
                      <w:color w:val="auto"/>
                      <w:spacing w:val="-12"/>
                      <w:sz w:val="18"/>
                      <w:szCs w:val="18"/>
                      <w:highlight w:val="none"/>
                    </w:rPr>
                    <w:t>20</w:t>
                  </w:r>
                </w:p>
              </w:tc>
              <w:tc>
                <w:tcPr>
                  <w:tcW w:w="750" w:type="dxa"/>
                  <w:vMerge w:val="continue"/>
                  <w:tcBorders>
                    <w:tl2br w:val="nil"/>
                    <w:tr2bl w:val="nil"/>
                  </w:tcBorders>
                  <w:vAlign w:val="center"/>
                </w:tcPr>
                <w:p w14:paraId="6EB8DB9C">
                  <w:pPr>
                    <w:adjustRightInd w:val="0"/>
                    <w:snapToGrid w:val="0"/>
                    <w:jc w:val="center"/>
                    <w:rPr>
                      <w:color w:val="auto"/>
                      <w:sz w:val="18"/>
                      <w:szCs w:val="18"/>
                      <w:highlight w:val="none"/>
                    </w:rPr>
                  </w:pPr>
                </w:p>
              </w:tc>
              <w:tc>
                <w:tcPr>
                  <w:tcW w:w="800" w:type="dxa"/>
                  <w:tcBorders>
                    <w:tl2br w:val="nil"/>
                    <w:tr2bl w:val="nil"/>
                  </w:tcBorders>
                  <w:vAlign w:val="center"/>
                </w:tcPr>
                <w:p w14:paraId="08B461D6">
                  <w:pPr>
                    <w:jc w:val="center"/>
                    <w:rPr>
                      <w:color w:val="auto"/>
                      <w:sz w:val="18"/>
                      <w:szCs w:val="18"/>
                      <w:highlight w:val="none"/>
                    </w:rPr>
                  </w:pPr>
                  <w:r>
                    <w:rPr>
                      <w:rFonts w:hint="eastAsia"/>
                      <w:color w:val="auto"/>
                      <w:sz w:val="18"/>
                      <w:szCs w:val="18"/>
                      <w:highlight w:val="none"/>
                    </w:rPr>
                    <w:t>65</w:t>
                  </w:r>
                </w:p>
              </w:tc>
              <w:tc>
                <w:tcPr>
                  <w:tcW w:w="759" w:type="dxa"/>
                  <w:vMerge w:val="continue"/>
                  <w:tcBorders>
                    <w:tl2br w:val="nil"/>
                    <w:tr2bl w:val="nil"/>
                  </w:tcBorders>
                  <w:vAlign w:val="center"/>
                </w:tcPr>
                <w:p w14:paraId="023E8F1F">
                  <w:pPr>
                    <w:adjustRightInd w:val="0"/>
                    <w:snapToGrid w:val="0"/>
                    <w:jc w:val="center"/>
                    <w:rPr>
                      <w:color w:val="auto"/>
                      <w:sz w:val="18"/>
                      <w:szCs w:val="18"/>
                      <w:highlight w:val="none"/>
                    </w:rPr>
                  </w:pPr>
                </w:p>
              </w:tc>
            </w:tr>
            <w:tr w14:paraId="01C60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600D8EDA">
                  <w:pPr>
                    <w:adjustRightInd w:val="0"/>
                    <w:snapToGrid w:val="0"/>
                    <w:jc w:val="center"/>
                    <w:rPr>
                      <w:color w:val="auto"/>
                      <w:sz w:val="18"/>
                      <w:szCs w:val="18"/>
                      <w:highlight w:val="none"/>
                    </w:rPr>
                  </w:pPr>
                  <w:r>
                    <w:rPr>
                      <w:rFonts w:hint="eastAsia"/>
                      <w:color w:val="auto"/>
                      <w:sz w:val="18"/>
                      <w:szCs w:val="18"/>
                      <w:highlight w:val="none"/>
                    </w:rPr>
                    <w:t>12</w:t>
                  </w:r>
                </w:p>
              </w:tc>
              <w:tc>
                <w:tcPr>
                  <w:tcW w:w="1137" w:type="dxa"/>
                  <w:tcBorders>
                    <w:tl2br w:val="nil"/>
                    <w:tr2bl w:val="nil"/>
                  </w:tcBorders>
                  <w:vAlign w:val="center"/>
                </w:tcPr>
                <w:p w14:paraId="6127A6E6">
                  <w:pPr>
                    <w:adjustRightInd w:val="0"/>
                    <w:snapToGrid w:val="0"/>
                    <w:jc w:val="center"/>
                    <w:rPr>
                      <w:color w:val="auto"/>
                      <w:sz w:val="18"/>
                      <w:szCs w:val="18"/>
                      <w:highlight w:val="none"/>
                    </w:rPr>
                  </w:pPr>
                  <w:r>
                    <w:rPr>
                      <w:color w:val="auto"/>
                      <w:kern w:val="0"/>
                      <w:sz w:val="18"/>
                      <w:szCs w:val="18"/>
                      <w:highlight w:val="none"/>
                    </w:rPr>
                    <w:t>搅拌主机</w:t>
                  </w:r>
                </w:p>
              </w:tc>
              <w:tc>
                <w:tcPr>
                  <w:tcW w:w="789" w:type="dxa"/>
                  <w:tcBorders>
                    <w:tl2br w:val="nil"/>
                    <w:tr2bl w:val="nil"/>
                  </w:tcBorders>
                  <w:vAlign w:val="center"/>
                </w:tcPr>
                <w:p w14:paraId="51F2A161">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7D24BF30">
                  <w:pPr>
                    <w:adjustRightInd w:val="0"/>
                    <w:snapToGrid w:val="0"/>
                    <w:jc w:val="center"/>
                    <w:rPr>
                      <w:color w:val="auto"/>
                      <w:sz w:val="18"/>
                      <w:szCs w:val="18"/>
                      <w:highlight w:val="none"/>
                    </w:rPr>
                  </w:pPr>
                </w:p>
              </w:tc>
              <w:tc>
                <w:tcPr>
                  <w:tcW w:w="800" w:type="dxa"/>
                  <w:tcBorders>
                    <w:tl2br w:val="nil"/>
                    <w:tr2bl w:val="nil"/>
                  </w:tcBorders>
                  <w:vAlign w:val="center"/>
                </w:tcPr>
                <w:p w14:paraId="45D36356">
                  <w:pPr>
                    <w:jc w:val="center"/>
                    <w:rPr>
                      <w:color w:val="auto"/>
                      <w:spacing w:val="-3"/>
                      <w:sz w:val="18"/>
                      <w:szCs w:val="18"/>
                      <w:highlight w:val="none"/>
                    </w:rPr>
                  </w:pPr>
                  <w:r>
                    <w:rPr>
                      <w:rFonts w:hint="eastAsia"/>
                      <w:color w:val="auto"/>
                      <w:spacing w:val="-2"/>
                      <w:sz w:val="18"/>
                      <w:szCs w:val="18"/>
                      <w:highlight w:val="none"/>
                    </w:rPr>
                    <w:t>80</w:t>
                  </w:r>
                </w:p>
              </w:tc>
              <w:tc>
                <w:tcPr>
                  <w:tcW w:w="751" w:type="dxa"/>
                  <w:vMerge w:val="restart"/>
                  <w:tcBorders>
                    <w:tl2br w:val="nil"/>
                    <w:tr2bl w:val="nil"/>
                  </w:tcBorders>
                  <w:vAlign w:val="center"/>
                </w:tcPr>
                <w:p w14:paraId="0356B2DB">
                  <w:pPr>
                    <w:adjustRightInd w:val="0"/>
                    <w:snapToGrid w:val="0"/>
                    <w:jc w:val="center"/>
                    <w:rPr>
                      <w:color w:val="auto"/>
                      <w:sz w:val="18"/>
                      <w:szCs w:val="18"/>
                      <w:highlight w:val="none"/>
                    </w:rPr>
                  </w:pPr>
                  <w:r>
                    <w:rPr>
                      <w:rFonts w:hint="eastAsia"/>
                      <w:color w:val="auto"/>
                      <w:sz w:val="18"/>
                      <w:szCs w:val="18"/>
                      <w:highlight w:val="none"/>
                    </w:rPr>
                    <w:t>低噪声设备、基础减震、隔声</w:t>
                  </w:r>
                </w:p>
              </w:tc>
              <w:tc>
                <w:tcPr>
                  <w:tcW w:w="800" w:type="dxa"/>
                  <w:tcBorders>
                    <w:tl2br w:val="nil"/>
                    <w:tr2bl w:val="nil"/>
                  </w:tcBorders>
                  <w:vAlign w:val="center"/>
                </w:tcPr>
                <w:p w14:paraId="42EA99CE">
                  <w:pPr>
                    <w:jc w:val="center"/>
                    <w:rPr>
                      <w:color w:val="auto"/>
                      <w:spacing w:val="-12"/>
                      <w:sz w:val="18"/>
                      <w:szCs w:val="18"/>
                      <w:highlight w:val="none"/>
                    </w:rPr>
                  </w:pPr>
                  <w:r>
                    <w:rPr>
                      <w:rFonts w:eastAsia="Times New Roman"/>
                      <w:color w:val="auto"/>
                      <w:spacing w:val="-12"/>
                      <w:sz w:val="18"/>
                      <w:szCs w:val="18"/>
                      <w:highlight w:val="none"/>
                    </w:rPr>
                    <w:t>15</w:t>
                  </w:r>
                </w:p>
              </w:tc>
              <w:tc>
                <w:tcPr>
                  <w:tcW w:w="750" w:type="dxa"/>
                  <w:vMerge w:val="continue"/>
                  <w:tcBorders>
                    <w:tl2br w:val="nil"/>
                    <w:tr2bl w:val="nil"/>
                  </w:tcBorders>
                  <w:vAlign w:val="center"/>
                </w:tcPr>
                <w:p w14:paraId="3CB6F488">
                  <w:pPr>
                    <w:adjustRightInd w:val="0"/>
                    <w:snapToGrid w:val="0"/>
                    <w:jc w:val="center"/>
                    <w:rPr>
                      <w:color w:val="auto"/>
                      <w:sz w:val="18"/>
                      <w:szCs w:val="18"/>
                      <w:highlight w:val="none"/>
                    </w:rPr>
                  </w:pPr>
                </w:p>
              </w:tc>
              <w:tc>
                <w:tcPr>
                  <w:tcW w:w="800" w:type="dxa"/>
                  <w:tcBorders>
                    <w:tl2br w:val="nil"/>
                    <w:tr2bl w:val="nil"/>
                  </w:tcBorders>
                  <w:vAlign w:val="center"/>
                </w:tcPr>
                <w:p w14:paraId="580000F0">
                  <w:pPr>
                    <w:adjustRightInd w:val="0"/>
                    <w:snapToGrid w:val="0"/>
                    <w:jc w:val="center"/>
                    <w:rPr>
                      <w:color w:val="auto"/>
                      <w:sz w:val="18"/>
                      <w:szCs w:val="18"/>
                      <w:highlight w:val="none"/>
                    </w:rPr>
                  </w:pPr>
                  <w:r>
                    <w:rPr>
                      <w:rFonts w:hint="eastAsia"/>
                      <w:color w:val="auto"/>
                      <w:sz w:val="18"/>
                      <w:szCs w:val="18"/>
                      <w:highlight w:val="none"/>
                    </w:rPr>
                    <w:t>65</w:t>
                  </w:r>
                </w:p>
              </w:tc>
              <w:tc>
                <w:tcPr>
                  <w:tcW w:w="759" w:type="dxa"/>
                  <w:vMerge w:val="restart"/>
                  <w:tcBorders>
                    <w:tl2br w:val="nil"/>
                    <w:tr2bl w:val="nil"/>
                  </w:tcBorders>
                  <w:vAlign w:val="center"/>
                </w:tcPr>
                <w:p w14:paraId="49B151E4">
                  <w:pPr>
                    <w:adjustRightInd w:val="0"/>
                    <w:snapToGrid w:val="0"/>
                    <w:jc w:val="center"/>
                    <w:rPr>
                      <w:color w:val="auto"/>
                      <w:sz w:val="18"/>
                      <w:szCs w:val="18"/>
                      <w:highlight w:val="none"/>
                    </w:rPr>
                  </w:pPr>
                  <w:r>
                    <w:rPr>
                      <w:rFonts w:hint="eastAsia"/>
                      <w:color w:val="auto"/>
                      <w:sz w:val="18"/>
                      <w:szCs w:val="18"/>
                      <w:highlight w:val="none"/>
                    </w:rPr>
                    <w:t>5760</w:t>
                  </w:r>
                </w:p>
              </w:tc>
            </w:tr>
            <w:tr w14:paraId="52D36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7BF40642">
                  <w:pPr>
                    <w:adjustRightInd w:val="0"/>
                    <w:snapToGrid w:val="0"/>
                    <w:jc w:val="center"/>
                    <w:rPr>
                      <w:color w:val="auto"/>
                      <w:sz w:val="18"/>
                      <w:szCs w:val="18"/>
                      <w:highlight w:val="none"/>
                    </w:rPr>
                  </w:pPr>
                  <w:r>
                    <w:rPr>
                      <w:rFonts w:hint="eastAsia"/>
                      <w:color w:val="auto"/>
                      <w:sz w:val="18"/>
                      <w:szCs w:val="18"/>
                      <w:highlight w:val="none"/>
                    </w:rPr>
                    <w:t>13</w:t>
                  </w:r>
                </w:p>
              </w:tc>
              <w:tc>
                <w:tcPr>
                  <w:tcW w:w="1137" w:type="dxa"/>
                  <w:tcBorders>
                    <w:tl2br w:val="nil"/>
                    <w:tr2bl w:val="nil"/>
                  </w:tcBorders>
                  <w:vAlign w:val="center"/>
                </w:tcPr>
                <w:p w14:paraId="612476BF">
                  <w:pPr>
                    <w:adjustRightInd w:val="0"/>
                    <w:snapToGrid w:val="0"/>
                    <w:jc w:val="center"/>
                    <w:rPr>
                      <w:color w:val="auto"/>
                      <w:sz w:val="18"/>
                      <w:szCs w:val="18"/>
                      <w:highlight w:val="none"/>
                    </w:rPr>
                  </w:pPr>
                  <w:r>
                    <w:rPr>
                      <w:rFonts w:hint="eastAsia"/>
                      <w:color w:val="auto"/>
                      <w:kern w:val="0"/>
                      <w:sz w:val="18"/>
                      <w:szCs w:val="18"/>
                      <w:highlight w:val="none"/>
                    </w:rPr>
                    <w:t>输送机</w:t>
                  </w:r>
                </w:p>
              </w:tc>
              <w:tc>
                <w:tcPr>
                  <w:tcW w:w="789" w:type="dxa"/>
                  <w:tcBorders>
                    <w:tl2br w:val="nil"/>
                    <w:tr2bl w:val="nil"/>
                  </w:tcBorders>
                  <w:vAlign w:val="center"/>
                </w:tcPr>
                <w:p w14:paraId="38CB53A3">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31EFBCFF">
                  <w:pPr>
                    <w:adjustRightInd w:val="0"/>
                    <w:snapToGrid w:val="0"/>
                    <w:jc w:val="center"/>
                    <w:rPr>
                      <w:color w:val="auto"/>
                      <w:sz w:val="18"/>
                      <w:szCs w:val="18"/>
                      <w:highlight w:val="none"/>
                    </w:rPr>
                  </w:pPr>
                </w:p>
              </w:tc>
              <w:tc>
                <w:tcPr>
                  <w:tcW w:w="800" w:type="dxa"/>
                  <w:tcBorders>
                    <w:tl2br w:val="nil"/>
                    <w:tr2bl w:val="nil"/>
                  </w:tcBorders>
                  <w:vAlign w:val="center"/>
                </w:tcPr>
                <w:p w14:paraId="4F2636DC">
                  <w:pPr>
                    <w:jc w:val="center"/>
                    <w:rPr>
                      <w:color w:val="auto"/>
                      <w:spacing w:val="-3"/>
                      <w:sz w:val="18"/>
                      <w:szCs w:val="18"/>
                      <w:highlight w:val="none"/>
                    </w:rPr>
                  </w:pPr>
                  <w:r>
                    <w:rPr>
                      <w:rFonts w:hint="eastAsia"/>
                      <w:color w:val="auto"/>
                      <w:spacing w:val="-2"/>
                      <w:sz w:val="18"/>
                      <w:szCs w:val="18"/>
                      <w:highlight w:val="none"/>
                    </w:rPr>
                    <w:t>75</w:t>
                  </w:r>
                </w:p>
              </w:tc>
              <w:tc>
                <w:tcPr>
                  <w:tcW w:w="751" w:type="dxa"/>
                  <w:vMerge w:val="continue"/>
                  <w:tcBorders>
                    <w:tl2br w:val="nil"/>
                    <w:tr2bl w:val="nil"/>
                  </w:tcBorders>
                  <w:vAlign w:val="center"/>
                </w:tcPr>
                <w:p w14:paraId="17D86362">
                  <w:pPr>
                    <w:adjustRightInd w:val="0"/>
                    <w:snapToGrid w:val="0"/>
                    <w:jc w:val="center"/>
                    <w:rPr>
                      <w:color w:val="auto"/>
                      <w:sz w:val="18"/>
                      <w:szCs w:val="18"/>
                      <w:highlight w:val="none"/>
                    </w:rPr>
                  </w:pPr>
                </w:p>
              </w:tc>
              <w:tc>
                <w:tcPr>
                  <w:tcW w:w="800" w:type="dxa"/>
                  <w:tcBorders>
                    <w:tl2br w:val="nil"/>
                    <w:tr2bl w:val="nil"/>
                  </w:tcBorders>
                  <w:vAlign w:val="center"/>
                </w:tcPr>
                <w:p w14:paraId="6AD54D53">
                  <w:pPr>
                    <w:jc w:val="center"/>
                    <w:rPr>
                      <w:color w:val="auto"/>
                      <w:spacing w:val="-12"/>
                      <w:sz w:val="18"/>
                      <w:szCs w:val="18"/>
                      <w:highlight w:val="none"/>
                    </w:rPr>
                  </w:pPr>
                  <w:r>
                    <w:rPr>
                      <w:rFonts w:eastAsia="Times New Roman"/>
                      <w:color w:val="auto"/>
                      <w:spacing w:val="-12"/>
                      <w:sz w:val="18"/>
                      <w:szCs w:val="18"/>
                      <w:highlight w:val="none"/>
                    </w:rPr>
                    <w:t>15</w:t>
                  </w:r>
                </w:p>
              </w:tc>
              <w:tc>
                <w:tcPr>
                  <w:tcW w:w="750" w:type="dxa"/>
                  <w:vMerge w:val="continue"/>
                  <w:tcBorders>
                    <w:tl2br w:val="nil"/>
                    <w:tr2bl w:val="nil"/>
                  </w:tcBorders>
                  <w:vAlign w:val="center"/>
                </w:tcPr>
                <w:p w14:paraId="2F85276A">
                  <w:pPr>
                    <w:adjustRightInd w:val="0"/>
                    <w:snapToGrid w:val="0"/>
                    <w:jc w:val="center"/>
                    <w:rPr>
                      <w:color w:val="auto"/>
                      <w:sz w:val="18"/>
                      <w:szCs w:val="18"/>
                      <w:highlight w:val="none"/>
                    </w:rPr>
                  </w:pPr>
                </w:p>
              </w:tc>
              <w:tc>
                <w:tcPr>
                  <w:tcW w:w="800" w:type="dxa"/>
                  <w:tcBorders>
                    <w:tl2br w:val="nil"/>
                    <w:tr2bl w:val="nil"/>
                  </w:tcBorders>
                  <w:vAlign w:val="center"/>
                </w:tcPr>
                <w:p w14:paraId="1C74265C">
                  <w:pPr>
                    <w:adjustRightInd w:val="0"/>
                    <w:snapToGrid w:val="0"/>
                    <w:jc w:val="center"/>
                    <w:rPr>
                      <w:color w:val="auto"/>
                      <w:sz w:val="18"/>
                      <w:szCs w:val="18"/>
                      <w:highlight w:val="none"/>
                    </w:rPr>
                  </w:pPr>
                  <w:r>
                    <w:rPr>
                      <w:rFonts w:hint="eastAsia"/>
                      <w:color w:val="auto"/>
                      <w:sz w:val="18"/>
                      <w:szCs w:val="18"/>
                      <w:highlight w:val="none"/>
                    </w:rPr>
                    <w:t>60</w:t>
                  </w:r>
                </w:p>
              </w:tc>
              <w:tc>
                <w:tcPr>
                  <w:tcW w:w="759" w:type="dxa"/>
                  <w:vMerge w:val="continue"/>
                  <w:tcBorders>
                    <w:tl2br w:val="nil"/>
                    <w:tr2bl w:val="nil"/>
                  </w:tcBorders>
                  <w:vAlign w:val="center"/>
                </w:tcPr>
                <w:p w14:paraId="01B8783D">
                  <w:pPr>
                    <w:adjustRightInd w:val="0"/>
                    <w:snapToGrid w:val="0"/>
                    <w:jc w:val="center"/>
                    <w:rPr>
                      <w:color w:val="auto"/>
                      <w:sz w:val="18"/>
                      <w:szCs w:val="18"/>
                      <w:highlight w:val="none"/>
                    </w:rPr>
                  </w:pPr>
                </w:p>
              </w:tc>
            </w:tr>
            <w:tr w14:paraId="27929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6B829180">
                  <w:pPr>
                    <w:adjustRightInd w:val="0"/>
                    <w:snapToGrid w:val="0"/>
                    <w:jc w:val="center"/>
                    <w:rPr>
                      <w:color w:val="auto"/>
                      <w:sz w:val="18"/>
                      <w:szCs w:val="18"/>
                      <w:highlight w:val="none"/>
                    </w:rPr>
                  </w:pPr>
                  <w:r>
                    <w:rPr>
                      <w:rFonts w:hint="eastAsia"/>
                      <w:color w:val="auto"/>
                      <w:sz w:val="18"/>
                      <w:szCs w:val="18"/>
                      <w:highlight w:val="none"/>
                    </w:rPr>
                    <w:t>14</w:t>
                  </w:r>
                </w:p>
              </w:tc>
              <w:tc>
                <w:tcPr>
                  <w:tcW w:w="1137" w:type="dxa"/>
                  <w:tcBorders>
                    <w:tl2br w:val="nil"/>
                    <w:tr2bl w:val="nil"/>
                  </w:tcBorders>
                  <w:vAlign w:val="center"/>
                </w:tcPr>
                <w:p w14:paraId="6D0482B8">
                  <w:pPr>
                    <w:adjustRightInd w:val="0"/>
                    <w:snapToGrid w:val="0"/>
                    <w:jc w:val="center"/>
                    <w:rPr>
                      <w:color w:val="auto"/>
                      <w:sz w:val="18"/>
                      <w:szCs w:val="18"/>
                      <w:highlight w:val="none"/>
                    </w:rPr>
                  </w:pPr>
                  <w:r>
                    <w:rPr>
                      <w:rFonts w:hint="eastAsia"/>
                      <w:color w:val="auto"/>
                      <w:kern w:val="0"/>
                      <w:sz w:val="18"/>
                      <w:szCs w:val="18"/>
                      <w:highlight w:val="none"/>
                    </w:rPr>
                    <w:t>筒仓气力输送泵</w:t>
                  </w:r>
                </w:p>
              </w:tc>
              <w:tc>
                <w:tcPr>
                  <w:tcW w:w="789" w:type="dxa"/>
                  <w:tcBorders>
                    <w:tl2br w:val="nil"/>
                    <w:tr2bl w:val="nil"/>
                  </w:tcBorders>
                  <w:vAlign w:val="center"/>
                </w:tcPr>
                <w:p w14:paraId="2FC735AD">
                  <w:pPr>
                    <w:adjustRightInd w:val="0"/>
                    <w:snapToGrid w:val="0"/>
                    <w:jc w:val="center"/>
                    <w:rPr>
                      <w:color w:val="auto"/>
                      <w:sz w:val="18"/>
                      <w:szCs w:val="18"/>
                      <w:highlight w:val="none"/>
                    </w:rPr>
                  </w:pPr>
                  <w:r>
                    <w:rPr>
                      <w:color w:val="auto"/>
                      <w:sz w:val="18"/>
                      <w:szCs w:val="18"/>
                      <w:highlight w:val="none"/>
                    </w:rPr>
                    <w:t>频发</w:t>
                  </w:r>
                </w:p>
              </w:tc>
              <w:tc>
                <w:tcPr>
                  <w:tcW w:w="750" w:type="dxa"/>
                  <w:vMerge w:val="continue"/>
                  <w:tcBorders>
                    <w:tl2br w:val="nil"/>
                    <w:tr2bl w:val="nil"/>
                  </w:tcBorders>
                  <w:vAlign w:val="center"/>
                </w:tcPr>
                <w:p w14:paraId="6466A6B4">
                  <w:pPr>
                    <w:adjustRightInd w:val="0"/>
                    <w:snapToGrid w:val="0"/>
                    <w:jc w:val="center"/>
                    <w:rPr>
                      <w:color w:val="auto"/>
                      <w:sz w:val="18"/>
                      <w:szCs w:val="18"/>
                      <w:highlight w:val="none"/>
                    </w:rPr>
                  </w:pPr>
                </w:p>
              </w:tc>
              <w:tc>
                <w:tcPr>
                  <w:tcW w:w="800" w:type="dxa"/>
                  <w:tcBorders>
                    <w:tl2br w:val="nil"/>
                    <w:tr2bl w:val="nil"/>
                  </w:tcBorders>
                  <w:vAlign w:val="center"/>
                </w:tcPr>
                <w:p w14:paraId="408A25BC">
                  <w:pPr>
                    <w:jc w:val="center"/>
                    <w:rPr>
                      <w:color w:val="auto"/>
                      <w:spacing w:val="-3"/>
                      <w:sz w:val="18"/>
                      <w:szCs w:val="18"/>
                      <w:highlight w:val="none"/>
                    </w:rPr>
                  </w:pPr>
                  <w:r>
                    <w:rPr>
                      <w:rFonts w:hint="eastAsia"/>
                      <w:color w:val="auto"/>
                      <w:spacing w:val="-2"/>
                      <w:sz w:val="18"/>
                      <w:szCs w:val="18"/>
                      <w:highlight w:val="none"/>
                    </w:rPr>
                    <w:t>80</w:t>
                  </w:r>
                </w:p>
              </w:tc>
              <w:tc>
                <w:tcPr>
                  <w:tcW w:w="751" w:type="dxa"/>
                  <w:vMerge w:val="continue"/>
                  <w:tcBorders>
                    <w:tl2br w:val="nil"/>
                    <w:tr2bl w:val="nil"/>
                  </w:tcBorders>
                  <w:vAlign w:val="center"/>
                </w:tcPr>
                <w:p w14:paraId="0354F2AA">
                  <w:pPr>
                    <w:adjustRightInd w:val="0"/>
                    <w:snapToGrid w:val="0"/>
                    <w:jc w:val="center"/>
                    <w:rPr>
                      <w:color w:val="auto"/>
                      <w:sz w:val="18"/>
                      <w:szCs w:val="18"/>
                      <w:highlight w:val="none"/>
                    </w:rPr>
                  </w:pPr>
                </w:p>
              </w:tc>
              <w:tc>
                <w:tcPr>
                  <w:tcW w:w="800" w:type="dxa"/>
                  <w:tcBorders>
                    <w:tl2br w:val="nil"/>
                    <w:tr2bl w:val="nil"/>
                  </w:tcBorders>
                  <w:vAlign w:val="center"/>
                </w:tcPr>
                <w:p w14:paraId="0D7AC67D">
                  <w:pPr>
                    <w:jc w:val="center"/>
                    <w:rPr>
                      <w:color w:val="auto"/>
                      <w:spacing w:val="-12"/>
                      <w:sz w:val="18"/>
                      <w:szCs w:val="18"/>
                      <w:highlight w:val="none"/>
                    </w:rPr>
                  </w:pPr>
                  <w:r>
                    <w:rPr>
                      <w:rFonts w:eastAsia="Times New Roman"/>
                      <w:color w:val="auto"/>
                      <w:spacing w:val="-12"/>
                      <w:sz w:val="18"/>
                      <w:szCs w:val="18"/>
                      <w:highlight w:val="none"/>
                    </w:rPr>
                    <w:t>15</w:t>
                  </w:r>
                </w:p>
              </w:tc>
              <w:tc>
                <w:tcPr>
                  <w:tcW w:w="750" w:type="dxa"/>
                  <w:vMerge w:val="continue"/>
                  <w:tcBorders>
                    <w:tl2br w:val="nil"/>
                    <w:tr2bl w:val="nil"/>
                  </w:tcBorders>
                  <w:vAlign w:val="center"/>
                </w:tcPr>
                <w:p w14:paraId="2A42B06B">
                  <w:pPr>
                    <w:adjustRightInd w:val="0"/>
                    <w:snapToGrid w:val="0"/>
                    <w:jc w:val="center"/>
                    <w:rPr>
                      <w:color w:val="auto"/>
                      <w:sz w:val="18"/>
                      <w:szCs w:val="18"/>
                      <w:highlight w:val="none"/>
                    </w:rPr>
                  </w:pPr>
                </w:p>
              </w:tc>
              <w:tc>
                <w:tcPr>
                  <w:tcW w:w="800" w:type="dxa"/>
                  <w:tcBorders>
                    <w:tl2br w:val="nil"/>
                    <w:tr2bl w:val="nil"/>
                  </w:tcBorders>
                  <w:vAlign w:val="center"/>
                </w:tcPr>
                <w:p w14:paraId="4F2EA2AE">
                  <w:pPr>
                    <w:adjustRightInd w:val="0"/>
                    <w:snapToGrid w:val="0"/>
                    <w:jc w:val="center"/>
                    <w:rPr>
                      <w:color w:val="auto"/>
                      <w:sz w:val="18"/>
                      <w:szCs w:val="18"/>
                      <w:highlight w:val="none"/>
                    </w:rPr>
                  </w:pPr>
                  <w:r>
                    <w:rPr>
                      <w:rFonts w:hint="eastAsia"/>
                      <w:color w:val="auto"/>
                      <w:sz w:val="18"/>
                      <w:szCs w:val="18"/>
                      <w:highlight w:val="none"/>
                    </w:rPr>
                    <w:t>75</w:t>
                  </w:r>
                </w:p>
              </w:tc>
              <w:tc>
                <w:tcPr>
                  <w:tcW w:w="759" w:type="dxa"/>
                  <w:vMerge w:val="continue"/>
                  <w:tcBorders>
                    <w:tl2br w:val="nil"/>
                    <w:tr2bl w:val="nil"/>
                  </w:tcBorders>
                  <w:vAlign w:val="center"/>
                </w:tcPr>
                <w:p w14:paraId="0A87DB2C">
                  <w:pPr>
                    <w:adjustRightInd w:val="0"/>
                    <w:snapToGrid w:val="0"/>
                    <w:jc w:val="center"/>
                    <w:rPr>
                      <w:color w:val="auto"/>
                      <w:sz w:val="18"/>
                      <w:szCs w:val="18"/>
                      <w:highlight w:val="none"/>
                    </w:rPr>
                  </w:pPr>
                </w:p>
              </w:tc>
            </w:tr>
            <w:tr w14:paraId="4E1AA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5067DF57">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15</w:t>
                  </w:r>
                </w:p>
              </w:tc>
              <w:tc>
                <w:tcPr>
                  <w:tcW w:w="1137" w:type="dxa"/>
                  <w:tcBorders>
                    <w:tl2br w:val="nil"/>
                    <w:tr2bl w:val="nil"/>
                  </w:tcBorders>
                  <w:vAlign w:val="center"/>
                </w:tcPr>
                <w:p w14:paraId="57E33BCF">
                  <w:pPr>
                    <w:adjustRightInd w:val="0"/>
                    <w:snapToGrid w:val="0"/>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运输车辆</w:t>
                  </w:r>
                </w:p>
              </w:tc>
              <w:tc>
                <w:tcPr>
                  <w:tcW w:w="789" w:type="dxa"/>
                  <w:tcBorders>
                    <w:tl2br w:val="nil"/>
                    <w:tr2bl w:val="nil"/>
                  </w:tcBorders>
                  <w:vAlign w:val="center"/>
                </w:tcPr>
                <w:p w14:paraId="69D1CC24">
                  <w:pPr>
                    <w:adjustRightInd w:val="0"/>
                    <w:snapToGrid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频发</w:t>
                  </w:r>
                </w:p>
              </w:tc>
              <w:tc>
                <w:tcPr>
                  <w:tcW w:w="750" w:type="dxa"/>
                  <w:vMerge w:val="continue"/>
                  <w:tcBorders>
                    <w:tl2br w:val="nil"/>
                    <w:tr2bl w:val="nil"/>
                  </w:tcBorders>
                  <w:vAlign w:val="center"/>
                </w:tcPr>
                <w:p w14:paraId="6CF2CABC">
                  <w:pPr>
                    <w:adjustRightInd w:val="0"/>
                    <w:snapToGrid w:val="0"/>
                    <w:jc w:val="center"/>
                    <w:rPr>
                      <w:color w:val="auto"/>
                      <w:sz w:val="18"/>
                      <w:szCs w:val="18"/>
                      <w:highlight w:val="none"/>
                    </w:rPr>
                  </w:pPr>
                </w:p>
              </w:tc>
              <w:tc>
                <w:tcPr>
                  <w:tcW w:w="800" w:type="dxa"/>
                  <w:tcBorders>
                    <w:tl2br w:val="nil"/>
                    <w:tr2bl w:val="nil"/>
                  </w:tcBorders>
                  <w:vAlign w:val="center"/>
                </w:tcPr>
                <w:p w14:paraId="4131BB66">
                  <w:pPr>
                    <w:jc w:val="center"/>
                    <w:rPr>
                      <w:rFonts w:hint="default" w:eastAsia="宋体"/>
                      <w:color w:val="auto"/>
                      <w:spacing w:val="-2"/>
                      <w:sz w:val="18"/>
                      <w:szCs w:val="18"/>
                      <w:highlight w:val="none"/>
                      <w:lang w:val="en-US" w:eastAsia="zh-CN"/>
                    </w:rPr>
                  </w:pPr>
                  <w:r>
                    <w:rPr>
                      <w:rFonts w:hint="eastAsia"/>
                      <w:color w:val="auto"/>
                      <w:spacing w:val="-2"/>
                      <w:sz w:val="18"/>
                      <w:szCs w:val="18"/>
                      <w:highlight w:val="none"/>
                      <w:lang w:val="en-US" w:eastAsia="zh-CN"/>
                    </w:rPr>
                    <w:t>85</w:t>
                  </w:r>
                </w:p>
              </w:tc>
              <w:tc>
                <w:tcPr>
                  <w:tcW w:w="751" w:type="dxa"/>
                  <w:vMerge w:val="restart"/>
                  <w:tcBorders>
                    <w:tl2br w:val="nil"/>
                    <w:tr2bl w:val="nil"/>
                  </w:tcBorders>
                  <w:vAlign w:val="center"/>
                </w:tcPr>
                <w:p w14:paraId="6B645EE7">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rPr>
                    <w:t>低噪声</w:t>
                  </w:r>
                  <w:r>
                    <w:rPr>
                      <w:rFonts w:hint="eastAsia"/>
                      <w:color w:val="auto"/>
                      <w:sz w:val="18"/>
                      <w:szCs w:val="18"/>
                      <w:highlight w:val="none"/>
                      <w:lang w:val="en-US" w:eastAsia="zh-CN"/>
                    </w:rPr>
                    <w:t>设备、定期维护</w:t>
                  </w:r>
                </w:p>
              </w:tc>
              <w:tc>
                <w:tcPr>
                  <w:tcW w:w="800" w:type="dxa"/>
                  <w:tcBorders>
                    <w:tl2br w:val="nil"/>
                    <w:tr2bl w:val="nil"/>
                  </w:tcBorders>
                  <w:vAlign w:val="center"/>
                </w:tcPr>
                <w:p w14:paraId="74BDD918">
                  <w:pPr>
                    <w:jc w:val="center"/>
                    <w:rPr>
                      <w:rFonts w:hint="default" w:eastAsia="宋体"/>
                      <w:color w:val="auto"/>
                      <w:spacing w:val="-12"/>
                      <w:sz w:val="18"/>
                      <w:szCs w:val="18"/>
                      <w:highlight w:val="none"/>
                      <w:lang w:val="en-US" w:eastAsia="zh-CN"/>
                    </w:rPr>
                  </w:pPr>
                  <w:r>
                    <w:rPr>
                      <w:rFonts w:hint="eastAsia" w:eastAsia="宋体"/>
                      <w:color w:val="auto"/>
                      <w:spacing w:val="-12"/>
                      <w:sz w:val="18"/>
                      <w:szCs w:val="18"/>
                      <w:highlight w:val="none"/>
                      <w:lang w:val="en-US" w:eastAsia="zh-CN"/>
                    </w:rPr>
                    <w:t>10</w:t>
                  </w:r>
                </w:p>
              </w:tc>
              <w:tc>
                <w:tcPr>
                  <w:tcW w:w="750" w:type="dxa"/>
                  <w:vMerge w:val="continue"/>
                  <w:tcBorders>
                    <w:tl2br w:val="nil"/>
                    <w:tr2bl w:val="nil"/>
                  </w:tcBorders>
                  <w:vAlign w:val="center"/>
                </w:tcPr>
                <w:p w14:paraId="04498463">
                  <w:pPr>
                    <w:adjustRightInd w:val="0"/>
                    <w:snapToGrid w:val="0"/>
                    <w:jc w:val="center"/>
                    <w:rPr>
                      <w:color w:val="auto"/>
                      <w:sz w:val="18"/>
                      <w:szCs w:val="18"/>
                      <w:highlight w:val="none"/>
                    </w:rPr>
                  </w:pPr>
                </w:p>
              </w:tc>
              <w:tc>
                <w:tcPr>
                  <w:tcW w:w="800" w:type="dxa"/>
                  <w:tcBorders>
                    <w:tl2br w:val="nil"/>
                    <w:tr2bl w:val="nil"/>
                  </w:tcBorders>
                  <w:vAlign w:val="center"/>
                </w:tcPr>
                <w:p w14:paraId="3E012EBC">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75</w:t>
                  </w:r>
                </w:p>
              </w:tc>
              <w:tc>
                <w:tcPr>
                  <w:tcW w:w="759" w:type="dxa"/>
                  <w:vMerge w:val="continue"/>
                  <w:tcBorders>
                    <w:tl2br w:val="nil"/>
                    <w:tr2bl w:val="nil"/>
                  </w:tcBorders>
                  <w:vAlign w:val="center"/>
                </w:tcPr>
                <w:p w14:paraId="0320EC9C">
                  <w:pPr>
                    <w:adjustRightInd w:val="0"/>
                    <w:snapToGrid w:val="0"/>
                    <w:jc w:val="center"/>
                    <w:rPr>
                      <w:color w:val="auto"/>
                      <w:sz w:val="18"/>
                      <w:szCs w:val="18"/>
                      <w:highlight w:val="none"/>
                    </w:rPr>
                  </w:pPr>
                </w:p>
              </w:tc>
            </w:tr>
            <w:tr w14:paraId="6ED6C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99" w:type="dxa"/>
                  <w:tcBorders>
                    <w:tl2br w:val="nil"/>
                    <w:tr2bl w:val="nil"/>
                  </w:tcBorders>
                  <w:vAlign w:val="center"/>
                </w:tcPr>
                <w:p w14:paraId="60D54375">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16</w:t>
                  </w:r>
                </w:p>
              </w:tc>
              <w:tc>
                <w:tcPr>
                  <w:tcW w:w="1137" w:type="dxa"/>
                  <w:tcBorders>
                    <w:tl2br w:val="nil"/>
                    <w:tr2bl w:val="nil"/>
                  </w:tcBorders>
                  <w:vAlign w:val="center"/>
                </w:tcPr>
                <w:p w14:paraId="363FDDF0">
                  <w:pPr>
                    <w:adjustRightInd w:val="0"/>
                    <w:snapToGrid w:val="0"/>
                    <w:jc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铲车</w:t>
                  </w:r>
                </w:p>
              </w:tc>
              <w:tc>
                <w:tcPr>
                  <w:tcW w:w="789" w:type="dxa"/>
                  <w:tcBorders>
                    <w:tl2br w:val="nil"/>
                    <w:tr2bl w:val="nil"/>
                  </w:tcBorders>
                  <w:vAlign w:val="center"/>
                </w:tcPr>
                <w:p w14:paraId="036D21A0">
                  <w:pPr>
                    <w:adjustRightInd w:val="0"/>
                    <w:snapToGrid w:val="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频发</w:t>
                  </w:r>
                </w:p>
              </w:tc>
              <w:tc>
                <w:tcPr>
                  <w:tcW w:w="750" w:type="dxa"/>
                  <w:vMerge w:val="continue"/>
                  <w:tcBorders>
                    <w:tl2br w:val="nil"/>
                    <w:tr2bl w:val="nil"/>
                  </w:tcBorders>
                  <w:vAlign w:val="center"/>
                </w:tcPr>
                <w:p w14:paraId="016D4D08">
                  <w:pPr>
                    <w:adjustRightInd w:val="0"/>
                    <w:snapToGrid w:val="0"/>
                    <w:jc w:val="center"/>
                    <w:rPr>
                      <w:color w:val="auto"/>
                      <w:sz w:val="18"/>
                      <w:szCs w:val="18"/>
                      <w:highlight w:val="none"/>
                    </w:rPr>
                  </w:pPr>
                </w:p>
              </w:tc>
              <w:tc>
                <w:tcPr>
                  <w:tcW w:w="800" w:type="dxa"/>
                  <w:tcBorders>
                    <w:tl2br w:val="nil"/>
                    <w:tr2bl w:val="nil"/>
                  </w:tcBorders>
                  <w:vAlign w:val="center"/>
                </w:tcPr>
                <w:p w14:paraId="78DAC90B">
                  <w:pPr>
                    <w:jc w:val="center"/>
                    <w:rPr>
                      <w:rFonts w:hint="default" w:eastAsia="宋体"/>
                      <w:color w:val="auto"/>
                      <w:spacing w:val="-2"/>
                      <w:sz w:val="18"/>
                      <w:szCs w:val="18"/>
                      <w:highlight w:val="none"/>
                      <w:lang w:val="en-US" w:eastAsia="zh-CN"/>
                    </w:rPr>
                  </w:pPr>
                  <w:r>
                    <w:rPr>
                      <w:rFonts w:hint="eastAsia"/>
                      <w:color w:val="auto"/>
                      <w:spacing w:val="-2"/>
                      <w:sz w:val="18"/>
                      <w:szCs w:val="18"/>
                      <w:highlight w:val="none"/>
                      <w:lang w:val="en-US" w:eastAsia="zh-CN"/>
                    </w:rPr>
                    <w:t>85</w:t>
                  </w:r>
                </w:p>
              </w:tc>
              <w:tc>
                <w:tcPr>
                  <w:tcW w:w="751" w:type="dxa"/>
                  <w:vMerge w:val="continue"/>
                  <w:tcBorders>
                    <w:tl2br w:val="nil"/>
                    <w:tr2bl w:val="nil"/>
                  </w:tcBorders>
                  <w:vAlign w:val="center"/>
                </w:tcPr>
                <w:p w14:paraId="0C50AC58">
                  <w:pPr>
                    <w:adjustRightInd w:val="0"/>
                    <w:snapToGrid w:val="0"/>
                    <w:jc w:val="center"/>
                    <w:rPr>
                      <w:color w:val="auto"/>
                      <w:sz w:val="18"/>
                      <w:szCs w:val="18"/>
                      <w:highlight w:val="none"/>
                    </w:rPr>
                  </w:pPr>
                </w:p>
              </w:tc>
              <w:tc>
                <w:tcPr>
                  <w:tcW w:w="800" w:type="dxa"/>
                  <w:tcBorders>
                    <w:tl2br w:val="nil"/>
                    <w:tr2bl w:val="nil"/>
                  </w:tcBorders>
                  <w:vAlign w:val="center"/>
                </w:tcPr>
                <w:p w14:paraId="7D8B24BD">
                  <w:pPr>
                    <w:jc w:val="center"/>
                    <w:rPr>
                      <w:rFonts w:hint="default" w:eastAsia="宋体"/>
                      <w:color w:val="auto"/>
                      <w:spacing w:val="-12"/>
                      <w:sz w:val="18"/>
                      <w:szCs w:val="18"/>
                      <w:highlight w:val="none"/>
                      <w:lang w:val="en-US" w:eastAsia="zh-CN"/>
                    </w:rPr>
                  </w:pPr>
                  <w:r>
                    <w:rPr>
                      <w:rFonts w:hint="eastAsia" w:eastAsia="宋体"/>
                      <w:color w:val="auto"/>
                      <w:spacing w:val="-12"/>
                      <w:sz w:val="18"/>
                      <w:szCs w:val="18"/>
                      <w:highlight w:val="none"/>
                      <w:lang w:val="en-US" w:eastAsia="zh-CN"/>
                    </w:rPr>
                    <w:t>10</w:t>
                  </w:r>
                </w:p>
              </w:tc>
              <w:tc>
                <w:tcPr>
                  <w:tcW w:w="750" w:type="dxa"/>
                  <w:vMerge w:val="continue"/>
                  <w:tcBorders>
                    <w:tl2br w:val="nil"/>
                    <w:tr2bl w:val="nil"/>
                  </w:tcBorders>
                  <w:vAlign w:val="center"/>
                </w:tcPr>
                <w:p w14:paraId="19EFE27B">
                  <w:pPr>
                    <w:adjustRightInd w:val="0"/>
                    <w:snapToGrid w:val="0"/>
                    <w:jc w:val="center"/>
                    <w:rPr>
                      <w:color w:val="auto"/>
                      <w:sz w:val="18"/>
                      <w:szCs w:val="18"/>
                      <w:highlight w:val="none"/>
                    </w:rPr>
                  </w:pPr>
                </w:p>
              </w:tc>
              <w:tc>
                <w:tcPr>
                  <w:tcW w:w="800" w:type="dxa"/>
                  <w:tcBorders>
                    <w:tl2br w:val="nil"/>
                    <w:tr2bl w:val="nil"/>
                  </w:tcBorders>
                  <w:vAlign w:val="center"/>
                </w:tcPr>
                <w:p w14:paraId="6C8858A2">
                  <w:pPr>
                    <w:adjustRightInd w:val="0"/>
                    <w:snapToGrid w:val="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75</w:t>
                  </w:r>
                </w:p>
              </w:tc>
              <w:tc>
                <w:tcPr>
                  <w:tcW w:w="759" w:type="dxa"/>
                  <w:vMerge w:val="continue"/>
                  <w:tcBorders>
                    <w:tl2br w:val="nil"/>
                    <w:tr2bl w:val="nil"/>
                  </w:tcBorders>
                  <w:vAlign w:val="center"/>
                </w:tcPr>
                <w:p w14:paraId="7D4AB341">
                  <w:pPr>
                    <w:adjustRightInd w:val="0"/>
                    <w:snapToGrid w:val="0"/>
                    <w:jc w:val="center"/>
                    <w:rPr>
                      <w:color w:val="auto"/>
                      <w:sz w:val="18"/>
                      <w:szCs w:val="18"/>
                      <w:highlight w:val="none"/>
                    </w:rPr>
                  </w:pPr>
                </w:p>
              </w:tc>
            </w:tr>
          </w:tbl>
          <w:p w14:paraId="5BE51264">
            <w:pPr>
              <w:adjustRightInd w:val="0"/>
              <w:snapToGrid w:val="0"/>
              <w:spacing w:line="360" w:lineRule="auto"/>
              <w:ind w:firstLine="420" w:firstLineChars="200"/>
              <w:rPr>
                <w:color w:val="auto"/>
                <w:szCs w:val="21"/>
                <w:highlight w:val="none"/>
              </w:rPr>
            </w:pPr>
            <w:r>
              <w:rPr>
                <w:color w:val="auto"/>
                <w:szCs w:val="21"/>
                <w:highlight w:val="none"/>
              </w:rPr>
              <w:t>（2）污染防治措施分析</w:t>
            </w:r>
          </w:p>
          <w:p w14:paraId="642D6947">
            <w:pPr>
              <w:adjustRightInd w:val="0"/>
              <w:snapToGrid w:val="0"/>
              <w:spacing w:line="360" w:lineRule="auto"/>
              <w:ind w:firstLine="420" w:firstLineChars="200"/>
              <w:rPr>
                <w:color w:val="auto"/>
                <w:szCs w:val="21"/>
                <w:highlight w:val="none"/>
              </w:rPr>
            </w:pPr>
            <w:r>
              <w:rPr>
                <w:color w:val="auto"/>
                <w:szCs w:val="21"/>
                <w:highlight w:val="none"/>
              </w:rPr>
              <w:t>通过工程分析可知，本项目噪声源主要为机械噪声。为最大限度减少其噪声对环境的影响，建议采取的噪声污染防治措施为：</w:t>
            </w:r>
          </w:p>
          <w:p w14:paraId="2EB9483D">
            <w:pPr>
              <w:adjustRightInd w:val="0"/>
              <w:snapToGrid w:val="0"/>
              <w:spacing w:line="360" w:lineRule="auto"/>
              <w:ind w:firstLine="420" w:firstLineChars="200"/>
              <w:rPr>
                <w:color w:val="auto"/>
                <w:szCs w:val="21"/>
                <w:highlight w:val="none"/>
              </w:rPr>
            </w:pPr>
            <w:r>
              <w:rPr>
                <w:color w:val="auto"/>
                <w:szCs w:val="21"/>
                <w:highlight w:val="none"/>
              </w:rPr>
              <w:t>1）选购低噪声的先进机械，从源头上控制高噪声的产生。</w:t>
            </w:r>
          </w:p>
          <w:p w14:paraId="43EDF2B7">
            <w:pPr>
              <w:adjustRightInd w:val="0"/>
              <w:snapToGrid w:val="0"/>
              <w:spacing w:line="360" w:lineRule="auto"/>
              <w:ind w:firstLine="420" w:firstLineChars="200"/>
              <w:rPr>
                <w:color w:val="auto"/>
                <w:szCs w:val="21"/>
                <w:highlight w:val="none"/>
              </w:rPr>
            </w:pPr>
            <w:r>
              <w:rPr>
                <w:color w:val="auto"/>
                <w:szCs w:val="21"/>
                <w:highlight w:val="none"/>
              </w:rPr>
              <w:t>2）加强对各机械的日常维护。随着使用年限的增加，有些机械噪声可能有所增加，故应在有关环保人员的统一管理下，定期检查、监测，发现噪声超标要及时治理并增加相关操作岗位工人的个体防护。</w:t>
            </w:r>
          </w:p>
          <w:p w14:paraId="6A341E22">
            <w:pPr>
              <w:adjustRightInd w:val="0"/>
              <w:snapToGrid w:val="0"/>
              <w:spacing w:line="360" w:lineRule="auto"/>
              <w:ind w:firstLine="420" w:firstLineChars="200"/>
              <w:rPr>
                <w:color w:val="auto"/>
                <w:szCs w:val="21"/>
                <w:highlight w:val="none"/>
              </w:rPr>
            </w:pPr>
            <w:r>
              <w:rPr>
                <w:color w:val="auto"/>
                <w:szCs w:val="21"/>
                <w:highlight w:val="none"/>
              </w:rPr>
              <w:t>3）设备布设</w:t>
            </w:r>
            <w:r>
              <w:rPr>
                <w:rFonts w:hint="eastAsia" w:ascii="宋体" w:hAnsi="宋体" w:cs="宋体"/>
                <w:color w:val="auto"/>
                <w:szCs w:val="21"/>
                <w:highlight w:val="none"/>
              </w:rPr>
              <w:t>应采用“静闹分开”和“合理布局”的原</w:t>
            </w:r>
            <w:r>
              <w:rPr>
                <w:color w:val="auto"/>
                <w:szCs w:val="21"/>
                <w:highlight w:val="none"/>
              </w:rPr>
              <w:t>则，尽量将高噪声设备布置在厂房内，尽可能避免高噪声设备在靠门窗处设置。</w:t>
            </w:r>
          </w:p>
          <w:p w14:paraId="0AFF6DC1">
            <w:pPr>
              <w:adjustRightInd w:val="0"/>
              <w:snapToGrid w:val="0"/>
              <w:spacing w:line="360" w:lineRule="auto"/>
              <w:ind w:firstLine="420" w:firstLineChars="200"/>
              <w:rPr>
                <w:color w:val="auto"/>
                <w:szCs w:val="21"/>
                <w:highlight w:val="none"/>
              </w:rPr>
            </w:pPr>
            <w:r>
              <w:rPr>
                <w:color w:val="auto"/>
                <w:szCs w:val="21"/>
                <w:highlight w:val="none"/>
              </w:rPr>
              <w:t>综上所述，采取以上措施后，可保证厂界噪声能够达到《工业企业厂界环境噪声排放标准》（GB12348-2008）</w:t>
            </w:r>
            <w:r>
              <w:rPr>
                <w:rFonts w:hint="eastAsia"/>
                <w:color w:val="auto"/>
                <w:szCs w:val="21"/>
                <w:highlight w:val="none"/>
              </w:rPr>
              <w:t>3类</w:t>
            </w:r>
            <w:r>
              <w:rPr>
                <w:color w:val="auto"/>
                <w:szCs w:val="21"/>
                <w:highlight w:val="none"/>
              </w:rPr>
              <w:t>标准要求，本项目的噪声防治措施是有效可行的。</w:t>
            </w:r>
          </w:p>
          <w:p w14:paraId="27B91A73">
            <w:pPr>
              <w:adjustRightInd w:val="0"/>
              <w:snapToGrid w:val="0"/>
              <w:spacing w:line="360" w:lineRule="auto"/>
              <w:ind w:firstLine="420" w:firstLineChars="200"/>
              <w:rPr>
                <w:color w:val="auto"/>
                <w:szCs w:val="21"/>
                <w:highlight w:val="none"/>
              </w:rPr>
            </w:pPr>
            <w:r>
              <w:rPr>
                <w:color w:val="auto"/>
                <w:szCs w:val="21"/>
                <w:highlight w:val="none"/>
              </w:rPr>
              <w:t>（3）达标情况分析</w:t>
            </w:r>
          </w:p>
          <w:p w14:paraId="29D0ABE0">
            <w:pPr>
              <w:adjustRightInd w:val="0"/>
              <w:snapToGrid w:val="0"/>
              <w:spacing w:line="360" w:lineRule="auto"/>
              <w:ind w:firstLine="420" w:firstLineChars="200"/>
              <w:rPr>
                <w:rFonts w:hint="eastAsia"/>
                <w:color w:val="auto"/>
                <w:szCs w:val="21"/>
                <w:highlight w:val="none"/>
                <w:lang w:val="en-US" w:eastAsia="zh-CN"/>
              </w:rPr>
            </w:pPr>
            <w:r>
              <w:rPr>
                <w:color w:val="auto"/>
                <w:szCs w:val="21"/>
                <w:highlight w:val="none"/>
              </w:rPr>
              <w:t>采用</w:t>
            </w:r>
            <w:r>
              <w:rPr>
                <w:rFonts w:hint="eastAsia"/>
                <w:color w:val="auto"/>
                <w:szCs w:val="21"/>
                <w:highlight w:val="none"/>
              </w:rPr>
              <w:t>噪声环境影响评价系统(NoiseSystem</w:t>
            </w:r>
            <w:r>
              <w:rPr>
                <w:rFonts w:hint="eastAsia"/>
                <w:color w:val="auto"/>
                <w:szCs w:val="21"/>
                <w:highlight w:val="none"/>
                <w:lang w:eastAsia="zh-CN"/>
              </w:rPr>
              <w:t>）</w:t>
            </w:r>
            <w:r>
              <w:rPr>
                <w:rFonts w:hint="eastAsia"/>
                <w:color w:val="auto"/>
                <w:szCs w:val="21"/>
                <w:highlight w:val="none"/>
                <w:lang w:val="en-US" w:eastAsia="zh-CN"/>
              </w:rPr>
              <w:t>噪声预测结果如下：</w:t>
            </w:r>
          </w:p>
          <w:p w14:paraId="0BCC73B0">
            <w:pPr>
              <w:adjustRightInd w:val="0"/>
              <w:snapToGrid w:val="0"/>
              <w:spacing w:line="360" w:lineRule="auto"/>
              <w:ind w:firstLine="0" w:firstLineChars="0"/>
              <w:rPr>
                <w:color w:val="auto"/>
                <w:highlight w:val="none"/>
              </w:rPr>
            </w:pPr>
            <w:r>
              <w:rPr>
                <w:color w:val="auto"/>
                <w:highlight w:val="none"/>
              </w:rPr>
              <w:drawing>
                <wp:inline distT="0" distB="0" distL="114300" distR="114300">
                  <wp:extent cx="5134610" cy="4252595"/>
                  <wp:effectExtent l="0" t="0" r="8890" b="146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5134610" cy="4252595"/>
                          </a:xfrm>
                          <a:prstGeom prst="rect">
                            <a:avLst/>
                          </a:prstGeom>
                          <a:noFill/>
                          <a:ln>
                            <a:noFill/>
                          </a:ln>
                        </pic:spPr>
                      </pic:pic>
                    </a:graphicData>
                  </a:graphic>
                </wp:inline>
              </w:drawing>
            </w:r>
          </w:p>
          <w:p w14:paraId="3CB1F05F">
            <w:pPr>
              <w:adjustRightInd w:val="0"/>
              <w:snapToGrid w:val="0"/>
              <w:spacing w:line="360" w:lineRule="auto"/>
              <w:ind w:firstLine="0" w:firstLineChars="0"/>
              <w:jc w:val="center"/>
              <w:rPr>
                <w:rFonts w:hint="eastAsia" w:eastAsia="宋体"/>
                <w:b/>
                <w:bCs/>
                <w:color w:val="auto"/>
                <w:szCs w:val="21"/>
                <w:highlight w:val="none"/>
                <w:lang w:val="en-US" w:eastAsia="zh-CN"/>
              </w:rPr>
            </w:pPr>
            <w:r>
              <w:rPr>
                <w:rFonts w:hint="eastAsia"/>
                <w:b/>
                <w:bCs/>
                <w:color w:val="auto"/>
                <w:szCs w:val="21"/>
                <w:highlight w:val="none"/>
                <w:lang w:val="en-US" w:eastAsia="zh-CN"/>
              </w:rPr>
              <w:t>图4-2噪声预测结果图</w:t>
            </w:r>
          </w:p>
          <w:p w14:paraId="2347867E">
            <w:pPr>
              <w:adjustRightInd w:val="0"/>
              <w:snapToGrid w:val="0"/>
              <w:spacing w:line="360" w:lineRule="auto"/>
              <w:ind w:firstLine="420" w:firstLineChars="200"/>
              <w:rPr>
                <w:color w:val="auto"/>
                <w:szCs w:val="21"/>
                <w:highlight w:val="none"/>
              </w:rPr>
            </w:pPr>
            <w:r>
              <w:rPr>
                <w:color w:val="auto"/>
                <w:szCs w:val="21"/>
                <w:highlight w:val="none"/>
              </w:rPr>
              <w:t>本项目选用低噪声设备、基础减振、</w:t>
            </w:r>
            <w:r>
              <w:rPr>
                <w:rFonts w:hint="eastAsia"/>
                <w:color w:val="auto"/>
                <w:szCs w:val="21"/>
                <w:highlight w:val="none"/>
                <w:lang w:eastAsia="zh-CN"/>
              </w:rPr>
              <w:t>厂房隔声、</w:t>
            </w:r>
            <w:r>
              <w:rPr>
                <w:rFonts w:hint="eastAsia"/>
                <w:color w:val="auto"/>
                <w:kern w:val="0"/>
                <w:szCs w:val="21"/>
                <w:highlight w:val="none"/>
                <w:lang w:eastAsia="zh-CN"/>
              </w:rPr>
              <w:t>风机安装</w:t>
            </w:r>
            <w:r>
              <w:rPr>
                <w:rFonts w:hint="eastAsia"/>
                <w:color w:val="auto"/>
                <w:sz w:val="21"/>
                <w:szCs w:val="21"/>
                <w:highlight w:val="none"/>
                <w:lang w:eastAsia="zh-CN"/>
              </w:rPr>
              <w:t>消声器、水泵设置隔声罩等</w:t>
            </w:r>
            <w:r>
              <w:rPr>
                <w:rFonts w:hint="eastAsia"/>
                <w:color w:val="auto"/>
                <w:szCs w:val="21"/>
                <w:highlight w:val="none"/>
              </w:rPr>
              <w:t>、</w:t>
            </w:r>
            <w:r>
              <w:rPr>
                <w:color w:val="auto"/>
                <w:szCs w:val="21"/>
                <w:highlight w:val="none"/>
              </w:rPr>
              <w:t>加强设备管理，并进行厂区绿化。通过采取降噪措施，厂界噪声预测结果见表4-</w:t>
            </w:r>
            <w:r>
              <w:rPr>
                <w:rFonts w:hint="eastAsia"/>
                <w:color w:val="auto"/>
                <w:szCs w:val="21"/>
                <w:highlight w:val="none"/>
                <w:lang w:val="en-US" w:eastAsia="zh-CN"/>
              </w:rPr>
              <w:t>6</w:t>
            </w:r>
            <w:r>
              <w:rPr>
                <w:rFonts w:hint="eastAsia"/>
                <w:color w:val="auto"/>
                <w:szCs w:val="21"/>
                <w:highlight w:val="none"/>
              </w:rPr>
              <w:t>。</w:t>
            </w:r>
          </w:p>
          <w:p w14:paraId="20B01E46">
            <w:pPr>
              <w:adjustRightInd w:val="0"/>
              <w:snapToGrid w:val="0"/>
              <w:jc w:val="center"/>
              <w:rPr>
                <w:b/>
                <w:color w:val="auto"/>
                <w:szCs w:val="21"/>
                <w:highlight w:val="none"/>
              </w:rPr>
            </w:pPr>
            <w:r>
              <w:rPr>
                <w:rFonts w:hint="eastAsia"/>
                <w:b/>
                <w:bCs/>
                <w:color w:val="auto"/>
                <w:szCs w:val="21"/>
                <w:highlight w:val="none"/>
              </w:rPr>
              <w:t>表4-</w:t>
            </w:r>
            <w:r>
              <w:rPr>
                <w:rFonts w:hint="eastAsia"/>
                <w:b/>
                <w:bCs/>
                <w:color w:val="auto"/>
                <w:szCs w:val="21"/>
                <w:highlight w:val="none"/>
                <w:lang w:val="en-US" w:eastAsia="zh-CN"/>
              </w:rPr>
              <w:t>6</w:t>
            </w:r>
            <w:r>
              <w:rPr>
                <w:rFonts w:hint="eastAsia"/>
                <w:b/>
                <w:bCs/>
                <w:color w:val="auto"/>
                <w:szCs w:val="21"/>
                <w:highlight w:val="none"/>
              </w:rPr>
              <w:t xml:space="preserve"> 厂界噪声预测结果表  </w:t>
            </w:r>
            <w:r>
              <w:rPr>
                <w:rFonts w:hint="eastAsia"/>
                <w:b/>
                <w:color w:val="auto"/>
                <w:szCs w:val="21"/>
                <w:highlight w:val="none"/>
              </w:rPr>
              <w:t>单位：Leq（dB）</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2105"/>
              <w:gridCol w:w="1502"/>
              <w:gridCol w:w="1502"/>
              <w:gridCol w:w="1502"/>
              <w:gridCol w:w="1524"/>
            </w:tblGrid>
            <w:tr w14:paraId="7C960B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op w:val="single" w:color="auto" w:sz="12" w:space="0"/>
                  </w:tcBorders>
                  <w:noWrap/>
                  <w:vAlign w:val="center"/>
                </w:tcPr>
                <w:p w14:paraId="396247A6">
                  <w:pPr>
                    <w:widowControl/>
                    <w:spacing w:line="0" w:lineRule="atLeast"/>
                    <w:jc w:val="center"/>
                    <w:rPr>
                      <w:color w:val="auto"/>
                      <w:sz w:val="18"/>
                      <w:szCs w:val="18"/>
                      <w:highlight w:val="none"/>
                    </w:rPr>
                  </w:pPr>
                  <w:r>
                    <w:rPr>
                      <w:rFonts w:hint="eastAsia"/>
                      <w:color w:val="auto"/>
                      <w:sz w:val="18"/>
                      <w:szCs w:val="18"/>
                      <w:highlight w:val="none"/>
                    </w:rPr>
                    <w:t>位置</w:t>
                  </w:r>
                </w:p>
              </w:tc>
              <w:tc>
                <w:tcPr>
                  <w:tcW w:w="923" w:type="pct"/>
                  <w:tcBorders>
                    <w:top w:val="single" w:color="auto" w:sz="12" w:space="0"/>
                  </w:tcBorders>
                  <w:noWrap/>
                  <w:vAlign w:val="center"/>
                </w:tcPr>
                <w:p w14:paraId="4C73637F">
                  <w:pPr>
                    <w:widowControl/>
                    <w:spacing w:line="0" w:lineRule="atLeast"/>
                    <w:jc w:val="center"/>
                    <w:rPr>
                      <w:color w:val="auto"/>
                      <w:sz w:val="18"/>
                      <w:szCs w:val="18"/>
                      <w:highlight w:val="none"/>
                    </w:rPr>
                  </w:pPr>
                  <w:r>
                    <w:rPr>
                      <w:rFonts w:hint="eastAsia"/>
                      <w:color w:val="auto"/>
                      <w:sz w:val="18"/>
                      <w:szCs w:val="18"/>
                      <w:highlight w:val="none"/>
                    </w:rPr>
                    <w:t>东侧厂界</w:t>
                  </w:r>
                </w:p>
              </w:tc>
              <w:tc>
                <w:tcPr>
                  <w:tcW w:w="923" w:type="pct"/>
                  <w:tcBorders>
                    <w:top w:val="single" w:color="auto" w:sz="12" w:space="0"/>
                  </w:tcBorders>
                  <w:noWrap/>
                  <w:vAlign w:val="center"/>
                </w:tcPr>
                <w:p w14:paraId="56C5F9E1">
                  <w:pPr>
                    <w:widowControl/>
                    <w:spacing w:line="0" w:lineRule="atLeast"/>
                    <w:jc w:val="center"/>
                    <w:rPr>
                      <w:color w:val="auto"/>
                      <w:sz w:val="18"/>
                      <w:szCs w:val="18"/>
                      <w:highlight w:val="none"/>
                    </w:rPr>
                  </w:pPr>
                  <w:r>
                    <w:rPr>
                      <w:rFonts w:hint="eastAsia"/>
                      <w:color w:val="auto"/>
                      <w:sz w:val="18"/>
                      <w:szCs w:val="18"/>
                      <w:highlight w:val="none"/>
                    </w:rPr>
                    <w:t>南侧厂界</w:t>
                  </w:r>
                </w:p>
              </w:tc>
              <w:tc>
                <w:tcPr>
                  <w:tcW w:w="923" w:type="pct"/>
                  <w:tcBorders>
                    <w:top w:val="single" w:color="auto" w:sz="12" w:space="0"/>
                  </w:tcBorders>
                  <w:noWrap/>
                  <w:vAlign w:val="center"/>
                </w:tcPr>
                <w:p w14:paraId="0A064000">
                  <w:pPr>
                    <w:widowControl/>
                    <w:spacing w:line="0" w:lineRule="atLeast"/>
                    <w:jc w:val="center"/>
                    <w:rPr>
                      <w:color w:val="auto"/>
                      <w:sz w:val="18"/>
                      <w:szCs w:val="18"/>
                      <w:highlight w:val="none"/>
                    </w:rPr>
                  </w:pPr>
                  <w:r>
                    <w:rPr>
                      <w:rFonts w:hint="eastAsia"/>
                      <w:color w:val="auto"/>
                      <w:sz w:val="18"/>
                      <w:szCs w:val="18"/>
                      <w:highlight w:val="none"/>
                    </w:rPr>
                    <w:t>西侧厂界</w:t>
                  </w:r>
                </w:p>
              </w:tc>
              <w:tc>
                <w:tcPr>
                  <w:tcW w:w="936" w:type="pct"/>
                  <w:tcBorders>
                    <w:top w:val="single" w:color="auto" w:sz="12" w:space="0"/>
                  </w:tcBorders>
                  <w:noWrap/>
                  <w:vAlign w:val="center"/>
                </w:tcPr>
                <w:p w14:paraId="758A402A">
                  <w:pPr>
                    <w:widowControl/>
                    <w:spacing w:line="0" w:lineRule="atLeast"/>
                    <w:jc w:val="center"/>
                    <w:rPr>
                      <w:color w:val="auto"/>
                      <w:sz w:val="18"/>
                      <w:szCs w:val="18"/>
                      <w:highlight w:val="none"/>
                    </w:rPr>
                  </w:pPr>
                  <w:r>
                    <w:rPr>
                      <w:rFonts w:hint="eastAsia"/>
                      <w:color w:val="auto"/>
                      <w:sz w:val="18"/>
                      <w:szCs w:val="18"/>
                      <w:highlight w:val="none"/>
                    </w:rPr>
                    <w:t>北侧厂界</w:t>
                  </w:r>
                </w:p>
              </w:tc>
            </w:tr>
            <w:tr w14:paraId="44080F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noWrap/>
                  <w:vAlign w:val="center"/>
                </w:tcPr>
                <w:p w14:paraId="53A34249">
                  <w:pPr>
                    <w:pStyle w:val="41"/>
                    <w:rPr>
                      <w:color w:val="auto"/>
                      <w:sz w:val="18"/>
                      <w:szCs w:val="18"/>
                      <w:highlight w:val="none"/>
                    </w:rPr>
                  </w:pPr>
                  <w:r>
                    <w:rPr>
                      <w:rFonts w:hint="eastAsia"/>
                      <w:color w:val="auto"/>
                      <w:sz w:val="18"/>
                      <w:szCs w:val="18"/>
                      <w:highlight w:val="none"/>
                    </w:rPr>
                    <w:t>贡献值</w:t>
                  </w:r>
                </w:p>
              </w:tc>
              <w:tc>
                <w:tcPr>
                  <w:tcW w:w="923" w:type="pct"/>
                  <w:noWrap/>
                  <w:vAlign w:val="center"/>
                </w:tcPr>
                <w:p w14:paraId="1A514FBF">
                  <w:pPr>
                    <w:widowControl/>
                    <w:spacing w:line="0" w:lineRule="atLeast"/>
                    <w:jc w:val="center"/>
                    <w:rPr>
                      <w:rFonts w:hint="default"/>
                      <w:color w:val="auto"/>
                      <w:sz w:val="18"/>
                      <w:szCs w:val="18"/>
                      <w:highlight w:val="none"/>
                      <w:lang w:val="en-US"/>
                    </w:rPr>
                  </w:pPr>
                  <w:r>
                    <w:rPr>
                      <w:rFonts w:hint="eastAsia"/>
                      <w:color w:val="auto"/>
                      <w:sz w:val="18"/>
                      <w:szCs w:val="18"/>
                      <w:highlight w:val="none"/>
                      <w:lang w:val="en-US" w:eastAsia="zh-CN"/>
                    </w:rPr>
                    <w:t>38.54</w:t>
                  </w:r>
                </w:p>
              </w:tc>
              <w:tc>
                <w:tcPr>
                  <w:tcW w:w="923" w:type="pct"/>
                  <w:noWrap/>
                  <w:vAlign w:val="center"/>
                </w:tcPr>
                <w:p w14:paraId="1301EC28">
                  <w:pPr>
                    <w:widowControl/>
                    <w:spacing w:line="0" w:lineRule="atLeast"/>
                    <w:jc w:val="center"/>
                    <w:rPr>
                      <w:rFonts w:hint="default"/>
                      <w:color w:val="auto"/>
                      <w:sz w:val="18"/>
                      <w:szCs w:val="18"/>
                      <w:highlight w:val="none"/>
                      <w:lang w:val="en-US"/>
                    </w:rPr>
                  </w:pPr>
                  <w:r>
                    <w:rPr>
                      <w:rFonts w:hint="eastAsia"/>
                      <w:color w:val="auto"/>
                      <w:sz w:val="18"/>
                      <w:szCs w:val="18"/>
                      <w:highlight w:val="none"/>
                      <w:lang w:val="en-US" w:eastAsia="zh-CN"/>
                    </w:rPr>
                    <w:t>50.14</w:t>
                  </w:r>
                </w:p>
              </w:tc>
              <w:tc>
                <w:tcPr>
                  <w:tcW w:w="923" w:type="pct"/>
                  <w:noWrap/>
                  <w:vAlign w:val="center"/>
                </w:tcPr>
                <w:p w14:paraId="359FE372">
                  <w:pPr>
                    <w:widowControl/>
                    <w:spacing w:line="0" w:lineRule="atLeast"/>
                    <w:jc w:val="center"/>
                    <w:rPr>
                      <w:rFonts w:hint="default"/>
                      <w:color w:val="auto"/>
                      <w:sz w:val="18"/>
                      <w:szCs w:val="18"/>
                      <w:highlight w:val="none"/>
                      <w:lang w:val="en-US"/>
                    </w:rPr>
                  </w:pPr>
                  <w:r>
                    <w:rPr>
                      <w:rFonts w:hint="eastAsia"/>
                      <w:color w:val="auto"/>
                      <w:sz w:val="18"/>
                      <w:szCs w:val="18"/>
                      <w:highlight w:val="none"/>
                      <w:lang w:val="en-US" w:eastAsia="zh-CN"/>
                    </w:rPr>
                    <w:t>47.16</w:t>
                  </w:r>
                </w:p>
              </w:tc>
              <w:tc>
                <w:tcPr>
                  <w:tcW w:w="936" w:type="pct"/>
                  <w:noWrap/>
                  <w:vAlign w:val="center"/>
                </w:tcPr>
                <w:p w14:paraId="222862B5">
                  <w:pPr>
                    <w:widowControl/>
                    <w:spacing w:line="0" w:lineRule="atLeast"/>
                    <w:jc w:val="center"/>
                    <w:rPr>
                      <w:rFonts w:hint="default"/>
                      <w:color w:val="auto"/>
                      <w:sz w:val="18"/>
                      <w:szCs w:val="18"/>
                      <w:highlight w:val="none"/>
                      <w:lang w:val="en-US"/>
                    </w:rPr>
                  </w:pPr>
                  <w:r>
                    <w:rPr>
                      <w:rFonts w:hint="eastAsia"/>
                      <w:color w:val="auto"/>
                      <w:sz w:val="18"/>
                      <w:szCs w:val="18"/>
                      <w:highlight w:val="none"/>
                      <w:lang w:val="en-US" w:eastAsia="zh-CN"/>
                    </w:rPr>
                    <w:t>31.92</w:t>
                  </w:r>
                </w:p>
              </w:tc>
            </w:tr>
            <w:tr w14:paraId="250B3E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bottom w:val="single" w:color="auto" w:sz="12" w:space="0"/>
                  </w:tcBorders>
                  <w:noWrap/>
                  <w:vAlign w:val="center"/>
                </w:tcPr>
                <w:p w14:paraId="5AB2FA0B">
                  <w:pPr>
                    <w:widowControl/>
                    <w:spacing w:line="0" w:lineRule="atLeast"/>
                    <w:jc w:val="center"/>
                    <w:rPr>
                      <w:color w:val="auto"/>
                      <w:sz w:val="18"/>
                      <w:szCs w:val="18"/>
                      <w:highlight w:val="none"/>
                    </w:rPr>
                  </w:pPr>
                  <w:r>
                    <w:rPr>
                      <w:rFonts w:hint="eastAsia"/>
                      <w:color w:val="auto"/>
                      <w:sz w:val="18"/>
                      <w:szCs w:val="18"/>
                      <w:highlight w:val="none"/>
                    </w:rPr>
                    <w:t>标准值</w:t>
                  </w:r>
                </w:p>
              </w:tc>
              <w:tc>
                <w:tcPr>
                  <w:tcW w:w="3706" w:type="pct"/>
                  <w:gridSpan w:val="4"/>
                  <w:tcBorders>
                    <w:bottom w:val="single" w:color="auto" w:sz="12" w:space="0"/>
                  </w:tcBorders>
                  <w:noWrap/>
                  <w:vAlign w:val="center"/>
                </w:tcPr>
                <w:p w14:paraId="679E9E9C">
                  <w:pPr>
                    <w:widowControl/>
                    <w:spacing w:line="0" w:lineRule="atLeast"/>
                    <w:jc w:val="center"/>
                    <w:rPr>
                      <w:color w:val="auto"/>
                      <w:sz w:val="18"/>
                      <w:szCs w:val="18"/>
                      <w:highlight w:val="none"/>
                    </w:rPr>
                  </w:pPr>
                  <w:r>
                    <w:rPr>
                      <w:rFonts w:hint="eastAsia"/>
                      <w:color w:val="auto"/>
                      <w:sz w:val="18"/>
                      <w:szCs w:val="18"/>
                      <w:highlight w:val="none"/>
                    </w:rPr>
                    <w:t>昼间65/夜间55</w:t>
                  </w:r>
                </w:p>
              </w:tc>
            </w:tr>
          </w:tbl>
          <w:p w14:paraId="52EEDC36">
            <w:pPr>
              <w:adjustRightInd w:val="0"/>
              <w:snapToGrid w:val="0"/>
              <w:spacing w:line="360" w:lineRule="auto"/>
              <w:ind w:firstLine="420" w:firstLineChars="200"/>
              <w:rPr>
                <w:bCs/>
                <w:color w:val="auto"/>
                <w:szCs w:val="21"/>
                <w:highlight w:val="none"/>
              </w:rPr>
            </w:pPr>
            <w:r>
              <w:rPr>
                <w:bCs/>
                <w:color w:val="auto"/>
                <w:szCs w:val="21"/>
                <w:highlight w:val="none"/>
              </w:rPr>
              <w:t>（4）监测要求</w:t>
            </w:r>
          </w:p>
          <w:p w14:paraId="0FCBCF1E">
            <w:pPr>
              <w:widowControl/>
              <w:adjustRightInd w:val="0"/>
              <w:snapToGrid w:val="0"/>
              <w:spacing w:line="360" w:lineRule="auto"/>
              <w:ind w:firstLine="420" w:firstLineChars="200"/>
              <w:jc w:val="left"/>
              <w:rPr>
                <w:bCs/>
                <w:color w:val="auto"/>
                <w:szCs w:val="21"/>
                <w:highlight w:val="none"/>
              </w:rPr>
            </w:pPr>
            <w:r>
              <w:rPr>
                <w:color w:val="auto"/>
                <w:kern w:val="0"/>
                <w:szCs w:val="21"/>
                <w:highlight w:val="none"/>
              </w:rPr>
              <w:t>根据《排污单位自行监测技术指南总则》（HJ819-2017）</w:t>
            </w:r>
            <w:r>
              <w:rPr>
                <w:bCs/>
                <w:color w:val="auto"/>
                <w:szCs w:val="21"/>
                <w:highlight w:val="none"/>
              </w:rPr>
              <w:t>噪声监测要求详见表4-</w:t>
            </w:r>
            <w:r>
              <w:rPr>
                <w:rFonts w:hint="eastAsia"/>
                <w:bCs/>
                <w:color w:val="auto"/>
                <w:szCs w:val="21"/>
                <w:highlight w:val="none"/>
                <w:lang w:val="en-US" w:eastAsia="zh-CN"/>
              </w:rPr>
              <w:t>7</w:t>
            </w:r>
            <w:r>
              <w:rPr>
                <w:bCs/>
                <w:color w:val="auto"/>
                <w:szCs w:val="21"/>
                <w:highlight w:val="none"/>
              </w:rPr>
              <w:t>。</w:t>
            </w:r>
          </w:p>
          <w:p w14:paraId="12BD4CAC">
            <w:pPr>
              <w:adjustRightInd w:val="0"/>
              <w:snapToGrid w:val="0"/>
              <w:jc w:val="center"/>
              <w:rPr>
                <w:b/>
                <w:bCs/>
                <w:color w:val="auto"/>
                <w:szCs w:val="21"/>
                <w:highlight w:val="none"/>
              </w:rPr>
            </w:pPr>
            <w:r>
              <w:rPr>
                <w:b/>
                <w:bCs/>
                <w:color w:val="auto"/>
                <w:szCs w:val="21"/>
                <w:highlight w:val="none"/>
              </w:rPr>
              <w:t>表4-</w:t>
            </w:r>
            <w:r>
              <w:rPr>
                <w:rFonts w:hint="eastAsia"/>
                <w:b/>
                <w:bCs/>
                <w:color w:val="auto"/>
                <w:szCs w:val="21"/>
                <w:highlight w:val="none"/>
                <w:lang w:val="en-US" w:eastAsia="zh-CN"/>
              </w:rPr>
              <w:t>7</w:t>
            </w:r>
            <w:r>
              <w:rPr>
                <w:b/>
                <w:bCs/>
                <w:color w:val="auto"/>
                <w:szCs w:val="21"/>
                <w:highlight w:val="none"/>
              </w:rPr>
              <w:t xml:space="preserve">  监测要求</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385"/>
              <w:gridCol w:w="1083"/>
              <w:gridCol w:w="1313"/>
              <w:gridCol w:w="3173"/>
            </w:tblGrid>
            <w:tr w14:paraId="62843A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op w:val="single" w:color="auto" w:sz="12" w:space="0"/>
                  </w:tcBorders>
                  <w:noWrap/>
                  <w:vAlign w:val="center"/>
                </w:tcPr>
                <w:p w14:paraId="3CE6CDE9">
                  <w:pPr>
                    <w:adjustRightInd w:val="0"/>
                    <w:snapToGrid w:val="0"/>
                    <w:jc w:val="center"/>
                    <w:rPr>
                      <w:bCs/>
                      <w:color w:val="auto"/>
                      <w:sz w:val="18"/>
                      <w:szCs w:val="18"/>
                      <w:highlight w:val="none"/>
                    </w:rPr>
                  </w:pPr>
                  <w:r>
                    <w:rPr>
                      <w:bCs/>
                      <w:color w:val="auto"/>
                      <w:sz w:val="18"/>
                      <w:szCs w:val="18"/>
                      <w:highlight w:val="none"/>
                    </w:rPr>
                    <w:t>监测类别</w:t>
                  </w:r>
                </w:p>
              </w:tc>
              <w:tc>
                <w:tcPr>
                  <w:tcW w:w="1493" w:type="dxa"/>
                  <w:tcBorders>
                    <w:top w:val="single" w:color="auto" w:sz="12" w:space="0"/>
                  </w:tcBorders>
                  <w:noWrap/>
                  <w:vAlign w:val="center"/>
                </w:tcPr>
                <w:p w14:paraId="7BAF793F">
                  <w:pPr>
                    <w:adjustRightInd w:val="0"/>
                    <w:snapToGrid w:val="0"/>
                    <w:jc w:val="center"/>
                    <w:rPr>
                      <w:bCs/>
                      <w:color w:val="auto"/>
                      <w:sz w:val="18"/>
                      <w:szCs w:val="18"/>
                      <w:highlight w:val="none"/>
                    </w:rPr>
                  </w:pPr>
                  <w:r>
                    <w:rPr>
                      <w:bCs/>
                      <w:color w:val="auto"/>
                      <w:sz w:val="18"/>
                      <w:szCs w:val="18"/>
                      <w:highlight w:val="none"/>
                    </w:rPr>
                    <w:t>监测点位</w:t>
                  </w:r>
                </w:p>
              </w:tc>
              <w:tc>
                <w:tcPr>
                  <w:tcW w:w="1162" w:type="dxa"/>
                  <w:tcBorders>
                    <w:top w:val="single" w:color="auto" w:sz="12" w:space="0"/>
                  </w:tcBorders>
                  <w:noWrap/>
                  <w:vAlign w:val="center"/>
                </w:tcPr>
                <w:p w14:paraId="25E10DE4">
                  <w:pPr>
                    <w:adjustRightInd w:val="0"/>
                    <w:snapToGrid w:val="0"/>
                    <w:jc w:val="center"/>
                    <w:rPr>
                      <w:bCs/>
                      <w:color w:val="auto"/>
                      <w:sz w:val="18"/>
                      <w:szCs w:val="18"/>
                      <w:highlight w:val="none"/>
                    </w:rPr>
                  </w:pPr>
                  <w:r>
                    <w:rPr>
                      <w:bCs/>
                      <w:color w:val="auto"/>
                      <w:sz w:val="18"/>
                      <w:szCs w:val="18"/>
                      <w:highlight w:val="none"/>
                    </w:rPr>
                    <w:t>监测指标</w:t>
                  </w:r>
                </w:p>
              </w:tc>
              <w:tc>
                <w:tcPr>
                  <w:tcW w:w="1414" w:type="dxa"/>
                  <w:tcBorders>
                    <w:top w:val="single" w:color="auto" w:sz="12" w:space="0"/>
                  </w:tcBorders>
                  <w:noWrap/>
                  <w:vAlign w:val="center"/>
                </w:tcPr>
                <w:p w14:paraId="426177A1">
                  <w:pPr>
                    <w:adjustRightInd w:val="0"/>
                    <w:snapToGrid w:val="0"/>
                    <w:jc w:val="center"/>
                    <w:rPr>
                      <w:bCs/>
                      <w:color w:val="auto"/>
                      <w:sz w:val="18"/>
                      <w:szCs w:val="18"/>
                      <w:highlight w:val="none"/>
                    </w:rPr>
                  </w:pPr>
                  <w:r>
                    <w:rPr>
                      <w:bCs/>
                      <w:color w:val="auto"/>
                      <w:sz w:val="18"/>
                      <w:szCs w:val="18"/>
                      <w:highlight w:val="none"/>
                    </w:rPr>
                    <w:t>监测频次</w:t>
                  </w:r>
                </w:p>
              </w:tc>
              <w:tc>
                <w:tcPr>
                  <w:tcW w:w="3448" w:type="dxa"/>
                  <w:tcBorders>
                    <w:top w:val="single" w:color="auto" w:sz="12" w:space="0"/>
                  </w:tcBorders>
                  <w:noWrap/>
                  <w:vAlign w:val="center"/>
                </w:tcPr>
                <w:p w14:paraId="49F88687">
                  <w:pPr>
                    <w:adjustRightInd w:val="0"/>
                    <w:snapToGrid w:val="0"/>
                    <w:jc w:val="center"/>
                    <w:rPr>
                      <w:bCs/>
                      <w:color w:val="auto"/>
                      <w:sz w:val="18"/>
                      <w:szCs w:val="18"/>
                      <w:highlight w:val="none"/>
                    </w:rPr>
                  </w:pPr>
                  <w:r>
                    <w:rPr>
                      <w:bCs/>
                      <w:color w:val="auto"/>
                      <w:sz w:val="18"/>
                      <w:szCs w:val="18"/>
                      <w:highlight w:val="none"/>
                    </w:rPr>
                    <w:t>执行标准</w:t>
                  </w:r>
                </w:p>
              </w:tc>
            </w:tr>
            <w:tr w14:paraId="767E3E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bottom w:val="single" w:color="auto" w:sz="12" w:space="0"/>
                  </w:tcBorders>
                  <w:noWrap/>
                  <w:vAlign w:val="center"/>
                </w:tcPr>
                <w:p w14:paraId="5186D8F3">
                  <w:pPr>
                    <w:adjustRightInd w:val="0"/>
                    <w:snapToGrid w:val="0"/>
                    <w:jc w:val="center"/>
                    <w:rPr>
                      <w:bCs/>
                      <w:color w:val="auto"/>
                      <w:sz w:val="18"/>
                      <w:szCs w:val="18"/>
                      <w:highlight w:val="none"/>
                    </w:rPr>
                  </w:pPr>
                  <w:r>
                    <w:rPr>
                      <w:bCs/>
                      <w:color w:val="auto"/>
                      <w:sz w:val="18"/>
                      <w:szCs w:val="18"/>
                      <w:highlight w:val="none"/>
                    </w:rPr>
                    <w:t>声环境</w:t>
                  </w:r>
                </w:p>
              </w:tc>
              <w:tc>
                <w:tcPr>
                  <w:tcW w:w="1493" w:type="dxa"/>
                  <w:tcBorders>
                    <w:bottom w:val="single" w:color="auto" w:sz="12" w:space="0"/>
                  </w:tcBorders>
                  <w:noWrap/>
                  <w:vAlign w:val="center"/>
                </w:tcPr>
                <w:p w14:paraId="0A1019AE">
                  <w:pPr>
                    <w:adjustRightInd w:val="0"/>
                    <w:snapToGrid w:val="0"/>
                    <w:jc w:val="center"/>
                    <w:rPr>
                      <w:bCs/>
                      <w:color w:val="auto"/>
                      <w:sz w:val="18"/>
                      <w:szCs w:val="18"/>
                      <w:highlight w:val="none"/>
                    </w:rPr>
                  </w:pPr>
                  <w:r>
                    <w:rPr>
                      <w:bCs/>
                      <w:color w:val="auto"/>
                      <w:sz w:val="18"/>
                      <w:szCs w:val="18"/>
                      <w:highlight w:val="none"/>
                    </w:rPr>
                    <w:t>厂界</w:t>
                  </w:r>
                </w:p>
              </w:tc>
              <w:tc>
                <w:tcPr>
                  <w:tcW w:w="1162" w:type="dxa"/>
                  <w:tcBorders>
                    <w:bottom w:val="single" w:color="auto" w:sz="12" w:space="0"/>
                  </w:tcBorders>
                  <w:noWrap/>
                  <w:vAlign w:val="center"/>
                </w:tcPr>
                <w:p w14:paraId="12542629">
                  <w:pPr>
                    <w:adjustRightInd w:val="0"/>
                    <w:snapToGrid w:val="0"/>
                    <w:jc w:val="center"/>
                    <w:rPr>
                      <w:bCs/>
                      <w:color w:val="auto"/>
                      <w:sz w:val="18"/>
                      <w:szCs w:val="18"/>
                      <w:highlight w:val="none"/>
                    </w:rPr>
                  </w:pPr>
                  <w:r>
                    <w:rPr>
                      <w:color w:val="auto"/>
                      <w:sz w:val="18"/>
                      <w:szCs w:val="18"/>
                      <w:highlight w:val="none"/>
                    </w:rPr>
                    <w:t>连续等效A声级</w:t>
                  </w:r>
                </w:p>
              </w:tc>
              <w:tc>
                <w:tcPr>
                  <w:tcW w:w="1414" w:type="dxa"/>
                  <w:tcBorders>
                    <w:bottom w:val="single" w:color="auto" w:sz="12" w:space="0"/>
                  </w:tcBorders>
                  <w:noWrap/>
                  <w:vAlign w:val="center"/>
                </w:tcPr>
                <w:p w14:paraId="2AA12DB7">
                  <w:pPr>
                    <w:adjustRightInd w:val="0"/>
                    <w:snapToGrid w:val="0"/>
                    <w:jc w:val="center"/>
                    <w:rPr>
                      <w:bCs/>
                      <w:color w:val="auto"/>
                      <w:sz w:val="18"/>
                      <w:szCs w:val="18"/>
                      <w:highlight w:val="none"/>
                    </w:rPr>
                  </w:pPr>
                  <w:r>
                    <w:rPr>
                      <w:bCs/>
                      <w:color w:val="auto"/>
                      <w:sz w:val="18"/>
                      <w:szCs w:val="18"/>
                      <w:highlight w:val="none"/>
                    </w:rPr>
                    <w:t>每季度开展1次</w:t>
                  </w:r>
                </w:p>
              </w:tc>
              <w:tc>
                <w:tcPr>
                  <w:tcW w:w="3448" w:type="dxa"/>
                  <w:tcBorders>
                    <w:bottom w:val="single" w:color="auto" w:sz="12" w:space="0"/>
                  </w:tcBorders>
                  <w:noWrap/>
                  <w:vAlign w:val="center"/>
                </w:tcPr>
                <w:p w14:paraId="6C85B881">
                  <w:pPr>
                    <w:adjustRightInd w:val="0"/>
                    <w:snapToGrid w:val="0"/>
                    <w:jc w:val="center"/>
                    <w:rPr>
                      <w:bCs/>
                      <w:color w:val="auto"/>
                      <w:sz w:val="18"/>
                      <w:szCs w:val="18"/>
                      <w:highlight w:val="none"/>
                    </w:rPr>
                  </w:pPr>
                  <w:r>
                    <w:rPr>
                      <w:bCs/>
                      <w:color w:val="auto"/>
                      <w:sz w:val="18"/>
                      <w:szCs w:val="18"/>
                      <w:highlight w:val="none"/>
                    </w:rPr>
                    <w:t>《工业企业厂界环境噪声排放标准》（GB12348-2008）中的3类声环境功能区排放限值</w:t>
                  </w:r>
                </w:p>
              </w:tc>
            </w:tr>
          </w:tbl>
          <w:p w14:paraId="607E85EA">
            <w:pPr>
              <w:widowControl/>
              <w:adjustRightInd w:val="0"/>
              <w:snapToGrid w:val="0"/>
              <w:spacing w:line="360" w:lineRule="auto"/>
              <w:ind w:firstLine="420" w:firstLineChars="200"/>
              <w:jc w:val="left"/>
              <w:rPr>
                <w:color w:val="auto"/>
                <w:kern w:val="0"/>
                <w:szCs w:val="21"/>
                <w:highlight w:val="none"/>
              </w:rPr>
            </w:pPr>
            <w:r>
              <w:rPr>
                <w:color w:val="auto"/>
                <w:kern w:val="0"/>
                <w:szCs w:val="21"/>
                <w:highlight w:val="none"/>
              </w:rPr>
              <w:t>（5）声环境影响结论</w:t>
            </w:r>
          </w:p>
          <w:p w14:paraId="409CB788">
            <w:pPr>
              <w:widowControl/>
              <w:adjustRightInd w:val="0"/>
              <w:snapToGrid w:val="0"/>
              <w:spacing w:line="360" w:lineRule="auto"/>
              <w:ind w:firstLine="420" w:firstLineChars="200"/>
              <w:jc w:val="left"/>
              <w:rPr>
                <w:b/>
                <w:color w:val="auto"/>
                <w:szCs w:val="21"/>
                <w:highlight w:val="none"/>
              </w:rPr>
            </w:pPr>
            <w:r>
              <w:rPr>
                <w:color w:val="auto"/>
                <w:kern w:val="0"/>
                <w:szCs w:val="21"/>
                <w:highlight w:val="none"/>
              </w:rPr>
              <w:t>本项目</w:t>
            </w:r>
            <w:r>
              <w:rPr>
                <w:rFonts w:hint="eastAsia"/>
                <w:color w:val="auto"/>
                <w:kern w:val="0"/>
                <w:szCs w:val="21"/>
                <w:highlight w:val="none"/>
              </w:rPr>
              <w:t>煤泥浮选、秸秆粉碎过程产生噪声采取基础减</w:t>
            </w:r>
            <w:r>
              <w:rPr>
                <w:rStyle w:val="27"/>
                <w:rFonts w:hint="eastAsia"/>
                <w:color w:val="auto"/>
                <w:kern w:val="0"/>
                <w:highlight w:val="none"/>
                <w:lang w:eastAsia="zh-CN"/>
              </w:rPr>
              <w:t>振</w:t>
            </w:r>
            <w:r>
              <w:rPr>
                <w:rFonts w:hint="eastAsia"/>
                <w:color w:val="auto"/>
                <w:kern w:val="0"/>
                <w:szCs w:val="21"/>
                <w:highlight w:val="none"/>
              </w:rPr>
              <w:t>、厂房隔声处理，人造土壤基质生产线产生噪声采取低噪声设备、基础</w:t>
            </w:r>
            <w:r>
              <w:rPr>
                <w:rFonts w:hint="eastAsia"/>
                <w:color w:val="auto"/>
                <w:kern w:val="0"/>
                <w:szCs w:val="21"/>
                <w:highlight w:val="none"/>
                <w:lang w:eastAsia="zh-CN"/>
              </w:rPr>
              <w:t>减振</w:t>
            </w:r>
            <w:r>
              <w:rPr>
                <w:rFonts w:hint="eastAsia"/>
                <w:color w:val="auto"/>
                <w:kern w:val="0"/>
                <w:szCs w:val="21"/>
                <w:highlight w:val="none"/>
              </w:rPr>
              <w:t>、隔声处理</w:t>
            </w:r>
            <w:r>
              <w:rPr>
                <w:rFonts w:hint="eastAsia"/>
                <w:color w:val="auto"/>
                <w:kern w:val="0"/>
                <w:szCs w:val="21"/>
                <w:highlight w:val="none"/>
                <w:lang w:eastAsia="zh-CN"/>
              </w:rPr>
              <w:t>、风机安装</w:t>
            </w:r>
            <w:r>
              <w:rPr>
                <w:rFonts w:hint="eastAsia"/>
                <w:color w:val="auto"/>
                <w:sz w:val="21"/>
                <w:szCs w:val="21"/>
                <w:highlight w:val="none"/>
                <w:lang w:eastAsia="zh-CN"/>
              </w:rPr>
              <w:t>消声器、水泵设置隔声罩等</w:t>
            </w:r>
            <w:r>
              <w:rPr>
                <w:rFonts w:hint="eastAsia"/>
                <w:color w:val="auto"/>
                <w:kern w:val="0"/>
                <w:szCs w:val="21"/>
                <w:highlight w:val="none"/>
              </w:rPr>
              <w:t>，</w:t>
            </w:r>
            <w:r>
              <w:rPr>
                <w:color w:val="auto"/>
                <w:kern w:val="0"/>
                <w:szCs w:val="21"/>
                <w:highlight w:val="none"/>
              </w:rPr>
              <w:t>产生的噪声采取降噪等综合治理措施后，经预测，厂界噪声值</w:t>
            </w:r>
            <w:r>
              <w:rPr>
                <w:color w:val="auto"/>
                <w:kern w:val="0"/>
                <w:sz w:val="21"/>
                <w:szCs w:val="21"/>
                <w:highlight w:val="none"/>
              </w:rPr>
              <w:t>满足</w:t>
            </w:r>
            <w:r>
              <w:rPr>
                <w:bCs/>
                <w:color w:val="auto"/>
                <w:sz w:val="21"/>
                <w:szCs w:val="21"/>
                <w:highlight w:val="none"/>
              </w:rPr>
              <w:t>《工业企业厂界环境噪声排放标准》（GB12348-2008）</w:t>
            </w:r>
            <w:r>
              <w:rPr>
                <w:rFonts w:hint="eastAsia"/>
                <w:bCs/>
                <w:color w:val="auto"/>
                <w:sz w:val="21"/>
                <w:szCs w:val="21"/>
                <w:highlight w:val="none"/>
                <w:lang w:val="en-US" w:eastAsia="zh-CN"/>
              </w:rPr>
              <w:t>中</w:t>
            </w:r>
            <w:r>
              <w:rPr>
                <w:rFonts w:hint="eastAsia"/>
                <w:bCs/>
                <w:color w:val="auto"/>
                <w:sz w:val="21"/>
                <w:szCs w:val="21"/>
                <w:highlight w:val="none"/>
              </w:rPr>
              <w:t>3类</w:t>
            </w:r>
            <w:r>
              <w:rPr>
                <w:color w:val="auto"/>
                <w:sz w:val="21"/>
                <w:szCs w:val="21"/>
                <w:highlight w:val="none"/>
              </w:rPr>
              <w:t>标准</w:t>
            </w:r>
            <w:r>
              <w:rPr>
                <w:color w:val="auto"/>
                <w:kern w:val="0"/>
                <w:sz w:val="21"/>
                <w:szCs w:val="21"/>
                <w:highlight w:val="none"/>
              </w:rPr>
              <w:t>要求，</w:t>
            </w:r>
            <w:r>
              <w:rPr>
                <w:color w:val="auto"/>
                <w:kern w:val="0"/>
                <w:szCs w:val="21"/>
                <w:highlight w:val="none"/>
              </w:rPr>
              <w:t>对声环境质量现状影响较小。综上所述，该项目在采取本报告表提出的污染防治措施情况下，排放的污染物不会对声环境产生危害性影响，从声环境影响角度分析，本项目建设可行。</w:t>
            </w:r>
          </w:p>
          <w:p w14:paraId="1EDE7757">
            <w:pPr>
              <w:spacing w:line="360" w:lineRule="auto"/>
              <w:jc w:val="left"/>
              <w:rPr>
                <w:b/>
                <w:color w:val="auto"/>
                <w:szCs w:val="21"/>
                <w:highlight w:val="none"/>
              </w:rPr>
            </w:pPr>
            <w:r>
              <w:rPr>
                <w:b/>
                <w:color w:val="auto"/>
                <w:szCs w:val="21"/>
                <w:highlight w:val="none"/>
              </w:rPr>
              <w:t>4、固体废物</w:t>
            </w:r>
          </w:p>
          <w:p w14:paraId="3EBEDD9F">
            <w:pPr>
              <w:adjustRightInd w:val="0"/>
              <w:snapToGrid w:val="0"/>
              <w:spacing w:line="360" w:lineRule="auto"/>
              <w:ind w:firstLine="420" w:firstLineChars="200"/>
              <w:rPr>
                <w:color w:val="auto"/>
                <w:szCs w:val="21"/>
                <w:highlight w:val="none"/>
              </w:rPr>
            </w:pPr>
            <w:r>
              <w:rPr>
                <w:color w:val="auto"/>
                <w:szCs w:val="21"/>
                <w:highlight w:val="none"/>
              </w:rPr>
              <w:t>项目运营期产生的固体废弃物主要为尾矿泥（沉淀底泥）、生活垃圾、废机油</w:t>
            </w:r>
            <w:r>
              <w:rPr>
                <w:rFonts w:hint="eastAsia"/>
                <w:color w:val="auto"/>
                <w:szCs w:val="21"/>
                <w:highlight w:val="none"/>
              </w:rPr>
              <w:t>、废弃含油抹布手套、废油桶等</w:t>
            </w:r>
            <w:r>
              <w:rPr>
                <w:color w:val="auto"/>
                <w:szCs w:val="21"/>
                <w:highlight w:val="none"/>
              </w:rPr>
              <w:t>。</w:t>
            </w:r>
          </w:p>
          <w:p w14:paraId="5A0FA21D">
            <w:pPr>
              <w:adjustRightInd w:val="0"/>
              <w:snapToGrid w:val="0"/>
              <w:spacing w:line="360" w:lineRule="auto"/>
              <w:rPr>
                <w:color w:val="auto"/>
                <w:szCs w:val="21"/>
                <w:highlight w:val="none"/>
              </w:rPr>
            </w:pPr>
            <w:r>
              <w:rPr>
                <w:rFonts w:hint="eastAsia"/>
                <w:color w:val="auto"/>
                <w:szCs w:val="21"/>
                <w:highlight w:val="none"/>
              </w:rPr>
              <w:t>（1）固体废物产生情况</w:t>
            </w:r>
          </w:p>
          <w:p w14:paraId="7E0894CB">
            <w:pPr>
              <w:adjustRightInd w:val="0"/>
              <w:snapToGrid w:val="0"/>
              <w:spacing w:line="360" w:lineRule="auto"/>
              <w:ind w:firstLine="420" w:firstLineChars="200"/>
              <w:rPr>
                <w:color w:val="auto"/>
                <w:szCs w:val="21"/>
                <w:highlight w:val="none"/>
              </w:rPr>
            </w:pPr>
            <w:r>
              <w:rPr>
                <w:color w:val="auto"/>
                <w:szCs w:val="21"/>
                <w:highlight w:val="none"/>
              </w:rPr>
              <w:t>1）尾矿泥（沉淀底泥）</w:t>
            </w:r>
          </w:p>
          <w:p w14:paraId="5CAB802A">
            <w:pPr>
              <w:adjustRightInd w:val="0"/>
              <w:snapToGrid w:val="0"/>
              <w:spacing w:line="360" w:lineRule="auto"/>
              <w:ind w:firstLine="420" w:firstLineChars="200"/>
              <w:rPr>
                <w:color w:val="auto"/>
                <w:szCs w:val="21"/>
                <w:highlight w:val="none"/>
              </w:rPr>
            </w:pPr>
            <w:r>
              <w:rPr>
                <w:color w:val="auto"/>
                <w:szCs w:val="21"/>
                <w:highlight w:val="none"/>
              </w:rPr>
              <w:t>根据企业提供的资料，压滤车间的尾矿泥及循环水池中经沉淀产生的沉淀底泥，产生量共计</w:t>
            </w:r>
            <w:r>
              <w:rPr>
                <w:rFonts w:hint="eastAsia"/>
                <w:color w:val="auto"/>
                <w:szCs w:val="21"/>
                <w:highlight w:val="none"/>
              </w:rPr>
              <w:t>17.8</w:t>
            </w:r>
            <w:r>
              <w:rPr>
                <w:color w:val="auto"/>
                <w:szCs w:val="21"/>
                <w:highlight w:val="none"/>
              </w:rPr>
              <w:t>万t/a，作为原料</w:t>
            </w:r>
            <w:r>
              <w:rPr>
                <w:rFonts w:hint="eastAsia"/>
                <w:color w:val="auto"/>
                <w:szCs w:val="21"/>
                <w:highlight w:val="none"/>
              </w:rPr>
              <w:t>用于人造土壤基质</w:t>
            </w:r>
            <w:r>
              <w:rPr>
                <w:color w:val="auto"/>
                <w:szCs w:val="21"/>
                <w:highlight w:val="none"/>
              </w:rPr>
              <w:t>生产线</w:t>
            </w:r>
            <w:r>
              <w:rPr>
                <w:rFonts w:hint="eastAsia"/>
                <w:color w:val="auto"/>
                <w:szCs w:val="21"/>
                <w:highlight w:val="none"/>
              </w:rPr>
              <w:t>。</w:t>
            </w:r>
          </w:p>
          <w:p w14:paraId="5FE0A906">
            <w:pPr>
              <w:adjustRightInd w:val="0"/>
              <w:snapToGrid w:val="0"/>
              <w:spacing w:line="360" w:lineRule="auto"/>
              <w:ind w:firstLine="420" w:firstLineChars="200"/>
              <w:rPr>
                <w:color w:val="auto"/>
                <w:szCs w:val="21"/>
                <w:highlight w:val="none"/>
              </w:rPr>
            </w:pPr>
            <w:r>
              <w:rPr>
                <w:rFonts w:hint="eastAsia"/>
                <w:color w:val="auto"/>
                <w:szCs w:val="21"/>
                <w:highlight w:val="none"/>
              </w:rPr>
              <w:t>2</w:t>
            </w:r>
            <w:r>
              <w:rPr>
                <w:color w:val="auto"/>
                <w:szCs w:val="21"/>
                <w:highlight w:val="none"/>
              </w:rPr>
              <w:t>）生活垃圾</w:t>
            </w:r>
          </w:p>
          <w:p w14:paraId="4AE665F6">
            <w:pPr>
              <w:adjustRightInd w:val="0"/>
              <w:snapToGrid w:val="0"/>
              <w:spacing w:line="360" w:lineRule="auto"/>
              <w:ind w:firstLine="420" w:firstLineChars="200"/>
              <w:rPr>
                <w:color w:val="auto"/>
                <w:szCs w:val="21"/>
                <w:highlight w:val="none"/>
              </w:rPr>
            </w:pPr>
            <w:r>
              <w:rPr>
                <w:color w:val="auto"/>
                <w:szCs w:val="21"/>
                <w:highlight w:val="none"/>
              </w:rPr>
              <w:t>项目劳动定员</w:t>
            </w:r>
            <w:r>
              <w:rPr>
                <w:rFonts w:hint="eastAsia"/>
                <w:color w:val="auto"/>
                <w:szCs w:val="21"/>
                <w:highlight w:val="none"/>
              </w:rPr>
              <w:t>16</w:t>
            </w:r>
            <w:r>
              <w:rPr>
                <w:color w:val="auto"/>
                <w:szCs w:val="21"/>
                <w:highlight w:val="none"/>
              </w:rPr>
              <w:t>人，职工不在厂区食宿，垃圾产生系数按0.5kg/人·d，年工作日</w:t>
            </w:r>
            <w:r>
              <w:rPr>
                <w:rFonts w:hint="eastAsia"/>
                <w:color w:val="auto"/>
                <w:szCs w:val="21"/>
                <w:highlight w:val="none"/>
              </w:rPr>
              <w:t>240</w:t>
            </w:r>
            <w:r>
              <w:rPr>
                <w:color w:val="auto"/>
                <w:szCs w:val="21"/>
                <w:highlight w:val="none"/>
              </w:rPr>
              <w:t>d，则员工生活垃圾产生量</w:t>
            </w:r>
            <w:r>
              <w:rPr>
                <w:rFonts w:hint="eastAsia"/>
                <w:color w:val="auto"/>
                <w:szCs w:val="21"/>
                <w:highlight w:val="none"/>
              </w:rPr>
              <w:t>为1.92</w:t>
            </w:r>
            <w:r>
              <w:rPr>
                <w:color w:val="auto"/>
                <w:szCs w:val="21"/>
                <w:highlight w:val="none"/>
              </w:rPr>
              <w:t>t/a，统一收集后定期委托环卫部门外运处置。</w:t>
            </w:r>
          </w:p>
          <w:p w14:paraId="09A9B600">
            <w:pPr>
              <w:adjustRightInd w:val="0"/>
              <w:snapToGrid w:val="0"/>
              <w:spacing w:line="360" w:lineRule="auto"/>
              <w:ind w:firstLine="420" w:firstLineChars="200"/>
              <w:rPr>
                <w:color w:val="auto"/>
                <w:szCs w:val="21"/>
                <w:highlight w:val="none"/>
              </w:rPr>
            </w:pPr>
            <w:r>
              <w:rPr>
                <w:rFonts w:hint="eastAsia"/>
                <w:color w:val="auto"/>
                <w:szCs w:val="21"/>
                <w:highlight w:val="none"/>
              </w:rPr>
              <w:t>3</w:t>
            </w:r>
            <w:r>
              <w:rPr>
                <w:color w:val="auto"/>
                <w:szCs w:val="21"/>
                <w:highlight w:val="none"/>
              </w:rPr>
              <w:t>）</w:t>
            </w:r>
            <w:r>
              <w:rPr>
                <w:rFonts w:hint="eastAsia"/>
                <w:color w:val="auto"/>
                <w:szCs w:val="21"/>
                <w:highlight w:val="none"/>
              </w:rPr>
              <w:t>粉煤灰筒</w:t>
            </w:r>
            <w:r>
              <w:rPr>
                <w:color w:val="auto"/>
                <w:szCs w:val="21"/>
                <w:highlight w:val="none"/>
              </w:rPr>
              <w:t>仓</w:t>
            </w:r>
            <w:r>
              <w:rPr>
                <w:rFonts w:hint="eastAsia"/>
                <w:color w:val="auto"/>
                <w:szCs w:val="21"/>
                <w:highlight w:val="none"/>
              </w:rPr>
              <w:t>、破碎工序</w:t>
            </w:r>
            <w:r>
              <w:rPr>
                <w:color w:val="auto"/>
                <w:szCs w:val="21"/>
                <w:highlight w:val="none"/>
              </w:rPr>
              <w:t>除尘灰</w:t>
            </w:r>
          </w:p>
          <w:p w14:paraId="4E1913D4">
            <w:pPr>
              <w:adjustRightInd w:val="0"/>
              <w:snapToGrid w:val="0"/>
              <w:spacing w:line="360" w:lineRule="auto"/>
              <w:ind w:firstLine="420" w:firstLineChars="200"/>
              <w:rPr>
                <w:color w:val="auto"/>
                <w:szCs w:val="21"/>
                <w:highlight w:val="none"/>
              </w:rPr>
            </w:pPr>
            <w:r>
              <w:rPr>
                <w:rFonts w:hint="eastAsia"/>
                <w:color w:val="auto"/>
                <w:szCs w:val="21"/>
                <w:highlight w:val="none"/>
              </w:rPr>
              <w:t>粉煤灰</w:t>
            </w:r>
            <w:r>
              <w:rPr>
                <w:color w:val="auto"/>
                <w:szCs w:val="21"/>
                <w:highlight w:val="none"/>
              </w:rPr>
              <w:t>仓顶设有仓顶除尘器，除尘效率为99.5%，利用物料输送产生的气压差进行除尘。</w:t>
            </w:r>
            <w:r>
              <w:rPr>
                <w:rFonts w:hint="eastAsia"/>
                <w:color w:val="auto"/>
                <w:szCs w:val="21"/>
                <w:highlight w:val="none"/>
              </w:rPr>
              <w:t>粉煤灰仓收尘产生量为0.836t/a，</w:t>
            </w:r>
            <w:r>
              <w:rPr>
                <w:color w:val="auto"/>
                <w:szCs w:val="21"/>
                <w:highlight w:val="none"/>
              </w:rPr>
              <w:t>通过振动落回仓内回用于生产。</w:t>
            </w:r>
          </w:p>
          <w:p w14:paraId="08982AFF">
            <w:pPr>
              <w:adjustRightInd w:val="0"/>
              <w:snapToGrid w:val="0"/>
              <w:spacing w:line="360" w:lineRule="auto"/>
              <w:ind w:firstLine="420" w:firstLineChars="200"/>
              <w:rPr>
                <w:color w:val="auto"/>
                <w:szCs w:val="21"/>
                <w:highlight w:val="none"/>
              </w:rPr>
            </w:pPr>
            <w:r>
              <w:rPr>
                <w:rFonts w:hint="eastAsia"/>
                <w:color w:val="auto"/>
                <w:szCs w:val="21"/>
                <w:highlight w:val="none"/>
              </w:rPr>
              <w:t>秸秆粉碎工序布袋除尘器收尘量为5.868t/a，</w:t>
            </w:r>
            <w:r>
              <w:rPr>
                <w:rFonts w:hint="eastAsia"/>
                <w:color w:val="auto"/>
                <w:szCs w:val="21"/>
                <w:highlight w:val="none"/>
                <w:lang w:val="en-US" w:eastAsia="zh-CN"/>
              </w:rPr>
              <w:t>集中收集至物料棚，用于</w:t>
            </w:r>
            <w:r>
              <w:rPr>
                <w:rFonts w:hint="eastAsia"/>
                <w:color w:val="auto"/>
                <w:szCs w:val="21"/>
                <w:highlight w:val="none"/>
              </w:rPr>
              <w:t>人造土壤基质生产。</w:t>
            </w:r>
          </w:p>
          <w:p w14:paraId="486E3363">
            <w:pPr>
              <w:adjustRightInd w:val="0"/>
              <w:snapToGrid w:val="0"/>
              <w:spacing w:line="360" w:lineRule="auto"/>
              <w:ind w:firstLine="420" w:firstLineChars="200"/>
              <w:rPr>
                <w:color w:val="auto"/>
                <w:szCs w:val="21"/>
                <w:highlight w:val="none"/>
              </w:rPr>
            </w:pPr>
            <w:r>
              <w:rPr>
                <w:rFonts w:hint="eastAsia"/>
                <w:color w:val="auto"/>
                <w:szCs w:val="21"/>
                <w:highlight w:val="none"/>
              </w:rPr>
              <w:t>4</w:t>
            </w:r>
            <w:r>
              <w:rPr>
                <w:color w:val="auto"/>
                <w:szCs w:val="21"/>
                <w:highlight w:val="none"/>
              </w:rPr>
              <w:t>）废布袋</w:t>
            </w:r>
          </w:p>
          <w:p w14:paraId="13D55F88">
            <w:pPr>
              <w:adjustRightInd w:val="0"/>
              <w:snapToGrid w:val="0"/>
              <w:spacing w:line="360" w:lineRule="auto"/>
              <w:ind w:firstLine="420" w:firstLineChars="200"/>
              <w:rPr>
                <w:color w:val="auto"/>
                <w:szCs w:val="21"/>
                <w:highlight w:val="none"/>
              </w:rPr>
            </w:pPr>
            <w:r>
              <w:rPr>
                <w:rFonts w:hint="eastAsia"/>
                <w:color w:val="auto"/>
                <w:szCs w:val="21"/>
                <w:highlight w:val="none"/>
              </w:rPr>
              <w:t>粉煤灰仓</w:t>
            </w:r>
            <w:r>
              <w:rPr>
                <w:color w:val="auto"/>
                <w:szCs w:val="21"/>
                <w:highlight w:val="none"/>
              </w:rPr>
              <w:t>仓顶</w:t>
            </w:r>
            <w:r>
              <w:rPr>
                <w:rFonts w:hint="eastAsia"/>
                <w:color w:val="auto"/>
                <w:szCs w:val="21"/>
                <w:highlight w:val="none"/>
              </w:rPr>
              <w:t>及秸秆粉碎工序</w:t>
            </w:r>
            <w:r>
              <w:rPr>
                <w:color w:val="auto"/>
                <w:szCs w:val="21"/>
                <w:highlight w:val="none"/>
              </w:rPr>
              <w:t>设有除尘器，运行一段时间后会产生废布袋。废布袋产生量约为0.1t/a，由厂家</w:t>
            </w:r>
            <w:r>
              <w:rPr>
                <w:rFonts w:hint="eastAsia"/>
                <w:color w:val="auto"/>
                <w:szCs w:val="21"/>
                <w:highlight w:val="none"/>
                <w:lang w:val="en-US" w:eastAsia="zh-CN"/>
              </w:rPr>
              <w:t>定期</w:t>
            </w:r>
            <w:r>
              <w:rPr>
                <w:rFonts w:hint="eastAsia"/>
                <w:color w:val="auto"/>
                <w:szCs w:val="21"/>
                <w:highlight w:val="none"/>
              </w:rPr>
              <w:t>更换后</w:t>
            </w:r>
            <w:r>
              <w:rPr>
                <w:color w:val="auto"/>
                <w:szCs w:val="21"/>
                <w:highlight w:val="none"/>
              </w:rPr>
              <w:t>回收</w:t>
            </w:r>
            <w:r>
              <w:rPr>
                <w:rFonts w:hint="eastAsia"/>
                <w:color w:val="auto"/>
                <w:szCs w:val="21"/>
                <w:highlight w:val="none"/>
              </w:rPr>
              <w:t>，直接带走</w:t>
            </w:r>
            <w:r>
              <w:rPr>
                <w:color w:val="auto"/>
                <w:szCs w:val="21"/>
                <w:highlight w:val="none"/>
              </w:rPr>
              <w:t>。</w:t>
            </w:r>
          </w:p>
          <w:p w14:paraId="5DAABCBE">
            <w:pPr>
              <w:adjustRightInd w:val="0"/>
              <w:snapToGrid w:val="0"/>
              <w:spacing w:line="360" w:lineRule="auto"/>
              <w:ind w:firstLine="420" w:firstLineChars="200"/>
              <w:rPr>
                <w:color w:val="auto"/>
                <w:szCs w:val="21"/>
                <w:highlight w:val="none"/>
              </w:rPr>
            </w:pPr>
            <w:r>
              <w:rPr>
                <w:rFonts w:hint="eastAsia"/>
                <w:color w:val="auto"/>
                <w:szCs w:val="21"/>
                <w:highlight w:val="none"/>
              </w:rPr>
              <w:t>5</w:t>
            </w:r>
            <w:r>
              <w:rPr>
                <w:color w:val="auto"/>
                <w:szCs w:val="21"/>
                <w:highlight w:val="none"/>
              </w:rPr>
              <w:t>）</w:t>
            </w:r>
            <w:r>
              <w:rPr>
                <w:rFonts w:hint="eastAsia"/>
                <w:color w:val="auto"/>
                <w:szCs w:val="21"/>
                <w:highlight w:val="none"/>
              </w:rPr>
              <w:t>危险废物</w:t>
            </w:r>
          </w:p>
          <w:p w14:paraId="013024F6">
            <w:pPr>
              <w:adjustRightInd w:val="0"/>
              <w:snapToGrid w:val="0"/>
              <w:spacing w:line="360" w:lineRule="auto"/>
              <w:ind w:firstLine="420" w:firstLineChars="200"/>
              <w:rPr>
                <w:b/>
                <w:bCs/>
                <w:color w:val="auto"/>
                <w:szCs w:val="21"/>
                <w:highlight w:val="none"/>
              </w:rPr>
            </w:pPr>
            <w:r>
              <w:rPr>
                <w:color w:val="auto"/>
                <w:szCs w:val="21"/>
                <w:highlight w:val="none"/>
              </w:rPr>
              <w:t>设备维修过程中产生的废机油属于危险废物，产生量约0.</w:t>
            </w:r>
            <w:r>
              <w:rPr>
                <w:rFonts w:hint="eastAsia"/>
                <w:color w:val="auto"/>
                <w:szCs w:val="21"/>
                <w:highlight w:val="none"/>
              </w:rPr>
              <w:t>2</w:t>
            </w:r>
            <w:r>
              <w:rPr>
                <w:color w:val="auto"/>
                <w:szCs w:val="21"/>
                <w:highlight w:val="none"/>
              </w:rPr>
              <w:t>t/a，</w:t>
            </w:r>
            <w:r>
              <w:rPr>
                <w:rFonts w:hint="eastAsia"/>
                <w:color w:val="auto"/>
                <w:szCs w:val="21"/>
                <w:highlight w:val="none"/>
              </w:rPr>
              <w:t>废弃含油抹布手套产生量约为0.05t/a，废机油桶产生量约为0.05t/a，废药剂桶产生量约为0.1t/a，暂存</w:t>
            </w:r>
            <w:r>
              <w:rPr>
                <w:color w:val="auto"/>
                <w:szCs w:val="21"/>
                <w:highlight w:val="none"/>
              </w:rPr>
              <w:t>危废贮存点暂存，定期交由有资质单位处理处置。</w:t>
            </w:r>
          </w:p>
          <w:p w14:paraId="496F889A">
            <w:pPr>
              <w:adjustRightInd w:val="0"/>
              <w:snapToGrid w:val="0"/>
              <w:jc w:val="center"/>
              <w:rPr>
                <w:b/>
                <w:bCs/>
                <w:color w:val="auto"/>
                <w:szCs w:val="21"/>
                <w:highlight w:val="none"/>
              </w:rPr>
            </w:pPr>
            <w:r>
              <w:rPr>
                <w:rFonts w:hint="eastAsia"/>
                <w:b/>
                <w:bCs/>
                <w:color w:val="auto"/>
                <w:szCs w:val="21"/>
                <w:highlight w:val="none"/>
              </w:rPr>
              <w:t>表4-7  固体废物贮存信息</w:t>
            </w:r>
          </w:p>
          <w:tbl>
            <w:tblPr>
              <w:tblStyle w:val="22"/>
              <w:tblW w:w="8135"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902"/>
              <w:gridCol w:w="1140"/>
              <w:gridCol w:w="1419"/>
              <w:gridCol w:w="809"/>
              <w:gridCol w:w="1145"/>
              <w:gridCol w:w="1217"/>
              <w:gridCol w:w="804"/>
            </w:tblGrid>
            <w:tr w14:paraId="3D52DFD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29" w:type="pct"/>
                  <w:tcBorders>
                    <w:top w:val="single" w:color="auto" w:sz="12" w:space="0"/>
                  </w:tcBorders>
                  <w:noWrap/>
                  <w:vAlign w:val="center"/>
                </w:tcPr>
                <w:p w14:paraId="2738EA23">
                  <w:pPr>
                    <w:adjustRightInd w:val="0"/>
                    <w:snapToGrid w:val="0"/>
                    <w:jc w:val="center"/>
                    <w:rPr>
                      <w:bCs/>
                      <w:color w:val="auto"/>
                      <w:sz w:val="18"/>
                      <w:szCs w:val="18"/>
                      <w:highlight w:val="none"/>
                    </w:rPr>
                  </w:pPr>
                  <w:r>
                    <w:rPr>
                      <w:bCs/>
                      <w:color w:val="auto"/>
                      <w:sz w:val="18"/>
                      <w:szCs w:val="18"/>
                      <w:highlight w:val="none"/>
                    </w:rPr>
                    <w:t>产生环节</w:t>
                  </w:r>
                </w:p>
              </w:tc>
              <w:tc>
                <w:tcPr>
                  <w:tcW w:w="554" w:type="pct"/>
                  <w:tcBorders>
                    <w:top w:val="single" w:color="auto" w:sz="12" w:space="0"/>
                  </w:tcBorders>
                  <w:noWrap/>
                  <w:vAlign w:val="center"/>
                </w:tcPr>
                <w:p w14:paraId="3417AC53">
                  <w:pPr>
                    <w:adjustRightInd w:val="0"/>
                    <w:snapToGrid w:val="0"/>
                    <w:jc w:val="center"/>
                    <w:rPr>
                      <w:bCs/>
                      <w:color w:val="auto"/>
                      <w:sz w:val="18"/>
                      <w:szCs w:val="18"/>
                      <w:highlight w:val="none"/>
                    </w:rPr>
                  </w:pPr>
                  <w:r>
                    <w:rPr>
                      <w:bCs/>
                      <w:color w:val="auto"/>
                      <w:sz w:val="18"/>
                      <w:szCs w:val="18"/>
                      <w:highlight w:val="none"/>
                    </w:rPr>
                    <w:t>名称</w:t>
                  </w:r>
                </w:p>
              </w:tc>
              <w:tc>
                <w:tcPr>
                  <w:tcW w:w="700" w:type="pct"/>
                  <w:tcBorders>
                    <w:top w:val="single" w:color="auto" w:sz="12" w:space="0"/>
                  </w:tcBorders>
                  <w:noWrap/>
                  <w:vAlign w:val="center"/>
                </w:tcPr>
                <w:p w14:paraId="60B78315">
                  <w:pPr>
                    <w:adjustRightInd w:val="0"/>
                    <w:snapToGrid w:val="0"/>
                    <w:jc w:val="center"/>
                    <w:rPr>
                      <w:bCs/>
                      <w:color w:val="auto"/>
                      <w:sz w:val="18"/>
                      <w:szCs w:val="18"/>
                      <w:highlight w:val="none"/>
                    </w:rPr>
                  </w:pPr>
                  <w:r>
                    <w:rPr>
                      <w:rFonts w:hint="eastAsia"/>
                      <w:bCs/>
                      <w:color w:val="auto"/>
                      <w:sz w:val="18"/>
                      <w:szCs w:val="18"/>
                      <w:highlight w:val="none"/>
                    </w:rPr>
                    <w:t>性质</w:t>
                  </w:r>
                </w:p>
              </w:tc>
              <w:tc>
                <w:tcPr>
                  <w:tcW w:w="871" w:type="pct"/>
                  <w:tcBorders>
                    <w:top w:val="single" w:color="auto" w:sz="12" w:space="0"/>
                  </w:tcBorders>
                  <w:noWrap/>
                  <w:vAlign w:val="center"/>
                </w:tcPr>
                <w:p w14:paraId="13A9BF79">
                  <w:pPr>
                    <w:adjustRightInd w:val="0"/>
                    <w:snapToGrid w:val="0"/>
                    <w:jc w:val="center"/>
                    <w:rPr>
                      <w:bCs/>
                      <w:color w:val="auto"/>
                      <w:sz w:val="18"/>
                      <w:szCs w:val="18"/>
                      <w:highlight w:val="none"/>
                    </w:rPr>
                  </w:pPr>
                  <w:r>
                    <w:rPr>
                      <w:bCs/>
                      <w:color w:val="auto"/>
                      <w:sz w:val="18"/>
                      <w:szCs w:val="18"/>
                      <w:highlight w:val="none"/>
                    </w:rPr>
                    <w:t>代码</w:t>
                  </w:r>
                </w:p>
              </w:tc>
              <w:tc>
                <w:tcPr>
                  <w:tcW w:w="497" w:type="pct"/>
                  <w:tcBorders>
                    <w:top w:val="single" w:color="auto" w:sz="12" w:space="0"/>
                  </w:tcBorders>
                  <w:noWrap/>
                  <w:vAlign w:val="center"/>
                </w:tcPr>
                <w:p w14:paraId="53A30724">
                  <w:pPr>
                    <w:adjustRightInd w:val="0"/>
                    <w:snapToGrid w:val="0"/>
                    <w:jc w:val="center"/>
                    <w:rPr>
                      <w:bCs/>
                      <w:color w:val="auto"/>
                      <w:sz w:val="18"/>
                      <w:szCs w:val="18"/>
                      <w:highlight w:val="none"/>
                    </w:rPr>
                  </w:pPr>
                  <w:r>
                    <w:rPr>
                      <w:bCs/>
                      <w:color w:val="auto"/>
                      <w:sz w:val="18"/>
                      <w:szCs w:val="18"/>
                      <w:highlight w:val="none"/>
                    </w:rPr>
                    <w:t>年产生量t/a</w:t>
                  </w:r>
                </w:p>
              </w:tc>
              <w:tc>
                <w:tcPr>
                  <w:tcW w:w="704" w:type="pct"/>
                  <w:tcBorders>
                    <w:top w:val="single" w:color="auto" w:sz="12" w:space="0"/>
                  </w:tcBorders>
                  <w:noWrap/>
                  <w:vAlign w:val="center"/>
                </w:tcPr>
                <w:p w14:paraId="50C9F6AA">
                  <w:pPr>
                    <w:adjustRightInd w:val="0"/>
                    <w:snapToGrid w:val="0"/>
                    <w:jc w:val="center"/>
                    <w:rPr>
                      <w:bCs/>
                      <w:color w:val="auto"/>
                      <w:sz w:val="18"/>
                      <w:szCs w:val="18"/>
                      <w:highlight w:val="none"/>
                    </w:rPr>
                  </w:pPr>
                  <w:r>
                    <w:rPr>
                      <w:bCs/>
                      <w:color w:val="auto"/>
                      <w:sz w:val="18"/>
                      <w:szCs w:val="18"/>
                      <w:highlight w:val="none"/>
                    </w:rPr>
                    <w:t>贮存方式</w:t>
                  </w:r>
                </w:p>
              </w:tc>
              <w:tc>
                <w:tcPr>
                  <w:tcW w:w="748" w:type="pct"/>
                  <w:tcBorders>
                    <w:top w:val="single" w:color="auto" w:sz="12" w:space="0"/>
                  </w:tcBorders>
                  <w:noWrap/>
                  <w:vAlign w:val="center"/>
                </w:tcPr>
                <w:p w14:paraId="106000C6">
                  <w:pPr>
                    <w:adjustRightInd w:val="0"/>
                    <w:snapToGrid w:val="0"/>
                    <w:jc w:val="center"/>
                    <w:rPr>
                      <w:bCs/>
                      <w:color w:val="auto"/>
                      <w:sz w:val="18"/>
                      <w:szCs w:val="18"/>
                      <w:highlight w:val="none"/>
                    </w:rPr>
                  </w:pPr>
                  <w:r>
                    <w:rPr>
                      <w:bCs/>
                      <w:color w:val="auto"/>
                      <w:sz w:val="18"/>
                      <w:szCs w:val="18"/>
                      <w:highlight w:val="none"/>
                    </w:rPr>
                    <w:t>处置方式和去向</w:t>
                  </w:r>
                </w:p>
              </w:tc>
              <w:tc>
                <w:tcPr>
                  <w:tcW w:w="494" w:type="pct"/>
                  <w:tcBorders>
                    <w:top w:val="single" w:color="auto" w:sz="12" w:space="0"/>
                  </w:tcBorders>
                  <w:noWrap/>
                  <w:vAlign w:val="center"/>
                </w:tcPr>
                <w:p w14:paraId="3278A9CC">
                  <w:pPr>
                    <w:adjustRightInd w:val="0"/>
                    <w:snapToGrid w:val="0"/>
                    <w:jc w:val="center"/>
                    <w:rPr>
                      <w:bCs/>
                      <w:color w:val="auto"/>
                      <w:sz w:val="18"/>
                      <w:szCs w:val="18"/>
                      <w:highlight w:val="none"/>
                    </w:rPr>
                  </w:pPr>
                  <w:r>
                    <w:rPr>
                      <w:bCs/>
                      <w:color w:val="auto"/>
                      <w:sz w:val="18"/>
                      <w:szCs w:val="18"/>
                      <w:highlight w:val="none"/>
                    </w:rPr>
                    <w:t>处置或利用量t/a</w:t>
                  </w:r>
                </w:p>
              </w:tc>
            </w:tr>
            <w:tr w14:paraId="5B4F20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429" w:type="pct"/>
                  <w:noWrap/>
                  <w:vAlign w:val="center"/>
                </w:tcPr>
                <w:p w14:paraId="4677A06B">
                  <w:pPr>
                    <w:jc w:val="center"/>
                    <w:rPr>
                      <w:bCs/>
                      <w:color w:val="auto"/>
                      <w:sz w:val="18"/>
                      <w:szCs w:val="18"/>
                      <w:highlight w:val="none"/>
                    </w:rPr>
                  </w:pPr>
                  <w:r>
                    <w:rPr>
                      <w:rFonts w:hint="eastAsia"/>
                      <w:bCs/>
                      <w:color w:val="auto"/>
                      <w:sz w:val="18"/>
                      <w:szCs w:val="18"/>
                      <w:highlight w:val="none"/>
                    </w:rPr>
                    <w:t>员工生活</w:t>
                  </w:r>
                </w:p>
              </w:tc>
              <w:tc>
                <w:tcPr>
                  <w:tcW w:w="554" w:type="pct"/>
                  <w:noWrap/>
                  <w:vAlign w:val="center"/>
                </w:tcPr>
                <w:p w14:paraId="205718E5">
                  <w:pPr>
                    <w:adjustRightInd w:val="0"/>
                    <w:snapToGrid w:val="0"/>
                    <w:jc w:val="center"/>
                    <w:rPr>
                      <w:bCs/>
                      <w:color w:val="auto"/>
                      <w:sz w:val="18"/>
                      <w:szCs w:val="18"/>
                      <w:highlight w:val="none"/>
                    </w:rPr>
                  </w:pPr>
                  <w:r>
                    <w:rPr>
                      <w:rFonts w:hint="eastAsia"/>
                      <w:bCs/>
                      <w:color w:val="auto"/>
                      <w:sz w:val="18"/>
                      <w:szCs w:val="18"/>
                      <w:highlight w:val="none"/>
                    </w:rPr>
                    <w:t>生活垃圾</w:t>
                  </w:r>
                </w:p>
              </w:tc>
              <w:tc>
                <w:tcPr>
                  <w:tcW w:w="700" w:type="pct"/>
                  <w:noWrap/>
                  <w:vAlign w:val="center"/>
                </w:tcPr>
                <w:p w14:paraId="78B41115">
                  <w:pPr>
                    <w:adjustRightInd w:val="0"/>
                    <w:snapToGrid w:val="0"/>
                    <w:jc w:val="center"/>
                    <w:rPr>
                      <w:bCs/>
                      <w:color w:val="auto"/>
                      <w:sz w:val="18"/>
                      <w:szCs w:val="18"/>
                      <w:highlight w:val="none"/>
                    </w:rPr>
                  </w:pPr>
                  <w:r>
                    <w:rPr>
                      <w:rFonts w:hint="eastAsia"/>
                      <w:bCs/>
                      <w:color w:val="auto"/>
                      <w:sz w:val="18"/>
                      <w:szCs w:val="18"/>
                      <w:highlight w:val="none"/>
                    </w:rPr>
                    <w:t>生活垃圾</w:t>
                  </w:r>
                </w:p>
              </w:tc>
              <w:tc>
                <w:tcPr>
                  <w:tcW w:w="871" w:type="pct"/>
                  <w:noWrap/>
                  <w:vAlign w:val="center"/>
                </w:tcPr>
                <w:p w14:paraId="19023421">
                  <w:pPr>
                    <w:adjustRightInd w:val="0"/>
                    <w:snapToGrid w:val="0"/>
                    <w:jc w:val="center"/>
                    <w:rPr>
                      <w:bCs/>
                      <w:color w:val="auto"/>
                      <w:sz w:val="18"/>
                      <w:szCs w:val="18"/>
                      <w:highlight w:val="none"/>
                    </w:rPr>
                  </w:pPr>
                  <w:r>
                    <w:rPr>
                      <w:rFonts w:hint="eastAsia"/>
                      <w:bCs/>
                      <w:color w:val="auto"/>
                      <w:sz w:val="18"/>
                      <w:szCs w:val="18"/>
                      <w:highlight w:val="none"/>
                    </w:rPr>
                    <w:t>900-099-S64</w:t>
                  </w:r>
                </w:p>
              </w:tc>
              <w:tc>
                <w:tcPr>
                  <w:tcW w:w="497" w:type="pct"/>
                  <w:noWrap/>
                  <w:vAlign w:val="center"/>
                </w:tcPr>
                <w:p w14:paraId="34FE2C04">
                  <w:pPr>
                    <w:adjustRightInd w:val="0"/>
                    <w:snapToGrid w:val="0"/>
                    <w:jc w:val="center"/>
                    <w:rPr>
                      <w:bCs/>
                      <w:color w:val="auto"/>
                      <w:sz w:val="18"/>
                      <w:szCs w:val="18"/>
                      <w:highlight w:val="none"/>
                    </w:rPr>
                  </w:pPr>
                  <w:r>
                    <w:rPr>
                      <w:rFonts w:hint="eastAsia"/>
                      <w:bCs/>
                      <w:color w:val="auto"/>
                      <w:sz w:val="18"/>
                      <w:szCs w:val="18"/>
                      <w:highlight w:val="none"/>
                    </w:rPr>
                    <w:t>1.92</w:t>
                  </w:r>
                </w:p>
              </w:tc>
              <w:tc>
                <w:tcPr>
                  <w:tcW w:w="704" w:type="pct"/>
                  <w:noWrap/>
                  <w:vAlign w:val="center"/>
                </w:tcPr>
                <w:p w14:paraId="096E5B18">
                  <w:pPr>
                    <w:adjustRightInd w:val="0"/>
                    <w:snapToGrid w:val="0"/>
                    <w:jc w:val="center"/>
                    <w:rPr>
                      <w:color w:val="auto"/>
                      <w:sz w:val="18"/>
                      <w:szCs w:val="18"/>
                      <w:highlight w:val="none"/>
                    </w:rPr>
                  </w:pPr>
                  <w:r>
                    <w:rPr>
                      <w:rFonts w:hint="eastAsia"/>
                      <w:color w:val="auto"/>
                      <w:sz w:val="18"/>
                      <w:szCs w:val="18"/>
                      <w:highlight w:val="none"/>
                    </w:rPr>
                    <w:t>厂区内垃圾箱</w:t>
                  </w:r>
                </w:p>
              </w:tc>
              <w:tc>
                <w:tcPr>
                  <w:tcW w:w="748" w:type="pct"/>
                  <w:noWrap/>
                  <w:vAlign w:val="center"/>
                </w:tcPr>
                <w:p w14:paraId="023586CE">
                  <w:pPr>
                    <w:adjustRightInd w:val="0"/>
                    <w:snapToGrid w:val="0"/>
                    <w:jc w:val="center"/>
                    <w:rPr>
                      <w:color w:val="auto"/>
                      <w:sz w:val="18"/>
                      <w:szCs w:val="18"/>
                      <w:highlight w:val="none"/>
                    </w:rPr>
                  </w:pPr>
                  <w:r>
                    <w:rPr>
                      <w:rFonts w:hint="eastAsia"/>
                      <w:color w:val="auto"/>
                      <w:sz w:val="18"/>
                      <w:szCs w:val="18"/>
                      <w:highlight w:val="none"/>
                    </w:rPr>
                    <w:t>环卫部门</w:t>
                  </w:r>
                </w:p>
              </w:tc>
              <w:tc>
                <w:tcPr>
                  <w:tcW w:w="494" w:type="pct"/>
                  <w:noWrap/>
                  <w:vAlign w:val="center"/>
                </w:tcPr>
                <w:p w14:paraId="0164DF88">
                  <w:pPr>
                    <w:adjustRightInd w:val="0"/>
                    <w:snapToGrid w:val="0"/>
                    <w:jc w:val="center"/>
                    <w:rPr>
                      <w:bCs/>
                      <w:color w:val="auto"/>
                      <w:sz w:val="18"/>
                      <w:szCs w:val="18"/>
                      <w:highlight w:val="none"/>
                    </w:rPr>
                  </w:pPr>
                  <w:r>
                    <w:rPr>
                      <w:rFonts w:hint="eastAsia"/>
                      <w:bCs/>
                      <w:color w:val="auto"/>
                      <w:sz w:val="18"/>
                      <w:szCs w:val="18"/>
                      <w:highlight w:val="none"/>
                    </w:rPr>
                    <w:t>1.92</w:t>
                  </w:r>
                </w:p>
              </w:tc>
            </w:tr>
            <w:tr w14:paraId="71E1B2C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429" w:type="pct"/>
                  <w:noWrap/>
                  <w:vAlign w:val="center"/>
                </w:tcPr>
                <w:p w14:paraId="5B7848D2">
                  <w:pPr>
                    <w:jc w:val="center"/>
                    <w:rPr>
                      <w:bCs/>
                      <w:color w:val="auto"/>
                      <w:sz w:val="18"/>
                      <w:szCs w:val="18"/>
                      <w:highlight w:val="none"/>
                    </w:rPr>
                  </w:pPr>
                  <w:r>
                    <w:rPr>
                      <w:rFonts w:hint="eastAsia"/>
                      <w:bCs/>
                      <w:color w:val="auto"/>
                      <w:sz w:val="18"/>
                      <w:szCs w:val="18"/>
                      <w:highlight w:val="none"/>
                    </w:rPr>
                    <w:t>压滤、沉淀</w:t>
                  </w:r>
                </w:p>
              </w:tc>
              <w:tc>
                <w:tcPr>
                  <w:tcW w:w="554" w:type="pct"/>
                  <w:noWrap/>
                  <w:vAlign w:val="center"/>
                </w:tcPr>
                <w:p w14:paraId="4738EE4C">
                  <w:pPr>
                    <w:pStyle w:val="64"/>
                    <w:jc w:val="center"/>
                    <w:rPr>
                      <w:rFonts w:ascii="Times New Roman" w:hAnsi="Times New Roman" w:eastAsia="宋体" w:cs="Times New Roman"/>
                      <w:bCs/>
                      <w:color w:val="auto"/>
                      <w:sz w:val="18"/>
                      <w:szCs w:val="18"/>
                      <w:highlight w:val="none"/>
                      <w:lang w:eastAsia="zh-CN"/>
                    </w:rPr>
                  </w:pPr>
                  <w:r>
                    <w:rPr>
                      <w:rFonts w:ascii="Times New Roman" w:hAnsi="Times New Roman" w:eastAsia="宋体" w:cs="Times New Roman"/>
                      <w:bCs/>
                      <w:color w:val="auto"/>
                      <w:sz w:val="18"/>
                      <w:szCs w:val="18"/>
                      <w:highlight w:val="none"/>
                      <w:lang w:eastAsia="zh-CN"/>
                    </w:rPr>
                    <w:t>尾矿泥（沉淀</w:t>
                  </w:r>
                </w:p>
                <w:p w14:paraId="056C0B54">
                  <w:pPr>
                    <w:adjustRightInd w:val="0"/>
                    <w:snapToGrid w:val="0"/>
                    <w:jc w:val="center"/>
                    <w:rPr>
                      <w:bCs/>
                      <w:color w:val="auto"/>
                      <w:sz w:val="18"/>
                      <w:szCs w:val="18"/>
                      <w:highlight w:val="none"/>
                    </w:rPr>
                  </w:pPr>
                  <w:r>
                    <w:rPr>
                      <w:bCs/>
                      <w:color w:val="auto"/>
                      <w:sz w:val="18"/>
                      <w:szCs w:val="18"/>
                      <w:highlight w:val="none"/>
                    </w:rPr>
                    <w:t>底泥）</w:t>
                  </w:r>
                </w:p>
              </w:tc>
              <w:tc>
                <w:tcPr>
                  <w:tcW w:w="700" w:type="pct"/>
                  <w:vMerge w:val="restart"/>
                  <w:noWrap/>
                  <w:vAlign w:val="center"/>
                </w:tcPr>
                <w:p w14:paraId="7975ADE3">
                  <w:pPr>
                    <w:adjustRightInd w:val="0"/>
                    <w:snapToGrid w:val="0"/>
                    <w:jc w:val="center"/>
                    <w:rPr>
                      <w:bCs/>
                      <w:color w:val="auto"/>
                      <w:sz w:val="18"/>
                      <w:szCs w:val="18"/>
                      <w:highlight w:val="none"/>
                    </w:rPr>
                  </w:pPr>
                  <w:r>
                    <w:rPr>
                      <w:bCs/>
                      <w:color w:val="auto"/>
                      <w:sz w:val="18"/>
                      <w:szCs w:val="18"/>
                      <w:highlight w:val="none"/>
                    </w:rPr>
                    <w:t>一般固体废物</w:t>
                  </w:r>
                </w:p>
              </w:tc>
              <w:tc>
                <w:tcPr>
                  <w:tcW w:w="871" w:type="pct"/>
                  <w:noWrap/>
                  <w:vAlign w:val="center"/>
                </w:tcPr>
                <w:p w14:paraId="5EBD5994">
                  <w:pPr>
                    <w:adjustRightInd w:val="0"/>
                    <w:snapToGrid w:val="0"/>
                    <w:jc w:val="center"/>
                    <w:rPr>
                      <w:bCs/>
                      <w:color w:val="auto"/>
                      <w:sz w:val="18"/>
                      <w:szCs w:val="18"/>
                      <w:highlight w:val="none"/>
                    </w:rPr>
                  </w:pPr>
                  <w:r>
                    <w:rPr>
                      <w:rFonts w:hint="eastAsia"/>
                      <w:bCs/>
                      <w:color w:val="auto"/>
                      <w:sz w:val="18"/>
                      <w:szCs w:val="18"/>
                      <w:highlight w:val="none"/>
                    </w:rPr>
                    <w:t>900-099-S05</w:t>
                  </w:r>
                </w:p>
              </w:tc>
              <w:tc>
                <w:tcPr>
                  <w:tcW w:w="497" w:type="pct"/>
                  <w:noWrap/>
                  <w:vAlign w:val="center"/>
                </w:tcPr>
                <w:p w14:paraId="324C8F72">
                  <w:pPr>
                    <w:adjustRightInd w:val="0"/>
                    <w:snapToGrid w:val="0"/>
                    <w:jc w:val="center"/>
                    <w:rPr>
                      <w:bCs/>
                      <w:color w:val="auto"/>
                      <w:sz w:val="18"/>
                      <w:szCs w:val="18"/>
                      <w:highlight w:val="none"/>
                    </w:rPr>
                  </w:pPr>
                  <w:r>
                    <w:rPr>
                      <w:rFonts w:hint="eastAsia"/>
                      <w:bCs/>
                      <w:color w:val="auto"/>
                      <w:sz w:val="18"/>
                      <w:szCs w:val="18"/>
                      <w:highlight w:val="none"/>
                    </w:rPr>
                    <w:t>178000</w:t>
                  </w:r>
                </w:p>
              </w:tc>
              <w:tc>
                <w:tcPr>
                  <w:tcW w:w="704" w:type="pct"/>
                  <w:noWrap/>
                  <w:vAlign w:val="center"/>
                </w:tcPr>
                <w:p w14:paraId="3D4B6E1E">
                  <w:pPr>
                    <w:adjustRightInd w:val="0"/>
                    <w:snapToGrid w:val="0"/>
                    <w:jc w:val="center"/>
                    <w:rPr>
                      <w:color w:val="auto"/>
                      <w:sz w:val="18"/>
                      <w:szCs w:val="18"/>
                      <w:highlight w:val="none"/>
                    </w:rPr>
                  </w:pPr>
                  <w:r>
                    <w:rPr>
                      <w:rFonts w:hint="eastAsia"/>
                      <w:color w:val="auto"/>
                      <w:sz w:val="18"/>
                      <w:szCs w:val="18"/>
                      <w:highlight w:val="none"/>
                    </w:rPr>
                    <w:t>物料棚</w:t>
                  </w:r>
                </w:p>
              </w:tc>
              <w:tc>
                <w:tcPr>
                  <w:tcW w:w="748" w:type="pct"/>
                  <w:noWrap/>
                  <w:vAlign w:val="center"/>
                </w:tcPr>
                <w:p w14:paraId="6212EA9B">
                  <w:pPr>
                    <w:adjustRightInd w:val="0"/>
                    <w:snapToGrid w:val="0"/>
                    <w:jc w:val="center"/>
                    <w:rPr>
                      <w:color w:val="auto"/>
                      <w:sz w:val="18"/>
                      <w:szCs w:val="18"/>
                      <w:highlight w:val="none"/>
                    </w:rPr>
                  </w:pPr>
                  <w:r>
                    <w:rPr>
                      <w:rFonts w:hint="eastAsia"/>
                      <w:color w:val="auto"/>
                      <w:sz w:val="18"/>
                      <w:szCs w:val="18"/>
                      <w:highlight w:val="none"/>
                    </w:rPr>
                    <w:t>回用人造土壤基质生产</w:t>
                  </w:r>
                </w:p>
              </w:tc>
              <w:tc>
                <w:tcPr>
                  <w:tcW w:w="494" w:type="pct"/>
                  <w:noWrap/>
                  <w:vAlign w:val="center"/>
                </w:tcPr>
                <w:p w14:paraId="22C0360B">
                  <w:pPr>
                    <w:adjustRightInd w:val="0"/>
                    <w:snapToGrid w:val="0"/>
                    <w:jc w:val="center"/>
                    <w:rPr>
                      <w:bCs/>
                      <w:color w:val="auto"/>
                      <w:sz w:val="18"/>
                      <w:szCs w:val="18"/>
                      <w:highlight w:val="none"/>
                    </w:rPr>
                  </w:pPr>
                  <w:r>
                    <w:rPr>
                      <w:rFonts w:hint="eastAsia"/>
                      <w:bCs/>
                      <w:color w:val="auto"/>
                      <w:sz w:val="18"/>
                      <w:szCs w:val="18"/>
                      <w:highlight w:val="none"/>
                    </w:rPr>
                    <w:t>178000</w:t>
                  </w:r>
                </w:p>
              </w:tc>
            </w:tr>
            <w:tr w14:paraId="5854FA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429" w:type="pct"/>
                  <w:noWrap/>
                  <w:vAlign w:val="center"/>
                </w:tcPr>
                <w:p w14:paraId="47011805">
                  <w:pPr>
                    <w:jc w:val="center"/>
                    <w:rPr>
                      <w:bCs/>
                      <w:color w:val="auto"/>
                      <w:sz w:val="18"/>
                      <w:szCs w:val="18"/>
                      <w:highlight w:val="none"/>
                    </w:rPr>
                  </w:pPr>
                  <w:r>
                    <w:rPr>
                      <w:rFonts w:hint="eastAsia"/>
                      <w:bCs/>
                      <w:color w:val="auto"/>
                      <w:sz w:val="18"/>
                      <w:szCs w:val="18"/>
                      <w:highlight w:val="none"/>
                    </w:rPr>
                    <w:t>粉煤灰仓</w:t>
                  </w:r>
                </w:p>
              </w:tc>
              <w:tc>
                <w:tcPr>
                  <w:tcW w:w="554" w:type="pct"/>
                  <w:noWrap/>
                  <w:vAlign w:val="center"/>
                </w:tcPr>
                <w:p w14:paraId="15A71E6D">
                  <w:pPr>
                    <w:adjustRightInd w:val="0"/>
                    <w:snapToGrid w:val="0"/>
                    <w:jc w:val="center"/>
                    <w:rPr>
                      <w:bCs/>
                      <w:color w:val="auto"/>
                      <w:sz w:val="18"/>
                      <w:szCs w:val="18"/>
                      <w:highlight w:val="none"/>
                    </w:rPr>
                  </w:pPr>
                  <w:r>
                    <w:rPr>
                      <w:rFonts w:hint="eastAsia"/>
                      <w:bCs/>
                      <w:color w:val="auto"/>
                      <w:sz w:val="18"/>
                      <w:szCs w:val="18"/>
                      <w:highlight w:val="none"/>
                    </w:rPr>
                    <w:t>除尘器收尘</w:t>
                  </w:r>
                </w:p>
              </w:tc>
              <w:tc>
                <w:tcPr>
                  <w:tcW w:w="700" w:type="pct"/>
                  <w:vMerge w:val="continue"/>
                  <w:noWrap/>
                  <w:vAlign w:val="center"/>
                </w:tcPr>
                <w:p w14:paraId="30BE3051">
                  <w:pPr>
                    <w:adjustRightInd w:val="0"/>
                    <w:snapToGrid w:val="0"/>
                    <w:jc w:val="center"/>
                    <w:rPr>
                      <w:bCs/>
                      <w:color w:val="auto"/>
                      <w:sz w:val="18"/>
                      <w:szCs w:val="18"/>
                      <w:highlight w:val="none"/>
                    </w:rPr>
                  </w:pPr>
                </w:p>
              </w:tc>
              <w:tc>
                <w:tcPr>
                  <w:tcW w:w="871" w:type="pct"/>
                  <w:noWrap/>
                  <w:vAlign w:val="center"/>
                </w:tcPr>
                <w:p w14:paraId="57C60FCB">
                  <w:pPr>
                    <w:adjustRightInd w:val="0"/>
                    <w:snapToGrid w:val="0"/>
                    <w:jc w:val="center"/>
                    <w:rPr>
                      <w:bCs/>
                      <w:color w:val="auto"/>
                      <w:sz w:val="18"/>
                      <w:szCs w:val="18"/>
                      <w:highlight w:val="none"/>
                    </w:rPr>
                  </w:pPr>
                  <w:r>
                    <w:rPr>
                      <w:rFonts w:hint="eastAsia"/>
                      <w:bCs/>
                      <w:color w:val="auto"/>
                      <w:sz w:val="18"/>
                      <w:szCs w:val="18"/>
                      <w:highlight w:val="none"/>
                    </w:rPr>
                    <w:t>900-099-S05</w:t>
                  </w:r>
                </w:p>
              </w:tc>
              <w:tc>
                <w:tcPr>
                  <w:tcW w:w="497" w:type="pct"/>
                  <w:noWrap/>
                  <w:vAlign w:val="center"/>
                </w:tcPr>
                <w:p w14:paraId="7B4757D7">
                  <w:pPr>
                    <w:adjustRightInd w:val="0"/>
                    <w:snapToGrid w:val="0"/>
                    <w:jc w:val="center"/>
                    <w:rPr>
                      <w:bCs/>
                      <w:color w:val="auto"/>
                      <w:sz w:val="18"/>
                      <w:szCs w:val="18"/>
                      <w:highlight w:val="none"/>
                    </w:rPr>
                  </w:pPr>
                  <w:r>
                    <w:rPr>
                      <w:rFonts w:hint="eastAsia"/>
                      <w:color w:val="auto"/>
                      <w:sz w:val="18"/>
                      <w:szCs w:val="18"/>
                      <w:highlight w:val="none"/>
                    </w:rPr>
                    <w:t>0.836</w:t>
                  </w:r>
                </w:p>
              </w:tc>
              <w:tc>
                <w:tcPr>
                  <w:tcW w:w="704" w:type="pct"/>
                  <w:noWrap/>
                  <w:vAlign w:val="center"/>
                </w:tcPr>
                <w:p w14:paraId="12341359">
                  <w:pPr>
                    <w:adjustRightInd w:val="0"/>
                    <w:snapToGrid w:val="0"/>
                    <w:jc w:val="center"/>
                    <w:rPr>
                      <w:color w:val="auto"/>
                      <w:sz w:val="18"/>
                      <w:szCs w:val="18"/>
                      <w:highlight w:val="none"/>
                    </w:rPr>
                  </w:pPr>
                  <w:r>
                    <w:rPr>
                      <w:rFonts w:hint="eastAsia"/>
                      <w:bCs/>
                      <w:color w:val="auto"/>
                      <w:sz w:val="18"/>
                      <w:szCs w:val="18"/>
                      <w:highlight w:val="none"/>
                    </w:rPr>
                    <w:t>落回料仓内回用于生产</w:t>
                  </w:r>
                </w:p>
              </w:tc>
              <w:tc>
                <w:tcPr>
                  <w:tcW w:w="748" w:type="pct"/>
                  <w:noWrap/>
                  <w:vAlign w:val="center"/>
                </w:tcPr>
                <w:p w14:paraId="1353F961">
                  <w:pPr>
                    <w:adjustRightInd w:val="0"/>
                    <w:snapToGrid w:val="0"/>
                    <w:jc w:val="center"/>
                    <w:rPr>
                      <w:color w:val="auto"/>
                      <w:sz w:val="18"/>
                      <w:szCs w:val="18"/>
                      <w:highlight w:val="none"/>
                    </w:rPr>
                  </w:pPr>
                  <w:r>
                    <w:rPr>
                      <w:rFonts w:hint="eastAsia"/>
                      <w:color w:val="auto"/>
                      <w:sz w:val="18"/>
                      <w:szCs w:val="18"/>
                      <w:highlight w:val="none"/>
                    </w:rPr>
                    <w:t>回用人造土壤基质生产</w:t>
                  </w:r>
                </w:p>
              </w:tc>
              <w:tc>
                <w:tcPr>
                  <w:tcW w:w="824" w:type="dxa"/>
                  <w:noWrap/>
                  <w:vAlign w:val="center"/>
                </w:tcPr>
                <w:p w14:paraId="6FFEF889">
                  <w:pPr>
                    <w:adjustRightInd w:val="0"/>
                    <w:snapToGrid w:val="0"/>
                    <w:jc w:val="center"/>
                    <w:rPr>
                      <w:bCs/>
                      <w:color w:val="auto"/>
                      <w:sz w:val="18"/>
                      <w:szCs w:val="18"/>
                      <w:highlight w:val="none"/>
                    </w:rPr>
                  </w:pPr>
                  <w:r>
                    <w:rPr>
                      <w:rFonts w:hint="eastAsia"/>
                      <w:color w:val="auto"/>
                      <w:sz w:val="18"/>
                      <w:szCs w:val="18"/>
                      <w:highlight w:val="none"/>
                    </w:rPr>
                    <w:t>0.836</w:t>
                  </w:r>
                </w:p>
              </w:tc>
            </w:tr>
            <w:tr w14:paraId="4AD517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429" w:type="pct"/>
                  <w:noWrap/>
                  <w:vAlign w:val="center"/>
                </w:tcPr>
                <w:p w14:paraId="5B9A750D">
                  <w:pPr>
                    <w:jc w:val="center"/>
                    <w:rPr>
                      <w:bCs/>
                      <w:color w:val="auto"/>
                      <w:sz w:val="18"/>
                      <w:szCs w:val="18"/>
                      <w:highlight w:val="none"/>
                    </w:rPr>
                  </w:pPr>
                  <w:r>
                    <w:rPr>
                      <w:rFonts w:hint="eastAsia"/>
                      <w:bCs/>
                      <w:color w:val="auto"/>
                      <w:sz w:val="18"/>
                      <w:szCs w:val="18"/>
                      <w:highlight w:val="none"/>
                    </w:rPr>
                    <w:t>粉碎工序</w:t>
                  </w:r>
                </w:p>
              </w:tc>
              <w:tc>
                <w:tcPr>
                  <w:tcW w:w="554" w:type="pct"/>
                  <w:noWrap/>
                  <w:vAlign w:val="center"/>
                </w:tcPr>
                <w:p w14:paraId="4C18CEC8">
                  <w:pPr>
                    <w:adjustRightInd w:val="0"/>
                    <w:snapToGrid w:val="0"/>
                    <w:jc w:val="center"/>
                    <w:rPr>
                      <w:bCs/>
                      <w:color w:val="auto"/>
                      <w:sz w:val="18"/>
                      <w:szCs w:val="18"/>
                      <w:highlight w:val="none"/>
                    </w:rPr>
                  </w:pPr>
                  <w:r>
                    <w:rPr>
                      <w:rFonts w:hint="eastAsia"/>
                      <w:bCs/>
                      <w:color w:val="auto"/>
                      <w:sz w:val="18"/>
                      <w:szCs w:val="18"/>
                      <w:highlight w:val="none"/>
                    </w:rPr>
                    <w:t>除尘器收尘</w:t>
                  </w:r>
                </w:p>
              </w:tc>
              <w:tc>
                <w:tcPr>
                  <w:tcW w:w="700" w:type="pct"/>
                  <w:vMerge w:val="continue"/>
                  <w:noWrap/>
                  <w:vAlign w:val="center"/>
                </w:tcPr>
                <w:p w14:paraId="3593F1BB">
                  <w:pPr>
                    <w:adjustRightInd w:val="0"/>
                    <w:snapToGrid w:val="0"/>
                    <w:jc w:val="center"/>
                    <w:rPr>
                      <w:bCs/>
                      <w:color w:val="auto"/>
                      <w:sz w:val="18"/>
                      <w:szCs w:val="18"/>
                      <w:highlight w:val="none"/>
                    </w:rPr>
                  </w:pPr>
                </w:p>
              </w:tc>
              <w:tc>
                <w:tcPr>
                  <w:tcW w:w="871" w:type="pct"/>
                  <w:noWrap/>
                  <w:vAlign w:val="center"/>
                </w:tcPr>
                <w:p w14:paraId="4FB12D46">
                  <w:pPr>
                    <w:adjustRightInd w:val="0"/>
                    <w:snapToGrid w:val="0"/>
                    <w:jc w:val="center"/>
                    <w:rPr>
                      <w:bCs/>
                      <w:color w:val="auto"/>
                      <w:sz w:val="18"/>
                      <w:szCs w:val="18"/>
                      <w:highlight w:val="none"/>
                    </w:rPr>
                  </w:pPr>
                  <w:r>
                    <w:rPr>
                      <w:rFonts w:hint="eastAsia"/>
                      <w:bCs/>
                      <w:color w:val="auto"/>
                      <w:sz w:val="18"/>
                      <w:szCs w:val="18"/>
                      <w:highlight w:val="none"/>
                    </w:rPr>
                    <w:t>900-099-S05</w:t>
                  </w:r>
                </w:p>
              </w:tc>
              <w:tc>
                <w:tcPr>
                  <w:tcW w:w="497" w:type="pct"/>
                  <w:noWrap/>
                  <w:vAlign w:val="center"/>
                </w:tcPr>
                <w:p w14:paraId="201A3490">
                  <w:pPr>
                    <w:adjustRightInd w:val="0"/>
                    <w:snapToGrid w:val="0"/>
                    <w:jc w:val="center"/>
                    <w:rPr>
                      <w:bCs/>
                      <w:color w:val="auto"/>
                      <w:sz w:val="18"/>
                      <w:szCs w:val="18"/>
                      <w:highlight w:val="none"/>
                    </w:rPr>
                  </w:pPr>
                  <w:r>
                    <w:rPr>
                      <w:rFonts w:hint="eastAsia"/>
                      <w:color w:val="auto"/>
                      <w:sz w:val="18"/>
                      <w:szCs w:val="18"/>
                      <w:highlight w:val="none"/>
                    </w:rPr>
                    <w:t>5.868</w:t>
                  </w:r>
                </w:p>
              </w:tc>
              <w:tc>
                <w:tcPr>
                  <w:tcW w:w="704" w:type="pct"/>
                  <w:noWrap/>
                  <w:vAlign w:val="center"/>
                </w:tcPr>
                <w:p w14:paraId="72A46BB5">
                  <w:pPr>
                    <w:adjustRightInd w:val="0"/>
                    <w:snapToGrid w:val="0"/>
                    <w:jc w:val="center"/>
                    <w:rPr>
                      <w:color w:val="auto"/>
                      <w:sz w:val="18"/>
                      <w:szCs w:val="18"/>
                      <w:highlight w:val="none"/>
                    </w:rPr>
                  </w:pPr>
                  <w:r>
                    <w:rPr>
                      <w:rFonts w:hint="eastAsia"/>
                      <w:color w:val="auto"/>
                      <w:sz w:val="18"/>
                      <w:szCs w:val="18"/>
                      <w:highlight w:val="none"/>
                    </w:rPr>
                    <w:t>物料棚</w:t>
                  </w:r>
                </w:p>
              </w:tc>
              <w:tc>
                <w:tcPr>
                  <w:tcW w:w="748" w:type="pct"/>
                  <w:noWrap/>
                  <w:vAlign w:val="center"/>
                </w:tcPr>
                <w:p w14:paraId="6E51ABF7">
                  <w:pPr>
                    <w:adjustRightInd w:val="0"/>
                    <w:snapToGrid w:val="0"/>
                    <w:jc w:val="center"/>
                    <w:rPr>
                      <w:color w:val="auto"/>
                      <w:sz w:val="18"/>
                      <w:szCs w:val="18"/>
                      <w:highlight w:val="none"/>
                    </w:rPr>
                  </w:pPr>
                  <w:r>
                    <w:rPr>
                      <w:rFonts w:hint="eastAsia"/>
                      <w:bCs/>
                      <w:color w:val="auto"/>
                      <w:sz w:val="18"/>
                      <w:szCs w:val="18"/>
                      <w:highlight w:val="none"/>
                    </w:rPr>
                    <w:t>回用人造土壤基质生产</w:t>
                  </w:r>
                </w:p>
              </w:tc>
              <w:tc>
                <w:tcPr>
                  <w:tcW w:w="824" w:type="dxa"/>
                  <w:noWrap/>
                  <w:vAlign w:val="center"/>
                </w:tcPr>
                <w:p w14:paraId="4B9D63A8">
                  <w:pPr>
                    <w:adjustRightInd w:val="0"/>
                    <w:snapToGrid w:val="0"/>
                    <w:jc w:val="center"/>
                    <w:rPr>
                      <w:bCs/>
                      <w:color w:val="auto"/>
                      <w:sz w:val="18"/>
                      <w:szCs w:val="18"/>
                      <w:highlight w:val="none"/>
                    </w:rPr>
                  </w:pPr>
                  <w:r>
                    <w:rPr>
                      <w:rFonts w:hint="eastAsia"/>
                      <w:color w:val="auto"/>
                      <w:sz w:val="18"/>
                      <w:szCs w:val="18"/>
                      <w:highlight w:val="none"/>
                    </w:rPr>
                    <w:t>5.868</w:t>
                  </w:r>
                </w:p>
              </w:tc>
            </w:tr>
            <w:tr w14:paraId="0303915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429" w:type="pct"/>
                  <w:tcBorders>
                    <w:bottom w:val="single" w:color="auto" w:sz="12" w:space="0"/>
                  </w:tcBorders>
                  <w:noWrap/>
                  <w:vAlign w:val="center"/>
                </w:tcPr>
                <w:p w14:paraId="4A821D7E">
                  <w:pPr>
                    <w:jc w:val="center"/>
                    <w:rPr>
                      <w:bCs/>
                      <w:color w:val="auto"/>
                      <w:sz w:val="18"/>
                      <w:szCs w:val="18"/>
                      <w:highlight w:val="none"/>
                    </w:rPr>
                  </w:pPr>
                  <w:r>
                    <w:rPr>
                      <w:rFonts w:hint="eastAsia"/>
                      <w:bCs/>
                      <w:color w:val="auto"/>
                      <w:sz w:val="18"/>
                      <w:szCs w:val="18"/>
                      <w:highlight w:val="none"/>
                    </w:rPr>
                    <w:t>除尘器</w:t>
                  </w:r>
                </w:p>
              </w:tc>
              <w:tc>
                <w:tcPr>
                  <w:tcW w:w="554" w:type="pct"/>
                  <w:tcBorders>
                    <w:bottom w:val="single" w:color="auto" w:sz="12" w:space="0"/>
                  </w:tcBorders>
                  <w:noWrap/>
                  <w:vAlign w:val="center"/>
                </w:tcPr>
                <w:p w14:paraId="0A3785E9">
                  <w:pPr>
                    <w:adjustRightInd w:val="0"/>
                    <w:snapToGrid w:val="0"/>
                    <w:jc w:val="center"/>
                    <w:rPr>
                      <w:bCs/>
                      <w:color w:val="auto"/>
                      <w:sz w:val="18"/>
                      <w:szCs w:val="18"/>
                      <w:highlight w:val="none"/>
                    </w:rPr>
                  </w:pPr>
                  <w:r>
                    <w:rPr>
                      <w:rFonts w:hint="eastAsia"/>
                      <w:bCs/>
                      <w:color w:val="auto"/>
                      <w:sz w:val="18"/>
                      <w:szCs w:val="18"/>
                      <w:highlight w:val="none"/>
                    </w:rPr>
                    <w:t>废布袋</w:t>
                  </w:r>
                </w:p>
              </w:tc>
              <w:tc>
                <w:tcPr>
                  <w:tcW w:w="700" w:type="pct"/>
                  <w:vMerge w:val="continue"/>
                  <w:tcBorders>
                    <w:bottom w:val="single" w:color="auto" w:sz="12" w:space="0"/>
                  </w:tcBorders>
                  <w:noWrap/>
                  <w:vAlign w:val="center"/>
                </w:tcPr>
                <w:p w14:paraId="32698549">
                  <w:pPr>
                    <w:adjustRightInd w:val="0"/>
                    <w:snapToGrid w:val="0"/>
                    <w:jc w:val="center"/>
                    <w:rPr>
                      <w:bCs/>
                      <w:color w:val="auto"/>
                      <w:sz w:val="18"/>
                      <w:szCs w:val="18"/>
                      <w:highlight w:val="none"/>
                    </w:rPr>
                  </w:pPr>
                </w:p>
              </w:tc>
              <w:tc>
                <w:tcPr>
                  <w:tcW w:w="871" w:type="pct"/>
                  <w:tcBorders>
                    <w:bottom w:val="single" w:color="auto" w:sz="12" w:space="0"/>
                  </w:tcBorders>
                  <w:noWrap/>
                  <w:vAlign w:val="center"/>
                </w:tcPr>
                <w:p w14:paraId="38ADD717">
                  <w:pPr>
                    <w:adjustRightInd w:val="0"/>
                    <w:snapToGrid w:val="0"/>
                    <w:jc w:val="center"/>
                    <w:rPr>
                      <w:bCs/>
                      <w:color w:val="auto"/>
                      <w:sz w:val="18"/>
                      <w:szCs w:val="18"/>
                      <w:highlight w:val="none"/>
                    </w:rPr>
                  </w:pPr>
                  <w:r>
                    <w:rPr>
                      <w:rFonts w:hint="eastAsia"/>
                      <w:color w:val="auto"/>
                      <w:sz w:val="18"/>
                      <w:szCs w:val="18"/>
                      <w:highlight w:val="none"/>
                    </w:rPr>
                    <w:t>900</w:t>
                  </w:r>
                  <w:r>
                    <w:rPr>
                      <w:color w:val="auto"/>
                      <w:sz w:val="18"/>
                      <w:szCs w:val="18"/>
                      <w:highlight w:val="none"/>
                    </w:rPr>
                    <w:t>-00</w:t>
                  </w:r>
                  <w:r>
                    <w:rPr>
                      <w:rFonts w:hint="eastAsia"/>
                      <w:color w:val="auto"/>
                      <w:sz w:val="18"/>
                      <w:szCs w:val="18"/>
                      <w:highlight w:val="none"/>
                    </w:rPr>
                    <w:t>9</w:t>
                  </w:r>
                  <w:r>
                    <w:rPr>
                      <w:color w:val="auto"/>
                      <w:sz w:val="18"/>
                      <w:szCs w:val="18"/>
                      <w:highlight w:val="none"/>
                    </w:rPr>
                    <w:t>-S</w:t>
                  </w:r>
                  <w:r>
                    <w:rPr>
                      <w:rFonts w:hint="eastAsia"/>
                      <w:color w:val="auto"/>
                      <w:sz w:val="18"/>
                      <w:szCs w:val="18"/>
                      <w:highlight w:val="none"/>
                    </w:rPr>
                    <w:t>59</w:t>
                  </w:r>
                </w:p>
              </w:tc>
              <w:tc>
                <w:tcPr>
                  <w:tcW w:w="497" w:type="pct"/>
                  <w:tcBorders>
                    <w:bottom w:val="single" w:color="auto" w:sz="12" w:space="0"/>
                  </w:tcBorders>
                  <w:noWrap/>
                  <w:vAlign w:val="center"/>
                </w:tcPr>
                <w:p w14:paraId="7F4B60C1">
                  <w:pPr>
                    <w:adjustRightInd w:val="0"/>
                    <w:snapToGrid w:val="0"/>
                    <w:jc w:val="center"/>
                    <w:rPr>
                      <w:bCs/>
                      <w:color w:val="auto"/>
                      <w:sz w:val="18"/>
                      <w:szCs w:val="18"/>
                      <w:highlight w:val="none"/>
                    </w:rPr>
                  </w:pPr>
                  <w:r>
                    <w:rPr>
                      <w:rFonts w:hint="eastAsia"/>
                      <w:color w:val="auto"/>
                      <w:sz w:val="18"/>
                      <w:szCs w:val="18"/>
                      <w:highlight w:val="none"/>
                    </w:rPr>
                    <w:t>0.1</w:t>
                  </w:r>
                </w:p>
              </w:tc>
              <w:tc>
                <w:tcPr>
                  <w:tcW w:w="704" w:type="pct"/>
                  <w:tcBorders>
                    <w:bottom w:val="single" w:color="auto" w:sz="12" w:space="0"/>
                  </w:tcBorders>
                  <w:noWrap/>
                  <w:vAlign w:val="center"/>
                </w:tcPr>
                <w:p w14:paraId="24B43BAE">
                  <w:pPr>
                    <w:autoSpaceDE w:val="0"/>
                    <w:autoSpaceDN w:val="0"/>
                    <w:jc w:val="center"/>
                    <w:rPr>
                      <w:color w:val="auto"/>
                      <w:sz w:val="18"/>
                      <w:szCs w:val="18"/>
                      <w:highlight w:val="none"/>
                    </w:rPr>
                  </w:pPr>
                  <w:r>
                    <w:rPr>
                      <w:rFonts w:hint="eastAsia"/>
                      <w:bCs/>
                      <w:color w:val="auto"/>
                      <w:sz w:val="18"/>
                      <w:szCs w:val="18"/>
                      <w:highlight w:val="none"/>
                    </w:rPr>
                    <w:t>不贮存</w:t>
                  </w:r>
                </w:p>
              </w:tc>
              <w:tc>
                <w:tcPr>
                  <w:tcW w:w="748" w:type="pct"/>
                  <w:tcBorders>
                    <w:bottom w:val="single" w:color="auto" w:sz="12" w:space="0"/>
                  </w:tcBorders>
                  <w:noWrap/>
                  <w:vAlign w:val="center"/>
                </w:tcPr>
                <w:p w14:paraId="5C6B68F5">
                  <w:pPr>
                    <w:autoSpaceDE w:val="0"/>
                    <w:autoSpaceDN w:val="0"/>
                    <w:jc w:val="center"/>
                    <w:rPr>
                      <w:color w:val="auto"/>
                      <w:sz w:val="18"/>
                      <w:szCs w:val="18"/>
                      <w:highlight w:val="none"/>
                    </w:rPr>
                  </w:pPr>
                  <w:r>
                    <w:rPr>
                      <w:color w:val="auto"/>
                      <w:sz w:val="18"/>
                      <w:szCs w:val="18"/>
                      <w:highlight w:val="none"/>
                    </w:rPr>
                    <w:t>除尘器厂家更换后</w:t>
                  </w:r>
                  <w:r>
                    <w:rPr>
                      <w:rFonts w:hint="eastAsia"/>
                      <w:color w:val="auto"/>
                      <w:sz w:val="18"/>
                      <w:szCs w:val="18"/>
                      <w:highlight w:val="none"/>
                    </w:rPr>
                    <w:t>回收</w:t>
                  </w:r>
                </w:p>
              </w:tc>
              <w:tc>
                <w:tcPr>
                  <w:tcW w:w="494" w:type="pct"/>
                  <w:tcBorders>
                    <w:bottom w:val="single" w:color="auto" w:sz="12" w:space="0"/>
                  </w:tcBorders>
                  <w:noWrap/>
                  <w:vAlign w:val="center"/>
                </w:tcPr>
                <w:p w14:paraId="7BD2E08C">
                  <w:pPr>
                    <w:adjustRightInd w:val="0"/>
                    <w:snapToGrid w:val="0"/>
                    <w:jc w:val="center"/>
                    <w:rPr>
                      <w:bCs/>
                      <w:color w:val="auto"/>
                      <w:sz w:val="18"/>
                      <w:szCs w:val="18"/>
                      <w:highlight w:val="none"/>
                    </w:rPr>
                  </w:pPr>
                  <w:r>
                    <w:rPr>
                      <w:rFonts w:hint="eastAsia"/>
                      <w:color w:val="auto"/>
                      <w:sz w:val="18"/>
                      <w:szCs w:val="18"/>
                      <w:highlight w:val="none"/>
                    </w:rPr>
                    <w:t>0.1</w:t>
                  </w:r>
                </w:p>
              </w:tc>
            </w:tr>
          </w:tbl>
          <w:p w14:paraId="3FB84390">
            <w:pPr>
              <w:adjustRightInd w:val="0"/>
              <w:snapToGrid w:val="0"/>
              <w:jc w:val="center"/>
              <w:rPr>
                <w:b/>
                <w:bCs/>
                <w:color w:val="auto"/>
                <w:szCs w:val="21"/>
                <w:highlight w:val="none"/>
              </w:rPr>
            </w:pPr>
            <w:r>
              <w:rPr>
                <w:rFonts w:hint="eastAsia"/>
                <w:b/>
                <w:bCs/>
                <w:color w:val="auto"/>
                <w:szCs w:val="21"/>
                <w:highlight w:val="none"/>
              </w:rPr>
              <w:t>表4-8危险废物贮存信息</w:t>
            </w:r>
          </w:p>
          <w:tbl>
            <w:tblPr>
              <w:tblStyle w:val="23"/>
              <w:tblW w:w="81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93"/>
              <w:gridCol w:w="1134"/>
              <w:gridCol w:w="1403"/>
              <w:gridCol w:w="786"/>
              <w:gridCol w:w="1143"/>
              <w:gridCol w:w="1221"/>
              <w:gridCol w:w="802"/>
            </w:tblGrid>
            <w:tr w14:paraId="5E9F1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753" w:type="dxa"/>
                  <w:tcBorders>
                    <w:tl2br w:val="nil"/>
                    <w:tr2bl w:val="nil"/>
                  </w:tcBorders>
                  <w:vAlign w:val="center"/>
                </w:tcPr>
                <w:p w14:paraId="0760F7B0">
                  <w:pPr>
                    <w:adjustRightInd w:val="0"/>
                    <w:snapToGrid w:val="0"/>
                    <w:jc w:val="center"/>
                    <w:rPr>
                      <w:bCs/>
                      <w:color w:val="auto"/>
                      <w:sz w:val="18"/>
                      <w:szCs w:val="18"/>
                      <w:highlight w:val="none"/>
                    </w:rPr>
                  </w:pPr>
                  <w:r>
                    <w:rPr>
                      <w:bCs/>
                      <w:color w:val="auto"/>
                      <w:sz w:val="18"/>
                      <w:szCs w:val="18"/>
                      <w:highlight w:val="none"/>
                    </w:rPr>
                    <w:t>产生环节</w:t>
                  </w:r>
                </w:p>
              </w:tc>
              <w:tc>
                <w:tcPr>
                  <w:tcW w:w="893" w:type="dxa"/>
                  <w:tcBorders>
                    <w:tl2br w:val="nil"/>
                    <w:tr2bl w:val="nil"/>
                  </w:tcBorders>
                  <w:vAlign w:val="center"/>
                </w:tcPr>
                <w:p w14:paraId="488AEF5F">
                  <w:pPr>
                    <w:adjustRightInd w:val="0"/>
                    <w:snapToGrid w:val="0"/>
                    <w:jc w:val="center"/>
                    <w:rPr>
                      <w:bCs/>
                      <w:color w:val="auto"/>
                      <w:sz w:val="18"/>
                      <w:szCs w:val="18"/>
                      <w:highlight w:val="none"/>
                    </w:rPr>
                  </w:pPr>
                  <w:r>
                    <w:rPr>
                      <w:bCs/>
                      <w:color w:val="auto"/>
                      <w:sz w:val="18"/>
                      <w:szCs w:val="18"/>
                      <w:highlight w:val="none"/>
                    </w:rPr>
                    <w:t>名称</w:t>
                  </w:r>
                </w:p>
              </w:tc>
              <w:tc>
                <w:tcPr>
                  <w:tcW w:w="1134" w:type="dxa"/>
                  <w:tcBorders>
                    <w:tl2br w:val="nil"/>
                    <w:tr2bl w:val="nil"/>
                  </w:tcBorders>
                  <w:vAlign w:val="center"/>
                </w:tcPr>
                <w:p w14:paraId="28AA3035">
                  <w:pPr>
                    <w:adjustRightInd w:val="0"/>
                    <w:snapToGrid w:val="0"/>
                    <w:jc w:val="center"/>
                    <w:rPr>
                      <w:bCs/>
                      <w:color w:val="auto"/>
                      <w:sz w:val="18"/>
                      <w:szCs w:val="18"/>
                      <w:highlight w:val="none"/>
                    </w:rPr>
                  </w:pPr>
                  <w:r>
                    <w:rPr>
                      <w:rFonts w:hint="eastAsia"/>
                      <w:bCs/>
                      <w:color w:val="auto"/>
                      <w:sz w:val="18"/>
                      <w:szCs w:val="18"/>
                      <w:highlight w:val="none"/>
                    </w:rPr>
                    <w:t>性质</w:t>
                  </w:r>
                </w:p>
              </w:tc>
              <w:tc>
                <w:tcPr>
                  <w:tcW w:w="1403" w:type="dxa"/>
                  <w:tcBorders>
                    <w:tl2br w:val="nil"/>
                    <w:tr2bl w:val="nil"/>
                  </w:tcBorders>
                  <w:vAlign w:val="center"/>
                </w:tcPr>
                <w:p w14:paraId="0686F714">
                  <w:pPr>
                    <w:adjustRightInd w:val="0"/>
                    <w:snapToGrid w:val="0"/>
                    <w:jc w:val="center"/>
                    <w:rPr>
                      <w:bCs/>
                      <w:color w:val="auto"/>
                      <w:sz w:val="18"/>
                      <w:szCs w:val="18"/>
                      <w:highlight w:val="none"/>
                    </w:rPr>
                  </w:pPr>
                  <w:r>
                    <w:rPr>
                      <w:bCs/>
                      <w:color w:val="auto"/>
                      <w:sz w:val="18"/>
                      <w:szCs w:val="18"/>
                      <w:highlight w:val="none"/>
                    </w:rPr>
                    <w:t>代码</w:t>
                  </w:r>
                </w:p>
              </w:tc>
              <w:tc>
                <w:tcPr>
                  <w:tcW w:w="786" w:type="dxa"/>
                  <w:tcBorders>
                    <w:tl2br w:val="nil"/>
                    <w:tr2bl w:val="nil"/>
                  </w:tcBorders>
                  <w:vAlign w:val="center"/>
                </w:tcPr>
                <w:p w14:paraId="0C82D2C6">
                  <w:pPr>
                    <w:adjustRightInd w:val="0"/>
                    <w:snapToGrid w:val="0"/>
                    <w:jc w:val="center"/>
                    <w:rPr>
                      <w:bCs/>
                      <w:color w:val="auto"/>
                      <w:sz w:val="18"/>
                      <w:szCs w:val="18"/>
                      <w:highlight w:val="none"/>
                    </w:rPr>
                  </w:pPr>
                  <w:r>
                    <w:rPr>
                      <w:bCs/>
                      <w:color w:val="auto"/>
                      <w:sz w:val="18"/>
                      <w:szCs w:val="18"/>
                      <w:highlight w:val="none"/>
                    </w:rPr>
                    <w:t>年产生量t/a</w:t>
                  </w:r>
                </w:p>
              </w:tc>
              <w:tc>
                <w:tcPr>
                  <w:tcW w:w="1143" w:type="dxa"/>
                  <w:tcBorders>
                    <w:tl2br w:val="nil"/>
                    <w:tr2bl w:val="nil"/>
                  </w:tcBorders>
                  <w:vAlign w:val="center"/>
                </w:tcPr>
                <w:p w14:paraId="7C926D52">
                  <w:pPr>
                    <w:adjustRightInd w:val="0"/>
                    <w:snapToGrid w:val="0"/>
                    <w:jc w:val="center"/>
                    <w:rPr>
                      <w:bCs/>
                      <w:color w:val="auto"/>
                      <w:sz w:val="18"/>
                      <w:szCs w:val="18"/>
                      <w:highlight w:val="none"/>
                    </w:rPr>
                  </w:pPr>
                  <w:r>
                    <w:rPr>
                      <w:bCs/>
                      <w:color w:val="auto"/>
                      <w:sz w:val="18"/>
                      <w:szCs w:val="18"/>
                      <w:highlight w:val="none"/>
                    </w:rPr>
                    <w:t>贮存方式</w:t>
                  </w:r>
                </w:p>
              </w:tc>
              <w:tc>
                <w:tcPr>
                  <w:tcW w:w="1221" w:type="dxa"/>
                  <w:tcBorders>
                    <w:tl2br w:val="nil"/>
                    <w:tr2bl w:val="nil"/>
                  </w:tcBorders>
                  <w:vAlign w:val="center"/>
                </w:tcPr>
                <w:p w14:paraId="3CA85328">
                  <w:pPr>
                    <w:adjustRightInd w:val="0"/>
                    <w:snapToGrid w:val="0"/>
                    <w:jc w:val="center"/>
                    <w:rPr>
                      <w:bCs/>
                      <w:color w:val="auto"/>
                      <w:sz w:val="18"/>
                      <w:szCs w:val="18"/>
                      <w:highlight w:val="none"/>
                    </w:rPr>
                  </w:pPr>
                  <w:r>
                    <w:rPr>
                      <w:bCs/>
                      <w:color w:val="auto"/>
                      <w:sz w:val="18"/>
                      <w:szCs w:val="18"/>
                      <w:highlight w:val="none"/>
                    </w:rPr>
                    <w:t>处置方式和去向</w:t>
                  </w:r>
                </w:p>
              </w:tc>
              <w:tc>
                <w:tcPr>
                  <w:tcW w:w="802" w:type="dxa"/>
                  <w:tcBorders>
                    <w:tl2br w:val="nil"/>
                    <w:tr2bl w:val="nil"/>
                  </w:tcBorders>
                  <w:vAlign w:val="center"/>
                </w:tcPr>
                <w:p w14:paraId="458F5B95">
                  <w:pPr>
                    <w:adjustRightInd w:val="0"/>
                    <w:snapToGrid w:val="0"/>
                    <w:jc w:val="center"/>
                    <w:rPr>
                      <w:bCs/>
                      <w:color w:val="auto"/>
                      <w:sz w:val="18"/>
                      <w:szCs w:val="18"/>
                      <w:highlight w:val="none"/>
                    </w:rPr>
                  </w:pPr>
                  <w:r>
                    <w:rPr>
                      <w:bCs/>
                      <w:color w:val="auto"/>
                      <w:sz w:val="18"/>
                      <w:szCs w:val="18"/>
                      <w:highlight w:val="none"/>
                    </w:rPr>
                    <w:t>处置或利用量t/a</w:t>
                  </w:r>
                </w:p>
              </w:tc>
            </w:tr>
            <w:tr w14:paraId="56A1C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53" w:type="dxa"/>
                  <w:vMerge w:val="restart"/>
                  <w:tcBorders>
                    <w:tl2br w:val="nil"/>
                    <w:tr2bl w:val="nil"/>
                  </w:tcBorders>
                  <w:vAlign w:val="center"/>
                </w:tcPr>
                <w:p w14:paraId="4986CFD2">
                  <w:pPr>
                    <w:adjustRightInd w:val="0"/>
                    <w:snapToGrid w:val="0"/>
                    <w:jc w:val="center"/>
                    <w:rPr>
                      <w:bCs/>
                      <w:color w:val="auto"/>
                      <w:sz w:val="18"/>
                      <w:szCs w:val="18"/>
                      <w:highlight w:val="none"/>
                    </w:rPr>
                  </w:pPr>
                  <w:r>
                    <w:rPr>
                      <w:rFonts w:hint="eastAsia"/>
                      <w:bCs/>
                      <w:color w:val="auto"/>
                      <w:sz w:val="18"/>
                      <w:szCs w:val="18"/>
                      <w:highlight w:val="none"/>
                    </w:rPr>
                    <w:t>设备维护</w:t>
                  </w:r>
                </w:p>
              </w:tc>
              <w:tc>
                <w:tcPr>
                  <w:tcW w:w="893" w:type="dxa"/>
                  <w:tcBorders>
                    <w:tl2br w:val="nil"/>
                    <w:tr2bl w:val="nil"/>
                  </w:tcBorders>
                  <w:shd w:val="clear" w:color="auto" w:fill="auto"/>
                  <w:vAlign w:val="center"/>
                </w:tcPr>
                <w:p w14:paraId="7820A5F2">
                  <w:pPr>
                    <w:adjustRightInd w:val="0"/>
                    <w:snapToGrid w:val="0"/>
                    <w:jc w:val="center"/>
                    <w:rPr>
                      <w:bCs/>
                      <w:color w:val="auto"/>
                      <w:sz w:val="18"/>
                      <w:szCs w:val="18"/>
                      <w:highlight w:val="none"/>
                    </w:rPr>
                  </w:pPr>
                  <w:r>
                    <w:rPr>
                      <w:rFonts w:hint="eastAsia"/>
                      <w:bCs/>
                      <w:color w:val="auto"/>
                      <w:sz w:val="18"/>
                      <w:szCs w:val="18"/>
                      <w:highlight w:val="none"/>
                    </w:rPr>
                    <w:t>废机油</w:t>
                  </w:r>
                </w:p>
              </w:tc>
              <w:tc>
                <w:tcPr>
                  <w:tcW w:w="1134" w:type="dxa"/>
                  <w:tcBorders>
                    <w:tl2br w:val="nil"/>
                    <w:tr2bl w:val="nil"/>
                  </w:tcBorders>
                  <w:shd w:val="clear" w:color="auto" w:fill="auto"/>
                  <w:vAlign w:val="center"/>
                </w:tcPr>
                <w:p w14:paraId="52C788E7">
                  <w:pPr>
                    <w:adjustRightInd w:val="0"/>
                    <w:snapToGrid w:val="0"/>
                    <w:jc w:val="center"/>
                    <w:rPr>
                      <w:bCs/>
                      <w:color w:val="auto"/>
                      <w:sz w:val="18"/>
                      <w:szCs w:val="18"/>
                      <w:highlight w:val="none"/>
                    </w:rPr>
                  </w:pPr>
                  <w:r>
                    <w:rPr>
                      <w:rFonts w:hint="eastAsia"/>
                      <w:bCs/>
                      <w:color w:val="auto"/>
                      <w:sz w:val="18"/>
                      <w:szCs w:val="18"/>
                      <w:highlight w:val="none"/>
                    </w:rPr>
                    <w:t>危险废物</w:t>
                  </w:r>
                </w:p>
              </w:tc>
              <w:tc>
                <w:tcPr>
                  <w:tcW w:w="1403" w:type="dxa"/>
                  <w:tcBorders>
                    <w:tl2br w:val="nil"/>
                    <w:tr2bl w:val="nil"/>
                  </w:tcBorders>
                  <w:shd w:val="clear" w:color="auto" w:fill="auto"/>
                  <w:vAlign w:val="center"/>
                </w:tcPr>
                <w:p w14:paraId="4AD70E22">
                  <w:pPr>
                    <w:adjustRightInd w:val="0"/>
                    <w:snapToGrid w:val="0"/>
                    <w:jc w:val="center"/>
                    <w:rPr>
                      <w:bCs/>
                      <w:color w:val="auto"/>
                      <w:sz w:val="18"/>
                      <w:szCs w:val="18"/>
                      <w:highlight w:val="none"/>
                    </w:rPr>
                  </w:pPr>
                  <w:r>
                    <w:rPr>
                      <w:rFonts w:hint="eastAsia"/>
                      <w:bCs/>
                      <w:color w:val="auto"/>
                      <w:sz w:val="18"/>
                      <w:szCs w:val="18"/>
                      <w:highlight w:val="none"/>
                    </w:rPr>
                    <w:t>900-217-08</w:t>
                  </w:r>
                </w:p>
              </w:tc>
              <w:tc>
                <w:tcPr>
                  <w:tcW w:w="786" w:type="dxa"/>
                  <w:tcBorders>
                    <w:tl2br w:val="nil"/>
                    <w:tr2bl w:val="nil"/>
                  </w:tcBorders>
                  <w:shd w:val="clear" w:color="auto" w:fill="auto"/>
                  <w:vAlign w:val="center"/>
                </w:tcPr>
                <w:p w14:paraId="65645841">
                  <w:pPr>
                    <w:adjustRightInd w:val="0"/>
                    <w:snapToGrid w:val="0"/>
                    <w:jc w:val="center"/>
                    <w:rPr>
                      <w:bCs/>
                      <w:color w:val="auto"/>
                      <w:sz w:val="18"/>
                      <w:szCs w:val="18"/>
                      <w:highlight w:val="none"/>
                    </w:rPr>
                  </w:pPr>
                  <w:r>
                    <w:rPr>
                      <w:rFonts w:hint="eastAsia"/>
                      <w:bCs/>
                      <w:color w:val="auto"/>
                      <w:sz w:val="18"/>
                      <w:szCs w:val="18"/>
                      <w:highlight w:val="none"/>
                    </w:rPr>
                    <w:t>0.2</w:t>
                  </w:r>
                </w:p>
              </w:tc>
              <w:tc>
                <w:tcPr>
                  <w:tcW w:w="1143" w:type="dxa"/>
                  <w:tcBorders>
                    <w:tl2br w:val="nil"/>
                    <w:tr2bl w:val="nil"/>
                  </w:tcBorders>
                  <w:shd w:val="clear" w:color="auto" w:fill="auto"/>
                  <w:vAlign w:val="center"/>
                </w:tcPr>
                <w:p w14:paraId="1D62783C">
                  <w:pPr>
                    <w:adjustRightInd w:val="0"/>
                    <w:snapToGrid w:val="0"/>
                    <w:jc w:val="center"/>
                    <w:rPr>
                      <w:bCs/>
                      <w:color w:val="auto"/>
                      <w:sz w:val="18"/>
                      <w:szCs w:val="18"/>
                      <w:highlight w:val="none"/>
                    </w:rPr>
                  </w:pPr>
                  <w:r>
                    <w:rPr>
                      <w:rFonts w:hint="eastAsia"/>
                      <w:bCs/>
                      <w:color w:val="auto"/>
                      <w:sz w:val="18"/>
                      <w:szCs w:val="18"/>
                      <w:highlight w:val="none"/>
                    </w:rPr>
                    <w:t>暂存危险废物贮存点内密闭容器内</w:t>
                  </w:r>
                </w:p>
              </w:tc>
              <w:tc>
                <w:tcPr>
                  <w:tcW w:w="1221" w:type="dxa"/>
                  <w:vMerge w:val="restart"/>
                  <w:tcBorders>
                    <w:tl2br w:val="nil"/>
                    <w:tr2bl w:val="nil"/>
                  </w:tcBorders>
                  <w:shd w:val="clear" w:color="auto" w:fill="auto"/>
                  <w:vAlign w:val="center"/>
                </w:tcPr>
                <w:p w14:paraId="37F2C113">
                  <w:pPr>
                    <w:adjustRightInd w:val="0"/>
                    <w:snapToGrid w:val="0"/>
                    <w:jc w:val="center"/>
                    <w:rPr>
                      <w:bCs/>
                      <w:color w:val="auto"/>
                      <w:sz w:val="18"/>
                      <w:szCs w:val="18"/>
                      <w:highlight w:val="none"/>
                    </w:rPr>
                  </w:pPr>
                  <w:r>
                    <w:rPr>
                      <w:rFonts w:hint="eastAsia"/>
                      <w:bCs/>
                      <w:color w:val="auto"/>
                      <w:sz w:val="18"/>
                      <w:szCs w:val="18"/>
                      <w:highlight w:val="none"/>
                    </w:rPr>
                    <w:t>委托有资质单位处置</w:t>
                  </w:r>
                </w:p>
              </w:tc>
              <w:tc>
                <w:tcPr>
                  <w:tcW w:w="802" w:type="dxa"/>
                  <w:tcBorders>
                    <w:tl2br w:val="nil"/>
                    <w:tr2bl w:val="nil"/>
                  </w:tcBorders>
                  <w:shd w:val="clear" w:color="auto" w:fill="auto"/>
                  <w:vAlign w:val="center"/>
                </w:tcPr>
                <w:p w14:paraId="178E8325">
                  <w:pPr>
                    <w:adjustRightInd w:val="0"/>
                    <w:snapToGrid w:val="0"/>
                    <w:jc w:val="center"/>
                    <w:rPr>
                      <w:bCs/>
                      <w:color w:val="auto"/>
                      <w:sz w:val="18"/>
                      <w:szCs w:val="18"/>
                      <w:highlight w:val="none"/>
                    </w:rPr>
                  </w:pPr>
                  <w:r>
                    <w:rPr>
                      <w:rFonts w:hint="eastAsia"/>
                      <w:bCs/>
                      <w:color w:val="auto"/>
                      <w:sz w:val="18"/>
                      <w:szCs w:val="18"/>
                      <w:highlight w:val="none"/>
                    </w:rPr>
                    <w:t>0.2</w:t>
                  </w:r>
                </w:p>
              </w:tc>
            </w:tr>
            <w:tr w14:paraId="4316A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53" w:type="dxa"/>
                  <w:vMerge w:val="continue"/>
                  <w:tcBorders>
                    <w:tl2br w:val="nil"/>
                    <w:tr2bl w:val="nil"/>
                  </w:tcBorders>
                  <w:vAlign w:val="center"/>
                </w:tcPr>
                <w:p w14:paraId="3269F3A5">
                  <w:pPr>
                    <w:adjustRightInd w:val="0"/>
                    <w:snapToGrid w:val="0"/>
                    <w:jc w:val="center"/>
                    <w:rPr>
                      <w:bCs/>
                      <w:color w:val="auto"/>
                      <w:sz w:val="18"/>
                      <w:szCs w:val="18"/>
                      <w:highlight w:val="none"/>
                    </w:rPr>
                  </w:pPr>
                </w:p>
              </w:tc>
              <w:tc>
                <w:tcPr>
                  <w:tcW w:w="893" w:type="dxa"/>
                  <w:tcBorders>
                    <w:tl2br w:val="nil"/>
                    <w:tr2bl w:val="nil"/>
                  </w:tcBorders>
                  <w:shd w:val="clear" w:color="auto" w:fill="auto"/>
                  <w:vAlign w:val="center"/>
                </w:tcPr>
                <w:p w14:paraId="20E0566A">
                  <w:pPr>
                    <w:adjustRightInd w:val="0"/>
                    <w:snapToGrid w:val="0"/>
                    <w:jc w:val="center"/>
                    <w:rPr>
                      <w:bCs/>
                      <w:color w:val="auto"/>
                      <w:sz w:val="18"/>
                      <w:szCs w:val="18"/>
                      <w:highlight w:val="none"/>
                    </w:rPr>
                  </w:pPr>
                  <w:r>
                    <w:rPr>
                      <w:rFonts w:hint="eastAsia"/>
                      <w:bCs/>
                      <w:color w:val="auto"/>
                      <w:sz w:val="18"/>
                      <w:szCs w:val="18"/>
                      <w:highlight w:val="none"/>
                    </w:rPr>
                    <w:t>废弃含油抹布手套</w:t>
                  </w:r>
                </w:p>
              </w:tc>
              <w:tc>
                <w:tcPr>
                  <w:tcW w:w="1134" w:type="dxa"/>
                  <w:tcBorders>
                    <w:tl2br w:val="nil"/>
                    <w:tr2bl w:val="nil"/>
                  </w:tcBorders>
                  <w:shd w:val="clear" w:color="auto" w:fill="auto"/>
                  <w:vAlign w:val="center"/>
                </w:tcPr>
                <w:p w14:paraId="618CAE20">
                  <w:pPr>
                    <w:adjustRightInd w:val="0"/>
                    <w:snapToGrid w:val="0"/>
                    <w:jc w:val="center"/>
                    <w:rPr>
                      <w:bCs/>
                      <w:color w:val="auto"/>
                      <w:sz w:val="18"/>
                      <w:szCs w:val="18"/>
                      <w:highlight w:val="none"/>
                    </w:rPr>
                  </w:pPr>
                  <w:r>
                    <w:rPr>
                      <w:rFonts w:hint="eastAsia"/>
                      <w:bCs/>
                      <w:color w:val="auto"/>
                      <w:sz w:val="18"/>
                      <w:szCs w:val="18"/>
                      <w:highlight w:val="none"/>
                    </w:rPr>
                    <w:t>危险废物</w:t>
                  </w:r>
                </w:p>
              </w:tc>
              <w:tc>
                <w:tcPr>
                  <w:tcW w:w="1403" w:type="dxa"/>
                  <w:tcBorders>
                    <w:tl2br w:val="nil"/>
                    <w:tr2bl w:val="nil"/>
                  </w:tcBorders>
                  <w:shd w:val="clear" w:color="auto" w:fill="auto"/>
                  <w:vAlign w:val="center"/>
                </w:tcPr>
                <w:p w14:paraId="53AEF6AB">
                  <w:pPr>
                    <w:adjustRightInd w:val="0"/>
                    <w:snapToGrid w:val="0"/>
                    <w:jc w:val="center"/>
                    <w:rPr>
                      <w:bCs/>
                      <w:color w:val="auto"/>
                      <w:sz w:val="18"/>
                      <w:szCs w:val="18"/>
                      <w:highlight w:val="none"/>
                    </w:rPr>
                  </w:pPr>
                  <w:r>
                    <w:rPr>
                      <w:rFonts w:hint="eastAsia"/>
                      <w:bCs/>
                      <w:color w:val="auto"/>
                      <w:sz w:val="18"/>
                      <w:szCs w:val="18"/>
                      <w:highlight w:val="none"/>
                    </w:rPr>
                    <w:t>900-041-49</w:t>
                  </w:r>
                </w:p>
              </w:tc>
              <w:tc>
                <w:tcPr>
                  <w:tcW w:w="786" w:type="dxa"/>
                  <w:tcBorders>
                    <w:tl2br w:val="nil"/>
                    <w:tr2bl w:val="nil"/>
                  </w:tcBorders>
                  <w:shd w:val="clear" w:color="auto" w:fill="auto"/>
                  <w:vAlign w:val="center"/>
                </w:tcPr>
                <w:p w14:paraId="051A818F">
                  <w:pPr>
                    <w:adjustRightInd w:val="0"/>
                    <w:snapToGrid w:val="0"/>
                    <w:jc w:val="center"/>
                    <w:rPr>
                      <w:bCs/>
                      <w:color w:val="auto"/>
                      <w:sz w:val="18"/>
                      <w:szCs w:val="18"/>
                      <w:highlight w:val="none"/>
                    </w:rPr>
                  </w:pPr>
                  <w:r>
                    <w:rPr>
                      <w:rFonts w:hint="eastAsia"/>
                      <w:bCs/>
                      <w:color w:val="auto"/>
                      <w:sz w:val="18"/>
                      <w:szCs w:val="18"/>
                      <w:highlight w:val="none"/>
                    </w:rPr>
                    <w:t>0.05</w:t>
                  </w:r>
                </w:p>
              </w:tc>
              <w:tc>
                <w:tcPr>
                  <w:tcW w:w="1143" w:type="dxa"/>
                  <w:tcBorders>
                    <w:tl2br w:val="nil"/>
                    <w:tr2bl w:val="nil"/>
                  </w:tcBorders>
                  <w:shd w:val="clear" w:color="auto" w:fill="auto"/>
                  <w:vAlign w:val="center"/>
                </w:tcPr>
                <w:p w14:paraId="049B3AE3">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r>
                    <w:rPr>
                      <w:rFonts w:hint="eastAsia"/>
                      <w:bCs/>
                      <w:color w:val="auto"/>
                      <w:sz w:val="18"/>
                      <w:szCs w:val="18"/>
                      <w:highlight w:val="none"/>
                    </w:rPr>
                    <w:t>内密闭容器内</w:t>
                  </w:r>
                </w:p>
              </w:tc>
              <w:tc>
                <w:tcPr>
                  <w:tcW w:w="1221" w:type="dxa"/>
                  <w:vMerge w:val="continue"/>
                  <w:tcBorders>
                    <w:tl2br w:val="nil"/>
                    <w:tr2bl w:val="nil"/>
                  </w:tcBorders>
                  <w:shd w:val="clear" w:color="auto" w:fill="auto"/>
                  <w:vAlign w:val="center"/>
                </w:tcPr>
                <w:p w14:paraId="36C3D636">
                  <w:pPr>
                    <w:adjustRightInd w:val="0"/>
                    <w:snapToGrid w:val="0"/>
                    <w:jc w:val="center"/>
                    <w:rPr>
                      <w:bCs/>
                      <w:color w:val="auto"/>
                      <w:sz w:val="18"/>
                      <w:szCs w:val="18"/>
                      <w:highlight w:val="none"/>
                    </w:rPr>
                  </w:pPr>
                </w:p>
              </w:tc>
              <w:tc>
                <w:tcPr>
                  <w:tcW w:w="802" w:type="dxa"/>
                  <w:tcBorders>
                    <w:tl2br w:val="nil"/>
                    <w:tr2bl w:val="nil"/>
                  </w:tcBorders>
                  <w:shd w:val="clear" w:color="auto" w:fill="auto"/>
                  <w:vAlign w:val="center"/>
                </w:tcPr>
                <w:p w14:paraId="0B318D8E">
                  <w:pPr>
                    <w:adjustRightInd w:val="0"/>
                    <w:snapToGrid w:val="0"/>
                    <w:jc w:val="center"/>
                    <w:rPr>
                      <w:bCs/>
                      <w:color w:val="auto"/>
                      <w:sz w:val="18"/>
                      <w:szCs w:val="18"/>
                      <w:highlight w:val="none"/>
                    </w:rPr>
                  </w:pPr>
                  <w:r>
                    <w:rPr>
                      <w:rFonts w:hint="eastAsia"/>
                      <w:bCs/>
                      <w:color w:val="auto"/>
                      <w:sz w:val="18"/>
                      <w:szCs w:val="18"/>
                      <w:highlight w:val="none"/>
                    </w:rPr>
                    <w:t>0.05</w:t>
                  </w:r>
                </w:p>
              </w:tc>
            </w:tr>
            <w:tr w14:paraId="6410F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53" w:type="dxa"/>
                  <w:vMerge w:val="continue"/>
                  <w:tcBorders>
                    <w:tl2br w:val="nil"/>
                    <w:tr2bl w:val="nil"/>
                  </w:tcBorders>
                  <w:vAlign w:val="center"/>
                </w:tcPr>
                <w:p w14:paraId="01933CE0">
                  <w:pPr>
                    <w:adjustRightInd w:val="0"/>
                    <w:snapToGrid w:val="0"/>
                    <w:jc w:val="center"/>
                    <w:rPr>
                      <w:bCs/>
                      <w:color w:val="auto"/>
                      <w:sz w:val="18"/>
                      <w:szCs w:val="18"/>
                      <w:highlight w:val="none"/>
                    </w:rPr>
                  </w:pPr>
                </w:p>
              </w:tc>
              <w:tc>
                <w:tcPr>
                  <w:tcW w:w="893" w:type="dxa"/>
                  <w:tcBorders>
                    <w:tl2br w:val="nil"/>
                    <w:tr2bl w:val="nil"/>
                  </w:tcBorders>
                  <w:shd w:val="clear" w:color="auto" w:fill="auto"/>
                  <w:vAlign w:val="center"/>
                </w:tcPr>
                <w:p w14:paraId="5A72B016">
                  <w:pPr>
                    <w:adjustRightInd w:val="0"/>
                    <w:snapToGrid w:val="0"/>
                    <w:jc w:val="center"/>
                    <w:rPr>
                      <w:bCs/>
                      <w:color w:val="auto"/>
                      <w:sz w:val="18"/>
                      <w:szCs w:val="18"/>
                      <w:highlight w:val="none"/>
                    </w:rPr>
                  </w:pPr>
                  <w:r>
                    <w:rPr>
                      <w:rFonts w:hint="eastAsia"/>
                      <w:bCs/>
                      <w:color w:val="auto"/>
                      <w:sz w:val="18"/>
                      <w:szCs w:val="18"/>
                      <w:highlight w:val="none"/>
                    </w:rPr>
                    <w:t>废机油桶</w:t>
                  </w:r>
                </w:p>
              </w:tc>
              <w:tc>
                <w:tcPr>
                  <w:tcW w:w="1134" w:type="dxa"/>
                  <w:tcBorders>
                    <w:tl2br w:val="nil"/>
                    <w:tr2bl w:val="nil"/>
                  </w:tcBorders>
                  <w:shd w:val="clear" w:color="auto" w:fill="auto"/>
                  <w:vAlign w:val="center"/>
                </w:tcPr>
                <w:p w14:paraId="60281EFC">
                  <w:pPr>
                    <w:adjustRightInd w:val="0"/>
                    <w:snapToGrid w:val="0"/>
                    <w:jc w:val="center"/>
                    <w:rPr>
                      <w:bCs/>
                      <w:color w:val="auto"/>
                      <w:sz w:val="18"/>
                      <w:szCs w:val="18"/>
                      <w:highlight w:val="none"/>
                    </w:rPr>
                  </w:pPr>
                  <w:r>
                    <w:rPr>
                      <w:rFonts w:hint="eastAsia"/>
                      <w:bCs/>
                      <w:color w:val="auto"/>
                      <w:sz w:val="18"/>
                      <w:szCs w:val="18"/>
                      <w:highlight w:val="none"/>
                    </w:rPr>
                    <w:t>危险废物</w:t>
                  </w:r>
                </w:p>
              </w:tc>
              <w:tc>
                <w:tcPr>
                  <w:tcW w:w="1403" w:type="dxa"/>
                  <w:tcBorders>
                    <w:tl2br w:val="nil"/>
                    <w:tr2bl w:val="nil"/>
                  </w:tcBorders>
                  <w:shd w:val="clear" w:color="auto" w:fill="auto"/>
                  <w:vAlign w:val="center"/>
                </w:tcPr>
                <w:p w14:paraId="0E559F54">
                  <w:pPr>
                    <w:adjustRightInd w:val="0"/>
                    <w:snapToGrid w:val="0"/>
                    <w:jc w:val="center"/>
                    <w:rPr>
                      <w:bCs/>
                      <w:color w:val="auto"/>
                      <w:sz w:val="18"/>
                      <w:szCs w:val="18"/>
                      <w:highlight w:val="none"/>
                    </w:rPr>
                  </w:pPr>
                  <w:r>
                    <w:rPr>
                      <w:rFonts w:hint="eastAsia"/>
                      <w:bCs/>
                      <w:color w:val="auto"/>
                      <w:sz w:val="18"/>
                      <w:szCs w:val="18"/>
                      <w:highlight w:val="none"/>
                    </w:rPr>
                    <w:t>900-249-08</w:t>
                  </w:r>
                </w:p>
              </w:tc>
              <w:tc>
                <w:tcPr>
                  <w:tcW w:w="786" w:type="dxa"/>
                  <w:tcBorders>
                    <w:tl2br w:val="nil"/>
                    <w:tr2bl w:val="nil"/>
                  </w:tcBorders>
                  <w:shd w:val="clear" w:color="auto" w:fill="auto"/>
                  <w:vAlign w:val="center"/>
                </w:tcPr>
                <w:p w14:paraId="3D0435E2">
                  <w:pPr>
                    <w:adjustRightInd w:val="0"/>
                    <w:snapToGrid w:val="0"/>
                    <w:jc w:val="center"/>
                    <w:rPr>
                      <w:bCs/>
                      <w:color w:val="auto"/>
                      <w:sz w:val="18"/>
                      <w:szCs w:val="18"/>
                      <w:highlight w:val="none"/>
                    </w:rPr>
                  </w:pPr>
                  <w:r>
                    <w:rPr>
                      <w:rFonts w:hint="eastAsia"/>
                      <w:bCs/>
                      <w:color w:val="auto"/>
                      <w:sz w:val="18"/>
                      <w:szCs w:val="18"/>
                      <w:highlight w:val="none"/>
                    </w:rPr>
                    <w:t>0.05</w:t>
                  </w:r>
                </w:p>
              </w:tc>
              <w:tc>
                <w:tcPr>
                  <w:tcW w:w="1143" w:type="dxa"/>
                  <w:tcBorders>
                    <w:tl2br w:val="nil"/>
                    <w:tr2bl w:val="nil"/>
                  </w:tcBorders>
                  <w:shd w:val="clear" w:color="auto" w:fill="auto"/>
                  <w:vAlign w:val="center"/>
                </w:tcPr>
                <w:p w14:paraId="0D7D5CCB">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p>
              </w:tc>
              <w:tc>
                <w:tcPr>
                  <w:tcW w:w="1221" w:type="dxa"/>
                  <w:vMerge w:val="continue"/>
                  <w:tcBorders>
                    <w:tl2br w:val="nil"/>
                    <w:tr2bl w:val="nil"/>
                  </w:tcBorders>
                  <w:shd w:val="clear" w:color="auto" w:fill="auto"/>
                  <w:vAlign w:val="center"/>
                </w:tcPr>
                <w:p w14:paraId="3D96402B">
                  <w:pPr>
                    <w:adjustRightInd w:val="0"/>
                    <w:snapToGrid w:val="0"/>
                    <w:jc w:val="center"/>
                    <w:rPr>
                      <w:bCs/>
                      <w:color w:val="auto"/>
                      <w:sz w:val="18"/>
                      <w:szCs w:val="18"/>
                      <w:highlight w:val="none"/>
                    </w:rPr>
                  </w:pPr>
                </w:p>
              </w:tc>
              <w:tc>
                <w:tcPr>
                  <w:tcW w:w="802" w:type="dxa"/>
                  <w:tcBorders>
                    <w:tl2br w:val="nil"/>
                    <w:tr2bl w:val="nil"/>
                  </w:tcBorders>
                  <w:shd w:val="clear" w:color="auto" w:fill="auto"/>
                  <w:vAlign w:val="center"/>
                </w:tcPr>
                <w:p w14:paraId="4CD3FC6D">
                  <w:pPr>
                    <w:adjustRightInd w:val="0"/>
                    <w:snapToGrid w:val="0"/>
                    <w:jc w:val="center"/>
                    <w:rPr>
                      <w:bCs/>
                      <w:color w:val="auto"/>
                      <w:sz w:val="18"/>
                      <w:szCs w:val="18"/>
                      <w:highlight w:val="none"/>
                    </w:rPr>
                  </w:pPr>
                  <w:r>
                    <w:rPr>
                      <w:rFonts w:hint="eastAsia"/>
                      <w:bCs/>
                      <w:color w:val="auto"/>
                      <w:sz w:val="18"/>
                      <w:szCs w:val="18"/>
                      <w:highlight w:val="none"/>
                    </w:rPr>
                    <w:t>0.05</w:t>
                  </w:r>
                </w:p>
              </w:tc>
            </w:tr>
            <w:tr w14:paraId="5D666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0" w:hRule="atLeast"/>
              </w:trPr>
              <w:tc>
                <w:tcPr>
                  <w:tcW w:w="753" w:type="dxa"/>
                  <w:vMerge w:val="continue"/>
                  <w:tcBorders>
                    <w:tl2br w:val="nil"/>
                    <w:tr2bl w:val="nil"/>
                  </w:tcBorders>
                  <w:vAlign w:val="center"/>
                </w:tcPr>
                <w:p w14:paraId="523E0251">
                  <w:pPr>
                    <w:adjustRightInd w:val="0"/>
                    <w:snapToGrid w:val="0"/>
                    <w:jc w:val="center"/>
                    <w:rPr>
                      <w:bCs/>
                      <w:color w:val="auto"/>
                      <w:sz w:val="18"/>
                      <w:szCs w:val="18"/>
                      <w:highlight w:val="none"/>
                    </w:rPr>
                  </w:pPr>
                </w:p>
              </w:tc>
              <w:tc>
                <w:tcPr>
                  <w:tcW w:w="893" w:type="dxa"/>
                  <w:tcBorders>
                    <w:tl2br w:val="nil"/>
                    <w:tr2bl w:val="nil"/>
                  </w:tcBorders>
                  <w:shd w:val="clear" w:color="auto" w:fill="auto"/>
                  <w:vAlign w:val="center"/>
                </w:tcPr>
                <w:p w14:paraId="27AE914B">
                  <w:pPr>
                    <w:adjustRightInd w:val="0"/>
                    <w:snapToGrid w:val="0"/>
                    <w:jc w:val="center"/>
                    <w:rPr>
                      <w:bCs/>
                      <w:color w:val="auto"/>
                      <w:sz w:val="18"/>
                      <w:szCs w:val="18"/>
                      <w:highlight w:val="none"/>
                    </w:rPr>
                  </w:pPr>
                  <w:r>
                    <w:rPr>
                      <w:rFonts w:hint="eastAsia"/>
                      <w:bCs/>
                      <w:color w:val="auto"/>
                      <w:sz w:val="18"/>
                      <w:szCs w:val="18"/>
                      <w:highlight w:val="none"/>
                    </w:rPr>
                    <w:t>废药剂桶</w:t>
                  </w:r>
                </w:p>
              </w:tc>
              <w:tc>
                <w:tcPr>
                  <w:tcW w:w="1134" w:type="dxa"/>
                  <w:tcBorders>
                    <w:tl2br w:val="nil"/>
                    <w:tr2bl w:val="nil"/>
                  </w:tcBorders>
                  <w:shd w:val="clear" w:color="auto" w:fill="auto"/>
                  <w:vAlign w:val="center"/>
                </w:tcPr>
                <w:p w14:paraId="63B11995">
                  <w:pPr>
                    <w:adjustRightInd w:val="0"/>
                    <w:snapToGrid w:val="0"/>
                    <w:jc w:val="center"/>
                    <w:rPr>
                      <w:bCs/>
                      <w:color w:val="auto"/>
                      <w:sz w:val="18"/>
                      <w:szCs w:val="18"/>
                      <w:highlight w:val="none"/>
                    </w:rPr>
                  </w:pPr>
                  <w:r>
                    <w:rPr>
                      <w:rFonts w:hint="eastAsia"/>
                      <w:bCs/>
                      <w:color w:val="auto"/>
                      <w:sz w:val="18"/>
                      <w:szCs w:val="18"/>
                      <w:highlight w:val="none"/>
                    </w:rPr>
                    <w:t>危险废物</w:t>
                  </w:r>
                </w:p>
              </w:tc>
              <w:tc>
                <w:tcPr>
                  <w:tcW w:w="1403" w:type="dxa"/>
                  <w:tcBorders>
                    <w:tl2br w:val="nil"/>
                    <w:tr2bl w:val="nil"/>
                  </w:tcBorders>
                  <w:shd w:val="clear" w:color="auto" w:fill="auto"/>
                  <w:vAlign w:val="center"/>
                </w:tcPr>
                <w:p w14:paraId="4415B7AC">
                  <w:pPr>
                    <w:adjustRightInd w:val="0"/>
                    <w:snapToGrid w:val="0"/>
                    <w:jc w:val="center"/>
                    <w:rPr>
                      <w:bCs/>
                      <w:color w:val="auto"/>
                      <w:sz w:val="18"/>
                      <w:szCs w:val="18"/>
                      <w:highlight w:val="none"/>
                    </w:rPr>
                  </w:pPr>
                  <w:r>
                    <w:rPr>
                      <w:rFonts w:hint="eastAsia"/>
                      <w:bCs/>
                      <w:color w:val="auto"/>
                      <w:sz w:val="18"/>
                      <w:szCs w:val="18"/>
                      <w:highlight w:val="none"/>
                    </w:rPr>
                    <w:t>900-249-08</w:t>
                  </w:r>
                </w:p>
              </w:tc>
              <w:tc>
                <w:tcPr>
                  <w:tcW w:w="786" w:type="dxa"/>
                  <w:tcBorders>
                    <w:tl2br w:val="nil"/>
                    <w:tr2bl w:val="nil"/>
                  </w:tcBorders>
                  <w:shd w:val="clear" w:color="auto" w:fill="auto"/>
                  <w:vAlign w:val="center"/>
                </w:tcPr>
                <w:p w14:paraId="75C0D757">
                  <w:pPr>
                    <w:adjustRightInd w:val="0"/>
                    <w:snapToGrid w:val="0"/>
                    <w:jc w:val="center"/>
                    <w:rPr>
                      <w:bCs/>
                      <w:color w:val="auto"/>
                      <w:sz w:val="18"/>
                      <w:szCs w:val="18"/>
                      <w:highlight w:val="none"/>
                    </w:rPr>
                  </w:pPr>
                  <w:r>
                    <w:rPr>
                      <w:rFonts w:hint="eastAsia"/>
                      <w:bCs/>
                      <w:color w:val="auto"/>
                      <w:sz w:val="18"/>
                      <w:szCs w:val="18"/>
                      <w:highlight w:val="none"/>
                    </w:rPr>
                    <w:t>0.1</w:t>
                  </w:r>
                </w:p>
              </w:tc>
              <w:tc>
                <w:tcPr>
                  <w:tcW w:w="1143" w:type="dxa"/>
                  <w:tcBorders>
                    <w:tl2br w:val="nil"/>
                    <w:tr2bl w:val="nil"/>
                  </w:tcBorders>
                  <w:shd w:val="clear" w:color="auto" w:fill="auto"/>
                  <w:vAlign w:val="center"/>
                </w:tcPr>
                <w:p w14:paraId="0D01E362">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p>
              </w:tc>
              <w:tc>
                <w:tcPr>
                  <w:tcW w:w="1221" w:type="dxa"/>
                  <w:vMerge w:val="continue"/>
                  <w:tcBorders>
                    <w:tl2br w:val="nil"/>
                    <w:tr2bl w:val="nil"/>
                  </w:tcBorders>
                  <w:shd w:val="clear" w:color="auto" w:fill="auto"/>
                  <w:vAlign w:val="center"/>
                </w:tcPr>
                <w:p w14:paraId="6069357E">
                  <w:pPr>
                    <w:adjustRightInd w:val="0"/>
                    <w:snapToGrid w:val="0"/>
                    <w:jc w:val="center"/>
                    <w:rPr>
                      <w:bCs/>
                      <w:color w:val="auto"/>
                      <w:sz w:val="18"/>
                      <w:szCs w:val="18"/>
                      <w:highlight w:val="none"/>
                    </w:rPr>
                  </w:pPr>
                </w:p>
              </w:tc>
              <w:tc>
                <w:tcPr>
                  <w:tcW w:w="802" w:type="dxa"/>
                  <w:tcBorders>
                    <w:tl2br w:val="nil"/>
                    <w:tr2bl w:val="nil"/>
                  </w:tcBorders>
                  <w:shd w:val="clear" w:color="auto" w:fill="auto"/>
                  <w:vAlign w:val="center"/>
                </w:tcPr>
                <w:p w14:paraId="1CFDE835">
                  <w:pPr>
                    <w:adjustRightInd w:val="0"/>
                    <w:snapToGrid w:val="0"/>
                    <w:jc w:val="center"/>
                    <w:rPr>
                      <w:bCs/>
                      <w:color w:val="auto"/>
                      <w:sz w:val="18"/>
                      <w:szCs w:val="18"/>
                      <w:highlight w:val="none"/>
                    </w:rPr>
                  </w:pPr>
                  <w:r>
                    <w:rPr>
                      <w:rFonts w:hint="eastAsia"/>
                      <w:bCs/>
                      <w:color w:val="auto"/>
                      <w:sz w:val="18"/>
                      <w:szCs w:val="18"/>
                      <w:highlight w:val="none"/>
                    </w:rPr>
                    <w:t>0.1</w:t>
                  </w:r>
                </w:p>
              </w:tc>
            </w:tr>
          </w:tbl>
          <w:p w14:paraId="488B0B8A">
            <w:pPr>
              <w:adjustRightInd w:val="0"/>
              <w:snapToGrid w:val="0"/>
              <w:spacing w:line="360" w:lineRule="auto"/>
              <w:rPr>
                <w:bCs/>
                <w:color w:val="auto"/>
                <w:szCs w:val="21"/>
                <w:highlight w:val="none"/>
              </w:rPr>
            </w:pPr>
            <w:r>
              <w:rPr>
                <w:rFonts w:hint="eastAsia"/>
                <w:bCs/>
                <w:color w:val="auto"/>
                <w:szCs w:val="21"/>
                <w:highlight w:val="none"/>
              </w:rPr>
              <w:t>（2）危险废物处置措施</w:t>
            </w:r>
          </w:p>
          <w:p w14:paraId="7DDAEE30">
            <w:pPr>
              <w:adjustRightInd w:val="0"/>
              <w:snapToGrid w:val="0"/>
              <w:spacing w:line="360" w:lineRule="auto"/>
              <w:ind w:firstLine="420" w:firstLineChars="200"/>
              <w:rPr>
                <w:bCs/>
                <w:color w:val="auto"/>
                <w:szCs w:val="21"/>
                <w:highlight w:val="none"/>
              </w:rPr>
            </w:pPr>
            <w:r>
              <w:rPr>
                <w:rFonts w:hint="eastAsia"/>
                <w:bCs/>
                <w:color w:val="auto"/>
                <w:szCs w:val="21"/>
                <w:highlight w:val="none"/>
              </w:rPr>
              <w:t>1）危险废物贮存点设置要求</w:t>
            </w:r>
          </w:p>
          <w:p w14:paraId="6B0ED869">
            <w:pPr>
              <w:adjustRightInd w:val="0"/>
              <w:snapToGrid w:val="0"/>
              <w:spacing w:line="360" w:lineRule="auto"/>
              <w:ind w:firstLine="420" w:firstLineChars="200"/>
              <w:rPr>
                <w:color w:val="auto"/>
                <w:szCs w:val="21"/>
                <w:highlight w:val="none"/>
              </w:rPr>
            </w:pPr>
            <w:r>
              <w:rPr>
                <w:rFonts w:hint="eastAsia"/>
                <w:bCs/>
                <w:color w:val="auto"/>
                <w:szCs w:val="21"/>
                <w:highlight w:val="none"/>
              </w:rPr>
              <w:t>危险废物贮存点应做到防风、防雨、防晒、防渗漏，贮存设施地面与裙脚应采取表面防渗措施，防渗、防腐材料应覆盖所有可能与废物及其渗滤液、渗漏液等接触的构筑物表面。严格按照《危险废物贮存污染控制标准》（GB18597-2023）的要求进行防渗、防漏。</w:t>
            </w:r>
          </w:p>
          <w:p w14:paraId="3107DBD8">
            <w:pPr>
              <w:adjustRightInd w:val="0"/>
              <w:snapToGrid w:val="0"/>
              <w:jc w:val="center"/>
              <w:rPr>
                <w:b/>
                <w:bCs/>
                <w:color w:val="auto"/>
                <w:szCs w:val="21"/>
                <w:highlight w:val="none"/>
              </w:rPr>
            </w:pPr>
            <w:r>
              <w:rPr>
                <w:rFonts w:hint="eastAsia"/>
                <w:b/>
                <w:bCs/>
                <w:color w:val="auto"/>
                <w:szCs w:val="21"/>
                <w:highlight w:val="none"/>
              </w:rPr>
              <w:t>表4-9 危险废物贮存场所基本情况</w:t>
            </w:r>
          </w:p>
          <w:tbl>
            <w:tblPr>
              <w:tblStyle w:val="22"/>
              <w:tblW w:w="813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1213"/>
              <w:gridCol w:w="1283"/>
              <w:gridCol w:w="988"/>
              <w:gridCol w:w="1512"/>
              <w:gridCol w:w="888"/>
              <w:gridCol w:w="1038"/>
            </w:tblGrid>
            <w:tr w14:paraId="6BE423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256" w:type="dxa"/>
                  <w:tcBorders>
                    <w:top w:val="single" w:color="auto" w:sz="12" w:space="0"/>
                  </w:tcBorders>
                  <w:noWrap/>
                  <w:vAlign w:val="center"/>
                </w:tcPr>
                <w:p w14:paraId="4341693A">
                  <w:pPr>
                    <w:jc w:val="center"/>
                    <w:rPr>
                      <w:bCs/>
                      <w:color w:val="auto"/>
                      <w:sz w:val="18"/>
                      <w:szCs w:val="18"/>
                      <w:highlight w:val="none"/>
                    </w:rPr>
                  </w:pPr>
                  <w:r>
                    <w:rPr>
                      <w:rFonts w:hint="eastAsia"/>
                      <w:bCs/>
                      <w:color w:val="auto"/>
                      <w:sz w:val="18"/>
                      <w:szCs w:val="18"/>
                      <w:highlight w:val="none"/>
                    </w:rPr>
                    <w:t>危险废物名称</w:t>
                  </w:r>
                </w:p>
              </w:tc>
              <w:tc>
                <w:tcPr>
                  <w:tcW w:w="1255" w:type="dxa"/>
                  <w:tcBorders>
                    <w:top w:val="single" w:color="auto" w:sz="12" w:space="0"/>
                  </w:tcBorders>
                  <w:noWrap/>
                  <w:vAlign w:val="center"/>
                </w:tcPr>
                <w:p w14:paraId="2657B930">
                  <w:pPr>
                    <w:jc w:val="center"/>
                    <w:rPr>
                      <w:bCs/>
                      <w:color w:val="auto"/>
                      <w:sz w:val="18"/>
                      <w:szCs w:val="18"/>
                      <w:highlight w:val="none"/>
                    </w:rPr>
                  </w:pPr>
                  <w:r>
                    <w:rPr>
                      <w:rFonts w:hint="eastAsia"/>
                      <w:bCs/>
                      <w:color w:val="auto"/>
                      <w:sz w:val="18"/>
                      <w:szCs w:val="18"/>
                      <w:highlight w:val="none"/>
                    </w:rPr>
                    <w:t>危险废物类别</w:t>
                  </w:r>
                </w:p>
              </w:tc>
              <w:tc>
                <w:tcPr>
                  <w:tcW w:w="1328" w:type="dxa"/>
                  <w:tcBorders>
                    <w:top w:val="single" w:color="auto" w:sz="12" w:space="0"/>
                  </w:tcBorders>
                  <w:noWrap/>
                  <w:vAlign w:val="center"/>
                </w:tcPr>
                <w:p w14:paraId="43DA2CCC">
                  <w:pPr>
                    <w:jc w:val="center"/>
                    <w:rPr>
                      <w:bCs/>
                      <w:color w:val="auto"/>
                      <w:sz w:val="18"/>
                      <w:szCs w:val="18"/>
                      <w:highlight w:val="none"/>
                    </w:rPr>
                  </w:pPr>
                  <w:r>
                    <w:rPr>
                      <w:rFonts w:hint="eastAsia"/>
                      <w:bCs/>
                      <w:color w:val="auto"/>
                      <w:sz w:val="18"/>
                      <w:szCs w:val="18"/>
                      <w:highlight w:val="none"/>
                    </w:rPr>
                    <w:t>危险废物代码</w:t>
                  </w:r>
                </w:p>
              </w:tc>
              <w:tc>
                <w:tcPr>
                  <w:tcW w:w="1020" w:type="dxa"/>
                  <w:tcBorders>
                    <w:top w:val="single" w:color="auto" w:sz="12" w:space="0"/>
                  </w:tcBorders>
                  <w:noWrap/>
                  <w:vAlign w:val="center"/>
                </w:tcPr>
                <w:p w14:paraId="4FE8FD1F">
                  <w:pPr>
                    <w:jc w:val="center"/>
                    <w:rPr>
                      <w:bCs/>
                      <w:color w:val="auto"/>
                      <w:sz w:val="18"/>
                      <w:szCs w:val="18"/>
                      <w:highlight w:val="none"/>
                    </w:rPr>
                  </w:pPr>
                  <w:r>
                    <w:rPr>
                      <w:rFonts w:hint="eastAsia"/>
                      <w:bCs/>
                      <w:color w:val="auto"/>
                      <w:sz w:val="18"/>
                      <w:szCs w:val="18"/>
                      <w:highlight w:val="none"/>
                    </w:rPr>
                    <w:t>年产生量</w:t>
                  </w:r>
                </w:p>
              </w:tc>
              <w:tc>
                <w:tcPr>
                  <w:tcW w:w="1567" w:type="dxa"/>
                  <w:tcBorders>
                    <w:top w:val="single" w:color="auto" w:sz="12" w:space="0"/>
                  </w:tcBorders>
                  <w:noWrap/>
                  <w:vAlign w:val="center"/>
                </w:tcPr>
                <w:p w14:paraId="5CADFDF3">
                  <w:pPr>
                    <w:jc w:val="center"/>
                    <w:rPr>
                      <w:bCs/>
                      <w:color w:val="auto"/>
                      <w:sz w:val="18"/>
                      <w:szCs w:val="18"/>
                      <w:highlight w:val="none"/>
                    </w:rPr>
                  </w:pPr>
                  <w:r>
                    <w:rPr>
                      <w:rFonts w:hint="eastAsia"/>
                      <w:bCs/>
                      <w:color w:val="auto"/>
                      <w:sz w:val="18"/>
                      <w:szCs w:val="18"/>
                      <w:highlight w:val="none"/>
                    </w:rPr>
                    <w:t>贮存方式</w:t>
                  </w:r>
                </w:p>
              </w:tc>
              <w:tc>
                <w:tcPr>
                  <w:tcW w:w="916" w:type="dxa"/>
                  <w:tcBorders>
                    <w:top w:val="single" w:color="auto" w:sz="12" w:space="0"/>
                  </w:tcBorders>
                  <w:noWrap/>
                  <w:vAlign w:val="center"/>
                </w:tcPr>
                <w:p w14:paraId="7BCBDD7D">
                  <w:pPr>
                    <w:jc w:val="center"/>
                    <w:rPr>
                      <w:bCs/>
                      <w:color w:val="auto"/>
                      <w:sz w:val="18"/>
                      <w:szCs w:val="18"/>
                      <w:highlight w:val="none"/>
                    </w:rPr>
                  </w:pPr>
                  <w:r>
                    <w:rPr>
                      <w:rFonts w:hint="eastAsia"/>
                      <w:bCs/>
                      <w:color w:val="auto"/>
                      <w:sz w:val="18"/>
                      <w:szCs w:val="18"/>
                      <w:highlight w:val="none"/>
                    </w:rPr>
                    <w:t>贮存能力</w:t>
                  </w:r>
                </w:p>
              </w:tc>
              <w:tc>
                <w:tcPr>
                  <w:tcW w:w="1073" w:type="dxa"/>
                  <w:tcBorders>
                    <w:top w:val="single" w:color="auto" w:sz="12" w:space="0"/>
                  </w:tcBorders>
                  <w:noWrap/>
                  <w:vAlign w:val="center"/>
                </w:tcPr>
                <w:p w14:paraId="7B0CE8C0">
                  <w:pPr>
                    <w:jc w:val="center"/>
                    <w:rPr>
                      <w:bCs/>
                      <w:color w:val="auto"/>
                      <w:sz w:val="18"/>
                      <w:szCs w:val="18"/>
                      <w:highlight w:val="none"/>
                    </w:rPr>
                  </w:pPr>
                  <w:r>
                    <w:rPr>
                      <w:rFonts w:hint="eastAsia"/>
                      <w:bCs/>
                      <w:color w:val="auto"/>
                      <w:sz w:val="18"/>
                      <w:szCs w:val="18"/>
                      <w:highlight w:val="none"/>
                    </w:rPr>
                    <w:t>贮存周期</w:t>
                  </w:r>
                </w:p>
              </w:tc>
            </w:tr>
            <w:tr w14:paraId="79D9B6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ign w:val="center"/>
                </w:tcPr>
                <w:p w14:paraId="662BADB7">
                  <w:pPr>
                    <w:jc w:val="center"/>
                    <w:rPr>
                      <w:bCs/>
                      <w:color w:val="auto"/>
                      <w:sz w:val="18"/>
                      <w:szCs w:val="18"/>
                      <w:highlight w:val="none"/>
                    </w:rPr>
                  </w:pPr>
                  <w:r>
                    <w:rPr>
                      <w:rFonts w:hint="eastAsia"/>
                      <w:bCs/>
                      <w:color w:val="auto"/>
                      <w:sz w:val="18"/>
                      <w:szCs w:val="18"/>
                      <w:highlight w:val="none"/>
                    </w:rPr>
                    <w:t>废机油</w:t>
                  </w:r>
                </w:p>
              </w:tc>
              <w:tc>
                <w:tcPr>
                  <w:tcW w:w="1255" w:type="dxa"/>
                  <w:noWrap/>
                  <w:vAlign w:val="center"/>
                </w:tcPr>
                <w:p w14:paraId="42EE4D6A">
                  <w:pPr>
                    <w:jc w:val="center"/>
                    <w:rPr>
                      <w:bCs/>
                      <w:color w:val="auto"/>
                      <w:sz w:val="18"/>
                      <w:szCs w:val="18"/>
                      <w:highlight w:val="none"/>
                    </w:rPr>
                  </w:pPr>
                  <w:r>
                    <w:rPr>
                      <w:rFonts w:hint="eastAsia"/>
                      <w:bCs/>
                      <w:color w:val="auto"/>
                      <w:sz w:val="18"/>
                      <w:szCs w:val="18"/>
                      <w:highlight w:val="none"/>
                    </w:rPr>
                    <w:t>HW08</w:t>
                  </w:r>
                </w:p>
              </w:tc>
              <w:tc>
                <w:tcPr>
                  <w:tcW w:w="1328" w:type="dxa"/>
                  <w:noWrap/>
                  <w:vAlign w:val="center"/>
                </w:tcPr>
                <w:p w14:paraId="0360EA46">
                  <w:pPr>
                    <w:jc w:val="center"/>
                    <w:rPr>
                      <w:bCs/>
                      <w:color w:val="auto"/>
                      <w:sz w:val="18"/>
                      <w:szCs w:val="18"/>
                      <w:highlight w:val="none"/>
                    </w:rPr>
                  </w:pPr>
                  <w:r>
                    <w:rPr>
                      <w:rFonts w:hint="eastAsia"/>
                      <w:bCs/>
                      <w:color w:val="auto"/>
                      <w:sz w:val="18"/>
                      <w:szCs w:val="18"/>
                      <w:highlight w:val="none"/>
                    </w:rPr>
                    <w:t>900-217-08</w:t>
                  </w:r>
                </w:p>
              </w:tc>
              <w:tc>
                <w:tcPr>
                  <w:tcW w:w="1020" w:type="dxa"/>
                  <w:noWrap/>
                  <w:vAlign w:val="center"/>
                </w:tcPr>
                <w:p w14:paraId="5B488916">
                  <w:pPr>
                    <w:jc w:val="center"/>
                    <w:rPr>
                      <w:bCs/>
                      <w:color w:val="auto"/>
                      <w:sz w:val="18"/>
                      <w:szCs w:val="18"/>
                      <w:highlight w:val="none"/>
                    </w:rPr>
                  </w:pPr>
                  <w:r>
                    <w:rPr>
                      <w:rFonts w:hint="eastAsia"/>
                      <w:bCs/>
                      <w:color w:val="auto"/>
                      <w:sz w:val="18"/>
                      <w:szCs w:val="18"/>
                      <w:highlight w:val="none"/>
                    </w:rPr>
                    <w:t>0.2t</w:t>
                  </w:r>
                </w:p>
              </w:tc>
              <w:tc>
                <w:tcPr>
                  <w:tcW w:w="1567" w:type="dxa"/>
                  <w:noWrap/>
                  <w:vAlign w:val="center"/>
                </w:tcPr>
                <w:p w14:paraId="2E5C3FA7">
                  <w:pPr>
                    <w:jc w:val="center"/>
                    <w:rPr>
                      <w:bCs/>
                      <w:color w:val="auto"/>
                      <w:sz w:val="18"/>
                      <w:szCs w:val="18"/>
                      <w:highlight w:val="none"/>
                    </w:rPr>
                  </w:pPr>
                  <w:r>
                    <w:rPr>
                      <w:rFonts w:hint="eastAsia"/>
                      <w:bCs/>
                      <w:color w:val="auto"/>
                      <w:sz w:val="18"/>
                      <w:szCs w:val="18"/>
                      <w:highlight w:val="none"/>
                    </w:rPr>
                    <w:t>暂存于</w:t>
                  </w:r>
                  <w:r>
                    <w:rPr>
                      <w:rFonts w:hint="eastAsia"/>
                      <w:color w:val="auto"/>
                      <w:sz w:val="18"/>
                      <w:szCs w:val="18"/>
                      <w:highlight w:val="none"/>
                    </w:rPr>
                    <w:t>危险废物贮存点密闭容器内</w:t>
                  </w:r>
                </w:p>
              </w:tc>
              <w:tc>
                <w:tcPr>
                  <w:tcW w:w="916" w:type="dxa"/>
                  <w:noWrap/>
                  <w:vAlign w:val="center"/>
                </w:tcPr>
                <w:p w14:paraId="5D0A9BF9">
                  <w:pPr>
                    <w:jc w:val="center"/>
                    <w:rPr>
                      <w:bCs/>
                      <w:color w:val="auto"/>
                      <w:sz w:val="18"/>
                      <w:szCs w:val="18"/>
                      <w:highlight w:val="none"/>
                    </w:rPr>
                  </w:pPr>
                  <w:r>
                    <w:rPr>
                      <w:rFonts w:hint="eastAsia"/>
                      <w:bCs/>
                      <w:color w:val="auto"/>
                      <w:sz w:val="18"/>
                      <w:szCs w:val="18"/>
                      <w:highlight w:val="none"/>
                    </w:rPr>
                    <w:t>300kg</w:t>
                  </w:r>
                </w:p>
              </w:tc>
              <w:tc>
                <w:tcPr>
                  <w:tcW w:w="1073" w:type="dxa"/>
                  <w:noWrap/>
                  <w:vAlign w:val="center"/>
                </w:tcPr>
                <w:p w14:paraId="126C6826">
                  <w:pPr>
                    <w:jc w:val="center"/>
                    <w:rPr>
                      <w:bCs/>
                      <w:color w:val="auto"/>
                      <w:sz w:val="18"/>
                      <w:szCs w:val="18"/>
                      <w:highlight w:val="none"/>
                    </w:rPr>
                  </w:pPr>
                  <w:r>
                    <w:rPr>
                      <w:rFonts w:hint="eastAsia"/>
                      <w:bCs/>
                      <w:color w:val="auto"/>
                      <w:sz w:val="18"/>
                      <w:szCs w:val="18"/>
                      <w:highlight w:val="none"/>
                    </w:rPr>
                    <w:t>100d</w:t>
                  </w:r>
                </w:p>
              </w:tc>
            </w:tr>
            <w:tr w14:paraId="23F224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ign w:val="center"/>
                </w:tcPr>
                <w:p w14:paraId="0CE9F675">
                  <w:pPr>
                    <w:adjustRightInd w:val="0"/>
                    <w:snapToGrid w:val="0"/>
                    <w:jc w:val="center"/>
                    <w:rPr>
                      <w:bCs/>
                      <w:color w:val="auto"/>
                      <w:sz w:val="18"/>
                      <w:szCs w:val="18"/>
                      <w:highlight w:val="none"/>
                    </w:rPr>
                  </w:pPr>
                  <w:r>
                    <w:rPr>
                      <w:rFonts w:hint="eastAsia"/>
                      <w:bCs/>
                      <w:color w:val="auto"/>
                      <w:sz w:val="18"/>
                      <w:szCs w:val="18"/>
                      <w:highlight w:val="none"/>
                    </w:rPr>
                    <w:t>废弃含油抹布手套</w:t>
                  </w:r>
                </w:p>
              </w:tc>
              <w:tc>
                <w:tcPr>
                  <w:tcW w:w="1255" w:type="dxa"/>
                  <w:shd w:val="clear" w:color="auto" w:fill="auto"/>
                  <w:noWrap/>
                  <w:vAlign w:val="center"/>
                </w:tcPr>
                <w:p w14:paraId="4D4569B8">
                  <w:pPr>
                    <w:jc w:val="center"/>
                    <w:rPr>
                      <w:bCs/>
                      <w:color w:val="auto"/>
                      <w:sz w:val="18"/>
                      <w:szCs w:val="18"/>
                      <w:highlight w:val="none"/>
                    </w:rPr>
                  </w:pPr>
                  <w:r>
                    <w:rPr>
                      <w:rFonts w:hint="eastAsia"/>
                      <w:bCs/>
                      <w:color w:val="auto"/>
                      <w:sz w:val="18"/>
                      <w:szCs w:val="18"/>
                      <w:highlight w:val="none"/>
                    </w:rPr>
                    <w:t>HW08</w:t>
                  </w:r>
                </w:p>
              </w:tc>
              <w:tc>
                <w:tcPr>
                  <w:tcW w:w="1328" w:type="dxa"/>
                  <w:noWrap/>
                  <w:vAlign w:val="center"/>
                </w:tcPr>
                <w:p w14:paraId="02CBB91E">
                  <w:pPr>
                    <w:adjustRightInd w:val="0"/>
                    <w:snapToGrid w:val="0"/>
                    <w:jc w:val="center"/>
                    <w:rPr>
                      <w:bCs/>
                      <w:color w:val="auto"/>
                      <w:sz w:val="18"/>
                      <w:szCs w:val="18"/>
                      <w:highlight w:val="none"/>
                    </w:rPr>
                  </w:pPr>
                  <w:r>
                    <w:rPr>
                      <w:rFonts w:hint="eastAsia"/>
                      <w:bCs/>
                      <w:color w:val="auto"/>
                      <w:sz w:val="18"/>
                      <w:szCs w:val="18"/>
                      <w:highlight w:val="none"/>
                    </w:rPr>
                    <w:t>900-041-49</w:t>
                  </w:r>
                </w:p>
              </w:tc>
              <w:tc>
                <w:tcPr>
                  <w:tcW w:w="1020" w:type="dxa"/>
                  <w:noWrap/>
                  <w:vAlign w:val="center"/>
                </w:tcPr>
                <w:p w14:paraId="7BD1F300">
                  <w:pPr>
                    <w:adjustRightInd w:val="0"/>
                    <w:snapToGrid w:val="0"/>
                    <w:jc w:val="center"/>
                    <w:rPr>
                      <w:bCs/>
                      <w:color w:val="auto"/>
                      <w:sz w:val="18"/>
                      <w:szCs w:val="18"/>
                      <w:highlight w:val="none"/>
                    </w:rPr>
                  </w:pPr>
                  <w:r>
                    <w:rPr>
                      <w:rFonts w:hint="eastAsia"/>
                      <w:bCs/>
                      <w:color w:val="auto"/>
                      <w:sz w:val="18"/>
                      <w:szCs w:val="18"/>
                      <w:highlight w:val="none"/>
                    </w:rPr>
                    <w:t>0.05t</w:t>
                  </w:r>
                </w:p>
              </w:tc>
              <w:tc>
                <w:tcPr>
                  <w:tcW w:w="1567" w:type="dxa"/>
                  <w:noWrap/>
                  <w:vAlign w:val="center"/>
                </w:tcPr>
                <w:p w14:paraId="3A86DF54">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r>
                    <w:rPr>
                      <w:rFonts w:hint="eastAsia"/>
                      <w:bCs/>
                      <w:color w:val="auto"/>
                      <w:sz w:val="18"/>
                      <w:szCs w:val="18"/>
                      <w:highlight w:val="none"/>
                    </w:rPr>
                    <w:t>内密闭容器内</w:t>
                  </w:r>
                </w:p>
              </w:tc>
              <w:tc>
                <w:tcPr>
                  <w:tcW w:w="916" w:type="dxa"/>
                  <w:noWrap/>
                  <w:vAlign w:val="center"/>
                </w:tcPr>
                <w:p w14:paraId="29A1162F">
                  <w:pPr>
                    <w:jc w:val="center"/>
                    <w:rPr>
                      <w:bCs/>
                      <w:color w:val="auto"/>
                      <w:sz w:val="18"/>
                      <w:szCs w:val="18"/>
                      <w:highlight w:val="none"/>
                    </w:rPr>
                  </w:pPr>
                  <w:r>
                    <w:rPr>
                      <w:rFonts w:hint="eastAsia"/>
                      <w:bCs/>
                      <w:color w:val="auto"/>
                      <w:sz w:val="18"/>
                      <w:szCs w:val="18"/>
                      <w:highlight w:val="none"/>
                    </w:rPr>
                    <w:t>100kg</w:t>
                  </w:r>
                </w:p>
              </w:tc>
              <w:tc>
                <w:tcPr>
                  <w:tcW w:w="1073" w:type="dxa"/>
                  <w:noWrap/>
                  <w:vAlign w:val="center"/>
                </w:tcPr>
                <w:p w14:paraId="39AE01C1">
                  <w:pPr>
                    <w:jc w:val="center"/>
                    <w:rPr>
                      <w:bCs/>
                      <w:color w:val="auto"/>
                      <w:sz w:val="18"/>
                      <w:szCs w:val="18"/>
                      <w:highlight w:val="none"/>
                    </w:rPr>
                  </w:pPr>
                  <w:r>
                    <w:rPr>
                      <w:rFonts w:hint="eastAsia"/>
                      <w:bCs/>
                      <w:color w:val="auto"/>
                      <w:sz w:val="18"/>
                      <w:szCs w:val="18"/>
                      <w:highlight w:val="none"/>
                    </w:rPr>
                    <w:t>100d</w:t>
                  </w:r>
                </w:p>
              </w:tc>
            </w:tr>
            <w:tr w14:paraId="3F75BD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noWrap/>
                  <w:vAlign w:val="center"/>
                </w:tcPr>
                <w:p w14:paraId="03C4BAF5">
                  <w:pPr>
                    <w:adjustRightInd w:val="0"/>
                    <w:snapToGrid w:val="0"/>
                    <w:jc w:val="center"/>
                    <w:rPr>
                      <w:bCs/>
                      <w:color w:val="auto"/>
                      <w:sz w:val="18"/>
                      <w:szCs w:val="18"/>
                      <w:highlight w:val="none"/>
                    </w:rPr>
                  </w:pPr>
                  <w:r>
                    <w:rPr>
                      <w:rFonts w:hint="eastAsia"/>
                      <w:bCs/>
                      <w:color w:val="auto"/>
                      <w:sz w:val="18"/>
                      <w:szCs w:val="18"/>
                      <w:highlight w:val="none"/>
                    </w:rPr>
                    <w:t>废机油桶</w:t>
                  </w:r>
                </w:p>
              </w:tc>
              <w:tc>
                <w:tcPr>
                  <w:tcW w:w="1255" w:type="dxa"/>
                  <w:shd w:val="clear" w:color="auto" w:fill="auto"/>
                  <w:noWrap/>
                  <w:vAlign w:val="center"/>
                </w:tcPr>
                <w:p w14:paraId="2782445D">
                  <w:pPr>
                    <w:jc w:val="center"/>
                    <w:rPr>
                      <w:bCs/>
                      <w:color w:val="auto"/>
                      <w:sz w:val="18"/>
                      <w:szCs w:val="18"/>
                      <w:highlight w:val="none"/>
                    </w:rPr>
                  </w:pPr>
                  <w:r>
                    <w:rPr>
                      <w:rFonts w:hint="eastAsia"/>
                      <w:bCs/>
                      <w:color w:val="auto"/>
                      <w:sz w:val="18"/>
                      <w:szCs w:val="18"/>
                      <w:highlight w:val="none"/>
                    </w:rPr>
                    <w:t>HW08</w:t>
                  </w:r>
                </w:p>
              </w:tc>
              <w:tc>
                <w:tcPr>
                  <w:tcW w:w="1328" w:type="dxa"/>
                  <w:noWrap/>
                  <w:vAlign w:val="center"/>
                </w:tcPr>
                <w:p w14:paraId="795B4744">
                  <w:pPr>
                    <w:adjustRightInd w:val="0"/>
                    <w:snapToGrid w:val="0"/>
                    <w:jc w:val="center"/>
                    <w:rPr>
                      <w:bCs/>
                      <w:color w:val="auto"/>
                      <w:sz w:val="18"/>
                      <w:szCs w:val="18"/>
                      <w:highlight w:val="none"/>
                    </w:rPr>
                  </w:pPr>
                  <w:r>
                    <w:rPr>
                      <w:rFonts w:hint="eastAsia"/>
                      <w:bCs/>
                      <w:color w:val="auto"/>
                      <w:sz w:val="18"/>
                      <w:szCs w:val="18"/>
                      <w:highlight w:val="none"/>
                    </w:rPr>
                    <w:t>900-249-08</w:t>
                  </w:r>
                </w:p>
              </w:tc>
              <w:tc>
                <w:tcPr>
                  <w:tcW w:w="1020" w:type="dxa"/>
                  <w:noWrap/>
                  <w:vAlign w:val="center"/>
                </w:tcPr>
                <w:p w14:paraId="5EDBB603">
                  <w:pPr>
                    <w:adjustRightInd w:val="0"/>
                    <w:snapToGrid w:val="0"/>
                    <w:jc w:val="center"/>
                    <w:rPr>
                      <w:bCs/>
                      <w:color w:val="auto"/>
                      <w:sz w:val="18"/>
                      <w:szCs w:val="18"/>
                      <w:highlight w:val="none"/>
                    </w:rPr>
                  </w:pPr>
                  <w:r>
                    <w:rPr>
                      <w:rFonts w:hint="eastAsia"/>
                      <w:bCs/>
                      <w:color w:val="auto"/>
                      <w:sz w:val="18"/>
                      <w:szCs w:val="18"/>
                      <w:highlight w:val="none"/>
                    </w:rPr>
                    <w:t>0.05t</w:t>
                  </w:r>
                </w:p>
              </w:tc>
              <w:tc>
                <w:tcPr>
                  <w:tcW w:w="1567" w:type="dxa"/>
                  <w:noWrap/>
                  <w:vAlign w:val="center"/>
                </w:tcPr>
                <w:p w14:paraId="64F1A3F8">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p>
              </w:tc>
              <w:tc>
                <w:tcPr>
                  <w:tcW w:w="916" w:type="dxa"/>
                  <w:noWrap/>
                  <w:vAlign w:val="center"/>
                </w:tcPr>
                <w:p w14:paraId="0ECF1210">
                  <w:pPr>
                    <w:jc w:val="center"/>
                    <w:rPr>
                      <w:bCs/>
                      <w:color w:val="auto"/>
                      <w:sz w:val="18"/>
                      <w:szCs w:val="18"/>
                      <w:highlight w:val="none"/>
                    </w:rPr>
                  </w:pPr>
                  <w:r>
                    <w:rPr>
                      <w:rFonts w:hint="eastAsia"/>
                      <w:bCs/>
                      <w:color w:val="auto"/>
                      <w:sz w:val="18"/>
                      <w:szCs w:val="18"/>
                      <w:highlight w:val="none"/>
                    </w:rPr>
                    <w:t>100kg</w:t>
                  </w:r>
                </w:p>
              </w:tc>
              <w:tc>
                <w:tcPr>
                  <w:tcW w:w="1073" w:type="dxa"/>
                  <w:noWrap/>
                  <w:vAlign w:val="center"/>
                </w:tcPr>
                <w:p w14:paraId="7AEF37F4">
                  <w:pPr>
                    <w:jc w:val="center"/>
                    <w:rPr>
                      <w:bCs/>
                      <w:color w:val="auto"/>
                      <w:sz w:val="18"/>
                      <w:szCs w:val="18"/>
                      <w:highlight w:val="none"/>
                    </w:rPr>
                  </w:pPr>
                  <w:r>
                    <w:rPr>
                      <w:rFonts w:hint="eastAsia"/>
                      <w:bCs/>
                      <w:color w:val="auto"/>
                      <w:sz w:val="18"/>
                      <w:szCs w:val="18"/>
                      <w:highlight w:val="none"/>
                    </w:rPr>
                    <w:t>100d</w:t>
                  </w:r>
                </w:p>
              </w:tc>
            </w:tr>
            <w:tr w14:paraId="4A7DD0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256" w:type="dxa"/>
                  <w:tcBorders>
                    <w:bottom w:val="single" w:color="auto" w:sz="12" w:space="0"/>
                  </w:tcBorders>
                  <w:noWrap/>
                  <w:vAlign w:val="center"/>
                </w:tcPr>
                <w:p w14:paraId="736A71E4">
                  <w:pPr>
                    <w:adjustRightInd w:val="0"/>
                    <w:snapToGrid w:val="0"/>
                    <w:jc w:val="center"/>
                    <w:rPr>
                      <w:bCs/>
                      <w:color w:val="auto"/>
                      <w:sz w:val="18"/>
                      <w:szCs w:val="18"/>
                      <w:highlight w:val="none"/>
                    </w:rPr>
                  </w:pPr>
                  <w:r>
                    <w:rPr>
                      <w:rFonts w:hint="eastAsia"/>
                      <w:bCs/>
                      <w:color w:val="auto"/>
                      <w:sz w:val="18"/>
                      <w:szCs w:val="18"/>
                      <w:highlight w:val="none"/>
                    </w:rPr>
                    <w:t>废药剂桶</w:t>
                  </w:r>
                </w:p>
              </w:tc>
              <w:tc>
                <w:tcPr>
                  <w:tcW w:w="1255" w:type="dxa"/>
                  <w:tcBorders>
                    <w:bottom w:val="single" w:color="auto" w:sz="12" w:space="0"/>
                  </w:tcBorders>
                  <w:shd w:val="clear" w:color="auto" w:fill="auto"/>
                  <w:noWrap/>
                  <w:vAlign w:val="center"/>
                </w:tcPr>
                <w:p w14:paraId="1951EEAE">
                  <w:pPr>
                    <w:jc w:val="center"/>
                    <w:rPr>
                      <w:bCs/>
                      <w:color w:val="auto"/>
                      <w:sz w:val="18"/>
                      <w:szCs w:val="18"/>
                      <w:highlight w:val="none"/>
                    </w:rPr>
                  </w:pPr>
                  <w:r>
                    <w:rPr>
                      <w:rFonts w:hint="eastAsia"/>
                      <w:bCs/>
                      <w:color w:val="auto"/>
                      <w:sz w:val="18"/>
                      <w:szCs w:val="18"/>
                      <w:highlight w:val="none"/>
                    </w:rPr>
                    <w:t>HW08</w:t>
                  </w:r>
                </w:p>
              </w:tc>
              <w:tc>
                <w:tcPr>
                  <w:tcW w:w="1328" w:type="dxa"/>
                  <w:tcBorders>
                    <w:bottom w:val="single" w:color="auto" w:sz="12" w:space="0"/>
                  </w:tcBorders>
                  <w:noWrap/>
                  <w:vAlign w:val="center"/>
                </w:tcPr>
                <w:p w14:paraId="6E824094">
                  <w:pPr>
                    <w:adjustRightInd w:val="0"/>
                    <w:snapToGrid w:val="0"/>
                    <w:jc w:val="center"/>
                    <w:rPr>
                      <w:bCs/>
                      <w:color w:val="auto"/>
                      <w:sz w:val="18"/>
                      <w:szCs w:val="18"/>
                      <w:highlight w:val="none"/>
                    </w:rPr>
                  </w:pPr>
                  <w:r>
                    <w:rPr>
                      <w:rFonts w:hint="eastAsia"/>
                      <w:bCs/>
                      <w:color w:val="auto"/>
                      <w:sz w:val="18"/>
                      <w:szCs w:val="18"/>
                      <w:highlight w:val="none"/>
                    </w:rPr>
                    <w:t>900-249-08</w:t>
                  </w:r>
                </w:p>
              </w:tc>
              <w:tc>
                <w:tcPr>
                  <w:tcW w:w="1020" w:type="dxa"/>
                  <w:tcBorders>
                    <w:bottom w:val="single" w:color="auto" w:sz="12" w:space="0"/>
                  </w:tcBorders>
                  <w:noWrap/>
                  <w:vAlign w:val="center"/>
                </w:tcPr>
                <w:p w14:paraId="4496E4DF">
                  <w:pPr>
                    <w:adjustRightInd w:val="0"/>
                    <w:snapToGrid w:val="0"/>
                    <w:jc w:val="center"/>
                    <w:rPr>
                      <w:bCs/>
                      <w:color w:val="auto"/>
                      <w:sz w:val="18"/>
                      <w:szCs w:val="18"/>
                      <w:highlight w:val="none"/>
                    </w:rPr>
                  </w:pPr>
                  <w:r>
                    <w:rPr>
                      <w:rFonts w:hint="eastAsia"/>
                      <w:bCs/>
                      <w:color w:val="auto"/>
                      <w:sz w:val="18"/>
                      <w:szCs w:val="18"/>
                      <w:highlight w:val="none"/>
                    </w:rPr>
                    <w:t>0.1t</w:t>
                  </w:r>
                </w:p>
              </w:tc>
              <w:tc>
                <w:tcPr>
                  <w:tcW w:w="1567" w:type="dxa"/>
                  <w:tcBorders>
                    <w:bottom w:val="single" w:color="auto" w:sz="12" w:space="0"/>
                  </w:tcBorders>
                  <w:noWrap/>
                  <w:vAlign w:val="center"/>
                </w:tcPr>
                <w:p w14:paraId="2950C100">
                  <w:pPr>
                    <w:adjustRightInd w:val="0"/>
                    <w:snapToGrid w:val="0"/>
                    <w:jc w:val="center"/>
                    <w:rPr>
                      <w:bCs/>
                      <w:color w:val="auto"/>
                      <w:sz w:val="18"/>
                      <w:szCs w:val="18"/>
                      <w:highlight w:val="none"/>
                    </w:rPr>
                  </w:pPr>
                  <w:r>
                    <w:rPr>
                      <w:rFonts w:hint="eastAsia"/>
                      <w:bCs/>
                      <w:color w:val="auto"/>
                      <w:sz w:val="18"/>
                      <w:szCs w:val="18"/>
                      <w:highlight w:val="none"/>
                    </w:rPr>
                    <w:t>暂存</w:t>
                  </w:r>
                  <w:r>
                    <w:rPr>
                      <w:rFonts w:hint="eastAsia"/>
                      <w:color w:val="auto"/>
                      <w:sz w:val="18"/>
                      <w:szCs w:val="18"/>
                      <w:highlight w:val="none"/>
                    </w:rPr>
                    <w:t>危险废物贮存点</w:t>
                  </w:r>
                </w:p>
              </w:tc>
              <w:tc>
                <w:tcPr>
                  <w:tcW w:w="916" w:type="dxa"/>
                  <w:tcBorders>
                    <w:bottom w:val="single" w:color="auto" w:sz="12" w:space="0"/>
                  </w:tcBorders>
                  <w:noWrap/>
                  <w:vAlign w:val="center"/>
                </w:tcPr>
                <w:p w14:paraId="76A0CBDA">
                  <w:pPr>
                    <w:jc w:val="center"/>
                    <w:rPr>
                      <w:bCs/>
                      <w:color w:val="auto"/>
                      <w:sz w:val="18"/>
                      <w:szCs w:val="18"/>
                      <w:highlight w:val="none"/>
                    </w:rPr>
                  </w:pPr>
                  <w:r>
                    <w:rPr>
                      <w:rFonts w:hint="eastAsia"/>
                      <w:bCs/>
                      <w:color w:val="auto"/>
                      <w:sz w:val="18"/>
                      <w:szCs w:val="18"/>
                      <w:highlight w:val="none"/>
                    </w:rPr>
                    <w:t>100kg</w:t>
                  </w:r>
                </w:p>
              </w:tc>
              <w:tc>
                <w:tcPr>
                  <w:tcW w:w="1073" w:type="dxa"/>
                  <w:tcBorders>
                    <w:bottom w:val="single" w:color="auto" w:sz="12" w:space="0"/>
                  </w:tcBorders>
                  <w:noWrap/>
                  <w:vAlign w:val="center"/>
                </w:tcPr>
                <w:p w14:paraId="2CF1877B">
                  <w:pPr>
                    <w:jc w:val="center"/>
                    <w:rPr>
                      <w:bCs/>
                      <w:color w:val="auto"/>
                      <w:sz w:val="18"/>
                      <w:szCs w:val="18"/>
                      <w:highlight w:val="none"/>
                    </w:rPr>
                  </w:pPr>
                  <w:r>
                    <w:rPr>
                      <w:rFonts w:hint="eastAsia"/>
                      <w:bCs/>
                      <w:color w:val="auto"/>
                      <w:sz w:val="18"/>
                      <w:szCs w:val="18"/>
                      <w:highlight w:val="none"/>
                    </w:rPr>
                    <w:t>100d</w:t>
                  </w:r>
                </w:p>
              </w:tc>
            </w:tr>
          </w:tbl>
          <w:p w14:paraId="7AFED588">
            <w:pPr>
              <w:pStyle w:val="35"/>
              <w:widowControl/>
              <w:snapToGrid w:val="0"/>
              <w:spacing w:line="360" w:lineRule="auto"/>
              <w:ind w:firstLine="420" w:firstLineChars="200"/>
              <w:jc w:val="both"/>
              <w:textAlignment w:val="auto"/>
              <w:rPr>
                <w:rFonts w:ascii="Times New Roman" w:cs="Times New Roman"/>
                <w:bCs/>
                <w:color w:val="auto"/>
                <w:sz w:val="21"/>
                <w:szCs w:val="21"/>
                <w:highlight w:val="none"/>
              </w:rPr>
            </w:pPr>
            <w:r>
              <w:rPr>
                <w:rFonts w:ascii="Times New Roman" w:cs="Times New Roman"/>
                <w:color w:val="auto"/>
                <w:kern w:val="2"/>
                <w:sz w:val="21"/>
                <w:szCs w:val="21"/>
                <w:highlight w:val="none"/>
              </w:rPr>
              <w:t>2）</w:t>
            </w:r>
            <w:r>
              <w:rPr>
                <w:rFonts w:hint="eastAsia" w:cs="Times New Roman"/>
                <w:color w:val="auto"/>
                <w:kern w:val="2"/>
                <w:sz w:val="21"/>
                <w:szCs w:val="21"/>
                <w:highlight w:val="none"/>
              </w:rPr>
              <w:t>危废</w:t>
            </w:r>
            <w:r>
              <w:rPr>
                <w:rFonts w:hint="eastAsia" w:ascii="Times New Roman" w:cs="Times New Roman"/>
                <w:bCs/>
                <w:color w:val="auto"/>
                <w:sz w:val="21"/>
                <w:szCs w:val="21"/>
                <w:highlight w:val="none"/>
              </w:rPr>
              <w:t>贮存点贮存可行性分析</w:t>
            </w:r>
          </w:p>
          <w:p w14:paraId="3FFF72B4">
            <w:pPr>
              <w:pStyle w:val="35"/>
              <w:widowControl/>
              <w:snapToGrid w:val="0"/>
              <w:spacing w:line="360" w:lineRule="auto"/>
              <w:ind w:firstLine="420" w:firstLineChars="200"/>
              <w:jc w:val="both"/>
              <w:textAlignment w:val="auto"/>
              <w:rPr>
                <w:rFonts w:cs="Times New Roman"/>
                <w:color w:val="auto"/>
                <w:kern w:val="2"/>
                <w:sz w:val="21"/>
                <w:szCs w:val="21"/>
                <w:highlight w:val="none"/>
              </w:rPr>
            </w:pPr>
            <w:r>
              <w:rPr>
                <w:rFonts w:hint="eastAsia" w:ascii="Times New Roman" w:cs="Times New Roman"/>
                <w:bCs/>
                <w:color w:val="auto"/>
                <w:sz w:val="21"/>
                <w:szCs w:val="21"/>
                <w:highlight w:val="none"/>
              </w:rPr>
              <w:t>本项目危险废物产生量约为0.4t/a，新建危险废物贮存点位于浓缩车间北侧，面积10m</w:t>
            </w:r>
            <w:r>
              <w:rPr>
                <w:rFonts w:hint="eastAsia" w:ascii="Times New Roman" w:cs="Times New Roman"/>
                <w:bCs/>
                <w:color w:val="auto"/>
                <w:sz w:val="21"/>
                <w:szCs w:val="21"/>
                <w:highlight w:val="none"/>
                <w:vertAlign w:val="superscript"/>
              </w:rPr>
              <w:t>2</w:t>
            </w:r>
            <w:r>
              <w:rPr>
                <w:rFonts w:hint="eastAsia" w:ascii="Times New Roman" w:cs="Times New Roman"/>
                <w:bCs/>
                <w:color w:val="auto"/>
                <w:sz w:val="21"/>
                <w:szCs w:val="21"/>
                <w:highlight w:val="none"/>
              </w:rPr>
              <w:t>，危险废物贮存点地面</w:t>
            </w:r>
            <w:r>
              <w:rPr>
                <w:rFonts w:hint="eastAsia" w:ascii="Times New Roman" w:cs="Times New Roman"/>
                <w:bCs/>
                <w:color w:val="auto"/>
                <w:sz w:val="21"/>
                <w:szCs w:val="21"/>
                <w:highlight w:val="none"/>
                <w:lang w:val="en-US" w:eastAsia="zh-CN"/>
              </w:rPr>
              <w:t>与</w:t>
            </w:r>
            <w:r>
              <w:rPr>
                <w:rFonts w:hint="eastAsia" w:ascii="Times New Roman" w:cs="Times New Roman"/>
                <w:bCs/>
                <w:color w:val="auto"/>
                <w:sz w:val="21"/>
                <w:szCs w:val="21"/>
                <w:highlight w:val="none"/>
              </w:rPr>
              <w:t>裙脚采用2mm厚的高密度聚乙烯+防渗混凝土进行防渗处理，渗透系数≤10</w:t>
            </w:r>
            <w:r>
              <w:rPr>
                <w:rFonts w:hint="eastAsia" w:ascii="Times New Roman" w:cs="Times New Roman"/>
                <w:bCs/>
                <w:color w:val="auto"/>
                <w:sz w:val="21"/>
                <w:szCs w:val="21"/>
                <w:highlight w:val="none"/>
                <w:vertAlign w:val="superscript"/>
              </w:rPr>
              <w:t>-10</w:t>
            </w:r>
            <w:r>
              <w:rPr>
                <w:rFonts w:hint="eastAsia" w:ascii="Times New Roman" w:cs="Times New Roman"/>
                <w:bCs/>
                <w:color w:val="auto"/>
                <w:sz w:val="21"/>
                <w:szCs w:val="21"/>
                <w:highlight w:val="none"/>
              </w:rPr>
              <w:t>cm/</w:t>
            </w:r>
            <w:r>
              <w:rPr>
                <w:rFonts w:hint="default" w:ascii="Times New Roman" w:hAnsi="Times New Roman" w:cs="Times New Roman"/>
                <w:bCs/>
                <w:color w:val="auto"/>
                <w:sz w:val="21"/>
                <w:szCs w:val="21"/>
                <w:highlight w:val="none"/>
              </w:rPr>
              <w:t>s，</w:t>
            </w:r>
            <w:r>
              <w:rPr>
                <w:rFonts w:ascii="Times New Roman" w:hAnsi="Times New Roman" w:cs="Times New Roman"/>
                <w:color w:val="auto"/>
                <w:sz w:val="21"/>
                <w:szCs w:val="21"/>
                <w:highlight w:val="none"/>
              </w:rPr>
              <w:t>防渗技术等效厚度为6m粘土层、渗透系数不超过10</w:t>
            </w:r>
            <w:r>
              <w:rPr>
                <w:rFonts w:ascii="Times New Roman" w:hAnsi="Times New Roman" w:cs="Times New Roman"/>
                <w:color w:val="auto"/>
                <w:sz w:val="21"/>
                <w:szCs w:val="21"/>
                <w:highlight w:val="none"/>
                <w:vertAlign w:val="superscript"/>
              </w:rPr>
              <w:t>-7</w:t>
            </w:r>
            <w:r>
              <w:rPr>
                <w:rFonts w:ascii="Times New Roman" w:hAnsi="Times New Roman" w:cs="Times New Roman"/>
                <w:color w:val="auto"/>
                <w:sz w:val="21"/>
                <w:szCs w:val="21"/>
                <w:highlight w:val="none"/>
              </w:rPr>
              <w:t>cm/s。</w:t>
            </w:r>
            <w:r>
              <w:rPr>
                <w:rFonts w:hint="default" w:ascii="Times New Roman" w:hAnsi="Times New Roman" w:cs="Times New Roman"/>
                <w:bCs/>
                <w:color w:val="auto"/>
                <w:sz w:val="21"/>
                <w:szCs w:val="21"/>
                <w:highlight w:val="none"/>
              </w:rPr>
              <w:t>满足《危险废物贮存污染控制标</w:t>
            </w:r>
            <w:r>
              <w:rPr>
                <w:rFonts w:hint="eastAsia" w:ascii="Times New Roman" w:cs="Times New Roman"/>
                <w:bCs/>
                <w:color w:val="auto"/>
                <w:sz w:val="21"/>
                <w:szCs w:val="21"/>
                <w:highlight w:val="none"/>
              </w:rPr>
              <w:t>准》（GB18597-2023）。废机油在储存过程中，采用专用的容器存储，容器外侧粘贴符合标准要求的醒目标签。建设单位对危废贮存场的设计、建设和管理严格按照《危险废物贮存污染控制标准》（GB18597-2023）、《环境保护图形标志、固体废物贮存（处置）场》（GB15562.2）和《危险废物收集、贮存、运输技术规范》（HJ2025-2012）的规定进行。因此，危险废物贮存点能够满足本项目要求。</w:t>
            </w:r>
          </w:p>
          <w:p w14:paraId="51762861">
            <w:pPr>
              <w:widowControl/>
              <w:spacing w:line="360" w:lineRule="auto"/>
              <w:jc w:val="left"/>
              <w:rPr>
                <w:color w:val="auto"/>
                <w:szCs w:val="21"/>
                <w:highlight w:val="none"/>
              </w:rPr>
            </w:pPr>
            <w:r>
              <w:rPr>
                <w:rFonts w:hint="eastAsia"/>
                <w:color w:val="auto"/>
                <w:szCs w:val="21"/>
                <w:highlight w:val="none"/>
              </w:rPr>
              <w:t>（3）环境管理要求</w:t>
            </w:r>
          </w:p>
          <w:p w14:paraId="30768C4D">
            <w:pPr>
              <w:adjustRightInd w:val="0"/>
              <w:snapToGrid w:val="0"/>
              <w:spacing w:line="360" w:lineRule="auto"/>
              <w:ind w:firstLine="420" w:firstLineChars="200"/>
              <w:rPr>
                <w:bCs/>
                <w:color w:val="auto"/>
                <w:szCs w:val="21"/>
                <w:highlight w:val="none"/>
              </w:rPr>
            </w:pPr>
            <w:r>
              <w:rPr>
                <w:rFonts w:hint="eastAsia"/>
                <w:bCs/>
                <w:color w:val="auto"/>
                <w:szCs w:val="21"/>
                <w:highlight w:val="none"/>
              </w:rPr>
              <w:t>1）固体废物</w:t>
            </w:r>
          </w:p>
          <w:p w14:paraId="264EA9A8">
            <w:pPr>
              <w:pStyle w:val="61"/>
              <w:ind w:firstLine="42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①一般工业固体废物暂存要求</w:t>
            </w:r>
          </w:p>
          <w:p w14:paraId="27CDB010">
            <w:pPr>
              <w:pStyle w:val="61"/>
              <w:ind w:firstLine="42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本项目产生的一般固</w:t>
            </w:r>
            <w:r>
              <w:rPr>
                <w:rFonts w:hint="eastAsia" w:ascii="Times New Roman" w:hAnsi="Times New Roman" w:eastAsia="宋体" w:cs="Times New Roman"/>
                <w:color w:val="auto"/>
                <w:sz w:val="21"/>
                <w:szCs w:val="21"/>
                <w:highlight w:val="none"/>
              </w:rPr>
              <w:t>体</w:t>
            </w:r>
            <w:r>
              <w:rPr>
                <w:rFonts w:ascii="Times New Roman" w:hAnsi="Times New Roman" w:eastAsia="宋体" w:cs="Times New Roman"/>
                <w:color w:val="auto"/>
                <w:sz w:val="21"/>
                <w:szCs w:val="21"/>
                <w:highlight w:val="none"/>
              </w:rPr>
              <w:t>废</w:t>
            </w:r>
            <w:r>
              <w:rPr>
                <w:rFonts w:hint="eastAsia" w:ascii="Times New Roman" w:hAnsi="Times New Roman" w:eastAsia="宋体" w:cs="Times New Roman"/>
                <w:color w:val="auto"/>
                <w:sz w:val="21"/>
                <w:szCs w:val="21"/>
                <w:highlight w:val="none"/>
              </w:rPr>
              <w:t>物主要是尾矿泥，外售综合利用</w:t>
            </w:r>
            <w:r>
              <w:rPr>
                <w:rFonts w:ascii="Times New Roman" w:hAnsi="Times New Roman" w:eastAsia="宋体" w:cs="Times New Roman"/>
                <w:color w:val="auto"/>
                <w:sz w:val="21"/>
                <w:szCs w:val="21"/>
                <w:highlight w:val="none"/>
              </w:rPr>
              <w:t>。一般固体废物处理措施和处置方案需满足《一般工业固体废物贮存和填埋污染控制标准》（GB18599-2020）（2021年7月1日起实施）要求、《中华人民共和国固体废物污染环境防治法》的有关规定。</w:t>
            </w:r>
          </w:p>
          <w:p w14:paraId="6B0DB654">
            <w:pPr>
              <w:pStyle w:val="61"/>
              <w:ind w:firstLine="42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②生活垃圾</w:t>
            </w:r>
          </w:p>
          <w:p w14:paraId="7DF7EEBC">
            <w:pPr>
              <w:pStyle w:val="61"/>
              <w:ind w:firstLine="42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生活垃圾集中收集后堆放至生活垃圾暂存区，应按以下原则进行收集、管理、运输及处置：</w:t>
            </w:r>
          </w:p>
          <w:p w14:paraId="63D5747B">
            <w:pPr>
              <w:pStyle w:val="61"/>
              <w:ind w:firstLine="42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A</w:t>
            </w:r>
            <w:r>
              <w:rPr>
                <w:rFonts w:ascii="Times New Roman" w:hAnsi="Times New Roman" w:eastAsia="宋体" w:cs="Times New Roman"/>
                <w:color w:val="auto"/>
                <w:sz w:val="21"/>
                <w:szCs w:val="21"/>
                <w:highlight w:val="none"/>
              </w:rPr>
              <w:t>生活垃圾袋应当扎紧袋口，不能混入危险废物、工业固体废物、建筑垃圾和液体垃圾，在指定时间存放到指定地点；</w:t>
            </w:r>
          </w:p>
          <w:p w14:paraId="2954F3B6">
            <w:pPr>
              <w:pStyle w:val="61"/>
              <w:ind w:firstLine="42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B</w:t>
            </w:r>
            <w:r>
              <w:rPr>
                <w:rFonts w:ascii="Times New Roman" w:hAnsi="Times New Roman" w:eastAsia="宋体" w:cs="Times New Roman"/>
                <w:color w:val="auto"/>
                <w:sz w:val="21"/>
                <w:szCs w:val="21"/>
                <w:highlight w:val="none"/>
              </w:rPr>
              <w:t>不能使用破损袋盛装生活垃圾。对有可能造成垃圾袋破损的物品应单独存放；</w:t>
            </w:r>
          </w:p>
          <w:p w14:paraId="1F247F0C">
            <w:pPr>
              <w:pStyle w:val="61"/>
              <w:ind w:firstLine="42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C</w:t>
            </w:r>
            <w:r>
              <w:rPr>
                <w:rFonts w:ascii="Times New Roman" w:hAnsi="Times New Roman" w:eastAsia="宋体" w:cs="Times New Roman"/>
                <w:color w:val="auto"/>
                <w:sz w:val="21"/>
                <w:szCs w:val="21"/>
                <w:highlight w:val="none"/>
              </w:rPr>
              <w:t>产生生活废弃物的单位和个人应当按照市容环境行政管理部门规定的时间、地点和方式投放生活废弃物，不得随意倾倒、</w:t>
            </w:r>
            <w:r>
              <w:rPr>
                <w:rFonts w:hint="eastAsia" w:ascii="Times New Roman" w:hAnsi="Times New Roman" w:eastAsia="宋体" w:cs="Times New Roman"/>
                <w:color w:val="auto"/>
                <w:sz w:val="21"/>
                <w:szCs w:val="21"/>
                <w:highlight w:val="none"/>
              </w:rPr>
              <w:t>抛洒</w:t>
            </w:r>
            <w:r>
              <w:rPr>
                <w:rFonts w:ascii="Times New Roman" w:hAnsi="Times New Roman" w:eastAsia="宋体" w:cs="Times New Roman"/>
                <w:color w:val="auto"/>
                <w:sz w:val="21"/>
                <w:szCs w:val="21"/>
                <w:highlight w:val="none"/>
              </w:rPr>
              <w:t>和堆放生活废弃物。</w:t>
            </w:r>
          </w:p>
          <w:p w14:paraId="4FB9F690">
            <w:pPr>
              <w:pStyle w:val="61"/>
              <w:ind w:firstLine="42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综上，本项目在采取以上措施的情况下，固体废物处置措施合理、去向可行，不会对周围环境质量造成不利影响。</w:t>
            </w:r>
          </w:p>
          <w:p w14:paraId="3D4458F4">
            <w:pPr>
              <w:pStyle w:val="61"/>
              <w:ind w:firstLine="42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2）危险废物</w:t>
            </w:r>
          </w:p>
          <w:p w14:paraId="6480AD37">
            <w:pPr>
              <w:adjustRightInd w:val="0"/>
              <w:snapToGrid w:val="0"/>
              <w:spacing w:line="360" w:lineRule="auto"/>
              <w:ind w:firstLine="420" w:firstLineChars="200"/>
              <w:rPr>
                <w:bCs/>
                <w:color w:val="auto"/>
                <w:szCs w:val="21"/>
                <w:highlight w:val="none"/>
              </w:rPr>
            </w:pPr>
            <w:r>
              <w:rPr>
                <w:bCs/>
                <w:color w:val="auto"/>
                <w:szCs w:val="21"/>
                <w:highlight w:val="none"/>
              </w:rPr>
              <w:t>本项目</w:t>
            </w:r>
            <w:r>
              <w:rPr>
                <w:rFonts w:hint="eastAsia"/>
                <w:bCs/>
                <w:color w:val="auto"/>
                <w:szCs w:val="21"/>
                <w:highlight w:val="none"/>
              </w:rPr>
              <w:t>危险废物贮存点</w:t>
            </w:r>
            <w:r>
              <w:rPr>
                <w:bCs/>
                <w:color w:val="auto"/>
                <w:szCs w:val="21"/>
                <w:highlight w:val="none"/>
              </w:rPr>
              <w:t>的设置应按《危险废物贮存污染控制标准》（GB18597-2023）相关要求进行设置，并做到以下几点：</w:t>
            </w:r>
          </w:p>
          <w:p w14:paraId="306E0A9A">
            <w:pPr>
              <w:adjustRightInd w:val="0"/>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①贮存设施运行环境管理要求</w:t>
            </w:r>
          </w:p>
          <w:p w14:paraId="695E6F36">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A</w:t>
            </w:r>
            <w:r>
              <w:rPr>
                <w:rFonts w:hint="eastAsia" w:ascii="宋体" w:hAnsi="宋体" w:cs="宋体"/>
                <w:color w:val="auto"/>
                <w:szCs w:val="21"/>
                <w:highlight w:val="none"/>
              </w:rPr>
              <w:t>危险废物存入贮存设施前应对危险废物类别和特性与危险废物标签等危险废物识别标志的一致性进行核验，不一致的或类别、特性不明的不应存入。</w:t>
            </w:r>
          </w:p>
          <w:p w14:paraId="714C0EE6">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B</w:t>
            </w:r>
            <w:r>
              <w:rPr>
                <w:rFonts w:hint="eastAsia" w:ascii="宋体" w:hAnsi="宋体" w:cs="宋体"/>
                <w:color w:val="auto"/>
                <w:szCs w:val="21"/>
                <w:highlight w:val="none"/>
              </w:rPr>
              <w:t xml:space="preserve">应定期检查危险废物的贮存状况，及时清理贮存设施地面，更换破损泄漏的危险废物贮存容器和包装物，保证堆存危险废物的防雨、防风、防扬尘等设施功能完好。                              </w:t>
            </w:r>
          </w:p>
          <w:p w14:paraId="1C7E7ECA">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C</w:t>
            </w:r>
            <w:r>
              <w:rPr>
                <w:rFonts w:hint="eastAsia" w:ascii="宋体" w:hAnsi="宋体" w:cs="宋体"/>
                <w:color w:val="auto"/>
                <w:szCs w:val="21"/>
                <w:highlight w:val="none"/>
              </w:rPr>
              <w:t>作业设备及车辆等结束作业离开贮存设施时，应对其残留的危险废物进行清理，清理的废物或清洗废水应收集处理。</w:t>
            </w:r>
          </w:p>
          <w:p w14:paraId="5A36C34D">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D</w:t>
            </w:r>
            <w:r>
              <w:rPr>
                <w:rFonts w:hint="eastAsia" w:ascii="宋体" w:hAnsi="宋体" w:cs="宋体"/>
                <w:color w:val="auto"/>
                <w:szCs w:val="21"/>
                <w:highlight w:val="none"/>
              </w:rPr>
              <w:t>贮存设施运行期间，应按国家有关标准和规定建立危险废物管理台账并保存。</w:t>
            </w:r>
          </w:p>
          <w:p w14:paraId="711C160B">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E</w:t>
            </w:r>
            <w:r>
              <w:rPr>
                <w:rFonts w:hint="eastAsia" w:ascii="宋体" w:hAnsi="宋体" w:cs="宋体"/>
                <w:color w:val="auto"/>
                <w:szCs w:val="21"/>
                <w:highlight w:val="none"/>
              </w:rPr>
              <w:t>贮存设施所有者或运营者应建立贮存设施环境管理制度、管理人员岗位职责制度、设施运行操作制度、人员岗位培训制度等。</w:t>
            </w:r>
          </w:p>
          <w:p w14:paraId="7A548F2F">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F</w:t>
            </w:r>
            <w:r>
              <w:rPr>
                <w:rFonts w:hint="eastAsia" w:ascii="宋体" w:hAnsi="宋体" w:cs="宋体"/>
                <w:color w:val="auto"/>
                <w:szCs w:val="21"/>
                <w:highlight w:val="none"/>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5E182003">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G</w:t>
            </w:r>
            <w:r>
              <w:rPr>
                <w:rFonts w:hint="eastAsia" w:ascii="宋体" w:hAnsi="宋体" w:cs="宋体"/>
                <w:color w:val="auto"/>
                <w:szCs w:val="21"/>
                <w:highlight w:val="none"/>
              </w:rPr>
              <w:t>贮存设施所有者或运营者应建立贮存设施全部档案，包括设计、施工、验收、运行、监测和环境应急等，应按国家有关档案管理的法律法规进行整理和归档。</w:t>
            </w:r>
          </w:p>
          <w:p w14:paraId="1FEED1E4">
            <w:pPr>
              <w:adjustRightInd w:val="0"/>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②贮存点环境管理要求</w:t>
            </w:r>
          </w:p>
          <w:p w14:paraId="08FE634C">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A</w:t>
            </w:r>
            <w:r>
              <w:rPr>
                <w:rFonts w:hint="eastAsia" w:ascii="宋体" w:hAnsi="宋体" w:cs="宋体"/>
                <w:color w:val="auto"/>
                <w:szCs w:val="21"/>
                <w:highlight w:val="none"/>
              </w:rPr>
              <w:t>贮存点应具有固定的区域边界，并应采取与其他区域进行隔离的措施。</w:t>
            </w:r>
          </w:p>
          <w:p w14:paraId="1567D2C2">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B</w:t>
            </w:r>
            <w:r>
              <w:rPr>
                <w:rFonts w:hint="eastAsia" w:ascii="宋体" w:hAnsi="宋体" w:cs="宋体"/>
                <w:color w:val="auto"/>
                <w:szCs w:val="21"/>
                <w:highlight w:val="none"/>
              </w:rPr>
              <w:t>贮存点应采取防风、防雨、防晒和防止危险废物流失、扬散等措施。</w:t>
            </w:r>
          </w:p>
          <w:p w14:paraId="311AC8DB">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C</w:t>
            </w:r>
            <w:r>
              <w:rPr>
                <w:rFonts w:hint="eastAsia" w:ascii="宋体" w:hAnsi="宋体" w:cs="宋体"/>
                <w:color w:val="auto"/>
                <w:szCs w:val="21"/>
                <w:highlight w:val="none"/>
              </w:rPr>
              <w:t>贮存点应采取防风、防雨、防晒和防止危险废物流失、扬散等措施。</w:t>
            </w:r>
          </w:p>
          <w:p w14:paraId="51B17DDE">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D</w:t>
            </w:r>
            <w:r>
              <w:rPr>
                <w:rFonts w:hint="eastAsia" w:ascii="宋体" w:hAnsi="宋体" w:cs="宋体"/>
                <w:color w:val="auto"/>
                <w:szCs w:val="21"/>
                <w:highlight w:val="none"/>
              </w:rPr>
              <w:t>贮存点应根据危险废物的形态、物理化学性质、包装形式等，采取防渗、防漏等污染防治措施或采用具有相应功能的装置。</w:t>
            </w:r>
          </w:p>
          <w:p w14:paraId="02A4B364">
            <w:pPr>
              <w:adjustRightInd w:val="0"/>
              <w:snapToGrid w:val="0"/>
              <w:spacing w:line="360" w:lineRule="auto"/>
              <w:ind w:firstLine="420" w:firstLineChars="200"/>
              <w:rPr>
                <w:rFonts w:ascii="宋体" w:hAnsi="宋体" w:cs="宋体"/>
                <w:color w:val="auto"/>
                <w:szCs w:val="21"/>
                <w:highlight w:val="none"/>
              </w:rPr>
            </w:pPr>
            <w:r>
              <w:rPr>
                <w:rFonts w:hint="eastAsia"/>
                <w:bCs/>
                <w:color w:val="auto"/>
                <w:szCs w:val="21"/>
                <w:highlight w:val="none"/>
              </w:rPr>
              <w:t>E</w:t>
            </w:r>
            <w:r>
              <w:rPr>
                <w:rFonts w:hint="eastAsia" w:ascii="宋体" w:hAnsi="宋体" w:cs="宋体"/>
                <w:color w:val="auto"/>
                <w:szCs w:val="21"/>
                <w:highlight w:val="none"/>
              </w:rPr>
              <w:t>贮存点应及时清运贮存的危险废物，实时贮存量不应</w:t>
            </w:r>
            <w:r>
              <w:rPr>
                <w:color w:val="auto"/>
                <w:szCs w:val="21"/>
                <w:highlight w:val="none"/>
              </w:rPr>
              <w:t>超过 3 吨</w:t>
            </w:r>
            <w:r>
              <w:rPr>
                <w:rFonts w:hint="eastAsia" w:ascii="宋体" w:hAnsi="宋体" w:cs="宋体"/>
                <w:color w:val="auto"/>
                <w:szCs w:val="21"/>
                <w:highlight w:val="none"/>
              </w:rPr>
              <w:t>。</w:t>
            </w:r>
          </w:p>
          <w:p w14:paraId="3DA172E8">
            <w:pPr>
              <w:adjustRightInd w:val="0"/>
              <w:snapToGrid w:val="0"/>
              <w:spacing w:line="360" w:lineRule="auto"/>
              <w:ind w:firstLine="420" w:firstLineChars="200"/>
              <w:rPr>
                <w:bCs/>
                <w:color w:val="auto"/>
                <w:szCs w:val="21"/>
                <w:highlight w:val="none"/>
              </w:rPr>
            </w:pPr>
            <w:r>
              <w:rPr>
                <w:rFonts w:hint="eastAsia"/>
                <w:bCs/>
                <w:color w:val="auto"/>
                <w:szCs w:val="21"/>
                <w:highlight w:val="none"/>
              </w:rPr>
              <w:t>③</w:t>
            </w:r>
            <w:r>
              <w:rPr>
                <w:bCs/>
                <w:color w:val="auto"/>
                <w:szCs w:val="21"/>
                <w:highlight w:val="none"/>
              </w:rPr>
              <w:t>对于委托处理的固体废物，其运输转移过程中需做到以下几点：</w:t>
            </w:r>
          </w:p>
          <w:p w14:paraId="6AD810E6">
            <w:pPr>
              <w:adjustRightInd w:val="0"/>
              <w:snapToGrid w:val="0"/>
              <w:spacing w:line="360" w:lineRule="auto"/>
              <w:ind w:firstLine="420" w:firstLineChars="200"/>
              <w:rPr>
                <w:bCs/>
                <w:color w:val="auto"/>
                <w:szCs w:val="21"/>
                <w:highlight w:val="none"/>
              </w:rPr>
            </w:pPr>
            <w:r>
              <w:rPr>
                <w:rFonts w:hint="eastAsia"/>
                <w:bCs/>
                <w:color w:val="auto"/>
                <w:szCs w:val="21"/>
                <w:highlight w:val="none"/>
              </w:rPr>
              <w:t>A</w:t>
            </w:r>
            <w:r>
              <w:rPr>
                <w:bCs/>
                <w:color w:val="auto"/>
                <w:szCs w:val="21"/>
                <w:highlight w:val="none"/>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77060466">
            <w:pPr>
              <w:adjustRightInd w:val="0"/>
              <w:snapToGrid w:val="0"/>
              <w:spacing w:line="360" w:lineRule="auto"/>
              <w:ind w:firstLine="420" w:firstLineChars="200"/>
              <w:rPr>
                <w:bCs/>
                <w:color w:val="auto"/>
                <w:szCs w:val="21"/>
                <w:highlight w:val="none"/>
              </w:rPr>
            </w:pPr>
            <w:r>
              <w:rPr>
                <w:rFonts w:hint="eastAsia"/>
                <w:bCs/>
                <w:color w:val="auto"/>
                <w:szCs w:val="21"/>
                <w:highlight w:val="none"/>
              </w:rPr>
              <w:t>B</w:t>
            </w:r>
            <w:r>
              <w:rPr>
                <w:bCs/>
                <w:color w:val="auto"/>
                <w:szCs w:val="21"/>
                <w:highlight w:val="none"/>
              </w:rPr>
              <w:t>本项目在危险废物转移的过程中严格执行《危险废物转移管理办法》（生态环境部 公安部 交通运输部 部令 第23号），危险废物的转运必须填写</w:t>
            </w:r>
            <w:r>
              <w:rPr>
                <w:rFonts w:hint="eastAsia"/>
                <w:bCs/>
                <w:color w:val="auto"/>
                <w:szCs w:val="21"/>
                <w:highlight w:val="none"/>
              </w:rPr>
              <w:t>“</w:t>
            </w:r>
            <w:r>
              <w:rPr>
                <w:bCs/>
                <w:color w:val="auto"/>
                <w:szCs w:val="21"/>
                <w:highlight w:val="none"/>
              </w:rPr>
              <w:t>五联单</w:t>
            </w:r>
            <w:r>
              <w:rPr>
                <w:rFonts w:hint="eastAsia"/>
                <w:bCs/>
                <w:color w:val="auto"/>
                <w:szCs w:val="21"/>
                <w:highlight w:val="none"/>
              </w:rPr>
              <w:t>”</w:t>
            </w:r>
            <w:r>
              <w:rPr>
                <w:bCs/>
                <w:color w:val="auto"/>
                <w:szCs w:val="21"/>
                <w:highlight w:val="none"/>
              </w:rPr>
              <w:t>，且必须符合国家及黑龙江省对危险废物转运的相关规定；</w:t>
            </w:r>
          </w:p>
          <w:p w14:paraId="7831917B">
            <w:pPr>
              <w:adjustRightInd w:val="0"/>
              <w:snapToGrid w:val="0"/>
              <w:spacing w:line="360" w:lineRule="auto"/>
              <w:ind w:firstLine="420" w:firstLineChars="200"/>
              <w:rPr>
                <w:bCs/>
                <w:color w:val="auto"/>
                <w:szCs w:val="21"/>
                <w:highlight w:val="none"/>
              </w:rPr>
            </w:pPr>
            <w:r>
              <w:rPr>
                <w:rFonts w:hint="eastAsia"/>
                <w:bCs/>
                <w:color w:val="auto"/>
                <w:szCs w:val="21"/>
                <w:highlight w:val="none"/>
              </w:rPr>
              <w:t>C</w:t>
            </w:r>
            <w:r>
              <w:rPr>
                <w:bCs/>
                <w:color w:val="auto"/>
                <w:szCs w:val="21"/>
                <w:highlight w:val="none"/>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eastAsia"/>
                <w:bCs/>
                <w:color w:val="auto"/>
                <w:szCs w:val="21"/>
                <w:highlight w:val="none"/>
              </w:rPr>
              <w:t>做出</w:t>
            </w:r>
            <w:r>
              <w:rPr>
                <w:bCs/>
                <w:color w:val="auto"/>
                <w:szCs w:val="21"/>
                <w:highlight w:val="none"/>
              </w:rPr>
              <w:t>周密的运输计划和行驶路线，其中包括有效的废物</w:t>
            </w:r>
            <w:r>
              <w:rPr>
                <w:rFonts w:hint="eastAsia"/>
                <w:bCs/>
                <w:color w:val="auto"/>
                <w:szCs w:val="21"/>
                <w:highlight w:val="none"/>
              </w:rPr>
              <w:t>泄漏</w:t>
            </w:r>
            <w:r>
              <w:rPr>
                <w:bCs/>
                <w:color w:val="auto"/>
                <w:szCs w:val="21"/>
                <w:highlight w:val="none"/>
              </w:rPr>
              <w:t>情况下的应急措施；</w:t>
            </w:r>
          </w:p>
          <w:p w14:paraId="77A4B124">
            <w:pPr>
              <w:spacing w:line="360" w:lineRule="auto"/>
              <w:rPr>
                <w:b/>
                <w:color w:val="auto"/>
                <w:szCs w:val="21"/>
                <w:highlight w:val="none"/>
              </w:rPr>
            </w:pPr>
            <w:r>
              <w:rPr>
                <w:b/>
                <w:color w:val="auto"/>
                <w:szCs w:val="21"/>
                <w:highlight w:val="none"/>
              </w:rPr>
              <w:t>5、地下水环境污染防治措施</w:t>
            </w:r>
          </w:p>
          <w:p w14:paraId="32F492DD">
            <w:pPr>
              <w:adjustRightInd w:val="0"/>
              <w:snapToGrid w:val="0"/>
              <w:spacing w:line="360" w:lineRule="auto"/>
              <w:ind w:firstLine="420" w:firstLineChars="200"/>
              <w:rPr>
                <w:color w:val="auto"/>
                <w:szCs w:val="21"/>
                <w:highlight w:val="none"/>
              </w:rPr>
            </w:pPr>
            <w:r>
              <w:rPr>
                <w:color w:val="auto"/>
                <w:szCs w:val="21"/>
                <w:highlight w:val="none"/>
              </w:rPr>
              <w:t>本项目厂界外500m范围内无地下水集中式饮用水水源、热水、矿泉水、温泉等特殊地下水源，无地下水环境保护目标，且各构筑物及装置采取了相应的防渗措施。</w:t>
            </w:r>
          </w:p>
          <w:p w14:paraId="056BF378">
            <w:pPr>
              <w:adjustRightInd w:val="0"/>
              <w:snapToGrid w:val="0"/>
              <w:spacing w:line="360" w:lineRule="auto"/>
              <w:ind w:firstLine="420" w:firstLineChars="200"/>
              <w:rPr>
                <w:color w:val="auto"/>
                <w:szCs w:val="21"/>
                <w:highlight w:val="none"/>
              </w:rPr>
            </w:pPr>
            <w:r>
              <w:rPr>
                <w:color w:val="auto"/>
                <w:szCs w:val="21"/>
                <w:highlight w:val="none"/>
              </w:rPr>
              <w:t>针对项目特点，本项目采取了以下地下水污染防治措施。</w:t>
            </w:r>
          </w:p>
          <w:p w14:paraId="2613ED9B">
            <w:pPr>
              <w:adjustRightInd w:val="0"/>
              <w:snapToGrid w:val="0"/>
              <w:spacing w:line="360" w:lineRule="auto"/>
              <w:ind w:firstLine="420" w:firstLineChars="200"/>
              <w:rPr>
                <w:color w:val="auto"/>
                <w:szCs w:val="21"/>
                <w:highlight w:val="none"/>
              </w:rPr>
            </w:pPr>
            <w:r>
              <w:rPr>
                <w:color w:val="auto"/>
                <w:szCs w:val="21"/>
                <w:highlight w:val="none"/>
              </w:rPr>
              <w:t>（1）源头控制措施</w:t>
            </w:r>
          </w:p>
          <w:p w14:paraId="3CCFBC5F">
            <w:pPr>
              <w:adjustRightInd w:val="0"/>
              <w:snapToGrid w:val="0"/>
              <w:spacing w:line="360" w:lineRule="auto"/>
              <w:ind w:firstLine="420" w:firstLineChars="200"/>
              <w:rPr>
                <w:color w:val="auto"/>
                <w:szCs w:val="21"/>
                <w:highlight w:val="none"/>
              </w:rPr>
            </w:pPr>
            <w:r>
              <w:rPr>
                <w:color w:val="auto"/>
                <w:szCs w:val="21"/>
                <w:highlight w:val="none"/>
              </w:rPr>
              <w:t>主要包括在工艺、设备、污水处理装置及处理构筑物</w:t>
            </w:r>
            <w:r>
              <w:rPr>
                <w:rFonts w:hint="eastAsia"/>
                <w:color w:val="auto"/>
                <w:szCs w:val="21"/>
                <w:highlight w:val="none"/>
              </w:rPr>
              <w:t>采取相应</w:t>
            </w:r>
            <w:r>
              <w:rPr>
                <w:color w:val="auto"/>
                <w:szCs w:val="21"/>
                <w:highlight w:val="none"/>
              </w:rPr>
              <w:t>措施，降低污染物跑、冒、滴、漏，将污染物泄漏的环境风险事故降到最低的程度。</w:t>
            </w:r>
          </w:p>
          <w:p w14:paraId="49896EEC">
            <w:pPr>
              <w:adjustRightInd w:val="0"/>
              <w:snapToGrid w:val="0"/>
              <w:spacing w:line="360" w:lineRule="auto"/>
              <w:ind w:firstLine="420" w:firstLineChars="200"/>
              <w:rPr>
                <w:color w:val="auto"/>
                <w:szCs w:val="21"/>
                <w:highlight w:val="none"/>
              </w:rPr>
            </w:pPr>
            <w:r>
              <w:rPr>
                <w:color w:val="auto"/>
                <w:szCs w:val="21"/>
                <w:highlight w:val="none"/>
              </w:rPr>
              <w:t>（2）分区防渗</w:t>
            </w:r>
          </w:p>
          <w:p w14:paraId="4A18532E">
            <w:pPr>
              <w:adjustRightInd w:val="0"/>
              <w:snapToGrid w:val="0"/>
              <w:spacing w:line="360" w:lineRule="auto"/>
              <w:ind w:firstLine="420" w:firstLineChars="200"/>
              <w:rPr>
                <w:color w:val="auto"/>
                <w:szCs w:val="21"/>
                <w:highlight w:val="none"/>
              </w:rPr>
            </w:pPr>
            <w:r>
              <w:rPr>
                <w:color w:val="auto"/>
                <w:szCs w:val="21"/>
                <w:highlight w:val="none"/>
              </w:rPr>
              <w:t>本项目采取分区防渗的措施，按照项目可能泄漏至地面区域污染物的性质和生产单元的构筑方式，根据《环境影响评价技术导则地下水环境》（HJ610-2016）中的要求，根据厂区功能划分将厂区划分为重点防渗区、一般防渗区和简单防渗区。</w:t>
            </w:r>
          </w:p>
          <w:p w14:paraId="036D8479">
            <w:pPr>
              <w:adjustRightInd w:val="0"/>
              <w:snapToGrid w:val="0"/>
              <w:spacing w:line="360" w:lineRule="auto"/>
              <w:ind w:firstLine="420" w:firstLineChars="200"/>
              <w:rPr>
                <w:color w:val="auto"/>
                <w:szCs w:val="21"/>
                <w:highlight w:val="none"/>
              </w:rPr>
            </w:pPr>
            <w:r>
              <w:rPr>
                <w:color w:val="auto"/>
                <w:szCs w:val="21"/>
                <w:highlight w:val="none"/>
              </w:rPr>
              <w:t>重点防渗区：重点防渗区为危废贮存点</w:t>
            </w:r>
            <w:r>
              <w:rPr>
                <w:rFonts w:hint="eastAsia"/>
                <w:color w:val="auto"/>
                <w:szCs w:val="21"/>
                <w:highlight w:val="none"/>
              </w:rPr>
              <w:t>、药剂库</w:t>
            </w:r>
            <w:r>
              <w:rPr>
                <w:rFonts w:hint="eastAsia"/>
                <w:bCs/>
                <w:color w:val="auto"/>
                <w:szCs w:val="21"/>
                <w:highlight w:val="none"/>
              </w:rPr>
              <w:t>地面</w:t>
            </w:r>
            <w:r>
              <w:rPr>
                <w:rFonts w:hint="eastAsia"/>
                <w:bCs/>
                <w:color w:val="auto"/>
                <w:szCs w:val="21"/>
                <w:highlight w:val="none"/>
                <w:lang w:val="en-US" w:eastAsia="zh-CN"/>
              </w:rPr>
              <w:t>与</w:t>
            </w:r>
            <w:r>
              <w:rPr>
                <w:rFonts w:hint="eastAsia"/>
                <w:bCs/>
                <w:color w:val="auto"/>
                <w:szCs w:val="21"/>
                <w:highlight w:val="none"/>
              </w:rPr>
              <w:t>裙脚采用2mm厚的高密度聚乙烯+</w:t>
            </w:r>
            <w:r>
              <w:rPr>
                <w:rFonts w:hint="eastAsia"/>
                <w:bCs/>
                <w:color w:val="auto"/>
                <w:szCs w:val="21"/>
                <w:highlight w:val="none"/>
                <w:lang w:eastAsia="zh-CN"/>
              </w:rPr>
              <w:t>抗渗</w:t>
            </w:r>
            <w:r>
              <w:rPr>
                <w:rFonts w:hint="eastAsia"/>
                <w:bCs/>
                <w:color w:val="auto"/>
                <w:szCs w:val="21"/>
                <w:highlight w:val="none"/>
              </w:rPr>
              <w:t>混凝土进行防渗处理，渗透系数≤10</w:t>
            </w:r>
            <w:r>
              <w:rPr>
                <w:rFonts w:hint="eastAsia"/>
                <w:bCs/>
                <w:color w:val="auto"/>
                <w:szCs w:val="21"/>
                <w:highlight w:val="none"/>
                <w:vertAlign w:val="superscript"/>
              </w:rPr>
              <w:t>-10</w:t>
            </w:r>
            <w:r>
              <w:rPr>
                <w:rFonts w:hint="eastAsia"/>
                <w:bCs/>
                <w:color w:val="auto"/>
                <w:szCs w:val="21"/>
                <w:highlight w:val="none"/>
              </w:rPr>
              <w:t>cm/s。</w:t>
            </w:r>
            <w:r>
              <w:rPr>
                <w:color w:val="auto"/>
                <w:szCs w:val="21"/>
                <w:highlight w:val="none"/>
              </w:rPr>
              <w:t>防渗技术等效厚度为6m粘土层、渗透系数不超过10</w:t>
            </w:r>
            <w:r>
              <w:rPr>
                <w:color w:val="auto"/>
                <w:szCs w:val="21"/>
                <w:highlight w:val="none"/>
                <w:vertAlign w:val="superscript"/>
              </w:rPr>
              <w:t>-7</w:t>
            </w:r>
            <w:r>
              <w:rPr>
                <w:color w:val="auto"/>
                <w:szCs w:val="21"/>
                <w:highlight w:val="none"/>
              </w:rPr>
              <w:t>cm/s。</w:t>
            </w:r>
          </w:p>
          <w:p w14:paraId="2BE615F4">
            <w:pPr>
              <w:adjustRightInd w:val="0"/>
              <w:snapToGrid w:val="0"/>
              <w:spacing w:line="360" w:lineRule="auto"/>
              <w:ind w:firstLine="420" w:firstLineChars="200"/>
              <w:rPr>
                <w:color w:val="auto"/>
                <w:szCs w:val="21"/>
                <w:highlight w:val="none"/>
              </w:rPr>
            </w:pPr>
            <w:r>
              <w:rPr>
                <w:color w:val="auto"/>
                <w:szCs w:val="21"/>
                <w:highlight w:val="none"/>
              </w:rPr>
              <w:t>一般防渗区：</w:t>
            </w:r>
            <w:r>
              <w:rPr>
                <w:rFonts w:hint="eastAsia"/>
                <w:color w:val="auto"/>
                <w:szCs w:val="21"/>
                <w:highlight w:val="none"/>
              </w:rPr>
              <w:t>生产车间、浓缩车间、尾矿车间</w:t>
            </w:r>
            <w:r>
              <w:rPr>
                <w:color w:val="auto"/>
                <w:szCs w:val="21"/>
                <w:highlight w:val="none"/>
              </w:rPr>
              <w:t>、</w:t>
            </w:r>
            <w:r>
              <w:rPr>
                <w:rFonts w:hint="eastAsia"/>
                <w:color w:val="auto"/>
                <w:szCs w:val="21"/>
                <w:highlight w:val="none"/>
              </w:rPr>
              <w:t>物料棚、浓缩池、</w:t>
            </w:r>
            <w:r>
              <w:rPr>
                <w:color w:val="auto"/>
                <w:szCs w:val="21"/>
                <w:highlight w:val="none"/>
              </w:rPr>
              <w:t>初期雨水池、事故池</w:t>
            </w:r>
            <w:r>
              <w:rPr>
                <w:rFonts w:hint="eastAsia"/>
                <w:color w:val="auto"/>
                <w:szCs w:val="21"/>
                <w:highlight w:val="none"/>
                <w:lang w:eastAsia="zh-CN"/>
              </w:rPr>
              <w:t>、</w:t>
            </w:r>
            <w:r>
              <w:rPr>
                <w:rFonts w:hint="eastAsia"/>
                <w:color w:val="auto"/>
                <w:szCs w:val="21"/>
                <w:highlight w:val="none"/>
                <w:lang w:val="en-US" w:eastAsia="zh-CN"/>
              </w:rPr>
              <w:t>防渗旱厕</w:t>
            </w:r>
            <w:r>
              <w:rPr>
                <w:color w:val="auto"/>
                <w:szCs w:val="21"/>
                <w:highlight w:val="none"/>
              </w:rPr>
              <w:t>区域，采用</w:t>
            </w:r>
            <w:r>
              <w:rPr>
                <w:rFonts w:hint="eastAsia"/>
                <w:color w:val="auto"/>
                <w:szCs w:val="21"/>
                <w:highlight w:val="none"/>
                <w:lang w:eastAsia="zh-CN"/>
              </w:rPr>
              <w:t>抗渗混凝土进行防渗处理</w:t>
            </w:r>
            <w:r>
              <w:rPr>
                <w:color w:val="auto"/>
                <w:szCs w:val="21"/>
                <w:highlight w:val="none"/>
              </w:rPr>
              <w:t>，防渗技术要求达到等效粘土防渗层Mb≥1.5m，≤1×10</w:t>
            </w:r>
            <w:r>
              <w:rPr>
                <w:color w:val="auto"/>
                <w:szCs w:val="21"/>
                <w:highlight w:val="none"/>
                <w:vertAlign w:val="superscript"/>
              </w:rPr>
              <w:t>-7</w:t>
            </w:r>
            <w:r>
              <w:rPr>
                <w:color w:val="auto"/>
                <w:szCs w:val="21"/>
                <w:highlight w:val="none"/>
              </w:rPr>
              <w:t>cm/s。</w:t>
            </w:r>
          </w:p>
          <w:p w14:paraId="13849ECE">
            <w:pPr>
              <w:adjustRightInd w:val="0"/>
              <w:snapToGrid w:val="0"/>
              <w:spacing w:line="360" w:lineRule="auto"/>
              <w:ind w:firstLine="420" w:firstLineChars="200"/>
              <w:rPr>
                <w:color w:val="auto"/>
                <w:szCs w:val="21"/>
                <w:highlight w:val="none"/>
              </w:rPr>
            </w:pPr>
            <w:r>
              <w:rPr>
                <w:color w:val="auto"/>
                <w:szCs w:val="21"/>
                <w:highlight w:val="none"/>
              </w:rPr>
              <w:t>简单防渗区：</w:t>
            </w:r>
            <w:r>
              <w:rPr>
                <w:rFonts w:hint="eastAsia"/>
                <w:color w:val="auto"/>
                <w:szCs w:val="21"/>
                <w:highlight w:val="none"/>
                <w:lang w:eastAsia="zh-CN"/>
              </w:rPr>
              <w:t>厂区其他区域</w:t>
            </w:r>
            <w:r>
              <w:rPr>
                <w:color w:val="auto"/>
                <w:szCs w:val="21"/>
                <w:highlight w:val="none"/>
              </w:rPr>
              <w:t>，采用耐腐蚀的水泥对地面进行硬化。</w:t>
            </w:r>
          </w:p>
          <w:p w14:paraId="5222CEB2">
            <w:pPr>
              <w:adjustRightInd w:val="0"/>
              <w:snapToGrid w:val="0"/>
              <w:spacing w:line="360" w:lineRule="auto"/>
              <w:ind w:firstLine="420" w:firstLineChars="200"/>
              <w:rPr>
                <w:color w:val="auto"/>
                <w:szCs w:val="21"/>
                <w:highlight w:val="none"/>
              </w:rPr>
            </w:pPr>
            <w:r>
              <w:rPr>
                <w:color w:val="auto"/>
                <w:szCs w:val="21"/>
                <w:highlight w:val="none"/>
              </w:rPr>
              <w:t>综上所述，本项目的建设在采取相应的防渗措施下不会对其周围地下水产生影响。</w:t>
            </w:r>
          </w:p>
          <w:p w14:paraId="7F6525C4">
            <w:pPr>
              <w:adjustRightInd w:val="0"/>
              <w:snapToGrid w:val="0"/>
              <w:spacing w:line="360" w:lineRule="auto"/>
              <w:rPr>
                <w:b/>
                <w:bCs/>
                <w:color w:val="auto"/>
                <w:szCs w:val="21"/>
                <w:highlight w:val="none"/>
              </w:rPr>
            </w:pPr>
            <w:r>
              <w:rPr>
                <w:rFonts w:hint="eastAsia"/>
                <w:b/>
                <w:bCs/>
                <w:color w:val="auto"/>
                <w:szCs w:val="21"/>
                <w:highlight w:val="none"/>
              </w:rPr>
              <w:t>6</w:t>
            </w:r>
            <w:r>
              <w:rPr>
                <w:b/>
                <w:bCs/>
                <w:color w:val="auto"/>
                <w:szCs w:val="21"/>
                <w:highlight w:val="none"/>
              </w:rPr>
              <w:t>、土壤环境污染防治措施</w:t>
            </w:r>
          </w:p>
          <w:p w14:paraId="74543F11">
            <w:pPr>
              <w:adjustRightInd w:val="0"/>
              <w:snapToGrid w:val="0"/>
              <w:spacing w:line="360" w:lineRule="auto"/>
              <w:ind w:firstLine="420" w:firstLineChars="200"/>
              <w:rPr>
                <w:color w:val="auto"/>
                <w:szCs w:val="21"/>
                <w:highlight w:val="none"/>
              </w:rPr>
            </w:pPr>
            <w:r>
              <w:rPr>
                <w:color w:val="auto"/>
                <w:szCs w:val="21"/>
                <w:highlight w:val="none"/>
              </w:rPr>
              <w:t>项目建设过程中将对车间地面进行硬化及防渗处理，故正常工况不会对土壤环境造成污染。</w:t>
            </w:r>
          </w:p>
          <w:p w14:paraId="2C5DD728">
            <w:pPr>
              <w:adjustRightInd w:val="0"/>
              <w:snapToGrid w:val="0"/>
              <w:spacing w:line="360" w:lineRule="auto"/>
              <w:rPr>
                <w:b/>
                <w:color w:val="auto"/>
                <w:szCs w:val="21"/>
                <w:highlight w:val="none"/>
              </w:rPr>
            </w:pPr>
            <w:r>
              <w:rPr>
                <w:rFonts w:hint="eastAsia"/>
                <w:b/>
                <w:color w:val="auto"/>
                <w:szCs w:val="21"/>
                <w:highlight w:val="none"/>
              </w:rPr>
              <w:t>7、生态影响</w:t>
            </w:r>
          </w:p>
          <w:p w14:paraId="37747DDD">
            <w:pPr>
              <w:adjustRightInd w:val="0"/>
              <w:snapToGrid w:val="0"/>
              <w:spacing w:line="360" w:lineRule="auto"/>
              <w:ind w:firstLine="420" w:firstLineChars="200"/>
              <w:rPr>
                <w:color w:val="auto"/>
                <w:szCs w:val="21"/>
                <w:highlight w:val="none"/>
              </w:rPr>
            </w:pPr>
            <w:r>
              <w:rPr>
                <w:color w:val="auto"/>
                <w:szCs w:val="21"/>
                <w:highlight w:val="none"/>
              </w:rPr>
              <w:t>本项目</w:t>
            </w:r>
            <w:r>
              <w:rPr>
                <w:rFonts w:hint="eastAsia"/>
                <w:color w:val="auto"/>
                <w:szCs w:val="21"/>
                <w:highlight w:val="none"/>
              </w:rPr>
              <w:t>占地为采矿用地</w:t>
            </w:r>
            <w:r>
              <w:rPr>
                <w:color w:val="auto"/>
                <w:szCs w:val="21"/>
                <w:highlight w:val="none"/>
              </w:rPr>
              <w:t>，</w:t>
            </w:r>
            <w:r>
              <w:rPr>
                <w:rFonts w:hint="eastAsia"/>
                <w:color w:val="auto"/>
                <w:szCs w:val="21"/>
                <w:highlight w:val="none"/>
              </w:rPr>
              <w:t>厂区</w:t>
            </w:r>
            <w:r>
              <w:rPr>
                <w:color w:val="auto"/>
                <w:szCs w:val="21"/>
                <w:highlight w:val="none"/>
              </w:rPr>
              <w:t>范围内无特殊生态敏感区及重要生态敏感区等生态环境保护目标。</w:t>
            </w:r>
          </w:p>
          <w:p w14:paraId="32F48434">
            <w:pPr>
              <w:adjustRightInd w:val="0"/>
              <w:snapToGrid w:val="0"/>
              <w:spacing w:line="360" w:lineRule="auto"/>
              <w:rPr>
                <w:b/>
                <w:color w:val="auto"/>
                <w:szCs w:val="21"/>
                <w:highlight w:val="none"/>
              </w:rPr>
            </w:pPr>
            <w:r>
              <w:rPr>
                <w:rFonts w:hint="eastAsia"/>
                <w:b/>
                <w:color w:val="auto"/>
                <w:szCs w:val="21"/>
                <w:highlight w:val="none"/>
              </w:rPr>
              <w:t>8</w:t>
            </w:r>
            <w:r>
              <w:rPr>
                <w:b/>
                <w:color w:val="auto"/>
                <w:szCs w:val="21"/>
                <w:highlight w:val="none"/>
              </w:rPr>
              <w:t>、环境风险</w:t>
            </w:r>
          </w:p>
          <w:p w14:paraId="642E89C8">
            <w:pPr>
              <w:adjustRightInd w:val="0"/>
              <w:snapToGrid w:val="0"/>
              <w:spacing w:line="360" w:lineRule="auto"/>
              <w:ind w:firstLine="420" w:firstLineChars="200"/>
              <w:rPr>
                <w:color w:val="auto"/>
                <w:szCs w:val="21"/>
                <w:highlight w:val="none"/>
              </w:rPr>
            </w:pPr>
            <w:r>
              <w:rPr>
                <w:color w:val="auto"/>
                <w:szCs w:val="21"/>
                <w:highlight w:val="none"/>
              </w:rPr>
              <w:t>（1）</w:t>
            </w:r>
            <w:r>
              <w:rPr>
                <w:rFonts w:hint="eastAsia"/>
                <w:color w:val="auto"/>
                <w:szCs w:val="21"/>
                <w:highlight w:val="none"/>
              </w:rPr>
              <w:t>环境风险识别</w:t>
            </w:r>
          </w:p>
          <w:p w14:paraId="03C521C1">
            <w:pPr>
              <w:adjustRightInd w:val="0"/>
              <w:snapToGrid w:val="0"/>
              <w:spacing w:line="360" w:lineRule="auto"/>
              <w:ind w:firstLine="420" w:firstLineChars="200"/>
              <w:rPr>
                <w:color w:val="auto"/>
                <w:szCs w:val="21"/>
                <w:highlight w:val="none"/>
              </w:rPr>
            </w:pPr>
            <w:r>
              <w:rPr>
                <w:color w:val="auto"/>
                <w:szCs w:val="21"/>
                <w:highlight w:val="none"/>
              </w:rPr>
              <w:t>依据《建设项目环境风险评价技术导则》（HJ169-2018）中的危险物质或危险化学品，对项目的环境风险物质进行判断，本项目风险物质主要</w:t>
            </w:r>
            <w:r>
              <w:rPr>
                <w:rFonts w:hint="eastAsia"/>
                <w:color w:val="auto"/>
                <w:szCs w:val="21"/>
                <w:highlight w:val="none"/>
              </w:rPr>
              <w:t>为捕收剂、起泡剂、废机油</w:t>
            </w:r>
            <w:r>
              <w:rPr>
                <w:color w:val="auto"/>
                <w:szCs w:val="21"/>
                <w:highlight w:val="none"/>
              </w:rPr>
              <w:t>。</w:t>
            </w:r>
          </w:p>
          <w:p w14:paraId="595ECD87">
            <w:pPr>
              <w:adjustRightInd w:val="0"/>
              <w:snapToGrid w:val="0"/>
              <w:spacing w:line="360" w:lineRule="auto"/>
              <w:ind w:firstLine="420" w:firstLineChars="200"/>
              <w:rPr>
                <w:color w:val="auto"/>
                <w:szCs w:val="21"/>
                <w:highlight w:val="none"/>
              </w:rPr>
            </w:pPr>
            <w:r>
              <w:rPr>
                <w:rFonts w:hint="eastAsia"/>
                <w:color w:val="auto"/>
                <w:szCs w:val="21"/>
                <w:highlight w:val="none"/>
              </w:rPr>
              <w:t>（2）建设项目风险物质存储情况</w:t>
            </w:r>
          </w:p>
          <w:p w14:paraId="298068F8">
            <w:pPr>
              <w:adjustRightInd w:val="0"/>
              <w:snapToGrid w:val="0"/>
              <w:spacing w:line="360" w:lineRule="auto"/>
              <w:ind w:firstLine="420" w:firstLineChars="200"/>
              <w:rPr>
                <w:color w:val="auto"/>
                <w:szCs w:val="21"/>
                <w:highlight w:val="none"/>
              </w:rPr>
            </w:pPr>
            <w:r>
              <w:rPr>
                <w:color w:val="auto"/>
                <w:szCs w:val="21"/>
                <w:highlight w:val="none"/>
              </w:rPr>
              <w:t>根据《建设项目环境风险评价技术导则》（HJ 169-2018）附录B可知，本项目风险物质主要为</w:t>
            </w:r>
            <w:r>
              <w:rPr>
                <w:rFonts w:hint="eastAsia"/>
                <w:color w:val="auto"/>
                <w:szCs w:val="21"/>
                <w:highlight w:val="none"/>
              </w:rPr>
              <w:t>捕收剂、起泡剂、废机油，捕收剂、起泡剂贮存于药剂库，</w:t>
            </w:r>
            <w:r>
              <w:rPr>
                <w:rFonts w:hint="eastAsia" w:hAnsi="宋体"/>
                <w:color w:val="auto"/>
                <w:szCs w:val="21"/>
                <w:highlight w:val="none"/>
              </w:rPr>
              <w:t>产生的废机油暂存在内的危险废物贮存点，</w:t>
            </w:r>
            <w:r>
              <w:rPr>
                <w:rFonts w:hint="eastAsia"/>
                <w:color w:val="auto"/>
                <w:szCs w:val="21"/>
                <w:highlight w:val="none"/>
              </w:rPr>
              <w:t>危险废物贮存点内最大储存量10kg</w:t>
            </w:r>
            <w:r>
              <w:rPr>
                <w:rFonts w:hint="eastAsia" w:hAnsi="宋体"/>
                <w:color w:val="auto"/>
                <w:szCs w:val="21"/>
                <w:highlight w:val="none"/>
              </w:rPr>
              <w:t>。</w:t>
            </w:r>
          </w:p>
          <w:p w14:paraId="2D9706CA">
            <w:pPr>
              <w:adjustRightInd w:val="0"/>
              <w:snapToGrid w:val="0"/>
              <w:jc w:val="center"/>
              <w:rPr>
                <w:b/>
                <w:bCs/>
                <w:color w:val="auto"/>
                <w:szCs w:val="21"/>
                <w:highlight w:val="none"/>
              </w:rPr>
            </w:pPr>
            <w:r>
              <w:rPr>
                <w:rFonts w:hint="eastAsia"/>
                <w:b/>
                <w:bCs/>
                <w:color w:val="auto"/>
                <w:szCs w:val="21"/>
                <w:highlight w:val="none"/>
              </w:rPr>
              <w:t>表4-10 环境风险物质统计表</w:t>
            </w:r>
          </w:p>
          <w:tbl>
            <w:tblPr>
              <w:tblStyle w:val="22"/>
              <w:tblW w:w="8135" w:type="dxa"/>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8"/>
              <w:gridCol w:w="3198"/>
              <w:gridCol w:w="1030"/>
              <w:gridCol w:w="1464"/>
              <w:gridCol w:w="1188"/>
              <w:gridCol w:w="737"/>
            </w:tblGrid>
            <w:tr w14:paraId="7E702010">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318" w:type="pct"/>
                  <w:tcBorders>
                    <w:top w:val="single" w:color="000000" w:sz="12" w:space="0"/>
                  </w:tcBorders>
                  <w:noWrap/>
                  <w:vAlign w:val="center"/>
                </w:tcPr>
                <w:p w14:paraId="273BF67E">
                  <w:pPr>
                    <w:jc w:val="center"/>
                    <w:rPr>
                      <w:color w:val="auto"/>
                      <w:sz w:val="18"/>
                      <w:szCs w:val="18"/>
                      <w:highlight w:val="none"/>
                    </w:rPr>
                  </w:pPr>
                  <w:r>
                    <w:rPr>
                      <w:rFonts w:hint="eastAsia"/>
                      <w:color w:val="auto"/>
                      <w:sz w:val="18"/>
                      <w:szCs w:val="18"/>
                      <w:highlight w:val="none"/>
                    </w:rPr>
                    <w:t>序号</w:t>
                  </w:r>
                </w:p>
              </w:tc>
              <w:tc>
                <w:tcPr>
                  <w:tcW w:w="1965" w:type="pct"/>
                  <w:tcBorders>
                    <w:top w:val="single" w:color="000000" w:sz="12" w:space="0"/>
                  </w:tcBorders>
                  <w:noWrap/>
                  <w:vAlign w:val="center"/>
                </w:tcPr>
                <w:p w14:paraId="6E232CC4">
                  <w:pPr>
                    <w:jc w:val="center"/>
                    <w:rPr>
                      <w:color w:val="auto"/>
                      <w:sz w:val="18"/>
                      <w:szCs w:val="18"/>
                      <w:highlight w:val="none"/>
                    </w:rPr>
                  </w:pPr>
                  <w:r>
                    <w:rPr>
                      <w:rFonts w:hint="eastAsia"/>
                      <w:color w:val="auto"/>
                      <w:sz w:val="18"/>
                      <w:szCs w:val="18"/>
                      <w:highlight w:val="none"/>
                    </w:rPr>
                    <w:t>危险物质</w:t>
                  </w:r>
                </w:p>
              </w:tc>
              <w:tc>
                <w:tcPr>
                  <w:tcW w:w="633" w:type="pct"/>
                  <w:tcBorders>
                    <w:top w:val="single" w:color="000000" w:sz="12" w:space="0"/>
                  </w:tcBorders>
                  <w:noWrap/>
                  <w:vAlign w:val="center"/>
                </w:tcPr>
                <w:p w14:paraId="26AB5851">
                  <w:pPr>
                    <w:jc w:val="center"/>
                    <w:rPr>
                      <w:color w:val="auto"/>
                      <w:sz w:val="18"/>
                      <w:szCs w:val="18"/>
                      <w:highlight w:val="none"/>
                    </w:rPr>
                  </w:pPr>
                  <w:r>
                    <w:rPr>
                      <w:rFonts w:hint="eastAsia"/>
                      <w:color w:val="auto"/>
                      <w:sz w:val="18"/>
                      <w:szCs w:val="18"/>
                      <w:highlight w:val="none"/>
                    </w:rPr>
                    <w:t>CAS号</w:t>
                  </w:r>
                </w:p>
              </w:tc>
              <w:tc>
                <w:tcPr>
                  <w:tcW w:w="900" w:type="pct"/>
                  <w:tcBorders>
                    <w:top w:val="single" w:color="000000" w:sz="12" w:space="0"/>
                  </w:tcBorders>
                  <w:noWrap/>
                  <w:vAlign w:val="center"/>
                </w:tcPr>
                <w:p w14:paraId="1A02A9E1">
                  <w:pPr>
                    <w:jc w:val="center"/>
                    <w:rPr>
                      <w:color w:val="auto"/>
                      <w:sz w:val="18"/>
                      <w:szCs w:val="18"/>
                      <w:highlight w:val="none"/>
                    </w:rPr>
                  </w:pPr>
                  <w:r>
                    <w:rPr>
                      <w:rFonts w:hint="eastAsia"/>
                      <w:color w:val="auto"/>
                      <w:sz w:val="18"/>
                      <w:szCs w:val="18"/>
                      <w:highlight w:val="none"/>
                    </w:rPr>
                    <w:t>最大储存量（t）</w:t>
                  </w:r>
                </w:p>
              </w:tc>
              <w:tc>
                <w:tcPr>
                  <w:tcW w:w="729" w:type="pct"/>
                  <w:tcBorders>
                    <w:top w:val="single" w:color="000000" w:sz="12" w:space="0"/>
                  </w:tcBorders>
                  <w:noWrap/>
                  <w:vAlign w:val="center"/>
                </w:tcPr>
                <w:p w14:paraId="3B862F6A">
                  <w:pPr>
                    <w:jc w:val="center"/>
                    <w:rPr>
                      <w:color w:val="auto"/>
                      <w:sz w:val="18"/>
                      <w:szCs w:val="18"/>
                      <w:highlight w:val="none"/>
                    </w:rPr>
                  </w:pPr>
                  <w:r>
                    <w:rPr>
                      <w:rFonts w:hint="eastAsia"/>
                      <w:color w:val="auto"/>
                      <w:sz w:val="18"/>
                      <w:szCs w:val="18"/>
                      <w:highlight w:val="none"/>
                    </w:rPr>
                    <w:t>临界量（t）</w:t>
                  </w:r>
                </w:p>
              </w:tc>
              <w:tc>
                <w:tcPr>
                  <w:tcW w:w="453" w:type="pct"/>
                  <w:tcBorders>
                    <w:top w:val="single" w:color="000000" w:sz="12" w:space="0"/>
                  </w:tcBorders>
                  <w:noWrap/>
                  <w:vAlign w:val="center"/>
                </w:tcPr>
                <w:p w14:paraId="7117C6E2">
                  <w:pPr>
                    <w:jc w:val="center"/>
                    <w:rPr>
                      <w:color w:val="auto"/>
                      <w:sz w:val="18"/>
                      <w:szCs w:val="18"/>
                      <w:highlight w:val="none"/>
                    </w:rPr>
                  </w:pPr>
                  <w:r>
                    <w:rPr>
                      <w:rFonts w:hint="eastAsia"/>
                      <w:color w:val="auto"/>
                      <w:sz w:val="18"/>
                      <w:szCs w:val="18"/>
                      <w:highlight w:val="none"/>
                    </w:rPr>
                    <w:t>q值</w:t>
                  </w:r>
                </w:p>
              </w:tc>
            </w:tr>
            <w:tr w14:paraId="3522D9C9">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noWrap/>
                  <w:vAlign w:val="center"/>
                </w:tcPr>
                <w:p w14:paraId="48020617">
                  <w:pPr>
                    <w:jc w:val="center"/>
                    <w:rPr>
                      <w:color w:val="auto"/>
                      <w:sz w:val="18"/>
                      <w:szCs w:val="18"/>
                      <w:highlight w:val="none"/>
                    </w:rPr>
                  </w:pPr>
                  <w:r>
                    <w:rPr>
                      <w:rFonts w:hint="eastAsia"/>
                      <w:color w:val="auto"/>
                      <w:sz w:val="18"/>
                      <w:szCs w:val="18"/>
                      <w:highlight w:val="none"/>
                    </w:rPr>
                    <w:t>1</w:t>
                  </w:r>
                </w:p>
              </w:tc>
              <w:tc>
                <w:tcPr>
                  <w:tcW w:w="1965" w:type="pct"/>
                  <w:noWrap/>
                  <w:vAlign w:val="center"/>
                </w:tcPr>
                <w:p w14:paraId="472158B3">
                  <w:pPr>
                    <w:jc w:val="center"/>
                    <w:rPr>
                      <w:color w:val="auto"/>
                      <w:sz w:val="18"/>
                      <w:szCs w:val="18"/>
                      <w:highlight w:val="none"/>
                    </w:rPr>
                  </w:pPr>
                  <w:r>
                    <w:rPr>
                      <w:rFonts w:hint="eastAsia"/>
                      <w:color w:val="auto"/>
                      <w:sz w:val="18"/>
                      <w:szCs w:val="18"/>
                      <w:highlight w:val="none"/>
                    </w:rPr>
                    <w:t>油类物质（矿物油类，如石油、汽油、柴油；生物柴油等）</w:t>
                  </w:r>
                </w:p>
              </w:tc>
              <w:tc>
                <w:tcPr>
                  <w:tcW w:w="633" w:type="pct"/>
                  <w:noWrap/>
                  <w:vAlign w:val="center"/>
                </w:tcPr>
                <w:p w14:paraId="3FBAAD6D">
                  <w:pPr>
                    <w:jc w:val="center"/>
                    <w:rPr>
                      <w:color w:val="auto"/>
                      <w:sz w:val="18"/>
                      <w:szCs w:val="18"/>
                      <w:highlight w:val="none"/>
                    </w:rPr>
                  </w:pPr>
                  <w:r>
                    <w:rPr>
                      <w:rFonts w:hint="eastAsia"/>
                      <w:color w:val="auto"/>
                      <w:sz w:val="18"/>
                      <w:szCs w:val="18"/>
                      <w:highlight w:val="none"/>
                    </w:rPr>
                    <w:t>/</w:t>
                  </w:r>
                </w:p>
              </w:tc>
              <w:tc>
                <w:tcPr>
                  <w:tcW w:w="900" w:type="pct"/>
                  <w:noWrap/>
                  <w:vAlign w:val="center"/>
                </w:tcPr>
                <w:p w14:paraId="5F7884EC">
                  <w:pPr>
                    <w:jc w:val="center"/>
                    <w:rPr>
                      <w:color w:val="auto"/>
                      <w:sz w:val="18"/>
                      <w:szCs w:val="18"/>
                      <w:highlight w:val="none"/>
                    </w:rPr>
                  </w:pPr>
                  <w:r>
                    <w:rPr>
                      <w:rFonts w:hint="eastAsia"/>
                      <w:color w:val="auto"/>
                      <w:sz w:val="18"/>
                      <w:szCs w:val="18"/>
                      <w:highlight w:val="none"/>
                    </w:rPr>
                    <w:t>130.2</w:t>
                  </w:r>
                </w:p>
              </w:tc>
              <w:tc>
                <w:tcPr>
                  <w:tcW w:w="729" w:type="pct"/>
                  <w:noWrap/>
                  <w:vAlign w:val="center"/>
                </w:tcPr>
                <w:p w14:paraId="41A2704E">
                  <w:pPr>
                    <w:jc w:val="center"/>
                    <w:rPr>
                      <w:color w:val="auto"/>
                      <w:sz w:val="18"/>
                      <w:szCs w:val="18"/>
                      <w:highlight w:val="none"/>
                    </w:rPr>
                  </w:pPr>
                  <w:r>
                    <w:rPr>
                      <w:rFonts w:hint="eastAsia"/>
                      <w:color w:val="auto"/>
                      <w:sz w:val="18"/>
                      <w:szCs w:val="18"/>
                      <w:highlight w:val="none"/>
                    </w:rPr>
                    <w:t>2500</w:t>
                  </w:r>
                </w:p>
              </w:tc>
              <w:tc>
                <w:tcPr>
                  <w:tcW w:w="453" w:type="pct"/>
                  <w:noWrap/>
                  <w:vAlign w:val="center"/>
                </w:tcPr>
                <w:p w14:paraId="4021B10C">
                  <w:pPr>
                    <w:jc w:val="center"/>
                    <w:rPr>
                      <w:color w:val="auto"/>
                      <w:sz w:val="18"/>
                      <w:szCs w:val="18"/>
                      <w:highlight w:val="none"/>
                    </w:rPr>
                  </w:pPr>
                  <w:r>
                    <w:rPr>
                      <w:rFonts w:hint="eastAsia"/>
                      <w:color w:val="auto"/>
                      <w:sz w:val="18"/>
                      <w:szCs w:val="18"/>
                      <w:highlight w:val="none"/>
                    </w:rPr>
                    <w:t>0.052</w:t>
                  </w:r>
                </w:p>
              </w:tc>
            </w:tr>
            <w:tr w14:paraId="0C467661">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bottom w:val="single" w:color="000000" w:sz="12" w:space="0"/>
                  </w:tcBorders>
                  <w:noWrap/>
                  <w:vAlign w:val="center"/>
                </w:tcPr>
                <w:p w14:paraId="5C916950">
                  <w:pPr>
                    <w:jc w:val="center"/>
                    <w:rPr>
                      <w:color w:val="auto"/>
                      <w:sz w:val="18"/>
                      <w:szCs w:val="18"/>
                      <w:highlight w:val="none"/>
                    </w:rPr>
                  </w:pPr>
                  <w:r>
                    <w:rPr>
                      <w:rFonts w:hint="eastAsia"/>
                      <w:color w:val="auto"/>
                      <w:sz w:val="18"/>
                      <w:szCs w:val="18"/>
                      <w:highlight w:val="none"/>
                    </w:rPr>
                    <w:t>合计</w:t>
                  </w:r>
                </w:p>
              </w:tc>
              <w:tc>
                <w:tcPr>
                  <w:tcW w:w="817" w:type="dxa"/>
                  <w:tcBorders>
                    <w:bottom w:val="single" w:color="000000" w:sz="12" w:space="0"/>
                  </w:tcBorders>
                  <w:noWrap/>
                  <w:vAlign w:val="center"/>
                </w:tcPr>
                <w:p w14:paraId="0320B339">
                  <w:pPr>
                    <w:jc w:val="center"/>
                    <w:rPr>
                      <w:color w:val="auto"/>
                      <w:sz w:val="18"/>
                      <w:szCs w:val="18"/>
                      <w:highlight w:val="none"/>
                    </w:rPr>
                  </w:pPr>
                  <w:r>
                    <w:rPr>
                      <w:rFonts w:hint="eastAsia"/>
                      <w:color w:val="auto"/>
                      <w:sz w:val="18"/>
                      <w:szCs w:val="18"/>
                      <w:highlight w:val="none"/>
                    </w:rPr>
                    <w:t>0.052</w:t>
                  </w:r>
                </w:p>
              </w:tc>
            </w:tr>
          </w:tbl>
          <w:p w14:paraId="7BADD1AF">
            <w:pPr>
              <w:adjustRightInd w:val="0"/>
              <w:snapToGrid w:val="0"/>
              <w:spacing w:line="360" w:lineRule="auto"/>
              <w:ind w:firstLine="420" w:firstLineChars="200"/>
              <w:rPr>
                <w:color w:val="auto"/>
                <w:szCs w:val="21"/>
                <w:highlight w:val="none"/>
              </w:rPr>
            </w:pPr>
            <w:r>
              <w:rPr>
                <w:rFonts w:hint="eastAsia"/>
                <w:color w:val="auto"/>
                <w:szCs w:val="21"/>
                <w:highlight w:val="none"/>
              </w:rPr>
              <w:t>（3）环境风险影响分析</w:t>
            </w:r>
          </w:p>
          <w:p w14:paraId="766BE492">
            <w:pPr>
              <w:adjustRightInd w:val="0"/>
              <w:snapToGrid w:val="0"/>
              <w:spacing w:line="360" w:lineRule="auto"/>
              <w:ind w:firstLine="420" w:firstLineChars="200"/>
              <w:rPr>
                <w:color w:val="auto"/>
                <w:szCs w:val="21"/>
                <w:highlight w:val="none"/>
              </w:rPr>
            </w:pPr>
            <w:r>
              <w:rPr>
                <w:rFonts w:hint="eastAsia"/>
                <w:color w:val="auto"/>
                <w:szCs w:val="21"/>
                <w:highlight w:val="none"/>
              </w:rPr>
              <w:t>本项目选址不涉及环境敏感区，不存在重大危险源，风险水平值较低。项目运营期存在一定潜在的环境风险事故，主要为捕收剂、起泡剂、废机油</w:t>
            </w:r>
            <w:r>
              <w:rPr>
                <w:rFonts w:hint="eastAsia"/>
                <w:color w:val="auto"/>
                <w:szCs w:val="21"/>
                <w:highlight w:val="none"/>
                <w:lang w:eastAsia="zh-CN"/>
              </w:rPr>
              <w:t>泄漏</w:t>
            </w:r>
            <w:r>
              <w:rPr>
                <w:rFonts w:hint="eastAsia"/>
                <w:color w:val="auto"/>
                <w:szCs w:val="21"/>
                <w:highlight w:val="none"/>
              </w:rPr>
              <w:t>对土壤、地下水造成污染。捕收剂、起泡剂贮存于药剂库，废机油储存在危险废物贮存点，药剂库、危险废物贮存点</w:t>
            </w:r>
            <w:r>
              <w:rPr>
                <w:rFonts w:hint="eastAsia"/>
                <w:bCs/>
                <w:color w:val="auto"/>
                <w:szCs w:val="21"/>
                <w:highlight w:val="none"/>
              </w:rPr>
              <w:t>地面</w:t>
            </w:r>
            <w:r>
              <w:rPr>
                <w:rFonts w:hint="eastAsia"/>
                <w:bCs/>
                <w:color w:val="auto"/>
                <w:szCs w:val="21"/>
                <w:highlight w:val="none"/>
                <w:lang w:val="en-US" w:eastAsia="zh-CN"/>
              </w:rPr>
              <w:t>与</w:t>
            </w:r>
            <w:r>
              <w:rPr>
                <w:rFonts w:hint="eastAsia"/>
                <w:bCs/>
                <w:color w:val="auto"/>
                <w:szCs w:val="21"/>
                <w:highlight w:val="none"/>
              </w:rPr>
              <w:t>裙脚采用2mm厚的高密度聚乙烯+</w:t>
            </w:r>
            <w:r>
              <w:rPr>
                <w:rFonts w:hint="eastAsia"/>
                <w:bCs/>
                <w:color w:val="auto"/>
                <w:szCs w:val="21"/>
                <w:highlight w:val="none"/>
                <w:lang w:eastAsia="zh-CN"/>
              </w:rPr>
              <w:t>抗渗</w:t>
            </w:r>
            <w:r>
              <w:rPr>
                <w:rFonts w:hint="eastAsia"/>
                <w:bCs/>
                <w:color w:val="auto"/>
                <w:szCs w:val="21"/>
                <w:highlight w:val="none"/>
              </w:rPr>
              <w:t>混凝土进行防渗处理，渗透系数≤10</w:t>
            </w:r>
            <w:r>
              <w:rPr>
                <w:rFonts w:hint="eastAsia"/>
                <w:bCs/>
                <w:color w:val="auto"/>
                <w:szCs w:val="21"/>
                <w:highlight w:val="none"/>
                <w:vertAlign w:val="superscript"/>
              </w:rPr>
              <w:t>-10</w:t>
            </w:r>
            <w:r>
              <w:rPr>
                <w:rFonts w:hint="eastAsia"/>
                <w:bCs/>
                <w:color w:val="auto"/>
                <w:szCs w:val="21"/>
                <w:highlight w:val="none"/>
              </w:rPr>
              <w:t>cm/s。</w:t>
            </w:r>
            <w:r>
              <w:rPr>
                <w:color w:val="auto"/>
                <w:szCs w:val="21"/>
                <w:highlight w:val="none"/>
              </w:rPr>
              <w:t>防渗技术等效厚度为6m粘土层、渗透系数不超过10</w:t>
            </w:r>
            <w:r>
              <w:rPr>
                <w:color w:val="auto"/>
                <w:szCs w:val="21"/>
                <w:highlight w:val="none"/>
                <w:vertAlign w:val="superscript"/>
              </w:rPr>
              <w:t>-7</w:t>
            </w:r>
            <w:r>
              <w:rPr>
                <w:color w:val="auto"/>
                <w:szCs w:val="21"/>
                <w:highlight w:val="none"/>
              </w:rPr>
              <w:t>cm/s。</w:t>
            </w:r>
            <w:r>
              <w:rPr>
                <w:rFonts w:hint="eastAsia"/>
                <w:color w:val="auto"/>
                <w:szCs w:val="21"/>
                <w:highlight w:val="none"/>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r>
              <w:rPr>
                <w:color w:val="auto"/>
                <w:szCs w:val="21"/>
                <w:highlight w:val="none"/>
              </w:rPr>
              <w:t>。</w:t>
            </w:r>
          </w:p>
          <w:p w14:paraId="16611903">
            <w:pPr>
              <w:adjustRightInd w:val="0"/>
              <w:snapToGrid w:val="0"/>
              <w:spacing w:line="360" w:lineRule="auto"/>
              <w:rPr>
                <w:color w:val="auto"/>
                <w:szCs w:val="21"/>
                <w:highlight w:val="none"/>
              </w:rPr>
            </w:pPr>
            <w:r>
              <w:rPr>
                <w:rFonts w:hint="eastAsia"/>
                <w:b/>
                <w:color w:val="auto"/>
                <w:kern w:val="0"/>
                <w:szCs w:val="21"/>
                <w:highlight w:val="none"/>
              </w:rPr>
              <w:t>8</w:t>
            </w:r>
            <w:r>
              <w:rPr>
                <w:b/>
                <w:color w:val="auto"/>
                <w:kern w:val="0"/>
                <w:szCs w:val="21"/>
                <w:highlight w:val="none"/>
              </w:rPr>
              <w:t>、运输线路环境</w:t>
            </w:r>
            <w:r>
              <w:rPr>
                <w:rFonts w:hint="eastAsia"/>
                <w:b/>
                <w:color w:val="auto"/>
                <w:kern w:val="0"/>
                <w:szCs w:val="21"/>
                <w:highlight w:val="none"/>
              </w:rPr>
              <w:t>影响</w:t>
            </w:r>
          </w:p>
          <w:p w14:paraId="2B74FC5A">
            <w:pPr>
              <w:pStyle w:val="8"/>
              <w:adjustRightInd w:val="0"/>
              <w:snapToGrid w:val="0"/>
              <w:spacing w:before="0" w:after="0" w:line="360" w:lineRule="auto"/>
              <w:ind w:right="0" w:firstLineChars="200"/>
              <w:rPr>
                <w:color w:val="auto"/>
                <w:sz w:val="21"/>
                <w:szCs w:val="21"/>
                <w:highlight w:val="none"/>
              </w:rPr>
            </w:pPr>
            <w:r>
              <w:rPr>
                <w:rFonts w:hint="eastAsia"/>
                <w:color w:val="auto"/>
                <w:sz w:val="21"/>
                <w:szCs w:val="21"/>
                <w:highlight w:val="none"/>
              </w:rPr>
              <w:t>（1）运输路线环境敏感目标</w:t>
            </w:r>
          </w:p>
          <w:p w14:paraId="39BADC29">
            <w:pPr>
              <w:spacing w:line="360" w:lineRule="auto"/>
              <w:ind w:firstLine="420" w:firstLineChars="200"/>
              <w:rPr>
                <w:color w:val="auto"/>
                <w:szCs w:val="21"/>
                <w:highlight w:val="none"/>
              </w:rPr>
            </w:pPr>
            <w:r>
              <w:rPr>
                <w:rFonts w:hint="eastAsia"/>
                <w:color w:val="auto"/>
                <w:kern w:val="24"/>
                <w:szCs w:val="21"/>
                <w:highlight w:val="none"/>
              </w:rPr>
              <w:t>本</w:t>
            </w:r>
            <w:r>
              <w:rPr>
                <w:color w:val="auto"/>
                <w:kern w:val="24"/>
                <w:szCs w:val="21"/>
                <w:highlight w:val="none"/>
              </w:rPr>
              <w:t>项目</w:t>
            </w:r>
            <w:r>
              <w:rPr>
                <w:bCs/>
                <w:color w:val="auto"/>
                <w:kern w:val="0"/>
                <w:szCs w:val="21"/>
                <w:highlight w:val="none"/>
              </w:rPr>
              <w:t>运输车辆</w:t>
            </w:r>
            <w:r>
              <w:rPr>
                <w:rFonts w:hint="eastAsia"/>
                <w:bCs/>
                <w:color w:val="auto"/>
                <w:kern w:val="0"/>
                <w:szCs w:val="21"/>
                <w:highlight w:val="none"/>
              </w:rPr>
              <w:t>沿村路行驶进入恒桦公路再进入331国道</w:t>
            </w:r>
            <w:r>
              <w:rPr>
                <w:bCs/>
                <w:color w:val="auto"/>
                <w:kern w:val="0"/>
                <w:szCs w:val="21"/>
                <w:highlight w:val="none"/>
              </w:rPr>
              <w:t>，</w:t>
            </w:r>
            <w:r>
              <w:rPr>
                <w:color w:val="auto"/>
                <w:kern w:val="24"/>
                <w:szCs w:val="21"/>
                <w:highlight w:val="none"/>
              </w:rPr>
              <w:t>运输路线</w:t>
            </w:r>
            <w:r>
              <w:rPr>
                <w:rFonts w:hint="eastAsia"/>
                <w:color w:val="auto"/>
                <w:kern w:val="24"/>
                <w:szCs w:val="21"/>
                <w:highlight w:val="none"/>
              </w:rPr>
              <w:t>居民敏感目标为大恒山街道及义安村居民区。</w:t>
            </w:r>
          </w:p>
          <w:p w14:paraId="76F84051">
            <w:pPr>
              <w:pStyle w:val="8"/>
              <w:adjustRightInd w:val="0"/>
              <w:snapToGrid w:val="0"/>
              <w:spacing w:before="0" w:after="0" w:line="360" w:lineRule="auto"/>
              <w:ind w:right="0" w:firstLineChars="200"/>
              <w:rPr>
                <w:color w:val="auto"/>
                <w:sz w:val="21"/>
                <w:szCs w:val="21"/>
                <w:highlight w:val="none"/>
              </w:rPr>
            </w:pPr>
            <w:r>
              <w:rPr>
                <w:color w:val="auto"/>
                <w:sz w:val="21"/>
                <w:szCs w:val="21"/>
                <w:highlight w:val="none"/>
              </w:rPr>
              <w:t>（</w:t>
            </w:r>
            <w:r>
              <w:rPr>
                <w:rFonts w:hint="eastAsia"/>
                <w:color w:val="auto"/>
                <w:sz w:val="21"/>
                <w:szCs w:val="21"/>
                <w:highlight w:val="none"/>
              </w:rPr>
              <w:t>2</w:t>
            </w:r>
            <w:r>
              <w:rPr>
                <w:color w:val="auto"/>
                <w:sz w:val="21"/>
                <w:szCs w:val="21"/>
                <w:highlight w:val="none"/>
              </w:rPr>
              <w:t>）运输噪声影响分析</w:t>
            </w:r>
          </w:p>
          <w:p w14:paraId="3AA01224">
            <w:pPr>
              <w:pStyle w:val="8"/>
              <w:adjustRightInd w:val="0"/>
              <w:snapToGrid w:val="0"/>
              <w:spacing w:before="0" w:after="0" w:line="360" w:lineRule="auto"/>
              <w:ind w:right="0" w:firstLineChars="200"/>
              <w:rPr>
                <w:color w:val="auto"/>
                <w:sz w:val="21"/>
                <w:szCs w:val="21"/>
                <w:highlight w:val="none"/>
              </w:rPr>
            </w:pPr>
            <w:r>
              <w:rPr>
                <w:color w:val="auto"/>
                <w:sz w:val="21"/>
                <w:szCs w:val="21"/>
                <w:highlight w:val="none"/>
              </w:rPr>
              <w:t>运输车辆行驶噪声源强约为70</w:t>
            </w:r>
            <w:r>
              <w:rPr>
                <w:rFonts w:hint="eastAsia"/>
                <w:color w:val="auto"/>
                <w:sz w:val="21"/>
                <w:szCs w:val="21"/>
                <w:highlight w:val="none"/>
              </w:rPr>
              <w:t>~85</w:t>
            </w:r>
            <w:r>
              <w:rPr>
                <w:color w:val="auto"/>
                <w:sz w:val="21"/>
                <w:szCs w:val="21"/>
                <w:highlight w:val="none"/>
              </w:rPr>
              <w:t>dB（A），对运输交通噪声，禁止使用超过噪声限值的运输车辆，汽车运输机械设备应安装消声器和禁用高音喇叭，机动车辆必须加强维修和保养，保持技术性能良好，在经过运输道路沿途村落时，应限制鸣笛，合理安排运输车辆工作时间，22：00</w:t>
            </w:r>
            <w:r>
              <w:rPr>
                <w:rFonts w:hint="eastAsia"/>
                <w:color w:val="auto"/>
                <w:sz w:val="21"/>
                <w:szCs w:val="21"/>
                <w:highlight w:val="none"/>
              </w:rPr>
              <w:t>~</w:t>
            </w:r>
            <w:r>
              <w:rPr>
                <w:color w:val="auto"/>
                <w:sz w:val="21"/>
                <w:szCs w:val="21"/>
                <w:highlight w:val="none"/>
              </w:rPr>
              <w:t>次日6:00禁止运输工作</w:t>
            </w:r>
            <w:r>
              <w:rPr>
                <w:rFonts w:hint="eastAsia"/>
                <w:color w:val="auto"/>
                <w:sz w:val="21"/>
                <w:szCs w:val="21"/>
                <w:highlight w:val="none"/>
              </w:rPr>
              <w:t>，</w:t>
            </w:r>
            <w:r>
              <w:rPr>
                <w:color w:val="auto"/>
                <w:sz w:val="21"/>
                <w:szCs w:val="21"/>
                <w:highlight w:val="none"/>
              </w:rPr>
              <w:t>产品运输均在昼间进行，加强对运输车辆管理，杜绝超载现象，按期保养车辆保持车辆良好工况，运输车辆在经过沿线敏感目标时控制行驶速度，通过采取以上措施运输沿线公路交通噪声影响是可以接受的。</w:t>
            </w:r>
          </w:p>
          <w:p w14:paraId="4C62BE6F">
            <w:pPr>
              <w:pStyle w:val="8"/>
              <w:adjustRightInd w:val="0"/>
              <w:snapToGrid w:val="0"/>
              <w:spacing w:before="0" w:after="0" w:line="360" w:lineRule="auto"/>
              <w:ind w:right="0" w:firstLineChars="200"/>
              <w:rPr>
                <w:color w:val="auto"/>
                <w:sz w:val="21"/>
                <w:szCs w:val="21"/>
                <w:highlight w:val="none"/>
              </w:rPr>
            </w:pPr>
            <w:r>
              <w:rPr>
                <w:color w:val="auto"/>
                <w:sz w:val="21"/>
                <w:szCs w:val="21"/>
                <w:highlight w:val="none"/>
              </w:rPr>
              <w:t>（</w:t>
            </w:r>
            <w:r>
              <w:rPr>
                <w:rFonts w:hint="eastAsia"/>
                <w:color w:val="auto"/>
                <w:sz w:val="21"/>
                <w:szCs w:val="21"/>
                <w:highlight w:val="none"/>
              </w:rPr>
              <w:t>3</w:t>
            </w:r>
            <w:r>
              <w:rPr>
                <w:color w:val="auto"/>
                <w:sz w:val="21"/>
                <w:szCs w:val="21"/>
                <w:highlight w:val="none"/>
              </w:rPr>
              <w:t>）运输道路扬尘影响</w:t>
            </w:r>
          </w:p>
          <w:p w14:paraId="3A07423A">
            <w:pPr>
              <w:adjustRightInd w:val="0"/>
              <w:snapToGrid w:val="0"/>
              <w:spacing w:line="360" w:lineRule="auto"/>
              <w:ind w:firstLine="420" w:firstLineChars="200"/>
              <w:rPr>
                <w:color w:val="auto"/>
                <w:szCs w:val="21"/>
                <w:highlight w:val="none"/>
              </w:rPr>
            </w:pPr>
            <w:r>
              <w:rPr>
                <w:color w:val="auto"/>
                <w:szCs w:val="21"/>
                <w:highlight w:val="none"/>
              </w:rPr>
              <w:t>根据《扬尘源颗粒物排放清单编制技术指南》中铺装道路扬尘源排放系数计算公式，计算得出本项目运输车辆行驶1km产生的道路扬尘质量为</w:t>
            </w:r>
            <w:r>
              <w:rPr>
                <w:rFonts w:hint="eastAsia"/>
                <w:color w:val="auto"/>
                <w:szCs w:val="21"/>
                <w:highlight w:val="none"/>
              </w:rPr>
              <w:t>25.23</w:t>
            </w:r>
            <w:r>
              <w:rPr>
                <w:color w:val="auto"/>
                <w:szCs w:val="21"/>
                <w:highlight w:val="none"/>
              </w:rPr>
              <w:t>g/km。本项目运输过程中要加强道路养护，保障路面平整，控制汽车行驶速度，运输车辆采用苫布苫盖，同时采取洒水抑尘的措施，可有效降低汽车运输的起尘量，运输产生的扬尘</w:t>
            </w:r>
            <w:r>
              <w:rPr>
                <w:rFonts w:hint="eastAsia"/>
                <w:color w:val="auto"/>
                <w:szCs w:val="21"/>
                <w:highlight w:val="none"/>
                <w:lang w:val="en-US" w:eastAsia="zh-CN"/>
              </w:rPr>
              <w:t>对</w:t>
            </w:r>
            <w:r>
              <w:rPr>
                <w:color w:val="auto"/>
                <w:szCs w:val="21"/>
                <w:highlight w:val="none"/>
              </w:rPr>
              <w:t>环境空气的影响较小。</w:t>
            </w:r>
          </w:p>
          <w:p w14:paraId="029922D2">
            <w:pPr>
              <w:pStyle w:val="2"/>
              <w:jc w:val="center"/>
              <w:rPr>
                <w:color w:val="auto"/>
                <w:sz w:val="21"/>
                <w:szCs w:val="21"/>
                <w:highlight w:val="none"/>
              </w:rPr>
            </w:pPr>
            <w:r>
              <w:rPr>
                <w:color w:val="auto"/>
                <w:sz w:val="21"/>
                <w:szCs w:val="21"/>
                <w:highlight w:val="none"/>
              </w:rPr>
              <w:drawing>
                <wp:anchor distT="0" distB="0" distL="114300" distR="114300" simplePos="0" relativeHeight="251672576" behindDoc="0" locked="0" layoutInCell="1" allowOverlap="1">
                  <wp:simplePos x="0" y="0"/>
                  <wp:positionH relativeFrom="column">
                    <wp:posOffset>4373245</wp:posOffset>
                  </wp:positionH>
                  <wp:positionV relativeFrom="paragraph">
                    <wp:posOffset>47625</wp:posOffset>
                  </wp:positionV>
                  <wp:extent cx="742315" cy="684530"/>
                  <wp:effectExtent l="0" t="0" r="635" b="1270"/>
                  <wp:wrapNone/>
                  <wp:docPr id="50" name="图片 4"/>
                  <wp:cNvGraphicFramePr/>
                  <a:graphic xmlns:a="http://schemas.openxmlformats.org/drawingml/2006/main">
                    <a:graphicData uri="http://schemas.openxmlformats.org/drawingml/2006/picture">
                      <pic:pic xmlns:pic="http://schemas.openxmlformats.org/drawingml/2006/picture">
                        <pic:nvPicPr>
                          <pic:cNvPr id="50" name="图片 4"/>
                          <pic:cNvPicPr/>
                        </pic:nvPicPr>
                        <pic:blipFill>
                          <a:blip r:embed="rId33"/>
                          <a:stretch>
                            <a:fillRect/>
                          </a:stretch>
                        </pic:blipFill>
                        <pic:spPr>
                          <a:xfrm>
                            <a:off x="0" y="0"/>
                            <a:ext cx="742315" cy="684530"/>
                          </a:xfrm>
                          <a:prstGeom prst="rect">
                            <a:avLst/>
                          </a:prstGeom>
                          <a:noFill/>
                          <a:ln>
                            <a:noFill/>
                          </a:ln>
                        </pic:spPr>
                      </pic:pic>
                    </a:graphicData>
                  </a:graphic>
                </wp:anchor>
              </w:drawing>
            </w:r>
            <w:r>
              <w:rPr>
                <w:color w:val="auto"/>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3775075</wp:posOffset>
                      </wp:positionH>
                      <wp:positionV relativeFrom="paragraph">
                        <wp:posOffset>1708150</wp:posOffset>
                      </wp:positionV>
                      <wp:extent cx="1343025" cy="1037590"/>
                      <wp:effectExtent l="4445" t="4445" r="5080" b="5715"/>
                      <wp:wrapNone/>
                      <wp:docPr id="93" name="文本框 93"/>
                      <wp:cNvGraphicFramePr/>
                      <a:graphic xmlns:a="http://schemas.openxmlformats.org/drawingml/2006/main">
                        <a:graphicData uri="http://schemas.microsoft.com/office/word/2010/wordprocessingShape">
                          <wps:wsp>
                            <wps:cNvSpPr txBox="1"/>
                            <wps:spPr>
                              <a:xfrm>
                                <a:off x="5214620" y="4210050"/>
                                <a:ext cx="1343025" cy="1037590"/>
                              </a:xfrm>
                              <a:prstGeom prst="rect">
                                <a:avLst/>
                              </a:prstGeom>
                              <a:solidFill>
                                <a:srgbClr val="FFFFFF"/>
                              </a:solidFill>
                              <a:ln w="6350">
                                <a:solidFill>
                                  <a:prstClr val="black"/>
                                </a:solidFill>
                              </a:ln>
                              <a:effectLst/>
                            </wps:spPr>
                            <wps:txbx>
                              <w:txbxContent>
                                <w:p w14:paraId="7E4EEAAA">
                                  <w:pPr>
                                    <w:spacing w:line="360" w:lineRule="auto"/>
                                    <w:jc w:val="center"/>
                                  </w:pPr>
                                  <w:r>
                                    <w:rPr>
                                      <w:rFonts w:hint="eastAsia"/>
                                    </w:rPr>
                                    <w:t>图例</w:t>
                                  </w:r>
                                </w:p>
                                <w:p w14:paraId="15075F9A">
                                  <w:pPr>
                                    <w:pStyle w:val="11"/>
                                    <w:spacing w:line="360" w:lineRule="auto"/>
                                    <w:jc w:val="center"/>
                                  </w:pPr>
                                  <w:r>
                                    <w:rPr>
                                      <w:rFonts w:hint="eastAsia"/>
                                    </w:rPr>
                                    <w:t>本项目</w:t>
                                  </w:r>
                                </w:p>
                                <w:p w14:paraId="0A63725E">
                                  <w:pPr>
                                    <w:pStyle w:val="11"/>
                                    <w:spacing w:line="360" w:lineRule="auto"/>
                                    <w:jc w:val="center"/>
                                  </w:pPr>
                                  <w:r>
                                    <w:rPr>
                                      <w:rFonts w:hint="eastAsia"/>
                                    </w:rPr>
                                    <w:t>运输路线</w:t>
                                  </w:r>
                                </w:p>
                                <w:p w14:paraId="6F796DC1">
                                  <w:pPr>
                                    <w:pStyle w:val="11"/>
                                    <w:spacing w:line="360" w:lineRule="auto"/>
                                    <w:jc w:val="center"/>
                                  </w:pPr>
                                  <w:r>
                                    <w:rPr>
                                      <w:rFonts w:hint="eastAsia"/>
                                    </w:rPr>
                                    <w:t>比例尺</w:t>
                                  </w:r>
                                  <w:r>
                                    <w:rPr>
                                      <w:rFonts w:ascii="Times New Roman" w:hAnsi="Times New Roman"/>
                                    </w:rPr>
                                    <w:t>：1:18055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25pt;margin-top:134.5pt;height:81.7pt;width:105.75pt;z-index:251669504;mso-width-relative:page;mso-height-relative:page;" fillcolor="#FFFFFF" filled="t" stroked="t" coordsize="21600,21600" o:gfxdata="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mchqDYAAAACwEAAA8AAAAAAAAAAQAgAAAAIgAAAGRycy9kb3ducmV2&#10;LnhtbFBLAQIUABQAAAAIAIdO4kDEkPnPbgIAANQEAAAOAAAAAAAAAAEAIAAAACcBAABkcnMvZTJv&#10;RG9jLnhtbFBLBQYAAAAABgAGAFkBAAAHBgAAAAA=&#10;">
                      <v:fill on="t" focussize="0,0"/>
                      <v:stroke weight="0.5pt" color="#000000" joinstyle="round"/>
                      <v:imagedata o:title=""/>
                      <o:lock v:ext="edit" aspectratio="f"/>
                      <v:textbox>
                        <w:txbxContent>
                          <w:p w14:paraId="7E4EEAAA">
                            <w:pPr>
                              <w:spacing w:line="360" w:lineRule="auto"/>
                              <w:jc w:val="center"/>
                            </w:pPr>
                            <w:r>
                              <w:rPr>
                                <w:rFonts w:hint="eastAsia"/>
                              </w:rPr>
                              <w:t>图例</w:t>
                            </w:r>
                          </w:p>
                          <w:p w14:paraId="15075F9A">
                            <w:pPr>
                              <w:pStyle w:val="11"/>
                              <w:spacing w:line="360" w:lineRule="auto"/>
                              <w:jc w:val="center"/>
                            </w:pPr>
                            <w:r>
                              <w:rPr>
                                <w:rFonts w:hint="eastAsia"/>
                              </w:rPr>
                              <w:t>本项目</w:t>
                            </w:r>
                          </w:p>
                          <w:p w14:paraId="0A63725E">
                            <w:pPr>
                              <w:pStyle w:val="11"/>
                              <w:spacing w:line="360" w:lineRule="auto"/>
                              <w:jc w:val="center"/>
                            </w:pPr>
                            <w:r>
                              <w:rPr>
                                <w:rFonts w:hint="eastAsia"/>
                              </w:rPr>
                              <w:t>运输路线</w:t>
                            </w:r>
                          </w:p>
                          <w:p w14:paraId="6F796DC1">
                            <w:pPr>
                              <w:pStyle w:val="11"/>
                              <w:spacing w:line="360" w:lineRule="auto"/>
                              <w:jc w:val="center"/>
                            </w:pPr>
                            <w:r>
                              <w:rPr>
                                <w:rFonts w:hint="eastAsia"/>
                              </w:rPr>
                              <w:t>比例尺</w:t>
                            </w:r>
                            <w:r>
                              <w:rPr>
                                <w:rFonts w:ascii="Times New Roman" w:hAnsi="Times New Roman"/>
                              </w:rPr>
                              <w:t>：1:18055</w:t>
                            </w:r>
                          </w:p>
                        </w:txbxContent>
                      </v:textbox>
                    </v:shape>
                  </w:pict>
                </mc:Fallback>
              </mc:AlternateContent>
            </w:r>
            <w:r>
              <w:rPr>
                <w:color w:val="auto"/>
                <w:sz w:val="21"/>
                <w:szCs w:val="21"/>
                <w:highlight w:val="none"/>
              </w:rPr>
              <mc:AlternateContent>
                <mc:Choice Requires="wps">
                  <w:drawing>
                    <wp:anchor distT="0" distB="0" distL="114300" distR="114300" simplePos="0" relativeHeight="251671552" behindDoc="0" locked="0" layoutInCell="1" allowOverlap="1">
                      <wp:simplePos x="0" y="0"/>
                      <wp:positionH relativeFrom="column">
                        <wp:posOffset>3813175</wp:posOffset>
                      </wp:positionH>
                      <wp:positionV relativeFrom="paragraph">
                        <wp:posOffset>2431415</wp:posOffset>
                      </wp:positionV>
                      <wp:extent cx="209550" cy="0"/>
                      <wp:effectExtent l="0" t="9525" r="0" b="9525"/>
                      <wp:wrapNone/>
                      <wp:docPr id="106" name="直接连接符 106"/>
                      <wp:cNvGraphicFramePr/>
                      <a:graphic xmlns:a="http://schemas.openxmlformats.org/drawingml/2006/main">
                        <a:graphicData uri="http://schemas.microsoft.com/office/word/2010/wordprocessingShape">
                          <wps:wsp>
                            <wps:cNvCnPr/>
                            <wps:spPr>
                              <a:xfrm>
                                <a:off x="5367020" y="4867275"/>
                                <a:ext cx="209550" cy="0"/>
                              </a:xfrm>
                              <a:prstGeom prst="line">
                                <a:avLst/>
                              </a:prstGeom>
                              <a:noFill/>
                              <a:ln w="19050" cap="flat" cmpd="sng" algn="ctr">
                                <a:solidFill>
                                  <a:srgbClr val="0A0DD3"/>
                                </a:solidFill>
                                <a:prstDash val="solid"/>
                                <a:miter lim="800000"/>
                              </a:ln>
                              <a:effectLst/>
                            </wps:spPr>
                            <wps:bodyPr/>
                          </wps:wsp>
                        </a:graphicData>
                      </a:graphic>
                    </wp:anchor>
                  </w:drawing>
                </mc:Choice>
                <mc:Fallback>
                  <w:pict>
                    <v:line id="_x0000_s1026" o:spid="_x0000_s1026" o:spt="20" style="position:absolute;left:0pt;margin-left:300.25pt;margin-top:191.45pt;height:0pt;width:16.5pt;z-index:251671552;mso-width-relative:page;mso-height-relative:page;" filled="f" stroked="t" coordsize="21600,21600" o:gfxdata="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8BcOPYAAAACwEAAA8AAAAAAAAAAQAgAAAAIgAAAGRycy9kb3ducmV2&#10;LnhtbFBLAQIUABQAAAAIAIdO4kCC4G65/AEAAM8DAAAOAAAAAAAAAAEAIAAAACcBAABkcnMvZTJv&#10;RG9jLnhtbFBLBQYAAAAABgAGAFkBAACVBQAAAAA=&#10;">
                      <v:fill on="f" focussize="0,0"/>
                      <v:stroke weight="1.5pt" color="#0A0DD3" miterlimit="8" joinstyle="miter"/>
                      <v:imagedata o:title=""/>
                      <o:lock v:ext="edit" aspectratio="f"/>
                    </v:line>
                  </w:pict>
                </mc:Fallback>
              </mc:AlternateContent>
            </w:r>
            <w:r>
              <w:rPr>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3813175</wp:posOffset>
                      </wp:positionH>
                      <wp:positionV relativeFrom="paragraph">
                        <wp:posOffset>2145665</wp:posOffset>
                      </wp:positionV>
                      <wp:extent cx="257175" cy="123825"/>
                      <wp:effectExtent l="6350" t="6350" r="22225" b="22225"/>
                      <wp:wrapNone/>
                      <wp:docPr id="105" name="矩形 105"/>
                      <wp:cNvGraphicFramePr/>
                      <a:graphic xmlns:a="http://schemas.openxmlformats.org/drawingml/2006/main">
                        <a:graphicData uri="http://schemas.microsoft.com/office/word/2010/wordprocessingShape">
                          <wps:wsp>
                            <wps:cNvSpPr/>
                            <wps:spPr>
                              <a:xfrm>
                                <a:off x="5357495" y="4543425"/>
                                <a:ext cx="257175" cy="1238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25pt;margin-top:168.95pt;height:9.75pt;width:20.25pt;z-index:251670528;v-text-anchor:middle;mso-width-relative:page;mso-height-relative:page;" filled="f" stroked="t" coordsize="21600,21600" o:gfxdata="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hqRTdgAAAALAQAADwAAAAAAAAABACAA&#10;AAAiAAAAZHJzL2Rvd25yZXYueG1sUEsBAhQAFAAAAAgAh07iQL99pDR/AgAA6AQAAA4AAAAAAAAA&#10;AQAgAAAAJwEAAGRycy9lMm9Eb2MueG1sUEsFBgAAAAAGAAYAWQEAABgGAAAAAA==&#10;">
                      <v:fill on="f" focussize="0,0"/>
                      <v:stroke weight="1pt" color="#FF0000" miterlimit="8" joinstyle="miter"/>
                      <v:imagedata o:title=""/>
                      <o:lock v:ext="edit" aspectratio="f"/>
                    </v:rect>
                  </w:pict>
                </mc:Fallback>
              </mc:AlternateContent>
            </w:r>
            <w:r>
              <w:rPr>
                <w:color w:val="auto"/>
                <w:highlight w:val="none"/>
              </w:rPr>
              <w:drawing>
                <wp:inline distT="0" distB="0" distL="114300" distR="114300">
                  <wp:extent cx="5132070" cy="2717800"/>
                  <wp:effectExtent l="0" t="0" r="11430" b="635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34"/>
                          <a:stretch>
                            <a:fillRect/>
                          </a:stretch>
                        </pic:blipFill>
                        <pic:spPr>
                          <a:xfrm>
                            <a:off x="0" y="0"/>
                            <a:ext cx="5132070" cy="2717800"/>
                          </a:xfrm>
                          <a:prstGeom prst="rect">
                            <a:avLst/>
                          </a:prstGeom>
                          <a:noFill/>
                          <a:ln>
                            <a:noFill/>
                          </a:ln>
                        </pic:spPr>
                      </pic:pic>
                    </a:graphicData>
                  </a:graphic>
                </wp:inline>
              </w:drawing>
            </w:r>
          </w:p>
          <w:p w14:paraId="0EA47EF8">
            <w:pPr>
              <w:jc w:val="center"/>
              <w:rPr>
                <w:color w:val="auto"/>
                <w:szCs w:val="21"/>
                <w:highlight w:val="none"/>
              </w:rPr>
            </w:pPr>
            <w:r>
              <w:rPr>
                <w:b/>
                <w:bCs/>
                <w:color w:val="auto"/>
                <w:szCs w:val="21"/>
                <w:highlight w:val="none"/>
              </w:rPr>
              <w:t>图4-</w:t>
            </w:r>
            <w:r>
              <w:rPr>
                <w:rFonts w:hint="eastAsia"/>
                <w:b/>
                <w:bCs/>
                <w:color w:val="auto"/>
                <w:szCs w:val="21"/>
                <w:highlight w:val="none"/>
                <w:lang w:val="en-US" w:eastAsia="zh-CN"/>
              </w:rPr>
              <w:t>3</w:t>
            </w:r>
            <w:r>
              <w:rPr>
                <w:rFonts w:hint="eastAsia"/>
                <w:b/>
                <w:bCs/>
                <w:color w:val="auto"/>
                <w:szCs w:val="21"/>
                <w:highlight w:val="none"/>
              </w:rPr>
              <w:t xml:space="preserve"> </w:t>
            </w:r>
            <w:r>
              <w:rPr>
                <w:b/>
                <w:bCs/>
                <w:color w:val="auto"/>
                <w:szCs w:val="21"/>
                <w:highlight w:val="none"/>
              </w:rPr>
              <w:t>运输路线图</w:t>
            </w:r>
          </w:p>
        </w:tc>
      </w:tr>
    </w:tbl>
    <w:p w14:paraId="263A3A80">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56E64201">
      <w:pPr>
        <w:pStyle w:val="19"/>
        <w:jc w:val="center"/>
        <w:outlineLvl w:val="0"/>
        <w:rPr>
          <w:rFonts w:ascii="Times New Roman" w:hAnsi="Times New Roman" w:eastAsia="黑体"/>
          <w:snapToGrid w:val="0"/>
          <w:color w:val="auto"/>
          <w:sz w:val="30"/>
          <w:szCs w:val="30"/>
          <w:highlight w:val="none"/>
        </w:rPr>
      </w:pPr>
      <w:bookmarkStart w:id="44" w:name="_Toc3201"/>
      <w:bookmarkStart w:id="45" w:name="_Toc16308"/>
      <w:bookmarkStart w:id="46" w:name="_Toc32108"/>
      <w:bookmarkStart w:id="47" w:name="_Toc27269"/>
      <w:bookmarkStart w:id="48" w:name="_Toc15685"/>
      <w:r>
        <w:rPr>
          <w:rFonts w:ascii="Times New Roman" w:hAnsi="Times New Roman" w:eastAsia="黑体"/>
          <w:snapToGrid w:val="0"/>
          <w:color w:val="auto"/>
          <w:sz w:val="30"/>
          <w:szCs w:val="30"/>
          <w:highlight w:val="none"/>
        </w:rPr>
        <w:t>五、</w:t>
      </w:r>
      <w:bookmarkStart w:id="49" w:name="_Hlk54167917"/>
      <w:r>
        <w:rPr>
          <w:rFonts w:ascii="Times New Roman" w:hAnsi="Times New Roman" w:eastAsia="黑体"/>
          <w:snapToGrid w:val="0"/>
          <w:color w:val="auto"/>
          <w:sz w:val="30"/>
          <w:szCs w:val="30"/>
          <w:highlight w:val="none"/>
        </w:rPr>
        <w:t>环境保护措施监督检查清单</w:t>
      </w:r>
      <w:bookmarkEnd w:id="44"/>
      <w:bookmarkEnd w:id="45"/>
      <w:bookmarkEnd w:id="46"/>
      <w:bookmarkEnd w:id="47"/>
      <w:bookmarkEnd w:id="48"/>
      <w:bookmarkEnd w:id="49"/>
    </w:p>
    <w:tbl>
      <w:tblPr>
        <w:tblStyle w:val="22"/>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2886"/>
      </w:tblGrid>
      <w:tr w14:paraId="4B883F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tcPr>
          <w:p w14:paraId="2C84881B">
            <w:pPr>
              <w:adjustRightInd w:val="0"/>
              <w:snapToGrid w:val="0"/>
              <w:ind w:firstLine="360" w:firstLineChars="200"/>
              <w:rPr>
                <w:color w:val="auto"/>
                <w:sz w:val="18"/>
                <w:szCs w:val="18"/>
                <w:highlight w:val="none"/>
              </w:rPr>
            </w:pPr>
            <w:r>
              <w:rPr>
                <w:color w:val="auto"/>
                <w:sz w:val="18"/>
                <w:szCs w:val="18"/>
                <w:highlight w:val="none"/>
              </w:rPr>
              <w:t>内容</w:t>
            </w:r>
          </w:p>
          <w:p w14:paraId="30DC9FE6">
            <w:pPr>
              <w:adjustRightInd w:val="0"/>
              <w:snapToGrid w:val="0"/>
              <w:rPr>
                <w:color w:val="auto"/>
                <w:sz w:val="18"/>
                <w:szCs w:val="18"/>
                <w:highlight w:val="none"/>
              </w:rPr>
            </w:pPr>
            <w:r>
              <w:rPr>
                <w:color w:val="auto"/>
                <w:sz w:val="18"/>
                <w:szCs w:val="18"/>
                <w:highlight w:val="none"/>
              </w:rPr>
              <w:t>要素</w:t>
            </w:r>
          </w:p>
        </w:tc>
        <w:tc>
          <w:tcPr>
            <w:tcW w:w="1560" w:type="dxa"/>
            <w:noWrap/>
            <w:vAlign w:val="center"/>
          </w:tcPr>
          <w:p w14:paraId="26A1D038">
            <w:pPr>
              <w:adjustRightInd w:val="0"/>
              <w:snapToGrid w:val="0"/>
              <w:jc w:val="center"/>
              <w:rPr>
                <w:color w:val="auto"/>
                <w:sz w:val="18"/>
                <w:szCs w:val="18"/>
                <w:highlight w:val="none"/>
              </w:rPr>
            </w:pPr>
            <w:r>
              <w:rPr>
                <w:color w:val="auto"/>
                <w:sz w:val="18"/>
                <w:szCs w:val="18"/>
                <w:highlight w:val="none"/>
              </w:rPr>
              <w:t>排放口</w:t>
            </w:r>
            <w:r>
              <w:rPr>
                <w:rFonts w:hint="eastAsia"/>
                <w:color w:val="auto"/>
                <w:sz w:val="18"/>
                <w:szCs w:val="18"/>
                <w:highlight w:val="none"/>
              </w:rPr>
              <w:t>（</w:t>
            </w:r>
            <w:r>
              <w:rPr>
                <w:color w:val="auto"/>
                <w:sz w:val="18"/>
                <w:szCs w:val="18"/>
                <w:highlight w:val="none"/>
              </w:rPr>
              <w:t>编号、</w:t>
            </w:r>
          </w:p>
          <w:p w14:paraId="74ADED9C">
            <w:pPr>
              <w:adjustRightInd w:val="0"/>
              <w:snapToGrid w:val="0"/>
              <w:jc w:val="center"/>
              <w:rPr>
                <w:color w:val="auto"/>
                <w:sz w:val="18"/>
                <w:szCs w:val="18"/>
                <w:highlight w:val="none"/>
              </w:rPr>
            </w:pPr>
            <w:r>
              <w:rPr>
                <w:color w:val="auto"/>
                <w:sz w:val="18"/>
                <w:szCs w:val="18"/>
                <w:highlight w:val="none"/>
              </w:rPr>
              <w:t>名称</w:t>
            </w:r>
            <w:r>
              <w:rPr>
                <w:rFonts w:hint="eastAsia"/>
                <w:color w:val="auto"/>
                <w:sz w:val="18"/>
                <w:szCs w:val="18"/>
                <w:highlight w:val="none"/>
              </w:rPr>
              <w:t>）</w:t>
            </w:r>
            <w:r>
              <w:rPr>
                <w:color w:val="auto"/>
                <w:sz w:val="18"/>
                <w:szCs w:val="18"/>
                <w:highlight w:val="none"/>
              </w:rPr>
              <w:t>/污染源</w:t>
            </w:r>
          </w:p>
        </w:tc>
        <w:tc>
          <w:tcPr>
            <w:tcW w:w="1320" w:type="dxa"/>
            <w:noWrap/>
            <w:vAlign w:val="center"/>
          </w:tcPr>
          <w:p w14:paraId="6F79B958">
            <w:pPr>
              <w:adjustRightInd w:val="0"/>
              <w:snapToGrid w:val="0"/>
              <w:jc w:val="center"/>
              <w:rPr>
                <w:color w:val="auto"/>
                <w:sz w:val="18"/>
                <w:szCs w:val="18"/>
                <w:highlight w:val="none"/>
              </w:rPr>
            </w:pPr>
            <w:r>
              <w:rPr>
                <w:color w:val="auto"/>
                <w:sz w:val="18"/>
                <w:szCs w:val="18"/>
                <w:highlight w:val="none"/>
              </w:rPr>
              <w:t>污染物项目</w:t>
            </w:r>
          </w:p>
        </w:tc>
        <w:tc>
          <w:tcPr>
            <w:tcW w:w="1950" w:type="dxa"/>
            <w:noWrap/>
            <w:vAlign w:val="center"/>
          </w:tcPr>
          <w:p w14:paraId="62AF1016">
            <w:pPr>
              <w:adjustRightInd w:val="0"/>
              <w:snapToGrid w:val="0"/>
              <w:jc w:val="center"/>
              <w:rPr>
                <w:color w:val="auto"/>
                <w:sz w:val="18"/>
                <w:szCs w:val="18"/>
                <w:highlight w:val="none"/>
              </w:rPr>
            </w:pPr>
            <w:r>
              <w:rPr>
                <w:color w:val="auto"/>
                <w:sz w:val="18"/>
                <w:szCs w:val="18"/>
                <w:highlight w:val="none"/>
              </w:rPr>
              <w:t>环境保护措施</w:t>
            </w:r>
          </w:p>
        </w:tc>
        <w:tc>
          <w:tcPr>
            <w:tcW w:w="2886" w:type="dxa"/>
            <w:noWrap/>
            <w:vAlign w:val="center"/>
          </w:tcPr>
          <w:p w14:paraId="28FDC886">
            <w:pPr>
              <w:adjustRightInd w:val="0"/>
              <w:snapToGrid w:val="0"/>
              <w:jc w:val="center"/>
              <w:rPr>
                <w:color w:val="auto"/>
                <w:sz w:val="18"/>
                <w:szCs w:val="18"/>
                <w:highlight w:val="none"/>
              </w:rPr>
            </w:pPr>
            <w:r>
              <w:rPr>
                <w:color w:val="auto"/>
                <w:sz w:val="18"/>
                <w:szCs w:val="18"/>
                <w:highlight w:val="none"/>
              </w:rPr>
              <w:t>执行标准</w:t>
            </w:r>
          </w:p>
        </w:tc>
      </w:tr>
      <w:tr w14:paraId="2EBCC7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restart"/>
            <w:noWrap/>
            <w:vAlign w:val="center"/>
          </w:tcPr>
          <w:p w14:paraId="505C9FC2">
            <w:pPr>
              <w:adjustRightInd w:val="0"/>
              <w:snapToGrid w:val="0"/>
              <w:jc w:val="center"/>
              <w:rPr>
                <w:color w:val="auto"/>
                <w:sz w:val="18"/>
                <w:szCs w:val="18"/>
                <w:highlight w:val="none"/>
              </w:rPr>
            </w:pPr>
            <w:r>
              <w:rPr>
                <w:color w:val="auto"/>
                <w:sz w:val="18"/>
                <w:szCs w:val="18"/>
                <w:highlight w:val="none"/>
              </w:rPr>
              <w:t>大气环境</w:t>
            </w:r>
          </w:p>
        </w:tc>
        <w:tc>
          <w:tcPr>
            <w:tcW w:w="1560" w:type="dxa"/>
            <w:noWrap/>
            <w:vAlign w:val="center"/>
          </w:tcPr>
          <w:p w14:paraId="369D0395">
            <w:pPr>
              <w:jc w:val="center"/>
              <w:rPr>
                <w:color w:val="auto"/>
                <w:sz w:val="18"/>
                <w:szCs w:val="18"/>
                <w:highlight w:val="none"/>
              </w:rPr>
            </w:pPr>
            <w:r>
              <w:rPr>
                <w:rFonts w:hint="eastAsia"/>
                <w:color w:val="auto"/>
                <w:sz w:val="18"/>
                <w:szCs w:val="18"/>
                <w:highlight w:val="none"/>
              </w:rPr>
              <w:t>物料棚、运输车辆</w:t>
            </w:r>
          </w:p>
        </w:tc>
        <w:tc>
          <w:tcPr>
            <w:tcW w:w="1320" w:type="dxa"/>
            <w:noWrap/>
            <w:vAlign w:val="center"/>
          </w:tcPr>
          <w:p w14:paraId="7EF37E61">
            <w:pPr>
              <w:jc w:val="center"/>
              <w:rPr>
                <w:color w:val="auto"/>
                <w:sz w:val="18"/>
                <w:szCs w:val="18"/>
                <w:highlight w:val="none"/>
              </w:rPr>
            </w:pPr>
            <w:r>
              <w:rPr>
                <w:color w:val="auto"/>
                <w:sz w:val="18"/>
                <w:szCs w:val="18"/>
                <w:highlight w:val="none"/>
              </w:rPr>
              <w:t>颗粒物</w:t>
            </w:r>
          </w:p>
        </w:tc>
        <w:tc>
          <w:tcPr>
            <w:tcW w:w="1950" w:type="dxa"/>
            <w:noWrap/>
            <w:vAlign w:val="center"/>
          </w:tcPr>
          <w:p w14:paraId="00CD1FF7">
            <w:pPr>
              <w:jc w:val="center"/>
              <w:rPr>
                <w:color w:val="auto"/>
                <w:sz w:val="18"/>
                <w:szCs w:val="18"/>
                <w:highlight w:val="none"/>
              </w:rPr>
            </w:pPr>
            <w:r>
              <w:rPr>
                <w:color w:val="auto"/>
                <w:sz w:val="18"/>
                <w:szCs w:val="18"/>
                <w:highlight w:val="none"/>
              </w:rPr>
              <w:t>采用汽车运输，并用苫布遮盖；定期对厂内运输道路进行洒水降尘；</w:t>
            </w:r>
            <w:r>
              <w:rPr>
                <w:rFonts w:hint="eastAsia"/>
                <w:color w:val="auto"/>
                <w:sz w:val="18"/>
                <w:szCs w:val="18"/>
                <w:highlight w:val="none"/>
              </w:rPr>
              <w:t>物料棚</w:t>
            </w:r>
            <w:r>
              <w:rPr>
                <w:color w:val="auto"/>
                <w:sz w:val="18"/>
                <w:szCs w:val="18"/>
                <w:highlight w:val="none"/>
              </w:rPr>
              <w:t>四周设置防风抑尘网，并定期洒水降尘，以减少扬尘产生。</w:t>
            </w:r>
          </w:p>
        </w:tc>
        <w:tc>
          <w:tcPr>
            <w:tcW w:w="2886" w:type="dxa"/>
            <w:vMerge w:val="restart"/>
            <w:noWrap/>
            <w:vAlign w:val="center"/>
          </w:tcPr>
          <w:p w14:paraId="6E84BD9E">
            <w:pPr>
              <w:jc w:val="center"/>
              <w:rPr>
                <w:color w:val="auto"/>
                <w:sz w:val="18"/>
                <w:szCs w:val="18"/>
                <w:highlight w:val="none"/>
              </w:rPr>
            </w:pPr>
            <w:r>
              <w:rPr>
                <w:rFonts w:hint="eastAsia"/>
                <w:color w:val="auto"/>
                <w:sz w:val="18"/>
                <w:szCs w:val="18"/>
                <w:highlight w:val="none"/>
              </w:rPr>
              <w:t>《煤炭工业污染物排放标准》（GB20426-2006）表5</w:t>
            </w:r>
          </w:p>
        </w:tc>
      </w:tr>
      <w:tr w14:paraId="07C0B7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671E4C1C">
            <w:pPr>
              <w:adjustRightInd w:val="0"/>
              <w:snapToGrid w:val="0"/>
              <w:jc w:val="center"/>
              <w:rPr>
                <w:color w:val="auto"/>
                <w:sz w:val="18"/>
                <w:szCs w:val="18"/>
                <w:highlight w:val="none"/>
              </w:rPr>
            </w:pPr>
          </w:p>
        </w:tc>
        <w:tc>
          <w:tcPr>
            <w:tcW w:w="1560" w:type="dxa"/>
            <w:noWrap/>
            <w:vAlign w:val="center"/>
          </w:tcPr>
          <w:p w14:paraId="36FB48BC">
            <w:pPr>
              <w:jc w:val="center"/>
              <w:rPr>
                <w:color w:val="auto"/>
                <w:sz w:val="18"/>
                <w:szCs w:val="18"/>
                <w:highlight w:val="none"/>
              </w:rPr>
            </w:pPr>
            <w:r>
              <w:rPr>
                <w:rFonts w:hint="eastAsia"/>
                <w:color w:val="auto"/>
                <w:sz w:val="18"/>
                <w:szCs w:val="18"/>
                <w:highlight w:val="none"/>
              </w:rPr>
              <w:t>粉煤灰入</w:t>
            </w:r>
            <w:r>
              <w:rPr>
                <w:color w:val="auto"/>
                <w:sz w:val="18"/>
                <w:szCs w:val="18"/>
                <w:highlight w:val="none"/>
              </w:rPr>
              <w:t>仓粉尘</w:t>
            </w:r>
          </w:p>
        </w:tc>
        <w:tc>
          <w:tcPr>
            <w:tcW w:w="1320" w:type="dxa"/>
            <w:noWrap/>
            <w:vAlign w:val="center"/>
          </w:tcPr>
          <w:p w14:paraId="4FAF41D2">
            <w:pPr>
              <w:jc w:val="center"/>
              <w:rPr>
                <w:color w:val="auto"/>
                <w:sz w:val="18"/>
                <w:szCs w:val="18"/>
                <w:highlight w:val="none"/>
              </w:rPr>
            </w:pPr>
            <w:r>
              <w:rPr>
                <w:color w:val="auto"/>
                <w:sz w:val="18"/>
                <w:szCs w:val="18"/>
                <w:highlight w:val="none"/>
              </w:rPr>
              <w:t>颗粒物</w:t>
            </w:r>
          </w:p>
        </w:tc>
        <w:tc>
          <w:tcPr>
            <w:tcW w:w="1950" w:type="dxa"/>
            <w:noWrap/>
          </w:tcPr>
          <w:p w14:paraId="39F5B862">
            <w:pPr>
              <w:jc w:val="center"/>
              <w:rPr>
                <w:color w:val="auto"/>
                <w:sz w:val="18"/>
                <w:szCs w:val="18"/>
                <w:highlight w:val="none"/>
              </w:rPr>
            </w:pPr>
            <w:r>
              <w:rPr>
                <w:rFonts w:hint="eastAsia"/>
                <w:color w:val="auto"/>
                <w:sz w:val="18"/>
                <w:szCs w:val="18"/>
                <w:highlight w:val="none"/>
              </w:rPr>
              <w:t>经仓顶除尘器收尘后无组织排放</w:t>
            </w:r>
          </w:p>
        </w:tc>
        <w:tc>
          <w:tcPr>
            <w:tcW w:w="2886" w:type="dxa"/>
            <w:vMerge w:val="continue"/>
            <w:noWrap/>
            <w:vAlign w:val="center"/>
          </w:tcPr>
          <w:p w14:paraId="40CD143D">
            <w:pPr>
              <w:jc w:val="center"/>
              <w:rPr>
                <w:color w:val="auto"/>
                <w:sz w:val="18"/>
                <w:szCs w:val="18"/>
                <w:highlight w:val="none"/>
              </w:rPr>
            </w:pPr>
          </w:p>
        </w:tc>
      </w:tr>
      <w:tr w14:paraId="6C2F06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7261D87C">
            <w:pPr>
              <w:adjustRightInd w:val="0"/>
              <w:snapToGrid w:val="0"/>
              <w:jc w:val="center"/>
              <w:rPr>
                <w:color w:val="auto"/>
                <w:sz w:val="18"/>
                <w:szCs w:val="18"/>
                <w:highlight w:val="none"/>
              </w:rPr>
            </w:pPr>
          </w:p>
        </w:tc>
        <w:tc>
          <w:tcPr>
            <w:tcW w:w="1560" w:type="dxa"/>
            <w:noWrap/>
            <w:vAlign w:val="center"/>
          </w:tcPr>
          <w:p w14:paraId="638577CE">
            <w:pPr>
              <w:jc w:val="center"/>
              <w:rPr>
                <w:color w:val="auto"/>
                <w:sz w:val="18"/>
                <w:szCs w:val="18"/>
                <w:highlight w:val="none"/>
              </w:rPr>
            </w:pPr>
            <w:r>
              <w:rPr>
                <w:rFonts w:hint="eastAsia"/>
                <w:color w:val="auto"/>
                <w:sz w:val="18"/>
                <w:szCs w:val="18"/>
                <w:highlight w:val="none"/>
              </w:rPr>
              <w:t>上料过程</w:t>
            </w:r>
          </w:p>
        </w:tc>
        <w:tc>
          <w:tcPr>
            <w:tcW w:w="1320" w:type="dxa"/>
            <w:noWrap/>
            <w:vAlign w:val="center"/>
          </w:tcPr>
          <w:p w14:paraId="0AF456C5">
            <w:pPr>
              <w:jc w:val="center"/>
              <w:rPr>
                <w:color w:val="auto"/>
                <w:sz w:val="18"/>
                <w:szCs w:val="18"/>
                <w:highlight w:val="none"/>
              </w:rPr>
            </w:pPr>
            <w:r>
              <w:rPr>
                <w:color w:val="auto"/>
                <w:sz w:val="18"/>
                <w:szCs w:val="18"/>
                <w:highlight w:val="none"/>
              </w:rPr>
              <w:t>颗粒物</w:t>
            </w:r>
          </w:p>
        </w:tc>
        <w:tc>
          <w:tcPr>
            <w:tcW w:w="1950" w:type="dxa"/>
            <w:noWrap/>
            <w:vAlign w:val="center"/>
          </w:tcPr>
          <w:p w14:paraId="0E1C0100">
            <w:pPr>
              <w:jc w:val="center"/>
              <w:rPr>
                <w:color w:val="auto"/>
                <w:sz w:val="18"/>
                <w:szCs w:val="18"/>
                <w:highlight w:val="none"/>
              </w:rPr>
            </w:pPr>
            <w:r>
              <w:rPr>
                <w:rFonts w:hint="eastAsia"/>
                <w:color w:val="auto"/>
                <w:sz w:val="18"/>
                <w:szCs w:val="18"/>
                <w:highlight w:val="none"/>
              </w:rPr>
              <w:t>投料口三边围挡，上方设置喷淋设施</w:t>
            </w:r>
          </w:p>
        </w:tc>
        <w:tc>
          <w:tcPr>
            <w:tcW w:w="2886" w:type="dxa"/>
            <w:vMerge w:val="continue"/>
            <w:noWrap/>
            <w:vAlign w:val="center"/>
          </w:tcPr>
          <w:p w14:paraId="70E52E69">
            <w:pPr>
              <w:jc w:val="center"/>
              <w:rPr>
                <w:color w:val="auto"/>
                <w:sz w:val="18"/>
                <w:szCs w:val="18"/>
                <w:highlight w:val="none"/>
              </w:rPr>
            </w:pPr>
          </w:p>
        </w:tc>
      </w:tr>
      <w:tr w14:paraId="1B4BF0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3731DF5F">
            <w:pPr>
              <w:adjustRightInd w:val="0"/>
              <w:snapToGrid w:val="0"/>
              <w:jc w:val="center"/>
              <w:rPr>
                <w:color w:val="auto"/>
                <w:sz w:val="18"/>
                <w:szCs w:val="18"/>
                <w:highlight w:val="none"/>
              </w:rPr>
            </w:pPr>
          </w:p>
        </w:tc>
        <w:tc>
          <w:tcPr>
            <w:tcW w:w="1560" w:type="dxa"/>
            <w:noWrap/>
            <w:vAlign w:val="center"/>
          </w:tcPr>
          <w:p w14:paraId="0B0973D2">
            <w:pPr>
              <w:jc w:val="center"/>
              <w:rPr>
                <w:color w:val="auto"/>
                <w:sz w:val="18"/>
                <w:szCs w:val="18"/>
                <w:highlight w:val="none"/>
              </w:rPr>
            </w:pPr>
            <w:r>
              <w:rPr>
                <w:rFonts w:hint="eastAsia"/>
                <w:color w:val="auto"/>
                <w:sz w:val="18"/>
                <w:szCs w:val="18"/>
                <w:highlight w:val="none"/>
              </w:rPr>
              <w:t>粉碎（DA001）排气筒</w:t>
            </w:r>
          </w:p>
        </w:tc>
        <w:tc>
          <w:tcPr>
            <w:tcW w:w="1320" w:type="dxa"/>
            <w:noWrap/>
            <w:vAlign w:val="center"/>
          </w:tcPr>
          <w:p w14:paraId="46957464">
            <w:pPr>
              <w:jc w:val="center"/>
              <w:rPr>
                <w:color w:val="auto"/>
                <w:sz w:val="18"/>
                <w:szCs w:val="18"/>
                <w:highlight w:val="none"/>
              </w:rPr>
            </w:pPr>
            <w:r>
              <w:rPr>
                <w:color w:val="auto"/>
                <w:sz w:val="18"/>
                <w:szCs w:val="18"/>
                <w:highlight w:val="none"/>
              </w:rPr>
              <w:t>颗粒物</w:t>
            </w:r>
          </w:p>
        </w:tc>
        <w:tc>
          <w:tcPr>
            <w:tcW w:w="1950" w:type="dxa"/>
            <w:noWrap/>
            <w:vAlign w:val="center"/>
          </w:tcPr>
          <w:p w14:paraId="2F60EB3A">
            <w:pPr>
              <w:jc w:val="center"/>
              <w:rPr>
                <w:color w:val="auto"/>
                <w:sz w:val="18"/>
                <w:szCs w:val="18"/>
                <w:highlight w:val="none"/>
              </w:rPr>
            </w:pPr>
            <w:r>
              <w:rPr>
                <w:rFonts w:hint="eastAsia"/>
                <w:color w:val="auto"/>
                <w:sz w:val="18"/>
                <w:szCs w:val="18"/>
                <w:highlight w:val="none"/>
              </w:rPr>
              <w:t>布袋除尘器+15m排气筒</w:t>
            </w:r>
          </w:p>
        </w:tc>
        <w:tc>
          <w:tcPr>
            <w:tcW w:w="2886" w:type="dxa"/>
            <w:noWrap/>
            <w:vAlign w:val="center"/>
          </w:tcPr>
          <w:p w14:paraId="7DFCAAF2">
            <w:pPr>
              <w:jc w:val="center"/>
              <w:rPr>
                <w:color w:val="auto"/>
                <w:sz w:val="18"/>
                <w:szCs w:val="18"/>
                <w:highlight w:val="none"/>
              </w:rPr>
            </w:pPr>
            <w:r>
              <w:rPr>
                <w:rFonts w:hint="eastAsia"/>
                <w:color w:val="auto"/>
                <w:sz w:val="18"/>
                <w:szCs w:val="18"/>
                <w:highlight w:val="none"/>
              </w:rPr>
              <w:t>《大气污染物综合排放标准》（GB16297-1996）表2中二级标准限值</w:t>
            </w:r>
          </w:p>
        </w:tc>
      </w:tr>
      <w:tr w14:paraId="3F51CD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700F2A0F">
            <w:pPr>
              <w:adjustRightInd w:val="0"/>
              <w:snapToGrid w:val="0"/>
              <w:jc w:val="center"/>
              <w:rPr>
                <w:color w:val="auto"/>
                <w:sz w:val="18"/>
                <w:szCs w:val="18"/>
                <w:highlight w:val="none"/>
              </w:rPr>
            </w:pPr>
          </w:p>
        </w:tc>
        <w:tc>
          <w:tcPr>
            <w:tcW w:w="1560" w:type="dxa"/>
            <w:noWrap/>
            <w:vAlign w:val="center"/>
          </w:tcPr>
          <w:p w14:paraId="5B073555">
            <w:pPr>
              <w:jc w:val="center"/>
              <w:rPr>
                <w:color w:val="auto"/>
                <w:sz w:val="18"/>
                <w:szCs w:val="18"/>
                <w:highlight w:val="none"/>
              </w:rPr>
            </w:pPr>
            <w:r>
              <w:rPr>
                <w:rFonts w:hint="eastAsia"/>
                <w:color w:val="auto"/>
                <w:sz w:val="18"/>
                <w:szCs w:val="18"/>
                <w:highlight w:val="none"/>
              </w:rPr>
              <w:t>煤泥浮选工序药剂投加废气</w:t>
            </w:r>
          </w:p>
        </w:tc>
        <w:tc>
          <w:tcPr>
            <w:tcW w:w="1320" w:type="dxa"/>
            <w:noWrap/>
            <w:vAlign w:val="center"/>
          </w:tcPr>
          <w:p w14:paraId="17C010C9">
            <w:pPr>
              <w:jc w:val="center"/>
              <w:rPr>
                <w:color w:val="auto"/>
                <w:sz w:val="18"/>
                <w:szCs w:val="18"/>
                <w:highlight w:val="none"/>
              </w:rPr>
            </w:pPr>
            <w:r>
              <w:rPr>
                <w:rFonts w:hint="eastAsia"/>
                <w:color w:val="auto"/>
                <w:sz w:val="18"/>
                <w:szCs w:val="18"/>
                <w:highlight w:val="none"/>
              </w:rPr>
              <w:t>VOCs</w:t>
            </w:r>
          </w:p>
        </w:tc>
        <w:tc>
          <w:tcPr>
            <w:tcW w:w="1950" w:type="dxa"/>
            <w:noWrap/>
            <w:vAlign w:val="center"/>
          </w:tcPr>
          <w:p w14:paraId="58FC6F47">
            <w:pPr>
              <w:jc w:val="center"/>
              <w:rPr>
                <w:color w:val="auto"/>
                <w:sz w:val="18"/>
                <w:szCs w:val="18"/>
                <w:highlight w:val="none"/>
              </w:rPr>
            </w:pPr>
            <w:r>
              <w:rPr>
                <w:rFonts w:hint="eastAsia"/>
                <w:color w:val="auto"/>
                <w:sz w:val="18"/>
                <w:szCs w:val="18"/>
                <w:highlight w:val="none"/>
              </w:rPr>
              <w:t>车间通风无组织排放</w:t>
            </w:r>
          </w:p>
        </w:tc>
        <w:tc>
          <w:tcPr>
            <w:tcW w:w="2886" w:type="dxa"/>
            <w:noWrap/>
            <w:vAlign w:val="center"/>
          </w:tcPr>
          <w:p w14:paraId="68A403E7">
            <w:pPr>
              <w:jc w:val="center"/>
              <w:rPr>
                <w:color w:val="auto"/>
                <w:sz w:val="18"/>
                <w:szCs w:val="18"/>
                <w:highlight w:val="none"/>
              </w:rPr>
            </w:pPr>
            <w:r>
              <w:rPr>
                <w:rFonts w:hint="eastAsia"/>
                <w:color w:val="auto"/>
                <w:sz w:val="18"/>
                <w:szCs w:val="18"/>
                <w:highlight w:val="none"/>
              </w:rPr>
              <w:t>《挥发性有机物无组织排放控制标</w:t>
            </w:r>
            <w:r>
              <w:rPr>
                <w:color w:val="auto"/>
                <w:sz w:val="18"/>
                <w:szCs w:val="18"/>
                <w:highlight w:val="none"/>
              </w:rPr>
              <w:t>准》（GB37822-2019）附录 A 厂区内 VOCs 无组织排放限值</w:t>
            </w:r>
          </w:p>
        </w:tc>
      </w:tr>
      <w:tr w14:paraId="1055ED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1BEC6511">
            <w:pPr>
              <w:adjustRightInd w:val="0"/>
              <w:snapToGrid w:val="0"/>
              <w:jc w:val="center"/>
              <w:rPr>
                <w:color w:val="auto"/>
                <w:sz w:val="18"/>
                <w:szCs w:val="18"/>
                <w:highlight w:val="none"/>
              </w:rPr>
            </w:pPr>
          </w:p>
        </w:tc>
        <w:tc>
          <w:tcPr>
            <w:tcW w:w="1560" w:type="dxa"/>
            <w:vMerge w:val="restart"/>
            <w:noWrap/>
            <w:vAlign w:val="center"/>
          </w:tcPr>
          <w:p w14:paraId="6E869C89">
            <w:pPr>
              <w:jc w:val="center"/>
              <w:rPr>
                <w:color w:val="auto"/>
                <w:sz w:val="18"/>
                <w:szCs w:val="18"/>
                <w:highlight w:val="none"/>
              </w:rPr>
            </w:pPr>
            <w:r>
              <w:rPr>
                <w:rFonts w:hint="eastAsia"/>
                <w:color w:val="auto"/>
                <w:sz w:val="18"/>
                <w:szCs w:val="18"/>
                <w:highlight w:val="none"/>
              </w:rPr>
              <w:t>厂界</w:t>
            </w:r>
          </w:p>
        </w:tc>
        <w:tc>
          <w:tcPr>
            <w:tcW w:w="1320" w:type="dxa"/>
            <w:noWrap/>
            <w:vAlign w:val="center"/>
          </w:tcPr>
          <w:p w14:paraId="7A980455">
            <w:pPr>
              <w:jc w:val="center"/>
              <w:rPr>
                <w:color w:val="auto"/>
                <w:sz w:val="18"/>
                <w:szCs w:val="18"/>
                <w:highlight w:val="none"/>
              </w:rPr>
            </w:pPr>
            <w:r>
              <w:rPr>
                <w:rFonts w:hint="eastAsia"/>
                <w:color w:val="auto"/>
                <w:sz w:val="18"/>
                <w:szCs w:val="18"/>
                <w:highlight w:val="none"/>
              </w:rPr>
              <w:t>颗粒物</w:t>
            </w:r>
          </w:p>
        </w:tc>
        <w:tc>
          <w:tcPr>
            <w:tcW w:w="1950" w:type="dxa"/>
            <w:noWrap/>
            <w:vAlign w:val="center"/>
          </w:tcPr>
          <w:p w14:paraId="179704CD">
            <w:pPr>
              <w:jc w:val="center"/>
              <w:rPr>
                <w:color w:val="auto"/>
                <w:sz w:val="18"/>
                <w:szCs w:val="18"/>
                <w:highlight w:val="none"/>
              </w:rPr>
            </w:pPr>
            <w:r>
              <w:rPr>
                <w:rFonts w:hint="eastAsia"/>
                <w:color w:val="auto"/>
                <w:sz w:val="18"/>
                <w:szCs w:val="18"/>
                <w:highlight w:val="none"/>
                <w:lang w:val="en-US" w:eastAsia="zh-CN"/>
              </w:rPr>
              <w:t>/</w:t>
            </w:r>
          </w:p>
        </w:tc>
        <w:tc>
          <w:tcPr>
            <w:tcW w:w="2886" w:type="dxa"/>
            <w:vMerge w:val="restart"/>
            <w:noWrap/>
            <w:vAlign w:val="center"/>
          </w:tcPr>
          <w:p w14:paraId="2D6F7F6F">
            <w:pPr>
              <w:jc w:val="center"/>
              <w:rPr>
                <w:color w:val="auto"/>
                <w:sz w:val="18"/>
                <w:szCs w:val="18"/>
                <w:highlight w:val="none"/>
              </w:rPr>
            </w:pPr>
            <w:r>
              <w:rPr>
                <w:rFonts w:hint="eastAsia"/>
                <w:color w:val="auto"/>
                <w:sz w:val="18"/>
                <w:szCs w:val="18"/>
                <w:highlight w:val="none"/>
              </w:rPr>
              <w:t>《大气污染物综合排放标准》（GB16297-1996）表2中无组织排放标准限值</w:t>
            </w:r>
          </w:p>
        </w:tc>
      </w:tr>
      <w:tr w14:paraId="3BABE0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vMerge w:val="continue"/>
            <w:noWrap/>
            <w:vAlign w:val="center"/>
          </w:tcPr>
          <w:p w14:paraId="6EB44D61">
            <w:pPr>
              <w:adjustRightInd w:val="0"/>
              <w:snapToGrid w:val="0"/>
              <w:jc w:val="center"/>
              <w:rPr>
                <w:color w:val="auto"/>
                <w:sz w:val="18"/>
                <w:szCs w:val="18"/>
                <w:highlight w:val="none"/>
              </w:rPr>
            </w:pPr>
          </w:p>
        </w:tc>
        <w:tc>
          <w:tcPr>
            <w:tcW w:w="1560" w:type="dxa"/>
            <w:vMerge w:val="continue"/>
            <w:noWrap/>
            <w:vAlign w:val="center"/>
          </w:tcPr>
          <w:p w14:paraId="26C70322">
            <w:pPr>
              <w:jc w:val="center"/>
              <w:rPr>
                <w:rFonts w:hint="eastAsia"/>
                <w:color w:val="auto"/>
                <w:sz w:val="18"/>
                <w:szCs w:val="18"/>
                <w:highlight w:val="none"/>
              </w:rPr>
            </w:pPr>
          </w:p>
        </w:tc>
        <w:tc>
          <w:tcPr>
            <w:tcW w:w="1320" w:type="dxa"/>
            <w:noWrap/>
            <w:vAlign w:val="center"/>
          </w:tcPr>
          <w:p w14:paraId="1555CB7B">
            <w:pPr>
              <w:jc w:val="center"/>
              <w:rPr>
                <w:rFonts w:hint="eastAsia"/>
                <w:color w:val="auto"/>
                <w:sz w:val="18"/>
                <w:szCs w:val="18"/>
                <w:highlight w:val="none"/>
              </w:rPr>
            </w:pPr>
            <w:r>
              <w:rPr>
                <w:rFonts w:hint="eastAsia"/>
                <w:color w:val="auto"/>
                <w:sz w:val="18"/>
                <w:szCs w:val="18"/>
                <w:highlight w:val="none"/>
              </w:rPr>
              <w:t>VOCs、</w:t>
            </w:r>
          </w:p>
        </w:tc>
        <w:tc>
          <w:tcPr>
            <w:tcW w:w="1950" w:type="dxa"/>
            <w:noWrap/>
            <w:vAlign w:val="center"/>
          </w:tcPr>
          <w:p w14:paraId="144B98C1">
            <w:pPr>
              <w:jc w:val="center"/>
              <w:rPr>
                <w:rFonts w:hint="eastAsia"/>
                <w:color w:val="auto"/>
                <w:sz w:val="18"/>
                <w:szCs w:val="18"/>
                <w:highlight w:val="none"/>
              </w:rPr>
            </w:pPr>
            <w:r>
              <w:rPr>
                <w:rFonts w:hint="eastAsia"/>
                <w:color w:val="auto"/>
                <w:sz w:val="18"/>
                <w:szCs w:val="18"/>
                <w:highlight w:val="none"/>
              </w:rPr>
              <w:t>自然通风</w:t>
            </w:r>
          </w:p>
        </w:tc>
        <w:tc>
          <w:tcPr>
            <w:tcW w:w="2886" w:type="dxa"/>
            <w:vMerge w:val="continue"/>
            <w:noWrap/>
            <w:vAlign w:val="center"/>
          </w:tcPr>
          <w:p w14:paraId="6D98E34C">
            <w:pPr>
              <w:jc w:val="center"/>
              <w:rPr>
                <w:rFonts w:hint="eastAsia"/>
                <w:color w:val="auto"/>
                <w:sz w:val="18"/>
                <w:szCs w:val="18"/>
                <w:highlight w:val="none"/>
              </w:rPr>
            </w:pPr>
          </w:p>
        </w:tc>
      </w:tr>
      <w:tr w14:paraId="0AD566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ign w:val="center"/>
          </w:tcPr>
          <w:p w14:paraId="44B92A8A">
            <w:pPr>
              <w:adjustRightInd w:val="0"/>
              <w:snapToGrid w:val="0"/>
              <w:jc w:val="center"/>
              <w:rPr>
                <w:color w:val="auto"/>
                <w:sz w:val="18"/>
                <w:szCs w:val="18"/>
                <w:highlight w:val="none"/>
              </w:rPr>
            </w:pPr>
            <w:r>
              <w:rPr>
                <w:color w:val="auto"/>
                <w:sz w:val="18"/>
                <w:szCs w:val="18"/>
                <w:highlight w:val="none"/>
              </w:rPr>
              <w:t>地表水环境</w:t>
            </w:r>
          </w:p>
        </w:tc>
        <w:tc>
          <w:tcPr>
            <w:tcW w:w="1560" w:type="dxa"/>
            <w:noWrap/>
            <w:vAlign w:val="center"/>
          </w:tcPr>
          <w:p w14:paraId="6E558A91">
            <w:pPr>
              <w:adjustRightInd w:val="0"/>
              <w:snapToGrid w:val="0"/>
              <w:jc w:val="center"/>
              <w:rPr>
                <w:rFonts w:hint="eastAsia" w:eastAsia="宋体"/>
                <w:color w:val="auto"/>
                <w:sz w:val="18"/>
                <w:szCs w:val="18"/>
                <w:highlight w:val="none"/>
                <w:lang w:eastAsia="zh-CN"/>
              </w:rPr>
            </w:pPr>
            <w:r>
              <w:rPr>
                <w:color w:val="auto"/>
                <w:sz w:val="18"/>
                <w:szCs w:val="18"/>
                <w:highlight w:val="none"/>
              </w:rPr>
              <w:t>生活</w:t>
            </w:r>
            <w:r>
              <w:rPr>
                <w:rFonts w:hint="eastAsia"/>
                <w:color w:val="auto"/>
                <w:sz w:val="18"/>
                <w:szCs w:val="18"/>
                <w:highlight w:val="none"/>
                <w:lang w:val="en-US" w:eastAsia="zh-CN"/>
              </w:rPr>
              <w:t>污水</w:t>
            </w:r>
          </w:p>
        </w:tc>
        <w:tc>
          <w:tcPr>
            <w:tcW w:w="1320" w:type="dxa"/>
            <w:noWrap/>
            <w:vAlign w:val="center"/>
          </w:tcPr>
          <w:p w14:paraId="1F9DFC10">
            <w:pPr>
              <w:pStyle w:val="41"/>
              <w:rPr>
                <w:color w:val="auto"/>
                <w:sz w:val="18"/>
                <w:szCs w:val="18"/>
                <w:highlight w:val="none"/>
              </w:rPr>
            </w:pPr>
            <w:r>
              <w:rPr>
                <w:color w:val="auto"/>
                <w:sz w:val="18"/>
                <w:szCs w:val="18"/>
                <w:highlight w:val="none"/>
              </w:rPr>
              <w:t>化学需氧量、五日生化需氧量、悬浮物、氨氮</w:t>
            </w:r>
          </w:p>
        </w:tc>
        <w:tc>
          <w:tcPr>
            <w:tcW w:w="1950" w:type="dxa"/>
            <w:noWrap/>
            <w:vAlign w:val="center"/>
          </w:tcPr>
          <w:p w14:paraId="51E11AD9">
            <w:pPr>
              <w:adjustRightInd w:val="0"/>
              <w:snapToGrid w:val="0"/>
              <w:jc w:val="center"/>
              <w:rPr>
                <w:color w:val="auto"/>
                <w:sz w:val="18"/>
                <w:szCs w:val="18"/>
                <w:highlight w:val="none"/>
              </w:rPr>
            </w:pPr>
            <w:r>
              <w:rPr>
                <w:color w:val="auto"/>
                <w:sz w:val="18"/>
                <w:szCs w:val="18"/>
                <w:highlight w:val="none"/>
              </w:rPr>
              <w:t>排入防渗旱厕，定期清掏，外运堆肥，不外排</w:t>
            </w:r>
          </w:p>
        </w:tc>
        <w:tc>
          <w:tcPr>
            <w:tcW w:w="2886" w:type="dxa"/>
            <w:noWrap/>
            <w:vAlign w:val="center"/>
          </w:tcPr>
          <w:p w14:paraId="053574A9">
            <w:pPr>
              <w:jc w:val="center"/>
              <w:rPr>
                <w:color w:val="auto"/>
                <w:sz w:val="18"/>
                <w:szCs w:val="18"/>
                <w:highlight w:val="none"/>
              </w:rPr>
            </w:pPr>
            <w:r>
              <w:rPr>
                <w:rFonts w:hint="eastAsia"/>
                <w:color w:val="auto"/>
                <w:sz w:val="18"/>
                <w:szCs w:val="18"/>
                <w:highlight w:val="none"/>
              </w:rPr>
              <w:t>/</w:t>
            </w:r>
          </w:p>
        </w:tc>
      </w:tr>
      <w:tr w14:paraId="3E21A3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ign w:val="center"/>
          </w:tcPr>
          <w:p w14:paraId="04CB2548">
            <w:pPr>
              <w:adjustRightInd w:val="0"/>
              <w:snapToGrid w:val="0"/>
              <w:jc w:val="center"/>
              <w:rPr>
                <w:color w:val="auto"/>
                <w:sz w:val="18"/>
                <w:szCs w:val="18"/>
                <w:highlight w:val="none"/>
              </w:rPr>
            </w:pPr>
          </w:p>
        </w:tc>
        <w:tc>
          <w:tcPr>
            <w:tcW w:w="1560" w:type="dxa"/>
            <w:noWrap/>
            <w:vAlign w:val="center"/>
          </w:tcPr>
          <w:p w14:paraId="1DB44A1F">
            <w:pPr>
              <w:adjustRightInd w:val="0"/>
              <w:snapToGrid w:val="0"/>
              <w:jc w:val="center"/>
              <w:rPr>
                <w:color w:val="auto"/>
                <w:sz w:val="18"/>
                <w:szCs w:val="18"/>
                <w:highlight w:val="none"/>
              </w:rPr>
            </w:pPr>
            <w:r>
              <w:rPr>
                <w:rFonts w:hint="eastAsia"/>
                <w:color w:val="auto"/>
                <w:sz w:val="18"/>
                <w:szCs w:val="18"/>
                <w:highlight w:val="none"/>
              </w:rPr>
              <w:t>初期雨水</w:t>
            </w:r>
          </w:p>
        </w:tc>
        <w:tc>
          <w:tcPr>
            <w:tcW w:w="1320" w:type="dxa"/>
            <w:noWrap/>
            <w:vAlign w:val="center"/>
          </w:tcPr>
          <w:p w14:paraId="3A2C66F6">
            <w:pPr>
              <w:pStyle w:val="41"/>
              <w:rPr>
                <w:color w:val="auto"/>
                <w:sz w:val="18"/>
                <w:szCs w:val="18"/>
                <w:highlight w:val="none"/>
              </w:rPr>
            </w:pPr>
            <w:r>
              <w:rPr>
                <w:color w:val="auto"/>
                <w:sz w:val="18"/>
                <w:szCs w:val="18"/>
                <w:highlight w:val="none"/>
              </w:rPr>
              <w:t>悬浮物</w:t>
            </w:r>
          </w:p>
        </w:tc>
        <w:tc>
          <w:tcPr>
            <w:tcW w:w="1950" w:type="dxa"/>
            <w:noWrap/>
            <w:vAlign w:val="center"/>
          </w:tcPr>
          <w:p w14:paraId="37C1C83B">
            <w:pPr>
              <w:adjustRightInd w:val="0"/>
              <w:snapToGrid w:val="0"/>
              <w:jc w:val="center"/>
              <w:rPr>
                <w:color w:val="auto"/>
                <w:sz w:val="18"/>
                <w:szCs w:val="18"/>
                <w:highlight w:val="none"/>
              </w:rPr>
            </w:pPr>
            <w:r>
              <w:rPr>
                <w:rFonts w:hint="eastAsia"/>
                <w:color w:val="auto"/>
                <w:sz w:val="18"/>
                <w:szCs w:val="18"/>
                <w:highlight w:val="none"/>
              </w:rPr>
              <w:t>建设150m</w:t>
            </w:r>
            <w:r>
              <w:rPr>
                <w:rFonts w:hint="eastAsia"/>
                <w:color w:val="auto"/>
                <w:sz w:val="18"/>
                <w:szCs w:val="18"/>
                <w:highlight w:val="none"/>
                <w:vertAlign w:val="superscript"/>
              </w:rPr>
              <w:t>3</w:t>
            </w:r>
            <w:r>
              <w:rPr>
                <w:rFonts w:hint="eastAsia"/>
                <w:color w:val="auto"/>
                <w:sz w:val="18"/>
                <w:szCs w:val="18"/>
                <w:highlight w:val="none"/>
              </w:rPr>
              <w:t>雨水收集池处理将初期雨水收集沉淀后洒水降尘，不外排</w:t>
            </w:r>
          </w:p>
        </w:tc>
        <w:tc>
          <w:tcPr>
            <w:tcW w:w="2886" w:type="dxa"/>
            <w:noWrap/>
            <w:vAlign w:val="center"/>
          </w:tcPr>
          <w:p w14:paraId="373D14DF">
            <w:pPr>
              <w:adjustRightInd w:val="0"/>
              <w:snapToGrid w:val="0"/>
              <w:jc w:val="center"/>
              <w:rPr>
                <w:color w:val="auto"/>
                <w:sz w:val="18"/>
                <w:szCs w:val="18"/>
                <w:highlight w:val="none"/>
              </w:rPr>
            </w:pPr>
            <w:r>
              <w:rPr>
                <w:rFonts w:hint="eastAsia"/>
                <w:color w:val="auto"/>
                <w:sz w:val="18"/>
                <w:szCs w:val="18"/>
                <w:highlight w:val="none"/>
              </w:rPr>
              <w:t>/</w:t>
            </w:r>
          </w:p>
        </w:tc>
      </w:tr>
      <w:tr w14:paraId="4D38F0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ign w:val="center"/>
          </w:tcPr>
          <w:p w14:paraId="19E6EDBE">
            <w:pPr>
              <w:adjustRightInd w:val="0"/>
              <w:snapToGrid w:val="0"/>
              <w:jc w:val="center"/>
              <w:rPr>
                <w:color w:val="auto"/>
                <w:sz w:val="18"/>
                <w:szCs w:val="18"/>
                <w:highlight w:val="none"/>
              </w:rPr>
            </w:pPr>
            <w:r>
              <w:rPr>
                <w:color w:val="auto"/>
                <w:sz w:val="18"/>
                <w:szCs w:val="18"/>
                <w:highlight w:val="none"/>
              </w:rPr>
              <w:t>声环境</w:t>
            </w:r>
          </w:p>
        </w:tc>
        <w:tc>
          <w:tcPr>
            <w:tcW w:w="1560" w:type="dxa"/>
            <w:noWrap/>
            <w:vAlign w:val="center"/>
          </w:tcPr>
          <w:p w14:paraId="66BE51D9">
            <w:pPr>
              <w:pStyle w:val="44"/>
              <w:spacing w:line="240" w:lineRule="auto"/>
              <w:rPr>
                <w:color w:val="auto"/>
                <w:sz w:val="18"/>
                <w:szCs w:val="18"/>
                <w:highlight w:val="none"/>
              </w:rPr>
            </w:pPr>
            <w:r>
              <w:rPr>
                <w:color w:val="auto"/>
                <w:sz w:val="18"/>
                <w:szCs w:val="18"/>
                <w:highlight w:val="none"/>
              </w:rPr>
              <w:t>设备噪声</w:t>
            </w:r>
          </w:p>
        </w:tc>
        <w:tc>
          <w:tcPr>
            <w:tcW w:w="1320" w:type="dxa"/>
            <w:noWrap/>
            <w:vAlign w:val="center"/>
          </w:tcPr>
          <w:p w14:paraId="4A646F12">
            <w:pPr>
              <w:pStyle w:val="44"/>
              <w:spacing w:line="240" w:lineRule="auto"/>
              <w:rPr>
                <w:color w:val="auto"/>
                <w:sz w:val="18"/>
                <w:szCs w:val="18"/>
                <w:highlight w:val="none"/>
              </w:rPr>
            </w:pPr>
            <w:r>
              <w:rPr>
                <w:color w:val="auto"/>
                <w:sz w:val="18"/>
                <w:szCs w:val="18"/>
                <w:highlight w:val="none"/>
              </w:rPr>
              <w:t>噪声</w:t>
            </w:r>
          </w:p>
        </w:tc>
        <w:tc>
          <w:tcPr>
            <w:tcW w:w="1950" w:type="dxa"/>
            <w:noWrap/>
            <w:vAlign w:val="center"/>
          </w:tcPr>
          <w:p w14:paraId="636E69AD">
            <w:pPr>
              <w:pStyle w:val="44"/>
              <w:spacing w:line="240" w:lineRule="auto"/>
              <w:rPr>
                <w:color w:val="auto"/>
                <w:sz w:val="18"/>
                <w:szCs w:val="18"/>
                <w:highlight w:val="none"/>
              </w:rPr>
            </w:pPr>
            <w:r>
              <w:rPr>
                <w:color w:val="auto"/>
                <w:sz w:val="18"/>
                <w:szCs w:val="18"/>
                <w:highlight w:val="none"/>
              </w:rPr>
              <w:t>低噪声设备</w:t>
            </w:r>
            <w:r>
              <w:rPr>
                <w:rFonts w:hint="eastAsia"/>
                <w:color w:val="auto"/>
                <w:sz w:val="18"/>
                <w:szCs w:val="18"/>
                <w:highlight w:val="none"/>
                <w:lang w:eastAsia="zh-CN"/>
              </w:rPr>
              <w:t>、厂房隔声、基础减振、</w:t>
            </w:r>
            <w:r>
              <w:rPr>
                <w:rFonts w:hint="eastAsia"/>
                <w:color w:val="auto"/>
                <w:kern w:val="2"/>
                <w:sz w:val="18"/>
                <w:szCs w:val="18"/>
                <w:highlight w:val="none"/>
                <w:lang w:eastAsia="zh-CN"/>
              </w:rPr>
              <w:t>风机安装</w:t>
            </w:r>
            <w:r>
              <w:rPr>
                <w:rFonts w:hint="eastAsia"/>
                <w:color w:val="auto"/>
                <w:sz w:val="18"/>
                <w:szCs w:val="18"/>
                <w:highlight w:val="none"/>
                <w:lang w:eastAsia="zh-CN"/>
              </w:rPr>
              <w:t>消声器、水泵设置隔声罩等</w:t>
            </w:r>
            <w:r>
              <w:rPr>
                <w:color w:val="auto"/>
                <w:sz w:val="18"/>
                <w:szCs w:val="18"/>
                <w:highlight w:val="none"/>
              </w:rPr>
              <w:t>，</w:t>
            </w:r>
            <w:r>
              <w:rPr>
                <w:rFonts w:hint="eastAsia"/>
                <w:color w:val="auto"/>
                <w:sz w:val="18"/>
                <w:szCs w:val="18"/>
                <w:highlight w:val="none"/>
              </w:rPr>
              <w:t>加强设备维护</w:t>
            </w:r>
            <w:r>
              <w:rPr>
                <w:color w:val="auto"/>
                <w:sz w:val="18"/>
                <w:szCs w:val="18"/>
                <w:highlight w:val="none"/>
              </w:rPr>
              <w:t>，</w:t>
            </w:r>
            <w:r>
              <w:rPr>
                <w:rFonts w:hint="eastAsia"/>
                <w:color w:val="auto"/>
                <w:sz w:val="18"/>
                <w:szCs w:val="18"/>
                <w:highlight w:val="none"/>
              </w:rPr>
              <w:t>厂区内</w:t>
            </w:r>
            <w:r>
              <w:rPr>
                <w:rFonts w:hint="eastAsia"/>
                <w:color w:val="auto"/>
                <w:sz w:val="18"/>
                <w:szCs w:val="18"/>
                <w:highlight w:val="none"/>
                <w:lang w:eastAsia="zh-CN"/>
              </w:rPr>
              <w:t>车辆</w:t>
            </w:r>
            <w:r>
              <w:rPr>
                <w:rFonts w:hint="eastAsia"/>
                <w:color w:val="auto"/>
                <w:sz w:val="18"/>
                <w:szCs w:val="18"/>
                <w:highlight w:val="none"/>
              </w:rPr>
              <w:t>限速</w:t>
            </w:r>
          </w:p>
        </w:tc>
        <w:tc>
          <w:tcPr>
            <w:tcW w:w="2886" w:type="dxa"/>
            <w:noWrap/>
            <w:vAlign w:val="center"/>
          </w:tcPr>
          <w:p w14:paraId="46182CD4">
            <w:pPr>
              <w:pStyle w:val="44"/>
              <w:spacing w:line="240" w:lineRule="auto"/>
              <w:rPr>
                <w:color w:val="auto"/>
                <w:sz w:val="18"/>
                <w:szCs w:val="18"/>
                <w:highlight w:val="none"/>
              </w:rPr>
            </w:pPr>
            <w:r>
              <w:rPr>
                <w:color w:val="auto"/>
                <w:sz w:val="18"/>
                <w:szCs w:val="18"/>
                <w:highlight w:val="none"/>
              </w:rPr>
              <w:t>厂界噪声满足</w:t>
            </w:r>
            <w:r>
              <w:rPr>
                <w:bCs/>
                <w:color w:val="auto"/>
                <w:sz w:val="18"/>
                <w:szCs w:val="18"/>
                <w:highlight w:val="none"/>
              </w:rPr>
              <w:t>《工业企业厂界环境噪声排放标准》（GB12348-2008）</w:t>
            </w:r>
            <w:r>
              <w:rPr>
                <w:rFonts w:hint="eastAsia"/>
                <w:bCs/>
                <w:color w:val="auto"/>
                <w:sz w:val="18"/>
                <w:szCs w:val="18"/>
                <w:highlight w:val="none"/>
              </w:rPr>
              <w:t>3类</w:t>
            </w:r>
            <w:r>
              <w:rPr>
                <w:color w:val="auto"/>
                <w:sz w:val="18"/>
                <w:szCs w:val="18"/>
                <w:highlight w:val="none"/>
              </w:rPr>
              <w:t>标准</w:t>
            </w:r>
          </w:p>
        </w:tc>
      </w:tr>
      <w:tr w14:paraId="329832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084" w:type="dxa"/>
            <w:noWrap/>
            <w:vAlign w:val="center"/>
          </w:tcPr>
          <w:p w14:paraId="1F0F9F9B">
            <w:pPr>
              <w:adjustRightInd w:val="0"/>
              <w:snapToGrid w:val="0"/>
              <w:jc w:val="center"/>
              <w:rPr>
                <w:color w:val="auto"/>
                <w:sz w:val="18"/>
                <w:szCs w:val="18"/>
                <w:highlight w:val="none"/>
              </w:rPr>
            </w:pPr>
            <w:r>
              <w:rPr>
                <w:color w:val="auto"/>
                <w:sz w:val="18"/>
                <w:szCs w:val="18"/>
                <w:highlight w:val="none"/>
              </w:rPr>
              <w:t>电磁辐射</w:t>
            </w:r>
          </w:p>
        </w:tc>
        <w:tc>
          <w:tcPr>
            <w:tcW w:w="1560" w:type="dxa"/>
            <w:noWrap/>
            <w:vAlign w:val="center"/>
          </w:tcPr>
          <w:p w14:paraId="7190AA33">
            <w:pPr>
              <w:adjustRightInd w:val="0"/>
              <w:snapToGrid w:val="0"/>
              <w:jc w:val="center"/>
              <w:rPr>
                <w:color w:val="auto"/>
                <w:sz w:val="18"/>
                <w:szCs w:val="18"/>
                <w:highlight w:val="none"/>
              </w:rPr>
            </w:pPr>
            <w:r>
              <w:rPr>
                <w:color w:val="auto"/>
                <w:sz w:val="18"/>
                <w:szCs w:val="18"/>
                <w:highlight w:val="none"/>
              </w:rPr>
              <w:t>/</w:t>
            </w:r>
          </w:p>
        </w:tc>
        <w:tc>
          <w:tcPr>
            <w:tcW w:w="1320" w:type="dxa"/>
            <w:noWrap/>
            <w:vAlign w:val="center"/>
          </w:tcPr>
          <w:p w14:paraId="27A888DD">
            <w:pPr>
              <w:adjustRightInd w:val="0"/>
              <w:snapToGrid w:val="0"/>
              <w:jc w:val="center"/>
              <w:rPr>
                <w:color w:val="auto"/>
                <w:sz w:val="18"/>
                <w:szCs w:val="18"/>
                <w:highlight w:val="none"/>
              </w:rPr>
            </w:pPr>
            <w:r>
              <w:rPr>
                <w:color w:val="auto"/>
                <w:sz w:val="18"/>
                <w:szCs w:val="18"/>
                <w:highlight w:val="none"/>
              </w:rPr>
              <w:t>/</w:t>
            </w:r>
          </w:p>
        </w:tc>
        <w:tc>
          <w:tcPr>
            <w:tcW w:w="1950" w:type="dxa"/>
            <w:noWrap/>
            <w:vAlign w:val="center"/>
          </w:tcPr>
          <w:p w14:paraId="68CA9FBC">
            <w:pPr>
              <w:adjustRightInd w:val="0"/>
              <w:snapToGrid w:val="0"/>
              <w:jc w:val="center"/>
              <w:rPr>
                <w:color w:val="auto"/>
                <w:sz w:val="18"/>
                <w:szCs w:val="18"/>
                <w:highlight w:val="none"/>
              </w:rPr>
            </w:pPr>
            <w:r>
              <w:rPr>
                <w:color w:val="auto"/>
                <w:sz w:val="18"/>
                <w:szCs w:val="18"/>
                <w:highlight w:val="none"/>
              </w:rPr>
              <w:t>/</w:t>
            </w:r>
          </w:p>
        </w:tc>
        <w:tc>
          <w:tcPr>
            <w:tcW w:w="2886" w:type="dxa"/>
            <w:noWrap/>
            <w:vAlign w:val="center"/>
          </w:tcPr>
          <w:p w14:paraId="14408661">
            <w:pPr>
              <w:adjustRightInd w:val="0"/>
              <w:snapToGrid w:val="0"/>
              <w:jc w:val="center"/>
              <w:rPr>
                <w:color w:val="auto"/>
                <w:sz w:val="18"/>
                <w:szCs w:val="18"/>
                <w:highlight w:val="none"/>
              </w:rPr>
            </w:pPr>
            <w:r>
              <w:rPr>
                <w:color w:val="auto"/>
                <w:sz w:val="18"/>
                <w:szCs w:val="18"/>
                <w:highlight w:val="none"/>
              </w:rPr>
              <w:t>/</w:t>
            </w:r>
          </w:p>
        </w:tc>
      </w:tr>
      <w:tr w14:paraId="44F7A8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084" w:type="dxa"/>
            <w:vMerge w:val="restart"/>
            <w:noWrap/>
            <w:vAlign w:val="center"/>
          </w:tcPr>
          <w:p w14:paraId="7BD30FAA">
            <w:pPr>
              <w:jc w:val="center"/>
              <w:rPr>
                <w:color w:val="auto"/>
                <w:sz w:val="18"/>
                <w:szCs w:val="18"/>
                <w:highlight w:val="none"/>
              </w:rPr>
            </w:pPr>
            <w:r>
              <w:rPr>
                <w:color w:val="auto"/>
                <w:sz w:val="18"/>
                <w:szCs w:val="18"/>
                <w:highlight w:val="none"/>
              </w:rPr>
              <w:t>固体废物</w:t>
            </w:r>
          </w:p>
        </w:tc>
        <w:tc>
          <w:tcPr>
            <w:tcW w:w="1560" w:type="dxa"/>
            <w:noWrap/>
            <w:vAlign w:val="center"/>
          </w:tcPr>
          <w:p w14:paraId="42F76798">
            <w:pPr>
              <w:jc w:val="center"/>
              <w:rPr>
                <w:color w:val="auto"/>
                <w:sz w:val="18"/>
                <w:szCs w:val="18"/>
                <w:highlight w:val="none"/>
              </w:rPr>
            </w:pPr>
            <w:r>
              <w:rPr>
                <w:color w:val="auto"/>
                <w:sz w:val="18"/>
                <w:szCs w:val="18"/>
                <w:highlight w:val="none"/>
              </w:rPr>
              <w:t>压滤、沉淀</w:t>
            </w:r>
          </w:p>
        </w:tc>
        <w:tc>
          <w:tcPr>
            <w:tcW w:w="1320" w:type="dxa"/>
            <w:noWrap/>
            <w:vAlign w:val="center"/>
          </w:tcPr>
          <w:p w14:paraId="7067C3B3">
            <w:pPr>
              <w:jc w:val="center"/>
              <w:rPr>
                <w:color w:val="auto"/>
                <w:sz w:val="18"/>
                <w:szCs w:val="18"/>
                <w:highlight w:val="none"/>
              </w:rPr>
            </w:pPr>
            <w:r>
              <w:rPr>
                <w:color w:val="auto"/>
                <w:sz w:val="18"/>
                <w:szCs w:val="18"/>
                <w:highlight w:val="none"/>
              </w:rPr>
              <w:t>尾矿泥（沉淀底泥）</w:t>
            </w:r>
          </w:p>
        </w:tc>
        <w:tc>
          <w:tcPr>
            <w:tcW w:w="1950" w:type="dxa"/>
            <w:noWrap/>
            <w:vAlign w:val="center"/>
          </w:tcPr>
          <w:p w14:paraId="6D5FEF97">
            <w:pPr>
              <w:jc w:val="center"/>
              <w:rPr>
                <w:color w:val="auto"/>
                <w:sz w:val="18"/>
                <w:szCs w:val="18"/>
                <w:highlight w:val="none"/>
              </w:rPr>
            </w:pPr>
            <w:r>
              <w:rPr>
                <w:rFonts w:hint="eastAsia"/>
                <w:color w:val="auto"/>
                <w:sz w:val="18"/>
                <w:szCs w:val="18"/>
                <w:highlight w:val="none"/>
              </w:rPr>
              <w:t>回用生产</w:t>
            </w:r>
          </w:p>
        </w:tc>
        <w:tc>
          <w:tcPr>
            <w:tcW w:w="2886" w:type="dxa"/>
            <w:vMerge w:val="restart"/>
            <w:noWrap/>
            <w:vAlign w:val="center"/>
          </w:tcPr>
          <w:p w14:paraId="52F3441C">
            <w:pPr>
              <w:jc w:val="center"/>
              <w:rPr>
                <w:color w:val="auto"/>
                <w:sz w:val="18"/>
                <w:szCs w:val="18"/>
                <w:highlight w:val="none"/>
              </w:rPr>
            </w:pPr>
            <w:r>
              <w:rPr>
                <w:color w:val="auto"/>
                <w:sz w:val="18"/>
                <w:szCs w:val="18"/>
                <w:highlight w:val="none"/>
              </w:rPr>
              <w:t>《一般工业固体废物贮存和填埋污染控制标准》（GB18599-2020）</w:t>
            </w:r>
          </w:p>
        </w:tc>
      </w:tr>
      <w:tr w14:paraId="31EA6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084" w:type="dxa"/>
            <w:vMerge w:val="continue"/>
            <w:noWrap/>
            <w:vAlign w:val="center"/>
          </w:tcPr>
          <w:p w14:paraId="5DB515E7">
            <w:pPr>
              <w:jc w:val="center"/>
              <w:rPr>
                <w:color w:val="auto"/>
                <w:sz w:val="18"/>
                <w:szCs w:val="18"/>
                <w:highlight w:val="none"/>
              </w:rPr>
            </w:pPr>
          </w:p>
        </w:tc>
        <w:tc>
          <w:tcPr>
            <w:tcW w:w="1560" w:type="dxa"/>
            <w:noWrap/>
            <w:vAlign w:val="center"/>
          </w:tcPr>
          <w:p w14:paraId="42B6907C">
            <w:pPr>
              <w:jc w:val="center"/>
              <w:rPr>
                <w:color w:val="auto"/>
                <w:sz w:val="18"/>
                <w:szCs w:val="18"/>
                <w:highlight w:val="none"/>
              </w:rPr>
            </w:pPr>
            <w:r>
              <w:rPr>
                <w:rFonts w:hint="eastAsia"/>
                <w:color w:val="auto"/>
                <w:sz w:val="18"/>
                <w:szCs w:val="18"/>
                <w:highlight w:val="none"/>
              </w:rPr>
              <w:t>粉煤灰</w:t>
            </w:r>
            <w:r>
              <w:rPr>
                <w:color w:val="auto"/>
                <w:sz w:val="18"/>
                <w:szCs w:val="18"/>
                <w:highlight w:val="none"/>
              </w:rPr>
              <w:t>仓仓顶除尘器</w:t>
            </w:r>
          </w:p>
        </w:tc>
        <w:tc>
          <w:tcPr>
            <w:tcW w:w="1320" w:type="dxa"/>
            <w:noWrap/>
            <w:vAlign w:val="center"/>
          </w:tcPr>
          <w:p w14:paraId="74CAFD68">
            <w:pPr>
              <w:jc w:val="center"/>
              <w:rPr>
                <w:color w:val="auto"/>
                <w:sz w:val="18"/>
                <w:szCs w:val="18"/>
                <w:highlight w:val="none"/>
              </w:rPr>
            </w:pPr>
            <w:r>
              <w:rPr>
                <w:color w:val="auto"/>
                <w:sz w:val="18"/>
                <w:szCs w:val="18"/>
                <w:highlight w:val="none"/>
              </w:rPr>
              <w:t>除尘灰</w:t>
            </w:r>
          </w:p>
        </w:tc>
        <w:tc>
          <w:tcPr>
            <w:tcW w:w="1950" w:type="dxa"/>
            <w:noWrap/>
            <w:vAlign w:val="center"/>
          </w:tcPr>
          <w:p w14:paraId="75D13F4E">
            <w:pPr>
              <w:jc w:val="center"/>
              <w:rPr>
                <w:color w:val="auto"/>
                <w:sz w:val="18"/>
                <w:szCs w:val="18"/>
                <w:highlight w:val="none"/>
              </w:rPr>
            </w:pPr>
            <w:r>
              <w:rPr>
                <w:color w:val="auto"/>
                <w:sz w:val="18"/>
                <w:szCs w:val="18"/>
                <w:highlight w:val="none"/>
              </w:rPr>
              <w:t>落回料仓内回用于生产</w:t>
            </w:r>
          </w:p>
        </w:tc>
        <w:tc>
          <w:tcPr>
            <w:tcW w:w="2886" w:type="dxa"/>
            <w:vMerge w:val="continue"/>
            <w:noWrap/>
            <w:vAlign w:val="center"/>
          </w:tcPr>
          <w:p w14:paraId="052CDCCE">
            <w:pPr>
              <w:jc w:val="center"/>
              <w:rPr>
                <w:color w:val="auto"/>
                <w:sz w:val="18"/>
                <w:szCs w:val="18"/>
                <w:highlight w:val="none"/>
              </w:rPr>
            </w:pPr>
          </w:p>
        </w:tc>
      </w:tr>
      <w:tr w14:paraId="76BAE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84" w:type="dxa"/>
            <w:vMerge w:val="continue"/>
            <w:noWrap/>
            <w:vAlign w:val="center"/>
          </w:tcPr>
          <w:p w14:paraId="02D4FDE4">
            <w:pPr>
              <w:jc w:val="center"/>
              <w:rPr>
                <w:color w:val="auto"/>
                <w:sz w:val="18"/>
                <w:szCs w:val="18"/>
                <w:highlight w:val="none"/>
              </w:rPr>
            </w:pPr>
          </w:p>
        </w:tc>
        <w:tc>
          <w:tcPr>
            <w:tcW w:w="1560" w:type="dxa"/>
            <w:noWrap/>
            <w:vAlign w:val="center"/>
          </w:tcPr>
          <w:p w14:paraId="1DB95791">
            <w:pPr>
              <w:jc w:val="center"/>
              <w:rPr>
                <w:color w:val="auto"/>
                <w:sz w:val="18"/>
                <w:szCs w:val="18"/>
                <w:highlight w:val="none"/>
              </w:rPr>
            </w:pPr>
            <w:r>
              <w:rPr>
                <w:rFonts w:hint="eastAsia"/>
                <w:color w:val="auto"/>
                <w:sz w:val="18"/>
                <w:szCs w:val="18"/>
                <w:highlight w:val="none"/>
              </w:rPr>
              <w:t>粉</w:t>
            </w:r>
            <w:r>
              <w:rPr>
                <w:color w:val="auto"/>
                <w:sz w:val="18"/>
                <w:szCs w:val="18"/>
                <w:highlight w:val="none"/>
              </w:rPr>
              <w:t>碎工序</w:t>
            </w:r>
          </w:p>
        </w:tc>
        <w:tc>
          <w:tcPr>
            <w:tcW w:w="1320" w:type="dxa"/>
            <w:noWrap/>
            <w:vAlign w:val="center"/>
          </w:tcPr>
          <w:p w14:paraId="7235B3E7">
            <w:pPr>
              <w:jc w:val="center"/>
              <w:rPr>
                <w:color w:val="auto"/>
                <w:sz w:val="18"/>
                <w:szCs w:val="18"/>
                <w:highlight w:val="none"/>
              </w:rPr>
            </w:pPr>
            <w:r>
              <w:rPr>
                <w:color w:val="auto"/>
                <w:sz w:val="18"/>
                <w:szCs w:val="18"/>
                <w:highlight w:val="none"/>
              </w:rPr>
              <w:t>除尘灰</w:t>
            </w:r>
          </w:p>
        </w:tc>
        <w:tc>
          <w:tcPr>
            <w:tcW w:w="1950" w:type="dxa"/>
            <w:noWrap/>
            <w:vAlign w:val="center"/>
          </w:tcPr>
          <w:p w14:paraId="6771F955">
            <w:pPr>
              <w:jc w:val="center"/>
              <w:rPr>
                <w:color w:val="auto"/>
                <w:sz w:val="18"/>
                <w:szCs w:val="18"/>
                <w:highlight w:val="none"/>
              </w:rPr>
            </w:pPr>
            <w:r>
              <w:rPr>
                <w:rFonts w:hint="eastAsia"/>
                <w:color w:val="auto"/>
                <w:sz w:val="18"/>
                <w:szCs w:val="18"/>
                <w:highlight w:val="none"/>
              </w:rPr>
              <w:t>回用生产</w:t>
            </w:r>
          </w:p>
        </w:tc>
        <w:tc>
          <w:tcPr>
            <w:tcW w:w="2886" w:type="dxa"/>
            <w:vMerge w:val="continue"/>
            <w:noWrap/>
            <w:vAlign w:val="center"/>
          </w:tcPr>
          <w:p w14:paraId="56277C4A">
            <w:pPr>
              <w:jc w:val="center"/>
              <w:rPr>
                <w:color w:val="auto"/>
                <w:sz w:val="18"/>
                <w:szCs w:val="18"/>
                <w:highlight w:val="none"/>
              </w:rPr>
            </w:pPr>
          </w:p>
        </w:tc>
      </w:tr>
      <w:tr w14:paraId="6ED5F6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continue"/>
            <w:noWrap/>
            <w:vAlign w:val="center"/>
          </w:tcPr>
          <w:p w14:paraId="778D9879">
            <w:pPr>
              <w:jc w:val="center"/>
              <w:rPr>
                <w:color w:val="auto"/>
                <w:sz w:val="18"/>
                <w:szCs w:val="18"/>
                <w:highlight w:val="none"/>
              </w:rPr>
            </w:pPr>
          </w:p>
        </w:tc>
        <w:tc>
          <w:tcPr>
            <w:tcW w:w="1560" w:type="dxa"/>
            <w:shd w:val="clear" w:color="auto" w:fill="auto"/>
            <w:noWrap/>
            <w:vAlign w:val="center"/>
          </w:tcPr>
          <w:p w14:paraId="1E3ED230">
            <w:pPr>
              <w:jc w:val="center"/>
              <w:rPr>
                <w:color w:val="auto"/>
                <w:sz w:val="18"/>
                <w:szCs w:val="18"/>
                <w:highlight w:val="none"/>
              </w:rPr>
            </w:pPr>
            <w:r>
              <w:rPr>
                <w:color w:val="auto"/>
                <w:sz w:val="18"/>
                <w:szCs w:val="18"/>
                <w:highlight w:val="none"/>
              </w:rPr>
              <w:t>设备维修</w:t>
            </w:r>
          </w:p>
        </w:tc>
        <w:tc>
          <w:tcPr>
            <w:tcW w:w="1320" w:type="dxa"/>
            <w:shd w:val="clear" w:color="auto" w:fill="auto"/>
            <w:noWrap/>
            <w:vAlign w:val="center"/>
          </w:tcPr>
          <w:p w14:paraId="160ABECB">
            <w:pPr>
              <w:jc w:val="center"/>
              <w:rPr>
                <w:color w:val="auto"/>
                <w:sz w:val="18"/>
                <w:szCs w:val="18"/>
                <w:highlight w:val="none"/>
              </w:rPr>
            </w:pPr>
            <w:r>
              <w:rPr>
                <w:color w:val="auto"/>
                <w:sz w:val="18"/>
                <w:szCs w:val="18"/>
                <w:highlight w:val="none"/>
              </w:rPr>
              <w:t>废机油</w:t>
            </w:r>
            <w:r>
              <w:rPr>
                <w:rFonts w:hint="eastAsia"/>
                <w:color w:val="auto"/>
                <w:sz w:val="18"/>
                <w:szCs w:val="18"/>
                <w:highlight w:val="none"/>
              </w:rPr>
              <w:t>、废弃含油抹布手套、废机油桶、废药剂桶</w:t>
            </w:r>
          </w:p>
        </w:tc>
        <w:tc>
          <w:tcPr>
            <w:tcW w:w="1950" w:type="dxa"/>
            <w:shd w:val="clear" w:color="auto" w:fill="auto"/>
            <w:noWrap/>
            <w:vAlign w:val="center"/>
          </w:tcPr>
          <w:p w14:paraId="087B80BA">
            <w:pPr>
              <w:jc w:val="center"/>
              <w:rPr>
                <w:color w:val="auto"/>
                <w:sz w:val="18"/>
                <w:szCs w:val="18"/>
                <w:highlight w:val="none"/>
              </w:rPr>
            </w:pPr>
            <w:r>
              <w:rPr>
                <w:rFonts w:hint="eastAsia"/>
                <w:color w:val="auto"/>
                <w:sz w:val="18"/>
                <w:szCs w:val="18"/>
                <w:highlight w:val="none"/>
              </w:rPr>
              <w:t>暂存危险废物贮存点，定期</w:t>
            </w:r>
            <w:r>
              <w:rPr>
                <w:color w:val="auto"/>
                <w:sz w:val="18"/>
                <w:szCs w:val="18"/>
                <w:highlight w:val="none"/>
              </w:rPr>
              <w:t>委托有资质单位处理处置</w:t>
            </w:r>
          </w:p>
        </w:tc>
        <w:tc>
          <w:tcPr>
            <w:tcW w:w="2886" w:type="dxa"/>
            <w:noWrap/>
            <w:vAlign w:val="center"/>
          </w:tcPr>
          <w:p w14:paraId="0F267710">
            <w:pPr>
              <w:jc w:val="center"/>
              <w:rPr>
                <w:color w:val="auto"/>
                <w:sz w:val="18"/>
                <w:szCs w:val="18"/>
                <w:highlight w:val="none"/>
              </w:rPr>
            </w:pPr>
            <w:r>
              <w:rPr>
                <w:color w:val="auto"/>
                <w:sz w:val="18"/>
                <w:szCs w:val="18"/>
                <w:highlight w:val="none"/>
              </w:rPr>
              <w:t>《危险废物贮存污染控制标准》（GB18597-2023）</w:t>
            </w:r>
          </w:p>
        </w:tc>
      </w:tr>
      <w:tr w14:paraId="54B23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084" w:type="dxa"/>
            <w:vMerge w:val="continue"/>
            <w:noWrap/>
            <w:vAlign w:val="center"/>
          </w:tcPr>
          <w:p w14:paraId="2B5718DF">
            <w:pPr>
              <w:jc w:val="center"/>
              <w:rPr>
                <w:color w:val="auto"/>
                <w:sz w:val="18"/>
                <w:szCs w:val="18"/>
                <w:highlight w:val="none"/>
              </w:rPr>
            </w:pPr>
          </w:p>
        </w:tc>
        <w:tc>
          <w:tcPr>
            <w:tcW w:w="1560" w:type="dxa"/>
            <w:shd w:val="clear" w:color="auto" w:fill="auto"/>
            <w:noWrap/>
            <w:vAlign w:val="center"/>
          </w:tcPr>
          <w:p w14:paraId="5F300468">
            <w:pPr>
              <w:jc w:val="center"/>
              <w:rPr>
                <w:color w:val="auto"/>
                <w:sz w:val="18"/>
                <w:szCs w:val="18"/>
                <w:highlight w:val="none"/>
              </w:rPr>
            </w:pPr>
            <w:r>
              <w:rPr>
                <w:color w:val="auto"/>
                <w:sz w:val="18"/>
                <w:szCs w:val="18"/>
                <w:highlight w:val="none"/>
              </w:rPr>
              <w:t>日常生活</w:t>
            </w:r>
          </w:p>
        </w:tc>
        <w:tc>
          <w:tcPr>
            <w:tcW w:w="1320" w:type="dxa"/>
            <w:shd w:val="clear" w:color="auto" w:fill="auto"/>
            <w:noWrap/>
            <w:vAlign w:val="center"/>
          </w:tcPr>
          <w:p w14:paraId="379ED5A9">
            <w:pPr>
              <w:jc w:val="center"/>
              <w:rPr>
                <w:color w:val="auto"/>
                <w:sz w:val="18"/>
                <w:szCs w:val="18"/>
                <w:highlight w:val="none"/>
              </w:rPr>
            </w:pPr>
            <w:r>
              <w:rPr>
                <w:color w:val="auto"/>
                <w:sz w:val="18"/>
                <w:szCs w:val="18"/>
                <w:highlight w:val="none"/>
              </w:rPr>
              <w:t>生活垃圾</w:t>
            </w:r>
          </w:p>
        </w:tc>
        <w:tc>
          <w:tcPr>
            <w:tcW w:w="1950" w:type="dxa"/>
            <w:shd w:val="clear" w:color="auto" w:fill="auto"/>
            <w:noWrap/>
            <w:vAlign w:val="center"/>
          </w:tcPr>
          <w:p w14:paraId="512C7930">
            <w:pPr>
              <w:jc w:val="center"/>
              <w:rPr>
                <w:color w:val="auto"/>
                <w:sz w:val="18"/>
                <w:szCs w:val="18"/>
                <w:highlight w:val="none"/>
              </w:rPr>
            </w:pPr>
            <w:r>
              <w:rPr>
                <w:color w:val="auto"/>
                <w:sz w:val="18"/>
                <w:szCs w:val="18"/>
                <w:highlight w:val="none"/>
              </w:rPr>
              <w:t>委托环卫部门处理</w:t>
            </w:r>
          </w:p>
        </w:tc>
        <w:tc>
          <w:tcPr>
            <w:tcW w:w="2886" w:type="dxa"/>
            <w:noWrap/>
            <w:vAlign w:val="center"/>
          </w:tcPr>
          <w:p w14:paraId="1BBB6631">
            <w:pPr>
              <w:jc w:val="center"/>
              <w:rPr>
                <w:color w:val="auto"/>
                <w:sz w:val="18"/>
                <w:szCs w:val="18"/>
                <w:highlight w:val="none"/>
              </w:rPr>
            </w:pPr>
            <w:r>
              <w:rPr>
                <w:color w:val="auto"/>
                <w:sz w:val="18"/>
                <w:szCs w:val="18"/>
                <w:highlight w:val="none"/>
              </w:rPr>
              <w:t>/</w:t>
            </w:r>
          </w:p>
        </w:tc>
      </w:tr>
      <w:tr w14:paraId="756FB9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ign w:val="center"/>
          </w:tcPr>
          <w:p w14:paraId="3658D0A2">
            <w:pPr>
              <w:adjustRightInd w:val="0"/>
              <w:snapToGrid w:val="0"/>
              <w:jc w:val="center"/>
              <w:rPr>
                <w:color w:val="auto"/>
                <w:sz w:val="18"/>
                <w:szCs w:val="18"/>
                <w:highlight w:val="none"/>
              </w:rPr>
            </w:pPr>
            <w:r>
              <w:rPr>
                <w:color w:val="auto"/>
                <w:sz w:val="18"/>
                <w:szCs w:val="18"/>
                <w:highlight w:val="none"/>
              </w:rPr>
              <w:t>土壤及地下水污染防治措施</w:t>
            </w:r>
          </w:p>
        </w:tc>
        <w:tc>
          <w:tcPr>
            <w:tcW w:w="7716" w:type="dxa"/>
            <w:gridSpan w:val="4"/>
            <w:noWrap/>
            <w:vAlign w:val="center"/>
          </w:tcPr>
          <w:p w14:paraId="594625D3">
            <w:pPr>
              <w:adjustRightInd w:val="0"/>
              <w:snapToGrid w:val="0"/>
              <w:rPr>
                <w:color w:val="auto"/>
                <w:sz w:val="18"/>
                <w:szCs w:val="18"/>
                <w:highlight w:val="none"/>
              </w:rPr>
            </w:pPr>
            <w:r>
              <w:rPr>
                <w:color w:val="auto"/>
                <w:sz w:val="18"/>
                <w:szCs w:val="18"/>
                <w:highlight w:val="none"/>
              </w:rPr>
              <w:t>项目采用源头控制、分区防渗措施，防止地下水</w:t>
            </w:r>
            <w:r>
              <w:rPr>
                <w:rFonts w:hint="eastAsia"/>
                <w:color w:val="auto"/>
                <w:sz w:val="18"/>
                <w:szCs w:val="18"/>
                <w:highlight w:val="none"/>
                <w:lang w:val="en-US" w:eastAsia="zh-CN"/>
              </w:rPr>
              <w:t>及土壤</w:t>
            </w:r>
            <w:r>
              <w:rPr>
                <w:color w:val="auto"/>
                <w:sz w:val="18"/>
                <w:szCs w:val="18"/>
                <w:highlight w:val="none"/>
              </w:rPr>
              <w:t>污染</w:t>
            </w:r>
            <w:r>
              <w:rPr>
                <w:rFonts w:hint="eastAsia"/>
                <w:color w:val="auto"/>
                <w:sz w:val="18"/>
                <w:szCs w:val="18"/>
                <w:highlight w:val="none"/>
                <w:lang w:eastAsia="zh-CN"/>
              </w:rPr>
              <w:t>，</w:t>
            </w:r>
            <w:r>
              <w:rPr>
                <w:color w:val="auto"/>
                <w:sz w:val="18"/>
                <w:szCs w:val="18"/>
                <w:highlight w:val="none"/>
              </w:rPr>
              <w:t>危废贮存点</w:t>
            </w:r>
            <w:r>
              <w:rPr>
                <w:rFonts w:hint="eastAsia"/>
                <w:color w:val="auto"/>
                <w:sz w:val="18"/>
                <w:szCs w:val="18"/>
                <w:highlight w:val="none"/>
              </w:rPr>
              <w:t>、药剂库</w:t>
            </w:r>
            <w:r>
              <w:rPr>
                <w:rFonts w:hint="eastAsia"/>
                <w:color w:val="auto"/>
                <w:sz w:val="18"/>
                <w:szCs w:val="18"/>
                <w:highlight w:val="none"/>
                <w:lang w:eastAsia="zh-CN"/>
              </w:rPr>
              <w:t>设置重点防渗，</w:t>
            </w:r>
            <w:r>
              <w:rPr>
                <w:rFonts w:hint="eastAsia"/>
                <w:bCs/>
                <w:color w:val="auto"/>
                <w:sz w:val="18"/>
                <w:szCs w:val="18"/>
                <w:highlight w:val="none"/>
              </w:rPr>
              <w:t>地面</w:t>
            </w:r>
            <w:r>
              <w:rPr>
                <w:rFonts w:hint="eastAsia"/>
                <w:bCs/>
                <w:color w:val="auto"/>
                <w:sz w:val="18"/>
                <w:szCs w:val="18"/>
                <w:highlight w:val="none"/>
                <w:lang w:val="en-US" w:eastAsia="zh-CN"/>
              </w:rPr>
              <w:t>与</w:t>
            </w:r>
            <w:r>
              <w:rPr>
                <w:rFonts w:hint="eastAsia"/>
                <w:bCs/>
                <w:color w:val="auto"/>
                <w:sz w:val="18"/>
                <w:szCs w:val="18"/>
                <w:highlight w:val="none"/>
              </w:rPr>
              <w:t>裙脚采用2mm厚的高密度聚乙烯+</w:t>
            </w:r>
            <w:r>
              <w:rPr>
                <w:rFonts w:hint="eastAsia"/>
                <w:bCs/>
                <w:color w:val="auto"/>
                <w:sz w:val="18"/>
                <w:szCs w:val="18"/>
                <w:highlight w:val="none"/>
                <w:lang w:eastAsia="zh-CN"/>
              </w:rPr>
              <w:t>抗渗</w:t>
            </w:r>
            <w:r>
              <w:rPr>
                <w:rFonts w:hint="eastAsia"/>
                <w:bCs/>
                <w:color w:val="auto"/>
                <w:sz w:val="18"/>
                <w:szCs w:val="18"/>
                <w:highlight w:val="none"/>
              </w:rPr>
              <w:t>混凝土进行防渗处理，渗透系数≤10</w:t>
            </w:r>
            <w:r>
              <w:rPr>
                <w:rFonts w:hint="eastAsia"/>
                <w:bCs/>
                <w:color w:val="auto"/>
                <w:sz w:val="18"/>
                <w:szCs w:val="18"/>
                <w:highlight w:val="none"/>
                <w:vertAlign w:val="superscript"/>
              </w:rPr>
              <w:t>-10</w:t>
            </w:r>
            <w:r>
              <w:rPr>
                <w:rFonts w:hint="eastAsia"/>
                <w:bCs/>
                <w:color w:val="auto"/>
                <w:sz w:val="18"/>
                <w:szCs w:val="18"/>
                <w:highlight w:val="none"/>
              </w:rPr>
              <w:t>cm/s。</w:t>
            </w:r>
            <w:r>
              <w:rPr>
                <w:color w:val="auto"/>
                <w:sz w:val="18"/>
                <w:szCs w:val="18"/>
                <w:highlight w:val="none"/>
              </w:rPr>
              <w:t>防渗技术等效厚度为6m粘土层、渗透系数不超过10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rPr>
              <w:t>生产车间、浓缩车间、尾矿车间</w:t>
            </w:r>
            <w:r>
              <w:rPr>
                <w:color w:val="auto"/>
                <w:sz w:val="18"/>
                <w:szCs w:val="18"/>
                <w:highlight w:val="none"/>
              </w:rPr>
              <w:t>、</w:t>
            </w:r>
            <w:r>
              <w:rPr>
                <w:rFonts w:hint="eastAsia"/>
                <w:color w:val="auto"/>
                <w:sz w:val="18"/>
                <w:szCs w:val="18"/>
                <w:highlight w:val="none"/>
              </w:rPr>
              <w:t>物料棚、浓缩池、</w:t>
            </w:r>
            <w:r>
              <w:rPr>
                <w:color w:val="auto"/>
                <w:sz w:val="18"/>
                <w:szCs w:val="18"/>
                <w:highlight w:val="none"/>
              </w:rPr>
              <w:t>初期雨水池、事故池</w:t>
            </w:r>
            <w:r>
              <w:rPr>
                <w:rFonts w:hint="eastAsia"/>
                <w:color w:val="auto"/>
                <w:sz w:val="18"/>
                <w:szCs w:val="18"/>
                <w:highlight w:val="none"/>
                <w:lang w:eastAsia="zh-CN"/>
              </w:rPr>
              <w:t>、</w:t>
            </w:r>
            <w:r>
              <w:rPr>
                <w:rFonts w:hint="eastAsia"/>
                <w:color w:val="auto"/>
                <w:sz w:val="18"/>
                <w:szCs w:val="18"/>
                <w:highlight w:val="none"/>
                <w:lang w:val="en-US" w:eastAsia="zh-CN"/>
              </w:rPr>
              <w:t>防渗旱厕</w:t>
            </w:r>
            <w:r>
              <w:rPr>
                <w:color w:val="auto"/>
                <w:sz w:val="18"/>
                <w:szCs w:val="18"/>
                <w:highlight w:val="none"/>
              </w:rPr>
              <w:t>区域</w:t>
            </w:r>
            <w:r>
              <w:rPr>
                <w:rFonts w:hint="eastAsia"/>
                <w:color w:val="auto"/>
                <w:sz w:val="18"/>
                <w:szCs w:val="18"/>
                <w:highlight w:val="none"/>
                <w:lang w:eastAsia="zh-CN"/>
              </w:rPr>
              <w:t>设置一般防渗</w:t>
            </w:r>
            <w:r>
              <w:rPr>
                <w:color w:val="auto"/>
                <w:sz w:val="18"/>
                <w:szCs w:val="18"/>
                <w:highlight w:val="none"/>
              </w:rPr>
              <w:t>，采用</w:t>
            </w:r>
            <w:r>
              <w:rPr>
                <w:rFonts w:hint="eastAsia"/>
                <w:color w:val="auto"/>
                <w:sz w:val="18"/>
                <w:szCs w:val="18"/>
                <w:highlight w:val="none"/>
                <w:lang w:eastAsia="zh-CN"/>
              </w:rPr>
              <w:t>抗渗混凝土进行防渗处理</w:t>
            </w:r>
            <w:r>
              <w:rPr>
                <w:color w:val="auto"/>
                <w:sz w:val="18"/>
                <w:szCs w:val="18"/>
                <w:highlight w:val="none"/>
              </w:rPr>
              <w:t>，防渗技术要求达到等效粘土防渗层Mb≥1.5m，≤1×10</w:t>
            </w:r>
            <w:r>
              <w:rPr>
                <w:color w:val="auto"/>
                <w:sz w:val="18"/>
                <w:szCs w:val="18"/>
                <w:highlight w:val="none"/>
                <w:vertAlign w:val="superscript"/>
              </w:rPr>
              <w:t>-7</w:t>
            </w:r>
            <w:r>
              <w:rPr>
                <w:color w:val="auto"/>
                <w:sz w:val="18"/>
                <w:szCs w:val="18"/>
                <w:highlight w:val="none"/>
              </w:rPr>
              <w:t>cm/s。</w:t>
            </w:r>
            <w:r>
              <w:rPr>
                <w:rFonts w:hint="eastAsia"/>
                <w:color w:val="auto"/>
                <w:sz w:val="18"/>
                <w:szCs w:val="18"/>
                <w:highlight w:val="none"/>
                <w:lang w:eastAsia="zh-CN"/>
              </w:rPr>
              <w:t>厂区内其他区域简单防渗区</w:t>
            </w:r>
            <w:r>
              <w:rPr>
                <w:color w:val="auto"/>
                <w:sz w:val="18"/>
                <w:szCs w:val="18"/>
                <w:highlight w:val="none"/>
              </w:rPr>
              <w:t>，采用耐腐蚀的水泥对地面进行硬化。</w:t>
            </w:r>
          </w:p>
        </w:tc>
      </w:tr>
      <w:tr w14:paraId="2B837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084" w:type="dxa"/>
            <w:noWrap/>
            <w:vAlign w:val="center"/>
          </w:tcPr>
          <w:p w14:paraId="2BEC1AAD">
            <w:pPr>
              <w:adjustRightInd w:val="0"/>
              <w:snapToGrid w:val="0"/>
              <w:jc w:val="center"/>
              <w:rPr>
                <w:color w:val="auto"/>
                <w:sz w:val="18"/>
                <w:szCs w:val="18"/>
                <w:highlight w:val="none"/>
              </w:rPr>
            </w:pPr>
            <w:r>
              <w:rPr>
                <w:color w:val="auto"/>
                <w:sz w:val="18"/>
                <w:szCs w:val="18"/>
                <w:highlight w:val="none"/>
              </w:rPr>
              <w:t>生态保护措施</w:t>
            </w:r>
          </w:p>
        </w:tc>
        <w:tc>
          <w:tcPr>
            <w:tcW w:w="7716" w:type="dxa"/>
            <w:gridSpan w:val="4"/>
            <w:noWrap/>
            <w:vAlign w:val="center"/>
          </w:tcPr>
          <w:p w14:paraId="27B3F6E5">
            <w:pPr>
              <w:rPr>
                <w:color w:val="auto"/>
                <w:sz w:val="18"/>
                <w:szCs w:val="18"/>
                <w:highlight w:val="none"/>
              </w:rPr>
            </w:pPr>
            <w:r>
              <w:rPr>
                <w:color w:val="auto"/>
                <w:sz w:val="18"/>
                <w:szCs w:val="18"/>
                <w:highlight w:val="none"/>
              </w:rPr>
              <w:t>/</w:t>
            </w:r>
          </w:p>
        </w:tc>
      </w:tr>
      <w:tr w14:paraId="5E075A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1084" w:type="dxa"/>
            <w:noWrap/>
            <w:vAlign w:val="center"/>
          </w:tcPr>
          <w:p w14:paraId="644127D6">
            <w:pPr>
              <w:adjustRightInd w:val="0"/>
              <w:snapToGrid w:val="0"/>
              <w:jc w:val="center"/>
              <w:rPr>
                <w:color w:val="auto"/>
                <w:spacing w:val="-8"/>
                <w:sz w:val="18"/>
                <w:szCs w:val="18"/>
                <w:highlight w:val="none"/>
              </w:rPr>
            </w:pPr>
            <w:r>
              <w:rPr>
                <w:color w:val="auto"/>
                <w:spacing w:val="-8"/>
                <w:sz w:val="18"/>
                <w:szCs w:val="18"/>
                <w:highlight w:val="none"/>
              </w:rPr>
              <w:t>环境风险防范措施</w:t>
            </w:r>
          </w:p>
        </w:tc>
        <w:tc>
          <w:tcPr>
            <w:tcW w:w="7716" w:type="dxa"/>
            <w:gridSpan w:val="4"/>
            <w:shd w:val="clear" w:color="auto" w:fill="auto"/>
            <w:noWrap/>
            <w:vAlign w:val="center"/>
          </w:tcPr>
          <w:p w14:paraId="787E5857">
            <w:pPr>
              <w:rPr>
                <w:color w:val="auto"/>
                <w:sz w:val="18"/>
                <w:szCs w:val="18"/>
                <w:highlight w:val="none"/>
              </w:rPr>
            </w:pPr>
            <w:r>
              <w:rPr>
                <w:color w:val="auto"/>
                <w:sz w:val="18"/>
                <w:szCs w:val="18"/>
                <w:highlight w:val="none"/>
              </w:rPr>
              <w:t>建设单位应加强管理，完善消防设施，制定风险应急预案；厂区严禁烟火；发生火灾时，设置临时围堰，不得将消防废水随便排放，定期维护设备。</w:t>
            </w:r>
          </w:p>
        </w:tc>
      </w:tr>
      <w:tr w14:paraId="2D5042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084" w:type="dxa"/>
            <w:noWrap/>
            <w:vAlign w:val="center"/>
          </w:tcPr>
          <w:p w14:paraId="20DFC82C">
            <w:pPr>
              <w:adjustRightInd w:val="0"/>
              <w:snapToGrid w:val="0"/>
              <w:jc w:val="center"/>
              <w:rPr>
                <w:color w:val="auto"/>
                <w:spacing w:val="-8"/>
                <w:sz w:val="18"/>
                <w:szCs w:val="18"/>
                <w:highlight w:val="none"/>
              </w:rPr>
            </w:pPr>
            <w:r>
              <w:rPr>
                <w:color w:val="auto"/>
                <w:spacing w:val="-8"/>
                <w:sz w:val="18"/>
                <w:szCs w:val="18"/>
                <w:highlight w:val="none"/>
              </w:rPr>
              <w:t>其他环境管理要求</w:t>
            </w:r>
          </w:p>
        </w:tc>
        <w:tc>
          <w:tcPr>
            <w:tcW w:w="7716" w:type="dxa"/>
            <w:gridSpan w:val="4"/>
            <w:noWrap/>
            <w:vAlign w:val="center"/>
          </w:tcPr>
          <w:p w14:paraId="0FC42C13">
            <w:pPr>
              <w:rPr>
                <w:color w:val="auto"/>
                <w:sz w:val="18"/>
                <w:szCs w:val="18"/>
                <w:highlight w:val="none"/>
              </w:rPr>
            </w:pPr>
            <w:r>
              <w:rPr>
                <w:color w:val="auto"/>
                <w:sz w:val="18"/>
                <w:szCs w:val="18"/>
                <w:highlight w:val="none"/>
              </w:rPr>
              <w:t>企业应在投入使用前编制突发环境事件应急预案，建立档案管理制度，按照国家档案管理等法律法规进行整理与归档，永久保存。要严格</w:t>
            </w:r>
            <w:r>
              <w:rPr>
                <w:rFonts w:hint="eastAsia" w:ascii="宋体" w:hAnsi="宋体" w:cs="宋体"/>
                <w:color w:val="auto"/>
                <w:sz w:val="18"/>
                <w:szCs w:val="18"/>
                <w:highlight w:val="none"/>
              </w:rPr>
              <w:t>执行“三同时”制度，</w:t>
            </w:r>
            <w:r>
              <w:rPr>
                <w:color w:val="auto"/>
                <w:sz w:val="18"/>
                <w:szCs w:val="18"/>
                <w:highlight w:val="none"/>
              </w:rPr>
              <w:t>在项目建成后，进行竣工环境保护验收，验收合格后方可投入运营。应指定专人负责项目的环境管理，负责制定环境管理规章制度并监督执行，制定运行计划，运行管理人员应定期参加企业的岗位培训；并按GB 15562.2的规定设置环境保护图形标志，应定期检查和维护；贯彻对项目产生的各污染物的处理情况进行定期检查，确保各项污染防治措施的有效执行。</w:t>
            </w:r>
          </w:p>
        </w:tc>
      </w:tr>
    </w:tbl>
    <w:p w14:paraId="64E91A64">
      <w:pPr>
        <w:pStyle w:val="19"/>
        <w:adjustRightInd w:val="0"/>
        <w:snapToGrid w:val="0"/>
        <w:spacing w:before="0" w:beforeAutospacing="0" w:after="0" w:afterAutospacing="0" w:line="360" w:lineRule="auto"/>
        <w:jc w:val="center"/>
        <w:outlineLvl w:val="0"/>
        <w:rPr>
          <w:rFonts w:ascii="Times New Roman" w:hAnsi="Times New Roman" w:eastAsia="黑体"/>
          <w:snapToGrid w:val="0"/>
          <w:color w:val="auto"/>
          <w:sz w:val="30"/>
          <w:szCs w:val="30"/>
          <w:highlight w:val="none"/>
        </w:rPr>
      </w:pPr>
      <w:r>
        <w:rPr>
          <w:rFonts w:ascii="Times New Roman" w:hAnsi="Times New Roman"/>
          <w:snapToGrid w:val="0"/>
          <w:color w:val="auto"/>
          <w:highlight w:val="none"/>
        </w:rPr>
        <w:br w:type="page"/>
      </w:r>
      <w:bookmarkStart w:id="50" w:name="_Toc2487"/>
      <w:bookmarkStart w:id="51" w:name="_Toc19204"/>
      <w:bookmarkStart w:id="52" w:name="_Toc3407"/>
      <w:bookmarkStart w:id="53" w:name="_Toc11665"/>
      <w:bookmarkStart w:id="54" w:name="_Toc7128"/>
      <w:r>
        <w:rPr>
          <w:rFonts w:ascii="Times New Roman" w:hAnsi="Times New Roman" w:eastAsia="黑体"/>
          <w:snapToGrid w:val="0"/>
          <w:color w:val="auto"/>
          <w:sz w:val="30"/>
          <w:szCs w:val="30"/>
          <w:highlight w:val="none"/>
        </w:rPr>
        <w:t>六、结论</w:t>
      </w:r>
      <w:bookmarkEnd w:id="50"/>
      <w:bookmarkEnd w:id="51"/>
      <w:bookmarkEnd w:id="52"/>
      <w:bookmarkEnd w:id="53"/>
      <w:bookmarkEnd w:id="54"/>
    </w:p>
    <w:tbl>
      <w:tblPr>
        <w:tblStyle w:val="22"/>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80"/>
      </w:tblGrid>
      <w:tr w14:paraId="0421E2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980" w:type="dxa"/>
          </w:tcPr>
          <w:p w14:paraId="60425092">
            <w:pPr>
              <w:spacing w:line="360" w:lineRule="auto"/>
              <w:ind w:firstLine="420" w:firstLineChars="200"/>
              <w:rPr>
                <w:bCs/>
                <w:color w:val="auto"/>
                <w:szCs w:val="21"/>
                <w:highlight w:val="none"/>
              </w:rPr>
            </w:pPr>
            <w:r>
              <w:rPr>
                <w:bCs/>
                <w:color w:val="auto"/>
                <w:szCs w:val="21"/>
                <w:highlight w:val="none"/>
              </w:rPr>
              <w:t>本项目符合国家的产业政策，选址合理。项目在建设和运营中产生的环境影响较小，建设单位认真落实本报告提出的各项污染治理措施</w:t>
            </w:r>
            <w:r>
              <w:rPr>
                <w:rFonts w:hint="eastAsia"/>
                <w:bCs/>
                <w:color w:val="auto"/>
                <w:szCs w:val="21"/>
                <w:highlight w:val="none"/>
                <w:lang w:eastAsia="zh-CN"/>
              </w:rPr>
              <w:t>，以</w:t>
            </w:r>
            <w:r>
              <w:rPr>
                <w:bCs/>
                <w:color w:val="auto"/>
                <w:szCs w:val="21"/>
                <w:highlight w:val="none"/>
              </w:rPr>
              <w:t>及日常环保管理工作，在确保环保设施正常运行和达标排放前提下，从环保角度考虑，本项目建设可行。</w:t>
            </w:r>
          </w:p>
          <w:p w14:paraId="7C062452">
            <w:pPr>
              <w:widowControl/>
              <w:spacing w:line="480" w:lineRule="atLeast"/>
              <w:ind w:firstLine="420"/>
              <w:rPr>
                <w:color w:val="auto"/>
                <w:kern w:val="0"/>
                <w:sz w:val="24"/>
                <w:highlight w:val="none"/>
              </w:rPr>
            </w:pPr>
          </w:p>
          <w:p w14:paraId="24599600">
            <w:pPr>
              <w:spacing w:line="360" w:lineRule="auto"/>
              <w:rPr>
                <w:color w:val="auto"/>
                <w:sz w:val="24"/>
                <w:highlight w:val="none"/>
              </w:rPr>
            </w:pPr>
          </w:p>
        </w:tc>
      </w:tr>
    </w:tbl>
    <w:p w14:paraId="06288040">
      <w:pPr>
        <w:rPr>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BC03611">
      <w:pPr>
        <w:pStyle w:val="19"/>
        <w:adjustRightInd w:val="0"/>
        <w:snapToGrid w:val="0"/>
        <w:spacing w:before="0" w:beforeAutospacing="0" w:after="0" w:afterAutospacing="0"/>
        <w:outlineLvl w:val="0"/>
        <w:rPr>
          <w:rFonts w:ascii="Times New Roman" w:hAnsi="Times New Roman" w:eastAsia="黑体"/>
          <w:snapToGrid w:val="0"/>
          <w:color w:val="auto"/>
          <w:sz w:val="32"/>
          <w:szCs w:val="32"/>
          <w:highlight w:val="none"/>
        </w:rPr>
      </w:pPr>
      <w:bookmarkStart w:id="55" w:name="_Toc17459"/>
      <w:bookmarkStart w:id="56" w:name="_Toc80034807"/>
      <w:bookmarkStart w:id="57" w:name="_Toc4123"/>
      <w:bookmarkStart w:id="58" w:name="_Toc6080"/>
      <w:bookmarkStart w:id="59" w:name="_Toc7459"/>
      <w:bookmarkStart w:id="60" w:name="_Toc25182"/>
      <w:bookmarkStart w:id="61" w:name="_Toc1285"/>
      <w:bookmarkStart w:id="62" w:name="_Toc31938"/>
      <w:r>
        <w:rPr>
          <w:rFonts w:ascii="Times New Roman" w:hAnsi="Times New Roman" w:eastAsia="黑体"/>
          <w:snapToGrid w:val="0"/>
          <w:color w:val="auto"/>
          <w:sz w:val="32"/>
          <w:szCs w:val="32"/>
          <w:highlight w:val="none"/>
        </w:rPr>
        <w:t>附表</w:t>
      </w:r>
      <w:bookmarkEnd w:id="55"/>
      <w:bookmarkEnd w:id="56"/>
      <w:bookmarkEnd w:id="57"/>
      <w:bookmarkEnd w:id="58"/>
      <w:bookmarkEnd w:id="59"/>
      <w:bookmarkEnd w:id="60"/>
      <w:bookmarkEnd w:id="61"/>
      <w:bookmarkEnd w:id="62"/>
    </w:p>
    <w:p w14:paraId="79665EC1">
      <w:pPr>
        <w:pStyle w:val="19"/>
        <w:adjustRightInd w:val="0"/>
        <w:snapToGrid w:val="0"/>
        <w:spacing w:before="0" w:beforeAutospacing="0" w:after="0" w:afterAutospacing="0"/>
        <w:jc w:val="center"/>
        <w:outlineLvl w:val="0"/>
        <w:rPr>
          <w:rFonts w:ascii="Times New Roman" w:hAnsi="Times New Roman" w:eastAsia="方正小标宋_GBK"/>
          <w:snapToGrid w:val="0"/>
          <w:color w:val="auto"/>
          <w:sz w:val="38"/>
          <w:szCs w:val="38"/>
          <w:highlight w:val="none"/>
        </w:rPr>
      </w:pPr>
      <w:bookmarkStart w:id="63" w:name="_Toc80034808"/>
      <w:bookmarkStart w:id="64" w:name="_Toc18467"/>
      <w:bookmarkStart w:id="65" w:name="_Toc28445"/>
      <w:bookmarkStart w:id="66" w:name="_Toc20280"/>
      <w:bookmarkStart w:id="67" w:name="_Toc4453"/>
      <w:bookmarkStart w:id="68" w:name="_Toc30258"/>
      <w:r>
        <w:rPr>
          <w:rFonts w:ascii="Times New Roman" w:hAnsi="Times New Roman" w:eastAsia="方正小标宋_GBK"/>
          <w:snapToGrid w:val="0"/>
          <w:color w:val="auto"/>
          <w:sz w:val="38"/>
          <w:szCs w:val="38"/>
          <w:highlight w:val="none"/>
        </w:rPr>
        <w:t>建设项目污染物排放量汇总表</w:t>
      </w:r>
      <w:bookmarkEnd w:id="63"/>
      <w:bookmarkEnd w:id="64"/>
      <w:bookmarkEnd w:id="65"/>
      <w:bookmarkEnd w:id="66"/>
      <w:bookmarkEnd w:id="67"/>
      <w:bookmarkEnd w:id="68"/>
    </w:p>
    <w:tbl>
      <w:tblPr>
        <w:tblStyle w:val="22"/>
        <w:tblW w:w="1379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0"/>
        <w:gridCol w:w="2185"/>
        <w:gridCol w:w="1702"/>
        <w:gridCol w:w="1277"/>
        <w:gridCol w:w="1702"/>
        <w:gridCol w:w="1560"/>
        <w:gridCol w:w="1498"/>
        <w:gridCol w:w="1793"/>
        <w:gridCol w:w="1258"/>
      </w:tblGrid>
      <w:tr w14:paraId="0DAE97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820" w:type="dxa"/>
            <w:tcBorders>
              <w:tl2br w:val="single" w:color="auto" w:sz="4" w:space="0"/>
            </w:tcBorders>
            <w:tcMar>
              <w:left w:w="28" w:type="dxa"/>
              <w:right w:w="28" w:type="dxa"/>
            </w:tcMar>
            <w:vAlign w:val="center"/>
          </w:tcPr>
          <w:p w14:paraId="77036C4A">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项目</w:t>
            </w:r>
          </w:p>
          <w:p w14:paraId="2E1BE8F8">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分类</w:t>
            </w:r>
          </w:p>
        </w:tc>
        <w:tc>
          <w:tcPr>
            <w:tcW w:w="2185" w:type="dxa"/>
            <w:tcMar>
              <w:left w:w="28" w:type="dxa"/>
              <w:right w:w="28" w:type="dxa"/>
            </w:tcMar>
            <w:vAlign w:val="center"/>
          </w:tcPr>
          <w:p w14:paraId="708A4201">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污染物名称</w:t>
            </w:r>
          </w:p>
        </w:tc>
        <w:tc>
          <w:tcPr>
            <w:tcW w:w="1702" w:type="dxa"/>
            <w:tcMar>
              <w:left w:w="28" w:type="dxa"/>
              <w:right w:w="28" w:type="dxa"/>
            </w:tcMar>
            <w:vAlign w:val="center"/>
          </w:tcPr>
          <w:p w14:paraId="7CB21AEC">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2919C461">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1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①</w:t>
            </w:r>
            <w:r>
              <w:rPr>
                <w:rFonts w:ascii="Times New Roman" w:eastAsia="黑体"/>
                <w:snapToGrid w:val="0"/>
                <w:color w:val="auto"/>
                <w:spacing w:val="-6"/>
                <w:kern w:val="21"/>
                <w:szCs w:val="21"/>
                <w:highlight w:val="none"/>
              </w:rPr>
              <w:fldChar w:fldCharType="end"/>
            </w:r>
          </w:p>
        </w:tc>
        <w:tc>
          <w:tcPr>
            <w:tcW w:w="1277" w:type="dxa"/>
            <w:tcMar>
              <w:left w:w="28" w:type="dxa"/>
              <w:right w:w="28" w:type="dxa"/>
            </w:tcMar>
            <w:vAlign w:val="center"/>
          </w:tcPr>
          <w:p w14:paraId="2245D965">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09AD6BE4">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许可排放量</w:t>
            </w:r>
          </w:p>
          <w:p w14:paraId="57A69B0D">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2 \* GB3 \* MERGEFORMAT </w:instrText>
            </w:r>
            <w:r>
              <w:rPr>
                <w:rFonts w:ascii="Times New Roman" w:eastAsia="黑体"/>
                <w:snapToGrid w:val="0"/>
                <w:color w:val="auto"/>
                <w:spacing w:val="-6"/>
                <w:kern w:val="21"/>
                <w:szCs w:val="21"/>
                <w:highlight w:val="none"/>
              </w:rPr>
              <w:fldChar w:fldCharType="separate"/>
            </w:r>
            <w:r>
              <w:rPr>
                <w:rFonts w:ascii="Times New Roman" w:eastAsia="黑体"/>
                <w:snapToGrid w:val="0"/>
                <w:color w:val="auto"/>
                <w:spacing w:val="-6"/>
                <w:kern w:val="21"/>
                <w:szCs w:val="21"/>
                <w:highlight w:val="none"/>
              </w:rPr>
              <w:t>②</w:t>
            </w:r>
            <w:r>
              <w:rPr>
                <w:rFonts w:ascii="Times New Roman" w:eastAsia="黑体"/>
                <w:snapToGrid w:val="0"/>
                <w:color w:val="auto"/>
                <w:spacing w:val="-6"/>
                <w:kern w:val="21"/>
                <w:szCs w:val="21"/>
                <w:highlight w:val="none"/>
              </w:rPr>
              <w:fldChar w:fldCharType="end"/>
            </w:r>
          </w:p>
        </w:tc>
        <w:tc>
          <w:tcPr>
            <w:tcW w:w="1702" w:type="dxa"/>
            <w:tcMar>
              <w:left w:w="28" w:type="dxa"/>
              <w:right w:w="28" w:type="dxa"/>
            </w:tcMar>
            <w:vAlign w:val="center"/>
          </w:tcPr>
          <w:p w14:paraId="53C37EF4">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在建工程</w:t>
            </w:r>
          </w:p>
          <w:p w14:paraId="57944A4A">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3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③</w:t>
            </w:r>
            <w:r>
              <w:rPr>
                <w:rFonts w:ascii="Times New Roman" w:eastAsia="黑体"/>
                <w:snapToGrid w:val="0"/>
                <w:color w:val="auto"/>
                <w:spacing w:val="-6"/>
                <w:kern w:val="21"/>
                <w:szCs w:val="21"/>
                <w:highlight w:val="none"/>
              </w:rPr>
              <w:fldChar w:fldCharType="end"/>
            </w:r>
          </w:p>
        </w:tc>
        <w:tc>
          <w:tcPr>
            <w:tcW w:w="1560" w:type="dxa"/>
            <w:tcMar>
              <w:left w:w="28" w:type="dxa"/>
              <w:right w:w="28" w:type="dxa"/>
            </w:tcMar>
            <w:vAlign w:val="center"/>
          </w:tcPr>
          <w:p w14:paraId="7C1E22C9">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本项目</w:t>
            </w:r>
          </w:p>
          <w:p w14:paraId="5C93DD8B">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4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④</w:t>
            </w:r>
            <w:r>
              <w:rPr>
                <w:rFonts w:ascii="Times New Roman" w:eastAsia="黑体"/>
                <w:snapToGrid w:val="0"/>
                <w:color w:val="auto"/>
                <w:spacing w:val="-6"/>
                <w:kern w:val="21"/>
                <w:szCs w:val="21"/>
                <w:highlight w:val="none"/>
              </w:rPr>
              <w:fldChar w:fldCharType="end"/>
            </w:r>
          </w:p>
        </w:tc>
        <w:tc>
          <w:tcPr>
            <w:tcW w:w="1498" w:type="dxa"/>
            <w:tcMar>
              <w:left w:w="28" w:type="dxa"/>
              <w:right w:w="28" w:type="dxa"/>
            </w:tcMar>
            <w:vAlign w:val="center"/>
          </w:tcPr>
          <w:p w14:paraId="3AEFFF73">
            <w:pPr>
              <w:pStyle w:val="46"/>
              <w:spacing w:beforeLines="0" w:afterLines="0" w:line="240" w:lineRule="auto"/>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以新带老削减量（新建项目不填）</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5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⑤</w:t>
            </w:r>
            <w:r>
              <w:rPr>
                <w:rFonts w:ascii="Times New Roman" w:eastAsia="黑体"/>
                <w:snapToGrid w:val="0"/>
                <w:color w:val="auto"/>
                <w:spacing w:val="-16"/>
                <w:kern w:val="21"/>
                <w:szCs w:val="21"/>
                <w:highlight w:val="none"/>
              </w:rPr>
              <w:fldChar w:fldCharType="end"/>
            </w:r>
          </w:p>
        </w:tc>
        <w:tc>
          <w:tcPr>
            <w:tcW w:w="1793" w:type="dxa"/>
            <w:tcMar>
              <w:left w:w="28" w:type="dxa"/>
              <w:right w:w="28" w:type="dxa"/>
            </w:tcMar>
            <w:vAlign w:val="center"/>
          </w:tcPr>
          <w:p w14:paraId="2A78A9AD">
            <w:pPr>
              <w:pStyle w:val="46"/>
              <w:spacing w:beforeLines="0" w:afterLines="0" w:line="240" w:lineRule="auto"/>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本项目建成后</w:t>
            </w:r>
          </w:p>
          <w:p w14:paraId="0BA159EA">
            <w:pPr>
              <w:pStyle w:val="46"/>
              <w:spacing w:beforeLines="0" w:afterLines="0" w:line="240" w:lineRule="auto"/>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全厂排放量（固体废物产生量）</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6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⑥</w:t>
            </w:r>
            <w:r>
              <w:rPr>
                <w:rFonts w:ascii="Times New Roman" w:eastAsia="黑体"/>
                <w:snapToGrid w:val="0"/>
                <w:color w:val="auto"/>
                <w:spacing w:val="-16"/>
                <w:kern w:val="21"/>
                <w:szCs w:val="21"/>
                <w:highlight w:val="none"/>
              </w:rPr>
              <w:fldChar w:fldCharType="end"/>
            </w:r>
          </w:p>
        </w:tc>
        <w:tc>
          <w:tcPr>
            <w:tcW w:w="1258" w:type="dxa"/>
            <w:tcMar>
              <w:left w:w="28" w:type="dxa"/>
              <w:right w:w="28" w:type="dxa"/>
            </w:tcMar>
            <w:vAlign w:val="center"/>
          </w:tcPr>
          <w:p w14:paraId="2E0EC734">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变化量</w:t>
            </w:r>
          </w:p>
          <w:p w14:paraId="40144604">
            <w:pPr>
              <w:pStyle w:val="46"/>
              <w:spacing w:beforeLines="0" w:afterLines="0" w:line="240" w:lineRule="auto"/>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7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⑦</w:t>
            </w:r>
            <w:r>
              <w:rPr>
                <w:rFonts w:ascii="Times New Roman" w:eastAsia="黑体"/>
                <w:snapToGrid w:val="0"/>
                <w:color w:val="auto"/>
                <w:spacing w:val="-6"/>
                <w:kern w:val="21"/>
                <w:szCs w:val="21"/>
                <w:highlight w:val="none"/>
              </w:rPr>
              <w:fldChar w:fldCharType="end"/>
            </w:r>
          </w:p>
        </w:tc>
      </w:tr>
      <w:tr w14:paraId="0B16F9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exact"/>
        </w:trPr>
        <w:tc>
          <w:tcPr>
            <w:tcW w:w="820" w:type="dxa"/>
            <w:vMerge w:val="restart"/>
            <w:vAlign w:val="center"/>
          </w:tcPr>
          <w:p w14:paraId="31A1E1F6">
            <w:pPr>
              <w:pStyle w:val="46"/>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废气</w:t>
            </w:r>
          </w:p>
        </w:tc>
        <w:tc>
          <w:tcPr>
            <w:tcW w:w="2185" w:type="dxa"/>
            <w:vAlign w:val="center"/>
          </w:tcPr>
          <w:p w14:paraId="592087AF">
            <w:pPr>
              <w:adjustRightInd w:val="0"/>
              <w:snapToGrid w:val="0"/>
              <w:jc w:val="center"/>
              <w:rPr>
                <w:snapToGrid w:val="0"/>
                <w:color w:val="auto"/>
                <w:kern w:val="21"/>
                <w:szCs w:val="21"/>
                <w:highlight w:val="none"/>
              </w:rPr>
            </w:pPr>
            <w:r>
              <w:rPr>
                <w:snapToGrid w:val="0"/>
                <w:color w:val="auto"/>
                <w:kern w:val="21"/>
                <w:szCs w:val="21"/>
                <w:highlight w:val="none"/>
              </w:rPr>
              <w:t>颗粒物</w:t>
            </w:r>
          </w:p>
        </w:tc>
        <w:tc>
          <w:tcPr>
            <w:tcW w:w="1702" w:type="dxa"/>
            <w:vAlign w:val="center"/>
          </w:tcPr>
          <w:p w14:paraId="17C6AD52">
            <w:pPr>
              <w:adjustRightInd w:val="0"/>
              <w:snapToGrid w:val="0"/>
              <w:jc w:val="center"/>
              <w:rPr>
                <w:rFonts w:hint="default" w:eastAsia="宋体"/>
                <w:snapToGrid w:val="0"/>
                <w:color w:val="auto"/>
                <w:kern w:val="21"/>
                <w:szCs w:val="21"/>
                <w:highlight w:val="none"/>
                <w:lang w:val="en-US" w:eastAsia="zh-CN"/>
              </w:rPr>
            </w:pPr>
            <w:r>
              <w:rPr>
                <w:rFonts w:hint="eastAsia"/>
                <w:snapToGrid w:val="0"/>
                <w:color w:val="auto"/>
                <w:kern w:val="21"/>
                <w:szCs w:val="21"/>
                <w:highlight w:val="none"/>
                <w:lang w:val="en-US" w:eastAsia="zh-CN"/>
              </w:rPr>
              <w:t>1.472t/a</w:t>
            </w:r>
          </w:p>
        </w:tc>
        <w:tc>
          <w:tcPr>
            <w:tcW w:w="1277" w:type="dxa"/>
            <w:vAlign w:val="center"/>
          </w:tcPr>
          <w:p w14:paraId="76CD57A6">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702" w:type="dxa"/>
            <w:vAlign w:val="center"/>
          </w:tcPr>
          <w:p w14:paraId="54A4E47A">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560" w:type="dxa"/>
            <w:vAlign w:val="center"/>
          </w:tcPr>
          <w:p w14:paraId="5D6E2D32">
            <w:pPr>
              <w:adjustRightInd w:val="0"/>
              <w:snapToGrid w:val="0"/>
              <w:jc w:val="center"/>
              <w:rPr>
                <w:snapToGrid w:val="0"/>
                <w:color w:val="auto"/>
                <w:kern w:val="21"/>
                <w:szCs w:val="21"/>
                <w:highlight w:val="none"/>
              </w:rPr>
            </w:pPr>
            <w:r>
              <w:rPr>
                <w:rFonts w:hint="eastAsia"/>
                <w:snapToGrid w:val="0"/>
                <w:color w:val="auto"/>
                <w:kern w:val="21"/>
                <w:szCs w:val="21"/>
                <w:highlight w:val="none"/>
                <w:lang w:eastAsia="zh-CN"/>
              </w:rPr>
              <w:t>1.183</w:t>
            </w:r>
            <w:r>
              <w:rPr>
                <w:rFonts w:hint="eastAsia"/>
                <w:snapToGrid w:val="0"/>
                <w:color w:val="auto"/>
                <w:kern w:val="21"/>
                <w:szCs w:val="21"/>
                <w:highlight w:val="none"/>
              </w:rPr>
              <w:t>t</w:t>
            </w:r>
            <w:r>
              <w:rPr>
                <w:snapToGrid w:val="0"/>
                <w:color w:val="auto"/>
                <w:kern w:val="21"/>
                <w:szCs w:val="21"/>
                <w:highlight w:val="none"/>
              </w:rPr>
              <w:t>/a</w:t>
            </w:r>
          </w:p>
        </w:tc>
        <w:tc>
          <w:tcPr>
            <w:tcW w:w="1498" w:type="dxa"/>
            <w:vAlign w:val="center"/>
          </w:tcPr>
          <w:p w14:paraId="6756E307">
            <w:pPr>
              <w:adjustRightInd w:val="0"/>
              <w:snapToGrid w:val="0"/>
              <w:jc w:val="center"/>
              <w:rPr>
                <w:snapToGrid w:val="0"/>
                <w:color w:val="auto"/>
                <w:kern w:val="21"/>
                <w:szCs w:val="21"/>
                <w:highlight w:val="none"/>
              </w:rPr>
            </w:pPr>
            <w:r>
              <w:rPr>
                <w:rFonts w:hint="eastAsia"/>
                <w:snapToGrid w:val="0"/>
                <w:color w:val="auto"/>
                <w:kern w:val="21"/>
                <w:szCs w:val="21"/>
                <w:highlight w:val="none"/>
                <w:lang w:val="en-US" w:eastAsia="zh-CN"/>
              </w:rPr>
              <w:t>1.472t/a</w:t>
            </w:r>
          </w:p>
        </w:tc>
        <w:tc>
          <w:tcPr>
            <w:tcW w:w="1793" w:type="dxa"/>
            <w:shd w:val="clear" w:color="auto" w:fill="auto"/>
            <w:vAlign w:val="center"/>
          </w:tcPr>
          <w:p w14:paraId="154A313A">
            <w:pPr>
              <w:adjustRightInd w:val="0"/>
              <w:snapToGrid w:val="0"/>
              <w:jc w:val="center"/>
              <w:rPr>
                <w:snapToGrid w:val="0"/>
                <w:color w:val="auto"/>
                <w:kern w:val="21"/>
                <w:szCs w:val="21"/>
                <w:highlight w:val="none"/>
              </w:rPr>
            </w:pPr>
            <w:r>
              <w:rPr>
                <w:rFonts w:hint="eastAsia"/>
                <w:snapToGrid w:val="0"/>
                <w:color w:val="auto"/>
                <w:kern w:val="21"/>
                <w:szCs w:val="21"/>
                <w:highlight w:val="none"/>
                <w:lang w:eastAsia="zh-CN"/>
              </w:rPr>
              <w:t>1.183</w:t>
            </w:r>
            <w:r>
              <w:rPr>
                <w:rFonts w:hint="eastAsia"/>
                <w:snapToGrid w:val="0"/>
                <w:color w:val="auto"/>
                <w:kern w:val="21"/>
                <w:szCs w:val="21"/>
                <w:highlight w:val="none"/>
              </w:rPr>
              <w:t>t</w:t>
            </w:r>
            <w:r>
              <w:rPr>
                <w:snapToGrid w:val="0"/>
                <w:color w:val="auto"/>
                <w:kern w:val="21"/>
                <w:szCs w:val="21"/>
                <w:highlight w:val="none"/>
              </w:rPr>
              <w:t>/a</w:t>
            </w:r>
          </w:p>
        </w:tc>
        <w:tc>
          <w:tcPr>
            <w:tcW w:w="1258" w:type="dxa"/>
            <w:vAlign w:val="center"/>
          </w:tcPr>
          <w:p w14:paraId="595A31C3">
            <w:pPr>
              <w:adjustRightInd w:val="0"/>
              <w:snapToGrid w:val="0"/>
              <w:jc w:val="center"/>
              <w:rPr>
                <w:snapToGrid w:val="0"/>
                <w:color w:val="auto"/>
                <w:kern w:val="21"/>
                <w:szCs w:val="21"/>
                <w:highlight w:val="none"/>
              </w:rPr>
            </w:pPr>
            <w:r>
              <w:rPr>
                <w:rFonts w:hint="eastAsia"/>
                <w:snapToGrid w:val="0"/>
                <w:color w:val="auto"/>
                <w:kern w:val="21"/>
                <w:szCs w:val="21"/>
                <w:highlight w:val="none"/>
                <w:lang w:val="en-US" w:eastAsia="zh-CN"/>
              </w:rPr>
              <w:t>0.289</w:t>
            </w:r>
            <w:r>
              <w:rPr>
                <w:rFonts w:hint="eastAsia"/>
                <w:snapToGrid w:val="0"/>
                <w:color w:val="auto"/>
                <w:kern w:val="21"/>
                <w:szCs w:val="21"/>
                <w:highlight w:val="none"/>
              </w:rPr>
              <w:t>t</w:t>
            </w:r>
            <w:r>
              <w:rPr>
                <w:snapToGrid w:val="0"/>
                <w:color w:val="auto"/>
                <w:kern w:val="21"/>
                <w:szCs w:val="21"/>
                <w:highlight w:val="none"/>
              </w:rPr>
              <w:t>/a</w:t>
            </w:r>
          </w:p>
        </w:tc>
      </w:tr>
      <w:tr w14:paraId="72649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exact"/>
        </w:trPr>
        <w:tc>
          <w:tcPr>
            <w:tcW w:w="820" w:type="dxa"/>
            <w:vMerge w:val="continue"/>
            <w:vAlign w:val="center"/>
          </w:tcPr>
          <w:p w14:paraId="40F585EF">
            <w:pPr>
              <w:pStyle w:val="46"/>
              <w:spacing w:beforeLines="0" w:afterLines="0" w:line="240" w:lineRule="auto"/>
              <w:rPr>
                <w:rFonts w:ascii="Times New Roman"/>
                <w:snapToGrid w:val="0"/>
                <w:color w:val="auto"/>
                <w:kern w:val="21"/>
                <w:szCs w:val="21"/>
                <w:highlight w:val="none"/>
              </w:rPr>
            </w:pPr>
          </w:p>
        </w:tc>
        <w:tc>
          <w:tcPr>
            <w:tcW w:w="2185" w:type="dxa"/>
            <w:vAlign w:val="center"/>
          </w:tcPr>
          <w:p w14:paraId="46283B08">
            <w:pPr>
              <w:adjustRightInd w:val="0"/>
              <w:snapToGrid w:val="0"/>
              <w:jc w:val="center"/>
              <w:rPr>
                <w:snapToGrid w:val="0"/>
                <w:color w:val="auto"/>
                <w:kern w:val="21"/>
                <w:szCs w:val="21"/>
                <w:highlight w:val="none"/>
              </w:rPr>
            </w:pPr>
            <w:r>
              <w:rPr>
                <w:rFonts w:hint="eastAsia"/>
                <w:snapToGrid w:val="0"/>
                <w:color w:val="auto"/>
                <w:kern w:val="21"/>
                <w:szCs w:val="21"/>
                <w:highlight w:val="none"/>
              </w:rPr>
              <w:t>VOCs</w:t>
            </w:r>
          </w:p>
        </w:tc>
        <w:tc>
          <w:tcPr>
            <w:tcW w:w="1702" w:type="dxa"/>
            <w:vAlign w:val="center"/>
          </w:tcPr>
          <w:p w14:paraId="404F6027">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277" w:type="dxa"/>
            <w:vAlign w:val="center"/>
          </w:tcPr>
          <w:p w14:paraId="752A7061">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702" w:type="dxa"/>
            <w:vAlign w:val="center"/>
          </w:tcPr>
          <w:p w14:paraId="3F1400C5">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560" w:type="dxa"/>
            <w:vAlign w:val="center"/>
          </w:tcPr>
          <w:p w14:paraId="2096DC63">
            <w:pPr>
              <w:adjustRightInd w:val="0"/>
              <w:snapToGrid w:val="0"/>
              <w:jc w:val="center"/>
              <w:rPr>
                <w:snapToGrid w:val="0"/>
                <w:color w:val="auto"/>
                <w:kern w:val="21"/>
                <w:szCs w:val="21"/>
                <w:highlight w:val="none"/>
              </w:rPr>
            </w:pPr>
            <w:r>
              <w:rPr>
                <w:rFonts w:hint="eastAsia"/>
                <w:snapToGrid w:val="0"/>
                <w:color w:val="auto"/>
                <w:kern w:val="21"/>
                <w:szCs w:val="21"/>
                <w:highlight w:val="none"/>
                <w:lang w:eastAsia="zh-CN"/>
              </w:rPr>
              <w:t>0.024</w:t>
            </w:r>
            <w:r>
              <w:rPr>
                <w:rFonts w:hint="eastAsia"/>
                <w:snapToGrid w:val="0"/>
                <w:color w:val="auto"/>
                <w:kern w:val="21"/>
                <w:szCs w:val="21"/>
                <w:highlight w:val="none"/>
              </w:rPr>
              <w:t>t/a</w:t>
            </w:r>
          </w:p>
        </w:tc>
        <w:tc>
          <w:tcPr>
            <w:tcW w:w="1498" w:type="dxa"/>
            <w:vAlign w:val="center"/>
          </w:tcPr>
          <w:p w14:paraId="1CC01261">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793" w:type="dxa"/>
            <w:shd w:val="clear" w:color="auto" w:fill="auto"/>
            <w:vAlign w:val="center"/>
          </w:tcPr>
          <w:p w14:paraId="27D1C22D">
            <w:pPr>
              <w:adjustRightInd w:val="0"/>
              <w:snapToGrid w:val="0"/>
              <w:jc w:val="center"/>
              <w:rPr>
                <w:snapToGrid w:val="0"/>
                <w:color w:val="auto"/>
                <w:kern w:val="21"/>
                <w:szCs w:val="21"/>
                <w:highlight w:val="none"/>
              </w:rPr>
            </w:pPr>
            <w:r>
              <w:rPr>
                <w:rFonts w:hint="eastAsia"/>
                <w:snapToGrid w:val="0"/>
                <w:color w:val="auto"/>
                <w:kern w:val="21"/>
                <w:szCs w:val="21"/>
                <w:highlight w:val="none"/>
                <w:lang w:eastAsia="zh-CN"/>
              </w:rPr>
              <w:t>0.024</w:t>
            </w:r>
            <w:r>
              <w:rPr>
                <w:rFonts w:hint="eastAsia"/>
                <w:snapToGrid w:val="0"/>
                <w:color w:val="auto"/>
                <w:kern w:val="21"/>
                <w:szCs w:val="21"/>
                <w:highlight w:val="none"/>
              </w:rPr>
              <w:t>t/a</w:t>
            </w:r>
          </w:p>
        </w:tc>
        <w:tc>
          <w:tcPr>
            <w:tcW w:w="1258" w:type="dxa"/>
            <w:vAlign w:val="center"/>
          </w:tcPr>
          <w:p w14:paraId="3D2BF1F4">
            <w:pPr>
              <w:adjustRightInd w:val="0"/>
              <w:snapToGrid w:val="0"/>
              <w:jc w:val="center"/>
              <w:rPr>
                <w:snapToGrid w:val="0"/>
                <w:color w:val="auto"/>
                <w:kern w:val="21"/>
                <w:szCs w:val="21"/>
                <w:highlight w:val="none"/>
              </w:rPr>
            </w:pPr>
            <w:r>
              <w:rPr>
                <w:rFonts w:hint="eastAsia"/>
                <w:snapToGrid w:val="0"/>
                <w:color w:val="auto"/>
                <w:kern w:val="21"/>
                <w:szCs w:val="21"/>
                <w:highlight w:val="none"/>
                <w:lang w:eastAsia="zh-CN"/>
              </w:rPr>
              <w:t>0.024</w:t>
            </w:r>
            <w:r>
              <w:rPr>
                <w:rFonts w:hint="eastAsia"/>
                <w:snapToGrid w:val="0"/>
                <w:color w:val="auto"/>
                <w:kern w:val="21"/>
                <w:szCs w:val="21"/>
                <w:highlight w:val="none"/>
              </w:rPr>
              <w:t>t/a</w:t>
            </w:r>
          </w:p>
        </w:tc>
      </w:tr>
      <w:tr w14:paraId="4A2C8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7" w:hRule="exact"/>
        </w:trPr>
        <w:tc>
          <w:tcPr>
            <w:tcW w:w="820" w:type="dxa"/>
            <w:vMerge w:val="restart"/>
            <w:vAlign w:val="center"/>
          </w:tcPr>
          <w:p w14:paraId="562BDDD0">
            <w:pPr>
              <w:pStyle w:val="46"/>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一般工业固体废物</w:t>
            </w:r>
          </w:p>
        </w:tc>
        <w:tc>
          <w:tcPr>
            <w:tcW w:w="2185" w:type="dxa"/>
            <w:vAlign w:val="center"/>
          </w:tcPr>
          <w:p w14:paraId="6C073E00">
            <w:pPr>
              <w:adjustRightInd w:val="0"/>
              <w:snapToGrid w:val="0"/>
              <w:jc w:val="center"/>
              <w:rPr>
                <w:snapToGrid w:val="0"/>
                <w:color w:val="auto"/>
                <w:kern w:val="21"/>
                <w:szCs w:val="21"/>
                <w:highlight w:val="none"/>
              </w:rPr>
            </w:pPr>
            <w:r>
              <w:rPr>
                <w:rFonts w:hint="eastAsia"/>
                <w:snapToGrid w:val="0"/>
                <w:color w:val="auto"/>
                <w:kern w:val="21"/>
                <w:szCs w:val="21"/>
                <w:highlight w:val="none"/>
              </w:rPr>
              <w:t>生活垃圾</w:t>
            </w:r>
          </w:p>
        </w:tc>
        <w:tc>
          <w:tcPr>
            <w:tcW w:w="1702" w:type="dxa"/>
            <w:vAlign w:val="center"/>
          </w:tcPr>
          <w:p w14:paraId="1B997538">
            <w:pPr>
              <w:adjustRightInd w:val="0"/>
              <w:snapToGrid w:val="0"/>
              <w:jc w:val="center"/>
              <w:rPr>
                <w:snapToGrid w:val="0"/>
                <w:color w:val="auto"/>
                <w:kern w:val="21"/>
                <w:szCs w:val="21"/>
                <w:highlight w:val="none"/>
              </w:rPr>
            </w:pPr>
            <w:r>
              <w:rPr>
                <w:rFonts w:hint="eastAsia"/>
                <w:snapToGrid w:val="0"/>
                <w:color w:val="auto"/>
                <w:kern w:val="21"/>
                <w:szCs w:val="21"/>
                <w:highlight w:val="none"/>
              </w:rPr>
              <w:t>1.92t/a</w:t>
            </w:r>
          </w:p>
        </w:tc>
        <w:tc>
          <w:tcPr>
            <w:tcW w:w="1277" w:type="dxa"/>
            <w:vAlign w:val="center"/>
          </w:tcPr>
          <w:p w14:paraId="02D4A695">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vAlign w:val="center"/>
          </w:tcPr>
          <w:p w14:paraId="594E6F60">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vAlign w:val="center"/>
          </w:tcPr>
          <w:p w14:paraId="6C34B6FF">
            <w:pPr>
              <w:adjustRightInd w:val="0"/>
              <w:snapToGrid w:val="0"/>
              <w:jc w:val="center"/>
              <w:rPr>
                <w:snapToGrid w:val="0"/>
                <w:color w:val="auto"/>
                <w:kern w:val="21"/>
                <w:szCs w:val="21"/>
                <w:highlight w:val="none"/>
              </w:rPr>
            </w:pPr>
            <w:r>
              <w:rPr>
                <w:rFonts w:hint="eastAsia"/>
                <w:snapToGrid w:val="0"/>
                <w:color w:val="auto"/>
                <w:kern w:val="21"/>
                <w:szCs w:val="21"/>
                <w:highlight w:val="none"/>
              </w:rPr>
              <w:t>1.92t/a</w:t>
            </w:r>
          </w:p>
        </w:tc>
        <w:tc>
          <w:tcPr>
            <w:tcW w:w="1498" w:type="dxa"/>
            <w:vAlign w:val="center"/>
          </w:tcPr>
          <w:p w14:paraId="0A734376">
            <w:pPr>
              <w:adjustRightInd w:val="0"/>
              <w:snapToGrid w:val="0"/>
              <w:jc w:val="center"/>
              <w:rPr>
                <w:snapToGrid w:val="0"/>
                <w:color w:val="auto"/>
                <w:kern w:val="21"/>
                <w:szCs w:val="21"/>
                <w:highlight w:val="none"/>
              </w:rPr>
            </w:pPr>
            <w:r>
              <w:rPr>
                <w:rFonts w:hint="eastAsia"/>
                <w:snapToGrid w:val="0"/>
                <w:color w:val="auto"/>
                <w:kern w:val="21"/>
                <w:szCs w:val="21"/>
                <w:highlight w:val="none"/>
              </w:rPr>
              <w:t>1.92t/a</w:t>
            </w:r>
          </w:p>
        </w:tc>
        <w:tc>
          <w:tcPr>
            <w:tcW w:w="1793" w:type="dxa"/>
            <w:vAlign w:val="center"/>
          </w:tcPr>
          <w:p w14:paraId="18A26281">
            <w:pPr>
              <w:adjustRightInd w:val="0"/>
              <w:snapToGrid w:val="0"/>
              <w:jc w:val="center"/>
              <w:rPr>
                <w:snapToGrid w:val="0"/>
                <w:color w:val="auto"/>
                <w:kern w:val="21"/>
                <w:szCs w:val="21"/>
                <w:highlight w:val="none"/>
              </w:rPr>
            </w:pPr>
            <w:r>
              <w:rPr>
                <w:rFonts w:hint="eastAsia"/>
                <w:snapToGrid w:val="0"/>
                <w:color w:val="auto"/>
                <w:kern w:val="21"/>
                <w:szCs w:val="21"/>
                <w:highlight w:val="none"/>
              </w:rPr>
              <w:t>1.92t/a</w:t>
            </w:r>
          </w:p>
        </w:tc>
        <w:tc>
          <w:tcPr>
            <w:tcW w:w="1258" w:type="dxa"/>
            <w:vAlign w:val="center"/>
          </w:tcPr>
          <w:p w14:paraId="78E9FA59">
            <w:pPr>
              <w:adjustRightInd w:val="0"/>
              <w:snapToGrid w:val="0"/>
              <w:jc w:val="center"/>
              <w:rPr>
                <w:snapToGrid w:val="0"/>
                <w:color w:val="auto"/>
                <w:kern w:val="21"/>
                <w:szCs w:val="21"/>
                <w:highlight w:val="none"/>
              </w:rPr>
            </w:pPr>
            <w:r>
              <w:rPr>
                <w:rFonts w:hint="eastAsia"/>
                <w:snapToGrid w:val="0"/>
                <w:color w:val="auto"/>
                <w:kern w:val="21"/>
                <w:szCs w:val="21"/>
                <w:highlight w:val="none"/>
                <w:lang w:val="en-US" w:eastAsia="zh-CN"/>
              </w:rPr>
              <w:t>0</w:t>
            </w:r>
            <w:r>
              <w:rPr>
                <w:rFonts w:hint="eastAsia"/>
                <w:snapToGrid w:val="0"/>
                <w:color w:val="auto"/>
                <w:kern w:val="21"/>
                <w:szCs w:val="21"/>
                <w:highlight w:val="none"/>
              </w:rPr>
              <w:t>t/a</w:t>
            </w:r>
          </w:p>
        </w:tc>
      </w:tr>
      <w:tr w14:paraId="0E2053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exact"/>
        </w:trPr>
        <w:tc>
          <w:tcPr>
            <w:tcW w:w="820" w:type="dxa"/>
            <w:vMerge w:val="continue"/>
            <w:vAlign w:val="center"/>
          </w:tcPr>
          <w:p w14:paraId="34BE9B9F">
            <w:pPr>
              <w:pStyle w:val="46"/>
              <w:spacing w:beforeLines="0" w:afterLines="0" w:line="240" w:lineRule="auto"/>
              <w:rPr>
                <w:rFonts w:ascii="Times New Roman"/>
                <w:snapToGrid w:val="0"/>
                <w:color w:val="auto"/>
                <w:kern w:val="21"/>
                <w:szCs w:val="21"/>
                <w:highlight w:val="none"/>
              </w:rPr>
            </w:pPr>
          </w:p>
        </w:tc>
        <w:tc>
          <w:tcPr>
            <w:tcW w:w="2185" w:type="dxa"/>
            <w:vAlign w:val="center"/>
          </w:tcPr>
          <w:p w14:paraId="047C743B">
            <w:pPr>
              <w:adjustRightInd w:val="0"/>
              <w:snapToGrid w:val="0"/>
              <w:jc w:val="center"/>
              <w:rPr>
                <w:snapToGrid w:val="0"/>
                <w:color w:val="auto"/>
                <w:kern w:val="21"/>
                <w:szCs w:val="21"/>
                <w:highlight w:val="none"/>
              </w:rPr>
            </w:pPr>
            <w:r>
              <w:rPr>
                <w:rFonts w:hint="eastAsia"/>
                <w:snapToGrid w:val="0"/>
                <w:color w:val="auto"/>
                <w:kern w:val="21"/>
                <w:szCs w:val="21"/>
                <w:highlight w:val="none"/>
              </w:rPr>
              <w:t>尾矿泥</w:t>
            </w:r>
          </w:p>
        </w:tc>
        <w:tc>
          <w:tcPr>
            <w:tcW w:w="1702" w:type="dxa"/>
            <w:vAlign w:val="center"/>
          </w:tcPr>
          <w:p w14:paraId="131111BD">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277" w:type="dxa"/>
            <w:vAlign w:val="center"/>
          </w:tcPr>
          <w:p w14:paraId="28927A7E">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vAlign w:val="center"/>
          </w:tcPr>
          <w:p w14:paraId="72BC3187">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vAlign w:val="center"/>
          </w:tcPr>
          <w:p w14:paraId="26DA858C">
            <w:pPr>
              <w:adjustRightInd w:val="0"/>
              <w:snapToGrid w:val="0"/>
              <w:jc w:val="center"/>
              <w:rPr>
                <w:snapToGrid w:val="0"/>
                <w:color w:val="auto"/>
                <w:kern w:val="21"/>
                <w:szCs w:val="21"/>
                <w:highlight w:val="none"/>
              </w:rPr>
            </w:pPr>
            <w:r>
              <w:rPr>
                <w:rFonts w:hint="eastAsia"/>
                <w:snapToGrid w:val="0"/>
                <w:color w:val="auto"/>
                <w:kern w:val="21"/>
                <w:szCs w:val="21"/>
                <w:highlight w:val="none"/>
              </w:rPr>
              <w:t>178000t/a</w:t>
            </w:r>
          </w:p>
        </w:tc>
        <w:tc>
          <w:tcPr>
            <w:tcW w:w="1498" w:type="dxa"/>
            <w:vAlign w:val="center"/>
          </w:tcPr>
          <w:p w14:paraId="7FC18F05">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93" w:type="dxa"/>
            <w:vAlign w:val="center"/>
          </w:tcPr>
          <w:p w14:paraId="24829669">
            <w:pPr>
              <w:adjustRightInd w:val="0"/>
              <w:snapToGrid w:val="0"/>
              <w:jc w:val="center"/>
              <w:rPr>
                <w:snapToGrid w:val="0"/>
                <w:color w:val="auto"/>
                <w:kern w:val="21"/>
                <w:szCs w:val="21"/>
                <w:highlight w:val="none"/>
              </w:rPr>
            </w:pPr>
            <w:r>
              <w:rPr>
                <w:rFonts w:hint="eastAsia"/>
                <w:snapToGrid w:val="0"/>
                <w:color w:val="auto"/>
                <w:kern w:val="21"/>
                <w:szCs w:val="21"/>
                <w:highlight w:val="none"/>
              </w:rPr>
              <w:t>178000t/a</w:t>
            </w:r>
          </w:p>
        </w:tc>
        <w:tc>
          <w:tcPr>
            <w:tcW w:w="1258" w:type="dxa"/>
            <w:vAlign w:val="center"/>
          </w:tcPr>
          <w:p w14:paraId="60D017BE">
            <w:pPr>
              <w:adjustRightInd w:val="0"/>
              <w:snapToGrid w:val="0"/>
              <w:jc w:val="center"/>
              <w:rPr>
                <w:snapToGrid w:val="0"/>
                <w:color w:val="auto"/>
                <w:kern w:val="21"/>
                <w:szCs w:val="21"/>
                <w:highlight w:val="none"/>
              </w:rPr>
            </w:pPr>
            <w:r>
              <w:rPr>
                <w:rFonts w:hint="eastAsia"/>
                <w:snapToGrid w:val="0"/>
                <w:color w:val="auto"/>
                <w:kern w:val="21"/>
                <w:szCs w:val="21"/>
                <w:highlight w:val="none"/>
              </w:rPr>
              <w:t>178000t/a</w:t>
            </w:r>
          </w:p>
        </w:tc>
      </w:tr>
      <w:tr w14:paraId="493509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exact"/>
        </w:trPr>
        <w:tc>
          <w:tcPr>
            <w:tcW w:w="820" w:type="dxa"/>
            <w:vMerge w:val="restart"/>
            <w:vAlign w:val="center"/>
          </w:tcPr>
          <w:p w14:paraId="48600616">
            <w:pPr>
              <w:pStyle w:val="46"/>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危险废物</w:t>
            </w:r>
          </w:p>
        </w:tc>
        <w:tc>
          <w:tcPr>
            <w:tcW w:w="2185" w:type="dxa"/>
            <w:tcBorders>
              <w:top w:val="single" w:color="000000" w:sz="4" w:space="0"/>
              <w:bottom w:val="single" w:color="000000" w:sz="4" w:space="0"/>
            </w:tcBorders>
            <w:vAlign w:val="center"/>
          </w:tcPr>
          <w:p w14:paraId="31204016">
            <w:pPr>
              <w:adjustRightInd w:val="0"/>
              <w:snapToGrid w:val="0"/>
              <w:jc w:val="center"/>
              <w:rPr>
                <w:snapToGrid w:val="0"/>
                <w:color w:val="auto"/>
                <w:kern w:val="21"/>
                <w:szCs w:val="21"/>
                <w:highlight w:val="none"/>
              </w:rPr>
            </w:pPr>
            <w:r>
              <w:rPr>
                <w:rFonts w:hint="eastAsia"/>
                <w:snapToGrid w:val="0"/>
                <w:color w:val="auto"/>
                <w:kern w:val="21"/>
                <w:szCs w:val="21"/>
                <w:highlight w:val="none"/>
              </w:rPr>
              <w:t>废机油</w:t>
            </w:r>
          </w:p>
        </w:tc>
        <w:tc>
          <w:tcPr>
            <w:tcW w:w="1702" w:type="dxa"/>
            <w:tcBorders>
              <w:top w:val="single" w:color="000000" w:sz="4" w:space="0"/>
              <w:bottom w:val="single" w:color="000000" w:sz="4" w:space="0"/>
            </w:tcBorders>
            <w:vAlign w:val="center"/>
          </w:tcPr>
          <w:p w14:paraId="3D2CB9F8">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277" w:type="dxa"/>
            <w:tcBorders>
              <w:top w:val="single" w:color="000000" w:sz="4" w:space="0"/>
              <w:bottom w:val="single" w:color="000000" w:sz="4" w:space="0"/>
            </w:tcBorders>
            <w:vAlign w:val="center"/>
          </w:tcPr>
          <w:p w14:paraId="36D766FD">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tcBorders>
              <w:top w:val="single" w:color="000000" w:sz="4" w:space="0"/>
              <w:bottom w:val="single" w:color="000000" w:sz="4" w:space="0"/>
            </w:tcBorders>
            <w:vAlign w:val="center"/>
          </w:tcPr>
          <w:p w14:paraId="1E6231FE">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tcBorders>
              <w:top w:val="single" w:color="000000" w:sz="4" w:space="0"/>
              <w:bottom w:val="single" w:color="000000" w:sz="4" w:space="0"/>
            </w:tcBorders>
            <w:vAlign w:val="center"/>
          </w:tcPr>
          <w:p w14:paraId="6842C0DB">
            <w:pPr>
              <w:adjustRightInd w:val="0"/>
              <w:snapToGrid w:val="0"/>
              <w:jc w:val="center"/>
              <w:rPr>
                <w:snapToGrid w:val="0"/>
                <w:color w:val="auto"/>
                <w:kern w:val="21"/>
                <w:szCs w:val="21"/>
                <w:highlight w:val="none"/>
              </w:rPr>
            </w:pPr>
            <w:r>
              <w:rPr>
                <w:rFonts w:hint="eastAsia"/>
                <w:snapToGrid w:val="0"/>
                <w:color w:val="auto"/>
                <w:kern w:val="21"/>
                <w:szCs w:val="21"/>
                <w:highlight w:val="none"/>
              </w:rPr>
              <w:t>0.2t/a</w:t>
            </w:r>
          </w:p>
        </w:tc>
        <w:tc>
          <w:tcPr>
            <w:tcW w:w="1498" w:type="dxa"/>
            <w:tcBorders>
              <w:top w:val="single" w:color="000000" w:sz="4" w:space="0"/>
              <w:bottom w:val="single" w:color="000000" w:sz="4" w:space="0"/>
            </w:tcBorders>
            <w:vAlign w:val="center"/>
          </w:tcPr>
          <w:p w14:paraId="7527DDDE">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93" w:type="dxa"/>
            <w:tcBorders>
              <w:top w:val="single" w:color="000000" w:sz="4" w:space="0"/>
              <w:bottom w:val="single" w:color="000000" w:sz="4" w:space="0"/>
            </w:tcBorders>
            <w:vAlign w:val="center"/>
          </w:tcPr>
          <w:p w14:paraId="09CF5C12">
            <w:pPr>
              <w:adjustRightInd w:val="0"/>
              <w:snapToGrid w:val="0"/>
              <w:jc w:val="center"/>
              <w:rPr>
                <w:snapToGrid w:val="0"/>
                <w:color w:val="auto"/>
                <w:kern w:val="21"/>
                <w:szCs w:val="21"/>
                <w:highlight w:val="none"/>
              </w:rPr>
            </w:pPr>
            <w:r>
              <w:rPr>
                <w:rFonts w:hint="eastAsia"/>
                <w:snapToGrid w:val="0"/>
                <w:color w:val="auto"/>
                <w:kern w:val="21"/>
                <w:szCs w:val="21"/>
                <w:highlight w:val="none"/>
              </w:rPr>
              <w:t>0.2t/a</w:t>
            </w:r>
          </w:p>
        </w:tc>
        <w:tc>
          <w:tcPr>
            <w:tcW w:w="1258" w:type="dxa"/>
            <w:tcBorders>
              <w:top w:val="single" w:color="000000" w:sz="4" w:space="0"/>
              <w:bottom w:val="single" w:color="000000" w:sz="4" w:space="0"/>
            </w:tcBorders>
            <w:vAlign w:val="center"/>
          </w:tcPr>
          <w:p w14:paraId="4723F097">
            <w:pPr>
              <w:adjustRightInd w:val="0"/>
              <w:snapToGrid w:val="0"/>
              <w:jc w:val="center"/>
              <w:rPr>
                <w:snapToGrid w:val="0"/>
                <w:color w:val="auto"/>
                <w:kern w:val="21"/>
                <w:szCs w:val="21"/>
                <w:highlight w:val="none"/>
              </w:rPr>
            </w:pPr>
            <w:r>
              <w:rPr>
                <w:rFonts w:hint="eastAsia"/>
                <w:snapToGrid w:val="0"/>
                <w:color w:val="auto"/>
                <w:kern w:val="21"/>
                <w:szCs w:val="21"/>
                <w:highlight w:val="none"/>
              </w:rPr>
              <w:t>0.2t/a</w:t>
            </w:r>
          </w:p>
        </w:tc>
      </w:tr>
      <w:tr w14:paraId="3CC91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exact"/>
        </w:trPr>
        <w:tc>
          <w:tcPr>
            <w:tcW w:w="820" w:type="dxa"/>
            <w:vMerge w:val="continue"/>
            <w:vAlign w:val="center"/>
          </w:tcPr>
          <w:p w14:paraId="39362394">
            <w:pPr>
              <w:pStyle w:val="46"/>
              <w:spacing w:beforeLines="0" w:afterLines="0" w:line="240" w:lineRule="auto"/>
              <w:rPr>
                <w:rFonts w:ascii="Times New Roman"/>
                <w:snapToGrid w:val="0"/>
                <w:color w:val="auto"/>
                <w:kern w:val="21"/>
                <w:szCs w:val="21"/>
                <w:highlight w:val="none"/>
              </w:rPr>
            </w:pPr>
          </w:p>
        </w:tc>
        <w:tc>
          <w:tcPr>
            <w:tcW w:w="2185" w:type="dxa"/>
            <w:tcBorders>
              <w:top w:val="single" w:color="000000" w:sz="4" w:space="0"/>
              <w:bottom w:val="single" w:color="000000" w:sz="4" w:space="0"/>
            </w:tcBorders>
            <w:vAlign w:val="center"/>
          </w:tcPr>
          <w:p w14:paraId="2C138B6B">
            <w:pPr>
              <w:adjustRightInd w:val="0"/>
              <w:snapToGrid w:val="0"/>
              <w:jc w:val="center"/>
              <w:rPr>
                <w:snapToGrid w:val="0"/>
                <w:color w:val="auto"/>
                <w:kern w:val="21"/>
                <w:szCs w:val="21"/>
                <w:highlight w:val="none"/>
              </w:rPr>
            </w:pPr>
            <w:r>
              <w:rPr>
                <w:rFonts w:hint="eastAsia"/>
                <w:snapToGrid w:val="0"/>
                <w:color w:val="auto"/>
                <w:kern w:val="21"/>
                <w:szCs w:val="21"/>
                <w:highlight w:val="none"/>
              </w:rPr>
              <w:t>废弃含油抹布手套</w:t>
            </w:r>
          </w:p>
        </w:tc>
        <w:tc>
          <w:tcPr>
            <w:tcW w:w="1702" w:type="dxa"/>
            <w:tcBorders>
              <w:top w:val="single" w:color="000000" w:sz="4" w:space="0"/>
              <w:bottom w:val="single" w:color="000000" w:sz="4" w:space="0"/>
            </w:tcBorders>
            <w:vAlign w:val="center"/>
          </w:tcPr>
          <w:p w14:paraId="386F3DD8">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277" w:type="dxa"/>
            <w:tcBorders>
              <w:top w:val="single" w:color="000000" w:sz="4" w:space="0"/>
              <w:bottom w:val="single" w:color="000000" w:sz="4" w:space="0"/>
            </w:tcBorders>
            <w:vAlign w:val="center"/>
          </w:tcPr>
          <w:p w14:paraId="7994C99A">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tcBorders>
              <w:top w:val="single" w:color="000000" w:sz="4" w:space="0"/>
              <w:bottom w:val="single" w:color="000000" w:sz="4" w:space="0"/>
            </w:tcBorders>
            <w:vAlign w:val="center"/>
          </w:tcPr>
          <w:p w14:paraId="5022BE85">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tcBorders>
              <w:top w:val="single" w:color="000000" w:sz="4" w:space="0"/>
              <w:bottom w:val="single" w:color="000000" w:sz="4" w:space="0"/>
            </w:tcBorders>
            <w:vAlign w:val="center"/>
          </w:tcPr>
          <w:p w14:paraId="4A51FE60">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c>
          <w:tcPr>
            <w:tcW w:w="1498" w:type="dxa"/>
            <w:tcBorders>
              <w:top w:val="single" w:color="000000" w:sz="4" w:space="0"/>
              <w:bottom w:val="single" w:color="000000" w:sz="4" w:space="0"/>
            </w:tcBorders>
            <w:vAlign w:val="center"/>
          </w:tcPr>
          <w:p w14:paraId="3176F880">
            <w:pPr>
              <w:adjustRightInd w:val="0"/>
              <w:snapToGrid w:val="0"/>
              <w:jc w:val="center"/>
              <w:rPr>
                <w:snapToGrid w:val="0"/>
                <w:color w:val="auto"/>
                <w:kern w:val="21"/>
                <w:szCs w:val="21"/>
                <w:highlight w:val="none"/>
              </w:rPr>
            </w:pPr>
            <w:r>
              <w:rPr>
                <w:snapToGrid w:val="0"/>
                <w:color w:val="auto"/>
                <w:kern w:val="21"/>
                <w:szCs w:val="21"/>
                <w:highlight w:val="none"/>
              </w:rPr>
              <w:t>/</w:t>
            </w:r>
          </w:p>
        </w:tc>
        <w:tc>
          <w:tcPr>
            <w:tcW w:w="1793" w:type="dxa"/>
            <w:tcBorders>
              <w:top w:val="single" w:color="000000" w:sz="4" w:space="0"/>
              <w:bottom w:val="single" w:color="000000" w:sz="4" w:space="0"/>
            </w:tcBorders>
            <w:vAlign w:val="center"/>
          </w:tcPr>
          <w:p w14:paraId="4D2D8D0B">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c>
          <w:tcPr>
            <w:tcW w:w="1258" w:type="dxa"/>
            <w:tcBorders>
              <w:top w:val="single" w:color="000000" w:sz="4" w:space="0"/>
              <w:bottom w:val="single" w:color="000000" w:sz="4" w:space="0"/>
            </w:tcBorders>
            <w:vAlign w:val="center"/>
          </w:tcPr>
          <w:p w14:paraId="01BAEA90">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r>
      <w:tr w14:paraId="07872F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exact"/>
        </w:trPr>
        <w:tc>
          <w:tcPr>
            <w:tcW w:w="820" w:type="dxa"/>
            <w:vMerge w:val="continue"/>
            <w:vAlign w:val="center"/>
          </w:tcPr>
          <w:p w14:paraId="7E20B4F4">
            <w:pPr>
              <w:pStyle w:val="46"/>
              <w:spacing w:beforeLines="0" w:afterLines="0" w:line="240" w:lineRule="auto"/>
              <w:rPr>
                <w:rFonts w:ascii="Times New Roman"/>
                <w:snapToGrid w:val="0"/>
                <w:color w:val="auto"/>
                <w:kern w:val="21"/>
                <w:szCs w:val="21"/>
                <w:highlight w:val="none"/>
              </w:rPr>
            </w:pPr>
          </w:p>
        </w:tc>
        <w:tc>
          <w:tcPr>
            <w:tcW w:w="2185" w:type="dxa"/>
            <w:tcBorders>
              <w:top w:val="single" w:color="000000" w:sz="4" w:space="0"/>
              <w:bottom w:val="single" w:color="000000" w:sz="4" w:space="0"/>
            </w:tcBorders>
            <w:vAlign w:val="center"/>
          </w:tcPr>
          <w:p w14:paraId="7AFE0E8B">
            <w:pPr>
              <w:adjustRightInd w:val="0"/>
              <w:snapToGrid w:val="0"/>
              <w:jc w:val="center"/>
              <w:rPr>
                <w:snapToGrid w:val="0"/>
                <w:color w:val="auto"/>
                <w:kern w:val="21"/>
                <w:szCs w:val="21"/>
                <w:highlight w:val="none"/>
              </w:rPr>
            </w:pPr>
            <w:r>
              <w:rPr>
                <w:rFonts w:hint="eastAsia"/>
                <w:snapToGrid w:val="0"/>
                <w:color w:val="auto"/>
                <w:kern w:val="21"/>
                <w:szCs w:val="21"/>
                <w:highlight w:val="none"/>
              </w:rPr>
              <w:t>废机油桶</w:t>
            </w:r>
          </w:p>
        </w:tc>
        <w:tc>
          <w:tcPr>
            <w:tcW w:w="1702" w:type="dxa"/>
            <w:tcBorders>
              <w:top w:val="single" w:color="000000" w:sz="4" w:space="0"/>
              <w:bottom w:val="single" w:color="000000" w:sz="4" w:space="0"/>
            </w:tcBorders>
            <w:vAlign w:val="center"/>
          </w:tcPr>
          <w:p w14:paraId="6A7FED68">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277" w:type="dxa"/>
            <w:tcBorders>
              <w:top w:val="single" w:color="000000" w:sz="4" w:space="0"/>
              <w:bottom w:val="single" w:color="000000" w:sz="4" w:space="0"/>
            </w:tcBorders>
            <w:vAlign w:val="center"/>
          </w:tcPr>
          <w:p w14:paraId="21FFD9E0">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tcBorders>
              <w:top w:val="single" w:color="000000" w:sz="4" w:space="0"/>
              <w:bottom w:val="single" w:color="000000" w:sz="4" w:space="0"/>
            </w:tcBorders>
            <w:vAlign w:val="center"/>
          </w:tcPr>
          <w:p w14:paraId="3E82F5BB">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tcBorders>
              <w:top w:val="single" w:color="000000" w:sz="4" w:space="0"/>
              <w:bottom w:val="single" w:color="000000" w:sz="4" w:space="0"/>
            </w:tcBorders>
            <w:vAlign w:val="center"/>
          </w:tcPr>
          <w:p w14:paraId="1D1FA50D">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c>
          <w:tcPr>
            <w:tcW w:w="1498" w:type="dxa"/>
            <w:tcBorders>
              <w:top w:val="single" w:color="000000" w:sz="4" w:space="0"/>
              <w:bottom w:val="single" w:color="000000" w:sz="4" w:space="0"/>
            </w:tcBorders>
            <w:vAlign w:val="center"/>
          </w:tcPr>
          <w:p w14:paraId="2CE56ADB">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93" w:type="dxa"/>
            <w:tcBorders>
              <w:top w:val="single" w:color="000000" w:sz="4" w:space="0"/>
              <w:bottom w:val="single" w:color="000000" w:sz="4" w:space="0"/>
            </w:tcBorders>
            <w:vAlign w:val="center"/>
          </w:tcPr>
          <w:p w14:paraId="73E624D6">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c>
          <w:tcPr>
            <w:tcW w:w="1258" w:type="dxa"/>
            <w:tcBorders>
              <w:top w:val="single" w:color="000000" w:sz="4" w:space="0"/>
              <w:bottom w:val="single" w:color="000000" w:sz="4" w:space="0"/>
            </w:tcBorders>
            <w:vAlign w:val="center"/>
          </w:tcPr>
          <w:p w14:paraId="7EEB2EB2">
            <w:pPr>
              <w:adjustRightInd w:val="0"/>
              <w:snapToGrid w:val="0"/>
              <w:jc w:val="center"/>
              <w:rPr>
                <w:snapToGrid w:val="0"/>
                <w:color w:val="auto"/>
                <w:kern w:val="21"/>
                <w:szCs w:val="21"/>
                <w:highlight w:val="none"/>
              </w:rPr>
            </w:pPr>
            <w:r>
              <w:rPr>
                <w:rFonts w:hint="eastAsia"/>
                <w:snapToGrid w:val="0"/>
                <w:color w:val="auto"/>
                <w:kern w:val="21"/>
                <w:szCs w:val="21"/>
                <w:highlight w:val="none"/>
              </w:rPr>
              <w:t>0.05t/a</w:t>
            </w:r>
          </w:p>
        </w:tc>
      </w:tr>
      <w:tr w14:paraId="40C37C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exact"/>
        </w:trPr>
        <w:tc>
          <w:tcPr>
            <w:tcW w:w="820" w:type="dxa"/>
            <w:vMerge w:val="continue"/>
            <w:vAlign w:val="center"/>
          </w:tcPr>
          <w:p w14:paraId="2CA2FE80">
            <w:pPr>
              <w:pStyle w:val="46"/>
              <w:spacing w:beforeLines="0" w:afterLines="0" w:line="240" w:lineRule="auto"/>
              <w:rPr>
                <w:rFonts w:ascii="Times New Roman"/>
                <w:snapToGrid w:val="0"/>
                <w:color w:val="auto"/>
                <w:kern w:val="21"/>
                <w:szCs w:val="21"/>
                <w:highlight w:val="none"/>
              </w:rPr>
            </w:pPr>
          </w:p>
        </w:tc>
        <w:tc>
          <w:tcPr>
            <w:tcW w:w="2185" w:type="dxa"/>
            <w:tcBorders>
              <w:top w:val="single" w:color="000000" w:sz="4" w:space="0"/>
              <w:bottom w:val="single" w:color="000000" w:sz="4" w:space="0"/>
            </w:tcBorders>
            <w:vAlign w:val="center"/>
          </w:tcPr>
          <w:p w14:paraId="67E12CE7">
            <w:pPr>
              <w:adjustRightInd w:val="0"/>
              <w:snapToGrid w:val="0"/>
              <w:jc w:val="center"/>
              <w:rPr>
                <w:snapToGrid w:val="0"/>
                <w:color w:val="auto"/>
                <w:kern w:val="21"/>
                <w:szCs w:val="21"/>
                <w:highlight w:val="none"/>
              </w:rPr>
            </w:pPr>
            <w:r>
              <w:rPr>
                <w:rFonts w:hint="eastAsia"/>
                <w:snapToGrid w:val="0"/>
                <w:color w:val="auto"/>
                <w:kern w:val="21"/>
                <w:szCs w:val="21"/>
                <w:highlight w:val="none"/>
              </w:rPr>
              <w:t>废药剂桶</w:t>
            </w:r>
          </w:p>
        </w:tc>
        <w:tc>
          <w:tcPr>
            <w:tcW w:w="1702" w:type="dxa"/>
            <w:tcBorders>
              <w:top w:val="single" w:color="000000" w:sz="4" w:space="0"/>
              <w:bottom w:val="single" w:color="000000" w:sz="4" w:space="0"/>
            </w:tcBorders>
            <w:vAlign w:val="center"/>
          </w:tcPr>
          <w:p w14:paraId="57FE9415">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277" w:type="dxa"/>
            <w:tcBorders>
              <w:top w:val="single" w:color="000000" w:sz="4" w:space="0"/>
              <w:bottom w:val="single" w:color="000000" w:sz="4" w:space="0"/>
            </w:tcBorders>
            <w:vAlign w:val="center"/>
          </w:tcPr>
          <w:p w14:paraId="5C63D733">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02" w:type="dxa"/>
            <w:tcBorders>
              <w:top w:val="single" w:color="000000" w:sz="4" w:space="0"/>
              <w:bottom w:val="single" w:color="000000" w:sz="4" w:space="0"/>
            </w:tcBorders>
            <w:vAlign w:val="center"/>
          </w:tcPr>
          <w:p w14:paraId="636B818B">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560" w:type="dxa"/>
            <w:tcBorders>
              <w:top w:val="single" w:color="000000" w:sz="4" w:space="0"/>
              <w:bottom w:val="single" w:color="000000" w:sz="4" w:space="0"/>
            </w:tcBorders>
            <w:vAlign w:val="center"/>
          </w:tcPr>
          <w:p w14:paraId="4ED45A80">
            <w:pPr>
              <w:adjustRightInd w:val="0"/>
              <w:snapToGrid w:val="0"/>
              <w:jc w:val="center"/>
              <w:rPr>
                <w:snapToGrid w:val="0"/>
                <w:color w:val="auto"/>
                <w:kern w:val="21"/>
                <w:szCs w:val="21"/>
                <w:highlight w:val="none"/>
              </w:rPr>
            </w:pPr>
            <w:r>
              <w:rPr>
                <w:rFonts w:hint="eastAsia"/>
                <w:snapToGrid w:val="0"/>
                <w:color w:val="auto"/>
                <w:kern w:val="21"/>
                <w:szCs w:val="21"/>
                <w:highlight w:val="none"/>
              </w:rPr>
              <w:t>0.1t/a</w:t>
            </w:r>
          </w:p>
        </w:tc>
        <w:tc>
          <w:tcPr>
            <w:tcW w:w="1498" w:type="dxa"/>
            <w:tcBorders>
              <w:top w:val="single" w:color="000000" w:sz="4" w:space="0"/>
              <w:bottom w:val="single" w:color="000000" w:sz="4" w:space="0"/>
            </w:tcBorders>
            <w:vAlign w:val="center"/>
          </w:tcPr>
          <w:p w14:paraId="7B9300A3">
            <w:pPr>
              <w:adjustRightInd w:val="0"/>
              <w:snapToGrid w:val="0"/>
              <w:jc w:val="center"/>
              <w:rPr>
                <w:snapToGrid w:val="0"/>
                <w:color w:val="auto"/>
                <w:kern w:val="21"/>
                <w:szCs w:val="21"/>
                <w:highlight w:val="none"/>
              </w:rPr>
            </w:pPr>
            <w:r>
              <w:rPr>
                <w:rFonts w:hint="eastAsia"/>
                <w:snapToGrid w:val="0"/>
                <w:color w:val="auto"/>
                <w:kern w:val="21"/>
                <w:szCs w:val="21"/>
                <w:highlight w:val="none"/>
              </w:rPr>
              <w:t>/</w:t>
            </w:r>
          </w:p>
        </w:tc>
        <w:tc>
          <w:tcPr>
            <w:tcW w:w="1793" w:type="dxa"/>
            <w:tcBorders>
              <w:top w:val="single" w:color="000000" w:sz="4" w:space="0"/>
              <w:bottom w:val="single" w:color="000000" w:sz="4" w:space="0"/>
            </w:tcBorders>
            <w:vAlign w:val="center"/>
          </w:tcPr>
          <w:p w14:paraId="624B819F">
            <w:pPr>
              <w:adjustRightInd w:val="0"/>
              <w:snapToGrid w:val="0"/>
              <w:jc w:val="center"/>
              <w:rPr>
                <w:snapToGrid w:val="0"/>
                <w:color w:val="auto"/>
                <w:kern w:val="21"/>
                <w:szCs w:val="21"/>
                <w:highlight w:val="none"/>
              </w:rPr>
            </w:pPr>
            <w:r>
              <w:rPr>
                <w:rFonts w:hint="eastAsia"/>
                <w:snapToGrid w:val="0"/>
                <w:color w:val="auto"/>
                <w:kern w:val="21"/>
                <w:szCs w:val="21"/>
                <w:highlight w:val="none"/>
              </w:rPr>
              <w:t>0.1t/a</w:t>
            </w:r>
          </w:p>
        </w:tc>
        <w:tc>
          <w:tcPr>
            <w:tcW w:w="1258" w:type="dxa"/>
            <w:tcBorders>
              <w:top w:val="single" w:color="000000" w:sz="4" w:space="0"/>
              <w:bottom w:val="single" w:color="000000" w:sz="4" w:space="0"/>
            </w:tcBorders>
            <w:vAlign w:val="center"/>
          </w:tcPr>
          <w:p w14:paraId="621A03D1">
            <w:pPr>
              <w:adjustRightInd w:val="0"/>
              <w:snapToGrid w:val="0"/>
              <w:jc w:val="center"/>
              <w:rPr>
                <w:snapToGrid w:val="0"/>
                <w:color w:val="auto"/>
                <w:kern w:val="21"/>
                <w:szCs w:val="21"/>
                <w:highlight w:val="none"/>
              </w:rPr>
            </w:pPr>
            <w:r>
              <w:rPr>
                <w:rFonts w:hint="eastAsia"/>
                <w:snapToGrid w:val="0"/>
                <w:color w:val="auto"/>
                <w:kern w:val="21"/>
                <w:szCs w:val="21"/>
                <w:highlight w:val="none"/>
              </w:rPr>
              <w:t>0.1t/a</w:t>
            </w:r>
          </w:p>
        </w:tc>
      </w:tr>
    </w:tbl>
    <w:p w14:paraId="3A507B3F">
      <w:pPr>
        <w:pStyle w:val="46"/>
        <w:spacing w:beforeLines="80" w:after="24"/>
        <w:jc w:val="left"/>
        <w:rPr>
          <w:rFonts w:ascii="Times New Roman"/>
          <w:color w:val="auto"/>
          <w:highlight w:val="none"/>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50167E00">
      <w:pPr>
        <w:pStyle w:val="8"/>
        <w:adjustRightInd w:val="0"/>
        <w:spacing w:before="0" w:after="0" w:line="240" w:lineRule="auto"/>
        <w:ind w:right="0" w:firstLine="0" w:firstLineChars="0"/>
        <w:jc w:val="center"/>
        <w:rPr>
          <w:rFonts w:eastAsia="黑体"/>
          <w:snapToGrid w:val="0"/>
          <w:color w:val="auto"/>
          <w:sz w:val="28"/>
          <w:szCs w:val="28"/>
          <w:highlight w:val="none"/>
        </w:rPr>
      </w:pPr>
      <w:r>
        <w:rPr>
          <w:color w:val="auto"/>
          <w:highlight w:val="none"/>
        </w:rPr>
        <w:drawing>
          <wp:inline distT="0" distB="0" distL="114300" distR="114300">
            <wp:extent cx="8086090" cy="5259070"/>
            <wp:effectExtent l="0" t="0" r="10160" b="1778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35"/>
                    <a:stretch>
                      <a:fillRect/>
                    </a:stretch>
                  </pic:blipFill>
                  <pic:spPr>
                    <a:xfrm>
                      <a:off x="0" y="0"/>
                      <a:ext cx="8086090" cy="5259070"/>
                    </a:xfrm>
                    <a:prstGeom prst="rect">
                      <a:avLst/>
                    </a:prstGeom>
                    <a:noFill/>
                    <a:ln>
                      <a:noFill/>
                    </a:ln>
                  </pic:spPr>
                </pic:pic>
              </a:graphicData>
            </a:graphic>
          </wp:inline>
        </w:drawing>
      </w:r>
      <w:r>
        <w:rPr>
          <w:color w:val="auto"/>
          <w:sz w:val="18"/>
          <w:highlight w:val="none"/>
        </w:rPr>
        <mc:AlternateContent>
          <mc:Choice Requires="wps">
            <w:drawing>
              <wp:anchor distT="0" distB="0" distL="114300" distR="114300" simplePos="0" relativeHeight="251677696" behindDoc="0" locked="0" layoutInCell="1" allowOverlap="1">
                <wp:simplePos x="0" y="0"/>
                <wp:positionH relativeFrom="column">
                  <wp:posOffset>5058410</wp:posOffset>
                </wp:positionH>
                <wp:positionV relativeFrom="paragraph">
                  <wp:posOffset>2292350</wp:posOffset>
                </wp:positionV>
                <wp:extent cx="771525" cy="504825"/>
                <wp:effectExtent l="794385" t="6350" r="15240" b="193675"/>
                <wp:wrapNone/>
                <wp:docPr id="67" name="矩形标注 35"/>
                <wp:cNvGraphicFramePr/>
                <a:graphic xmlns:a="http://schemas.openxmlformats.org/drawingml/2006/main">
                  <a:graphicData uri="http://schemas.microsoft.com/office/word/2010/wordprocessingShape">
                    <wps:wsp>
                      <wps:cNvSpPr/>
                      <wps:spPr>
                        <a:xfrm>
                          <a:off x="5484495" y="3460115"/>
                          <a:ext cx="771525" cy="504825"/>
                        </a:xfrm>
                        <a:prstGeom prst="wedgeRectCallout">
                          <a:avLst>
                            <a:gd name="adj1" fmla="val -146790"/>
                            <a:gd name="adj2" fmla="val 83207"/>
                          </a:avLst>
                        </a:prstGeom>
                        <a:noFill/>
                        <a:ln w="12700" cap="flat" cmpd="sng" algn="ctr">
                          <a:solidFill>
                            <a:srgbClr val="FFFFFF"/>
                          </a:solidFill>
                          <a:prstDash val="solid"/>
                          <a:miter lim="800000"/>
                        </a:ln>
                        <a:effectLst/>
                      </wps:spPr>
                      <wps:txbx>
                        <w:txbxContent>
                          <w:p w14:paraId="68093249">
                            <w:pPr>
                              <w:jc w:val="cente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5" o:spid="_x0000_s1026" o:spt="61" type="#_x0000_t61" style="position:absolute;left:0pt;margin-left:398.3pt;margin-top:180.5pt;height:39.75pt;width:60.75pt;z-index:251677696;v-text-anchor:middle;mso-width-relative:page;mso-height-relative:page;" filled="f" stroked="t" coordsize="21600,21600" o:gfxdata="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MuWApNsAAAALAQAADwAA&#10;AAAAAAABACAAAAAiAAAAZHJzL2Rvd25yZXYueG1sUEsBAhQAFAAAAAgAh07iQPwjN0S+AgAAVgUA&#10;AA4AAAAAAAAAAQAgAAAAKgEAAGRycy9lMm9Eb2MueG1sUEsFBgAAAAAGAAYAWQEAAFoGAAAAAA==&#10;" adj="-20907,28773">
                <v:fill on="f" focussize="0,0"/>
                <v:stroke weight="1pt" color="#FFFFFF" miterlimit="8" joinstyle="miter"/>
                <v:imagedata o:title=""/>
                <o:lock v:ext="edit" aspectratio="f"/>
                <v:textbox>
                  <w:txbxContent>
                    <w:p w14:paraId="68093249">
                      <w:pPr>
                        <w:jc w:val="cente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项目位置</w:t>
                      </w:r>
                    </w:p>
                  </w:txbxContent>
                </v:textbox>
              </v:shape>
            </w:pict>
          </mc:Fallback>
        </mc:AlternateContent>
      </w:r>
      <w:r>
        <w:rPr>
          <w:color w:val="auto"/>
          <w:sz w:val="18"/>
          <w:highlight w:val="none"/>
        </w:rPr>
        <mc:AlternateContent>
          <mc:Choice Requires="wps">
            <w:drawing>
              <wp:anchor distT="0" distB="0" distL="114300" distR="114300" simplePos="0" relativeHeight="251680768" behindDoc="0" locked="0" layoutInCell="1" allowOverlap="1">
                <wp:simplePos x="0" y="0"/>
                <wp:positionH relativeFrom="column">
                  <wp:posOffset>7187565</wp:posOffset>
                </wp:positionH>
                <wp:positionV relativeFrom="paragraph">
                  <wp:posOffset>4806950</wp:posOffset>
                </wp:positionV>
                <wp:extent cx="151130" cy="111125"/>
                <wp:effectExtent l="9525" t="9525" r="10795" b="12700"/>
                <wp:wrapNone/>
                <wp:docPr id="69" name="矩形 56"/>
                <wp:cNvGraphicFramePr/>
                <a:graphic xmlns:a="http://schemas.openxmlformats.org/drawingml/2006/main">
                  <a:graphicData uri="http://schemas.microsoft.com/office/word/2010/wordprocessingShape">
                    <wps:wsp>
                      <wps:cNvSpPr/>
                      <wps:spPr>
                        <a:xfrm>
                          <a:off x="8469630" y="5361305"/>
                          <a:ext cx="151130" cy="1111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6" o:spid="_x0000_s1026" o:spt="1" style="position:absolute;left:0pt;margin-left:565.95pt;margin-top:378.5pt;height:8.75pt;width:11.9pt;z-index:251680768;v-text-anchor:middle;mso-width-relative:page;mso-height-relative:page;" filled="f" stroked="t" coordsize="21600,21600" o:gfxdata="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Pvgtv2gAAAA0BAAAPAAAAAAAAAAEAIAAA&#10;ACIAAABkcnMvZG93bnJldi54bWxQSwECFAAUAAAACACHTuJAgJ1GXXwCAADmBAAADgAAAAAAAAAB&#10;ACAAAAApAQAAZHJzL2Uyb0RvYy54bWxQSwUGAAAAAAYABgBZAQAAFwYAAAAA&#10;">
                <v:fill on="f" focussize="0,0"/>
                <v:stroke weight="1.5pt" color="#FF0000"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79744" behindDoc="0" locked="0" layoutInCell="1" allowOverlap="1">
                <wp:simplePos x="0" y="0"/>
                <wp:positionH relativeFrom="column">
                  <wp:posOffset>7068185</wp:posOffset>
                </wp:positionH>
                <wp:positionV relativeFrom="paragraph">
                  <wp:posOffset>4472940</wp:posOffset>
                </wp:positionV>
                <wp:extent cx="1238885" cy="777875"/>
                <wp:effectExtent l="4445" t="4445" r="13970" b="17780"/>
                <wp:wrapNone/>
                <wp:docPr id="68" name="文本框 54"/>
                <wp:cNvGraphicFramePr/>
                <a:graphic xmlns:a="http://schemas.openxmlformats.org/drawingml/2006/main">
                  <a:graphicData uri="http://schemas.microsoft.com/office/word/2010/wordprocessingShape">
                    <wps:wsp>
                      <wps:cNvSpPr txBox="1"/>
                      <wps:spPr>
                        <a:xfrm>
                          <a:off x="8081010" y="5043805"/>
                          <a:ext cx="1238885" cy="777875"/>
                        </a:xfrm>
                        <a:prstGeom prst="rect">
                          <a:avLst/>
                        </a:prstGeom>
                        <a:solidFill>
                          <a:srgbClr val="FFFFFF"/>
                        </a:solidFill>
                        <a:ln w="6350">
                          <a:solidFill>
                            <a:prstClr val="black"/>
                          </a:solidFill>
                        </a:ln>
                        <a:effectLst/>
                      </wps:spPr>
                      <wps:txbx>
                        <w:txbxContent>
                          <w:p w14:paraId="6BDF4F68">
                            <w:pPr>
                              <w:adjustRightInd w:val="0"/>
                              <w:snapToGrid w:val="0"/>
                              <w:spacing w:line="360" w:lineRule="auto"/>
                              <w:jc w:val="center"/>
                            </w:pPr>
                            <w:r>
                              <w:rPr>
                                <w:rFonts w:hint="eastAsia"/>
                              </w:rPr>
                              <w:t>图例</w:t>
                            </w:r>
                          </w:p>
                          <w:p w14:paraId="0A8052A8">
                            <w:pPr>
                              <w:adjustRightInd w:val="0"/>
                              <w:snapToGrid w:val="0"/>
                              <w:spacing w:line="360" w:lineRule="auto"/>
                              <w:jc w:val="center"/>
                            </w:pPr>
                            <w:r>
                              <w:rPr>
                                <w:rFonts w:hint="eastAsia"/>
                              </w:rPr>
                              <w:t>项目位置</w:t>
                            </w:r>
                          </w:p>
                          <w:p w14:paraId="0E59FCCB">
                            <w:pPr>
                              <w:adjustRightInd w:val="0"/>
                              <w:snapToGrid w:val="0"/>
                              <w:spacing w:line="360" w:lineRule="auto"/>
                            </w:pPr>
                            <w:r>
                              <w:rPr>
                                <w:rFonts w:hint="eastAsia"/>
                              </w:rPr>
                              <w:t>比例尺：1：72223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4" o:spid="_x0000_s1026" o:spt="202" type="#_x0000_t202" style="position:absolute;left:0pt;margin-left:556.55pt;margin-top:352.2pt;height:61.25pt;width:97.55pt;z-index:251679744;mso-width-relative:page;mso-height-relative:page;" fillcolor="#FFFFFF" filled="t" stroked="t" coordsize="21600,21600" o:gfxdata="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THJu2QAAAA0BAAAPAAAAAAAAAAEAIAAAACIAAABkcnMvZG93bnJl&#10;di54bWxQSwECFAAUAAAACACHTuJA7UNzHm4CAADTBAAADgAAAAAAAAABACAAAAAoAQAAZHJzL2Uy&#10;b0RvYy54bWxQSwUGAAAAAAYABgBZAQAACAYAAAAA&#10;">
                <v:fill on="t" focussize="0,0"/>
                <v:stroke weight="0.5pt" color="#000000" joinstyle="round"/>
                <v:imagedata o:title=""/>
                <o:lock v:ext="edit" aspectratio="f"/>
                <v:textbox>
                  <w:txbxContent>
                    <w:p w14:paraId="6BDF4F68">
                      <w:pPr>
                        <w:adjustRightInd w:val="0"/>
                        <w:snapToGrid w:val="0"/>
                        <w:spacing w:line="360" w:lineRule="auto"/>
                        <w:jc w:val="center"/>
                      </w:pPr>
                      <w:r>
                        <w:rPr>
                          <w:rFonts w:hint="eastAsia"/>
                        </w:rPr>
                        <w:t>图例</w:t>
                      </w:r>
                    </w:p>
                    <w:p w14:paraId="0A8052A8">
                      <w:pPr>
                        <w:adjustRightInd w:val="0"/>
                        <w:snapToGrid w:val="0"/>
                        <w:spacing w:line="360" w:lineRule="auto"/>
                        <w:jc w:val="center"/>
                      </w:pPr>
                      <w:r>
                        <w:rPr>
                          <w:rFonts w:hint="eastAsia"/>
                        </w:rPr>
                        <w:t>项目位置</w:t>
                      </w:r>
                    </w:p>
                    <w:p w14:paraId="0E59FCCB">
                      <w:pPr>
                        <w:adjustRightInd w:val="0"/>
                        <w:snapToGrid w:val="0"/>
                        <w:spacing w:line="360" w:lineRule="auto"/>
                      </w:pPr>
                      <w:r>
                        <w:rPr>
                          <w:rFonts w:hint="eastAsia"/>
                        </w:rPr>
                        <w:t>比例尺：1：72223</w:t>
                      </w:r>
                    </w:p>
                  </w:txbxContent>
                </v:textbox>
              </v:shape>
            </w:pict>
          </mc:Fallback>
        </mc:AlternateContent>
      </w:r>
      <w:r>
        <w:rPr>
          <w:color w:val="auto"/>
          <w:highlight w:val="none"/>
        </w:rPr>
        <w:drawing>
          <wp:anchor distT="0" distB="0" distL="114300" distR="114300" simplePos="0" relativeHeight="251678720" behindDoc="0" locked="0" layoutInCell="1" allowOverlap="1">
            <wp:simplePos x="0" y="0"/>
            <wp:positionH relativeFrom="column">
              <wp:posOffset>7509510</wp:posOffset>
            </wp:positionH>
            <wp:positionV relativeFrom="paragraph">
              <wp:posOffset>9525</wp:posOffset>
            </wp:positionV>
            <wp:extent cx="799465" cy="741045"/>
            <wp:effectExtent l="0" t="0" r="635" b="1905"/>
            <wp:wrapNone/>
            <wp:docPr id="101"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鸡西风玫瑰"/>
                    <pic:cNvPicPr>
                      <a:picLocks noChangeAspect="1"/>
                    </pic:cNvPicPr>
                  </pic:nvPicPr>
                  <pic:blipFill>
                    <a:blip r:embed="rId36"/>
                    <a:stretch>
                      <a:fillRect/>
                    </a:stretch>
                  </pic:blipFill>
                  <pic:spPr>
                    <a:xfrm>
                      <a:off x="0" y="0"/>
                      <a:ext cx="799465" cy="741045"/>
                    </a:xfrm>
                    <a:prstGeom prst="rect">
                      <a:avLst/>
                    </a:prstGeom>
                    <a:noFill/>
                    <a:ln>
                      <a:noFill/>
                    </a:ln>
                  </pic:spPr>
                </pic:pic>
              </a:graphicData>
            </a:graphic>
          </wp:anchor>
        </w:drawing>
      </w:r>
    </w:p>
    <w:p w14:paraId="34AF1D57">
      <w:pPr>
        <w:pStyle w:val="8"/>
        <w:adjustRightInd w:val="0"/>
        <w:spacing w:before="0" w:after="0" w:line="240" w:lineRule="auto"/>
        <w:ind w:firstLine="0" w:firstLineChars="0"/>
        <w:jc w:val="center"/>
        <w:rPr>
          <w:snapToGrid w:val="0"/>
          <w:color w:val="auto"/>
          <w:sz w:val="28"/>
          <w:szCs w:val="28"/>
          <w:highlight w:val="none"/>
        </w:rPr>
      </w:pPr>
      <w:bookmarkStart w:id="69" w:name="_Toc25076"/>
      <w:bookmarkStart w:id="70" w:name="_Toc4737"/>
      <w:bookmarkStart w:id="71" w:name="_Toc32501"/>
      <w:bookmarkStart w:id="72" w:name="_Toc5642"/>
      <w:r>
        <w:rPr>
          <w:rStyle w:val="62"/>
          <w:rFonts w:hint="eastAsia" w:ascii="宋体" w:hAnsi="宋体" w:eastAsia="宋体" w:cs="宋体"/>
          <w:color w:val="auto"/>
          <w:sz w:val="28"/>
          <w:szCs w:val="28"/>
          <w:highlight w:val="none"/>
        </w:rPr>
        <w:t>附图</w:t>
      </w:r>
      <w:r>
        <w:rPr>
          <w:rStyle w:val="62"/>
          <w:rFonts w:hint="default" w:ascii="Times New Roman" w:hAnsi="Times New Roman" w:eastAsia="宋体" w:cs="Times New Roman"/>
          <w:color w:val="auto"/>
          <w:sz w:val="28"/>
          <w:szCs w:val="28"/>
          <w:highlight w:val="none"/>
        </w:rPr>
        <w:t>1 项目</w:t>
      </w:r>
      <w:r>
        <w:rPr>
          <w:rStyle w:val="62"/>
          <w:rFonts w:hint="eastAsia" w:ascii="宋体" w:hAnsi="宋体" w:eastAsia="宋体" w:cs="宋体"/>
          <w:color w:val="auto"/>
          <w:sz w:val="28"/>
          <w:szCs w:val="28"/>
          <w:highlight w:val="none"/>
        </w:rPr>
        <w:t>地理位置图</w:t>
      </w:r>
      <w:bookmarkEnd w:id="69"/>
      <w:bookmarkEnd w:id="70"/>
      <w:bookmarkEnd w:id="71"/>
      <w:bookmarkEnd w:id="72"/>
      <w:r>
        <w:rPr>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-7654290</wp:posOffset>
                </wp:positionH>
                <wp:positionV relativeFrom="paragraph">
                  <wp:posOffset>1814830</wp:posOffset>
                </wp:positionV>
                <wp:extent cx="117475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174750" cy="304800"/>
                        </a:xfrm>
                        <a:prstGeom prst="rect">
                          <a:avLst/>
                        </a:prstGeom>
                        <a:noFill/>
                        <a:ln w="6350">
                          <a:noFill/>
                        </a:ln>
                        <a:effectLst/>
                      </wps:spPr>
                      <wps:txbx>
                        <w:txbxContent>
                          <w:p w14:paraId="34CF229C">
                            <w:r>
                              <w:rPr>
                                <w:rFonts w:hint="eastAsia"/>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7pt;margin-top:142.9pt;height:24pt;width:92.5pt;z-index:251665408;mso-width-relative:page;mso-height-relative:page;" filled="f" stroked="f" coordsize="21600,21600" o:gfxdata="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VauzP3gAAAA8BAAAPAAAAAAAAAAEA&#10;IAAAACIAAABkcnMvZG93bnJldi54bWxQSwECFAAUAAAACACHTuJA4mKXwUICAAB2BAAADgAAAAAA&#10;AAABACAAAAAtAQAAZHJzL2Uyb0RvYy54bWxQSwUGAAAAAAYABgBZAQAA4QUAAAAA&#10;">
                <v:fill on="f" focussize="0,0"/>
                <v:stroke on="f" weight="0.5pt"/>
                <v:imagedata o:title=""/>
                <o:lock v:ext="edit" aspectratio="f"/>
                <v:textbox>
                  <w:txbxContent>
                    <w:p w14:paraId="34CF229C">
                      <w:r>
                        <w:rPr>
                          <w:rFonts w:hint="eastAsia"/>
                        </w:rPr>
                        <w:t>本项目位置</w:t>
                      </w:r>
                    </w:p>
                  </w:txbxContent>
                </v:textbox>
              </v:shape>
            </w:pict>
          </mc:Fallback>
        </mc:AlternateContent>
      </w: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-7268845</wp:posOffset>
                </wp:positionH>
                <wp:positionV relativeFrom="paragraph">
                  <wp:posOffset>2131060</wp:posOffset>
                </wp:positionV>
                <wp:extent cx="127000" cy="104140"/>
                <wp:effectExtent l="16510" t="13335" r="27940" b="15875"/>
                <wp:wrapNone/>
                <wp:docPr id="42" name="五角星 36"/>
                <wp:cNvGraphicFramePr/>
                <a:graphic xmlns:a="http://schemas.openxmlformats.org/drawingml/2006/main">
                  <a:graphicData uri="http://schemas.microsoft.com/office/word/2010/wordprocessingShape">
                    <wps:wsp>
                      <wps:cNvSpPr/>
                      <wps:spPr>
                        <a:xfrm>
                          <a:off x="0" y="0"/>
                          <a:ext cx="127000" cy="104140"/>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五角星 36" o:spid="_x0000_s1026" style="position:absolute;left:0pt;margin-left:-572.35pt;margin-top:167.8pt;height:8.2pt;width:10pt;z-index:251664384;mso-width-relative:page;mso-height-relative:page;" fillcolor="#FF0000" filled="t" stroked="t" coordsize="127000,104140" o:gfxdata="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&#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Tq+ym3QAAAA8BAAAPAAAAAAAAAAEAIAAAACIAAABk&#10;cnMvZG93bnJldi54bWxQSwECFAAUAAAACACHTuJAZAX+vToCAACjBAAADgAAAAAAAAABACAAAAAs&#10;AQAAZHJzL2Uyb0RvYy54bWxQSwUGAAAAAAYABgBZAQAA2AUAAAAA&#10;" path="m0,39777l48497,39763,63500,0,78502,39763,126999,39777,87774,64367,102745,104139,63500,79573,24254,104139,39225,64367xe">
                <v:path o:connectlocs="63500,0;0,39777;24254,104139;102745,104139;126999,39777" o:connectangles="247,164,82,82,0"/>
                <v:fill on="t" focussize="0,0"/>
                <v:stroke color="#000000"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-7798435</wp:posOffset>
                </wp:positionH>
                <wp:positionV relativeFrom="page">
                  <wp:posOffset>2472055</wp:posOffset>
                </wp:positionV>
                <wp:extent cx="1689100" cy="1304290"/>
                <wp:effectExtent l="4445" t="4445" r="20955" b="786765"/>
                <wp:wrapNone/>
                <wp:docPr id="36" name="圆角矩形标注 19"/>
                <wp:cNvGraphicFramePr/>
                <a:graphic xmlns:a="http://schemas.openxmlformats.org/drawingml/2006/main">
                  <a:graphicData uri="http://schemas.microsoft.com/office/word/2010/wordprocessingShape">
                    <wps:wsp>
                      <wps:cNvSpPr/>
                      <wps:spPr>
                        <a:xfrm>
                          <a:off x="0" y="0"/>
                          <a:ext cx="1689100" cy="1304290"/>
                        </a:xfrm>
                        <a:prstGeom prst="wedgeRoundRectCallout">
                          <a:avLst>
                            <a:gd name="adj1" fmla="val -10714"/>
                            <a:gd name="adj2" fmla="val 108714"/>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0C6A0742">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7"/>
                                          <a:stretch>
                                            <a:fillRect/>
                                          </a:stretch>
                                        </pic:blipFill>
                                        <pic:spPr>
                                          <a:xfrm>
                                            <a:off x="0" y="0"/>
                                            <a:ext cx="1330960" cy="1094740"/>
                                          </a:xfrm>
                                          <a:prstGeom prst="rect">
                                            <a:avLst/>
                                          </a:prstGeom>
                                          <a:noFill/>
                                          <a:ln>
                                            <a:noFill/>
                                          </a:ln>
                                        </pic:spPr>
                                      </pic:pic>
                                    </a:graphicData>
                                  </a:graphic>
                                </wp:inline>
                              </w:drawing>
                            </w:r>
                          </w:p>
                        </w:txbxContent>
                      </wps:txbx>
                      <wps:bodyPr upright="1"/>
                    </wps:wsp>
                  </a:graphicData>
                </a:graphic>
              </wp:anchor>
            </w:drawing>
          </mc:Choice>
          <mc:Fallback>
            <w:pict>
              <v:shape id="圆角矩形标注 19" o:spid="_x0000_s1026" o:spt="62" type="#_x0000_t62" style="position:absolute;left:0pt;margin-left:-614.05pt;margin-top:194.65pt;height:102.7pt;width:133pt;mso-position-vertical-relative:page;z-index:251663360;mso-width-relative:page;mso-height-relative:page;" fillcolor="#FFFFFF" filled="t" stroked="t" coordsize="21600,21600" o:gfxdata="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Ja92d0AAAAOAQAADwAAAAAAAAABACAAAAAiAAAAZHJzL2Rvd25yZXYueG1sUEsBAhQAFAAAAAgA&#10;h07iQJG0ReJZAgAAzgQAAA4AAAAAAAAAAQAgAAAALAEAAGRycy9lMm9Eb2MueG1sUEsFBgAAAAAG&#10;AAYAWQEAAPcFAAAAAA==&#10;" adj="8486,34282,14400">
                <v:fill on="t" focussize="0,0"/>
                <v:stroke color="#000000" joinstyle="miter"/>
                <v:imagedata o:title=""/>
                <o:lock v:ext="edit" aspectratio="f"/>
                <v:textbox>
                  <w:txbxContent>
                    <w:p w14:paraId="0C6A0742">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7"/>
                                    <a:stretch>
                                      <a:fillRect/>
                                    </a:stretch>
                                  </pic:blipFill>
                                  <pic:spPr>
                                    <a:xfrm>
                                      <a:off x="0" y="0"/>
                                      <a:ext cx="1330960" cy="1094740"/>
                                    </a:xfrm>
                                    <a:prstGeom prst="rect">
                                      <a:avLst/>
                                    </a:prstGeom>
                                    <a:noFill/>
                                    <a:ln>
                                      <a:noFill/>
                                    </a:ln>
                                  </pic:spPr>
                                </pic:pic>
                              </a:graphicData>
                            </a:graphic>
                          </wp:inline>
                        </w:drawing>
                      </w:r>
                    </w:p>
                  </w:txbxContent>
                </v:textbox>
              </v:shape>
            </w:pict>
          </mc:Fallback>
        </mc:AlternateContent>
      </w:r>
      <w:r>
        <w:rPr>
          <w:color w:val="auto"/>
          <w:sz w:val="18"/>
          <w:highlight w:val="none"/>
        </w:rPr>
        <mc:AlternateContent>
          <mc:Choice Requires="wps">
            <w:drawing>
              <wp:anchor distT="0" distB="0" distL="114300" distR="114300" simplePos="0" relativeHeight="251667456" behindDoc="0" locked="0" layoutInCell="1" allowOverlap="1">
                <wp:simplePos x="0" y="0"/>
                <wp:positionH relativeFrom="column">
                  <wp:posOffset>1348740</wp:posOffset>
                </wp:positionH>
                <wp:positionV relativeFrom="paragraph">
                  <wp:posOffset>1172210</wp:posOffset>
                </wp:positionV>
                <wp:extent cx="1176655" cy="33401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76655" cy="334010"/>
                        </a:xfrm>
                        <a:prstGeom prst="rect">
                          <a:avLst/>
                        </a:prstGeom>
                        <a:noFill/>
                        <a:ln w="6350">
                          <a:noFill/>
                        </a:ln>
                        <a:effectLst/>
                      </wps:spPr>
                      <wps:txbx>
                        <w:txbxContent>
                          <w:p w14:paraId="7890AA6C">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2pt;margin-top:92.3pt;height:26.3pt;width:92.65pt;z-index:251667456;mso-width-relative:page;mso-height-relative:page;" filled="f" stroked="f" coordsize="21600,21600" o:gfxdata="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otkd/bAAAACwEAAA8AAAAAAAAAAQAgAAAA&#10;IgAAAGRycy9kb3ducmV2LnhtbFBLAQIUABQAAAAIAIdO4kDPkqHOQQIAAHYEAAAOAAAAAAAAAAEA&#10;IAAAACoBAABkcnMvZTJvRG9jLnhtbFBLBQYAAAAABgAGAFkBAADdBQAAAAA=&#10;">
                <v:fill on="f" focussize="0,0"/>
                <v:stroke on="f" weight="0.5pt"/>
                <v:imagedata o:title=""/>
                <o:lock v:ext="edit" aspectratio="f"/>
                <v:textbox>
                  <w:txbxContent>
                    <w:p w14:paraId="7890AA6C">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危险废物贮存点</w:t>
                      </w:r>
                    </w:p>
                  </w:txbxContent>
                </v:textbox>
              </v:shape>
            </w:pict>
          </mc:Fallback>
        </mc:AlternateContent>
      </w:r>
      <w:r>
        <w:rPr>
          <w:color w:val="auto"/>
          <w:sz w:val="18"/>
          <w:highlight w:val="none"/>
        </w:rPr>
        <mc:AlternateContent>
          <mc:Choice Requires="wps">
            <w:drawing>
              <wp:anchor distT="0" distB="0" distL="114300" distR="114300" simplePos="0" relativeHeight="251668480" behindDoc="0" locked="0" layoutInCell="1" allowOverlap="1">
                <wp:simplePos x="0" y="0"/>
                <wp:positionH relativeFrom="column">
                  <wp:posOffset>1937385</wp:posOffset>
                </wp:positionH>
                <wp:positionV relativeFrom="paragraph">
                  <wp:posOffset>1506220</wp:posOffset>
                </wp:positionV>
                <wp:extent cx="324485" cy="372745"/>
                <wp:effectExtent l="5080" t="4445" r="13335" b="3810"/>
                <wp:wrapNone/>
                <wp:docPr id="54" name="直接箭头连接符 22"/>
                <wp:cNvGraphicFramePr/>
                <a:graphic xmlns:a="http://schemas.openxmlformats.org/drawingml/2006/main">
                  <a:graphicData uri="http://schemas.microsoft.com/office/word/2010/wordprocessingShape">
                    <wps:wsp>
                      <wps:cNvCnPr/>
                      <wps:spPr>
                        <a:xfrm>
                          <a:off x="2979420" y="2478405"/>
                          <a:ext cx="324485" cy="372745"/>
                        </a:xfrm>
                        <a:prstGeom prst="straightConnector1">
                          <a:avLst/>
                        </a:prstGeom>
                        <a:noFill/>
                        <a:ln w="12700" cap="flat" cmpd="sng" algn="ctr">
                          <a:solidFill>
                            <a:srgbClr val="FFFFFF"/>
                          </a:solidFill>
                          <a:prstDash val="solid"/>
                          <a:miter lim="800000"/>
                          <a:tailEnd type="arrow"/>
                        </a:ln>
                        <a:effectLst/>
                      </wps:spPr>
                      <wps:bodyPr/>
                    </wps:wsp>
                  </a:graphicData>
                </a:graphic>
              </wp:anchor>
            </w:drawing>
          </mc:Choice>
          <mc:Fallback>
            <w:pict>
              <v:shape id="直接箭头连接符 22" o:spid="_x0000_s1026" o:spt="32" type="#_x0000_t32" style="position:absolute;left:0pt;margin-left:152.55pt;margin-top:118.6pt;height:29.35pt;width:25.55pt;z-index:251668480;mso-width-relative:page;mso-height-relative:page;" filled="f" stroked="t" coordsize="21600,21600" o:gfxdata="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lNbGdkA&#10;AAALAQAADwAAAAAAAAABACAAAAAiAAAAZHJzL2Rvd25yZXYueG1sUEsBAhQAFAAAAAgAh07iQMu4&#10;OUUeAgAA/wMAAA4AAAAAAAAAAQAgAAAAKAEAAGRycy9lMm9Eb2MueG1sUEsFBgAAAAAGAAYAWQEA&#10;ALgFAAAAAA==&#10;">
                <v:fill on="f" focussize="0,0"/>
                <v:stroke weight="1pt" color="#FFFFFF" miterlimit="8" joinstyle="miter" endarrow="open"/>
                <v:imagedata o:title=""/>
                <o:lock v:ext="edit" aspectratio="f"/>
              </v:shape>
            </w:pict>
          </mc:Fallback>
        </mc:AlternateContent>
      </w:r>
    </w:p>
    <w:p w14:paraId="44189A86">
      <w:pPr>
        <w:adjustRightInd w:val="0"/>
        <w:snapToGrid w:val="0"/>
        <w:jc w:val="center"/>
        <w:rPr>
          <w:rFonts w:eastAsia="黑体"/>
          <w:snapToGrid w:val="0"/>
          <w:color w:val="auto"/>
          <w:sz w:val="28"/>
          <w:szCs w:val="28"/>
          <w:highlight w:val="none"/>
        </w:rPr>
      </w:pPr>
      <w:bookmarkStart w:id="73" w:name="_Toc18204"/>
      <w:bookmarkStart w:id="74" w:name="_Toc25257"/>
      <w:bookmarkStart w:id="75" w:name="_Toc18893"/>
      <w:bookmarkStart w:id="76" w:name="_Toc25893"/>
      <w:bookmarkStart w:id="77" w:name="_Toc17416"/>
      <w:r>
        <w:rPr>
          <w:color w:val="auto"/>
          <w:highlight w:val="none"/>
        </w:rPr>
        <w:drawing>
          <wp:inline distT="0" distB="0" distL="114300" distR="114300">
            <wp:extent cx="7067550" cy="5008880"/>
            <wp:effectExtent l="0" t="0" r="0" b="1270"/>
            <wp:docPr id="35" name="图片 35" descr="焦诚平面布置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焦诚平面布置图(1)"/>
                    <pic:cNvPicPr>
                      <a:picLocks noChangeAspect="1"/>
                    </pic:cNvPicPr>
                  </pic:nvPicPr>
                  <pic:blipFill>
                    <a:blip r:embed="rId38"/>
                    <a:stretch>
                      <a:fillRect/>
                    </a:stretch>
                  </pic:blipFill>
                  <pic:spPr>
                    <a:xfrm>
                      <a:off x="0" y="0"/>
                      <a:ext cx="7067550" cy="5008880"/>
                    </a:xfrm>
                    <a:prstGeom prst="rect">
                      <a:avLst/>
                    </a:prstGeom>
                  </pic:spPr>
                </pic:pic>
              </a:graphicData>
            </a:graphic>
          </wp:inline>
        </w:drawing>
      </w:r>
    </w:p>
    <w:p w14:paraId="61CF1C61">
      <w:pPr>
        <w:pStyle w:val="8"/>
        <w:ind w:firstLine="0" w:firstLineChars="0"/>
        <w:jc w:val="center"/>
        <w:outlineLvl w:val="0"/>
        <w:rPr>
          <w:rFonts w:ascii="宋体" w:hAnsi="宋体" w:cs="宋体"/>
          <w:b/>
          <w:bCs/>
          <w:snapToGrid w:val="0"/>
          <w:color w:val="auto"/>
          <w:sz w:val="28"/>
          <w:szCs w:val="28"/>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ascii="宋体" w:hAnsi="宋体" w:cs="宋体"/>
          <w:b/>
          <w:bCs/>
          <w:snapToGrid w:val="0"/>
          <w:color w:val="auto"/>
          <w:sz w:val="28"/>
          <w:szCs w:val="28"/>
          <w:highlight w:val="none"/>
        </w:rPr>
        <w:t>附</w:t>
      </w:r>
      <w:r>
        <w:rPr>
          <w:rFonts w:hint="default" w:ascii="Times New Roman" w:hAnsi="Times New Roman" w:cs="Times New Roman"/>
          <w:b/>
          <w:bCs/>
          <w:snapToGrid w:val="0"/>
          <w:color w:val="auto"/>
          <w:sz w:val="28"/>
          <w:szCs w:val="28"/>
          <w:highlight w:val="none"/>
        </w:rPr>
        <w:t>图2 项</w:t>
      </w:r>
      <w:r>
        <w:rPr>
          <w:rFonts w:hint="eastAsia" w:ascii="宋体" w:hAnsi="宋体" w:cs="宋体"/>
          <w:b/>
          <w:bCs/>
          <w:snapToGrid w:val="0"/>
          <w:color w:val="auto"/>
          <w:sz w:val="28"/>
          <w:szCs w:val="28"/>
          <w:highlight w:val="none"/>
        </w:rPr>
        <w:t>目总平面布置图</w:t>
      </w:r>
      <w:bookmarkEnd w:id="73"/>
      <w:bookmarkEnd w:id="74"/>
      <w:bookmarkEnd w:id="75"/>
      <w:bookmarkEnd w:id="76"/>
      <w:bookmarkEnd w:id="77"/>
    </w:p>
    <w:p w14:paraId="62D2686F">
      <w:pPr>
        <w:jc w:val="center"/>
        <w:rPr>
          <w:color w:val="auto"/>
          <w:highlight w:val="none"/>
        </w:rPr>
      </w:pPr>
      <w:r>
        <w:rPr>
          <w:color w:val="auto"/>
          <w:highlight w:val="none"/>
        </w:rPr>
        <w:drawing>
          <wp:inline distT="0" distB="0" distL="114300" distR="114300">
            <wp:extent cx="7424420" cy="5263515"/>
            <wp:effectExtent l="0" t="0" r="5080" b="13335"/>
            <wp:docPr id="27" name="图片 27" descr="焦诚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焦诚分区防渗图"/>
                    <pic:cNvPicPr>
                      <a:picLocks noChangeAspect="1"/>
                    </pic:cNvPicPr>
                  </pic:nvPicPr>
                  <pic:blipFill>
                    <a:blip r:embed="rId39"/>
                    <a:stretch>
                      <a:fillRect/>
                    </a:stretch>
                  </pic:blipFill>
                  <pic:spPr>
                    <a:xfrm>
                      <a:off x="0" y="0"/>
                      <a:ext cx="7424420" cy="5263515"/>
                    </a:xfrm>
                    <a:prstGeom prst="rect">
                      <a:avLst/>
                    </a:prstGeom>
                  </pic:spPr>
                </pic:pic>
              </a:graphicData>
            </a:graphic>
          </wp:inline>
        </w:drawing>
      </w:r>
    </w:p>
    <w:p w14:paraId="7B28BE3B">
      <w:pPr>
        <w:jc w:val="center"/>
        <w:outlineLvl w:val="0"/>
        <w:rPr>
          <w:rFonts w:ascii="宋体" w:hAnsi="宋体" w:cs="宋体"/>
          <w:b/>
          <w:bCs/>
          <w:color w:val="auto"/>
          <w:highlight w:val="none"/>
        </w:rPr>
      </w:pPr>
      <w:bookmarkStart w:id="78" w:name="_Toc27148"/>
      <w:bookmarkStart w:id="79" w:name="_Toc5015"/>
      <w:bookmarkStart w:id="80" w:name="_Toc16727"/>
      <w:bookmarkStart w:id="81" w:name="_Toc19270"/>
      <w:bookmarkStart w:id="82" w:name="_Toc25898"/>
      <w:r>
        <w:rPr>
          <w:rFonts w:hint="default" w:ascii="Times New Roman" w:hAnsi="Times New Roman" w:cs="Times New Roman"/>
          <w:b/>
          <w:bCs/>
          <w:snapToGrid w:val="0"/>
          <w:color w:val="auto"/>
          <w:kern w:val="0"/>
          <w:sz w:val="28"/>
          <w:szCs w:val="28"/>
          <w:highlight w:val="none"/>
        </w:rPr>
        <w:t xml:space="preserve">附图3 </w:t>
      </w:r>
      <w:r>
        <w:rPr>
          <w:rFonts w:hint="eastAsia" w:ascii="宋体" w:hAnsi="宋体" w:cs="宋体"/>
          <w:b/>
          <w:bCs/>
          <w:snapToGrid w:val="0"/>
          <w:color w:val="auto"/>
          <w:kern w:val="0"/>
          <w:sz w:val="28"/>
          <w:szCs w:val="28"/>
          <w:highlight w:val="none"/>
        </w:rPr>
        <w:t>项目分区防渗图</w:t>
      </w:r>
      <w:bookmarkEnd w:id="78"/>
      <w:bookmarkEnd w:id="79"/>
      <w:bookmarkEnd w:id="80"/>
      <w:bookmarkEnd w:id="81"/>
      <w:bookmarkEnd w:id="82"/>
    </w:p>
    <w:p w14:paraId="3CE01B5E">
      <w:pPr>
        <w:jc w:val="center"/>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08D8CFF">
      <w:pPr>
        <w:spacing w:afterLines="-2147483648"/>
        <w:jc w:val="center"/>
        <w:outlineLvl w:val="9"/>
        <w:rPr>
          <w:color w:val="auto"/>
          <w:highlight w:val="none"/>
        </w:rPr>
      </w:pPr>
      <w:bookmarkStart w:id="83" w:name="_Toc15594"/>
      <w:bookmarkStart w:id="84" w:name="_Toc27998"/>
      <w:bookmarkStart w:id="85" w:name="_Toc11742"/>
      <w:bookmarkStart w:id="86" w:name="_Toc31848"/>
      <w:bookmarkStart w:id="87" w:name="_Toc23834"/>
      <w:r>
        <w:rPr>
          <w:color w:val="auto"/>
          <w:highlight w:val="none"/>
        </w:rPr>
        <w:drawing>
          <wp:anchor distT="0" distB="0" distL="114300" distR="114300" simplePos="0" relativeHeight="251681792" behindDoc="0" locked="0" layoutInCell="1" allowOverlap="1">
            <wp:simplePos x="0" y="0"/>
            <wp:positionH relativeFrom="column">
              <wp:posOffset>7509510</wp:posOffset>
            </wp:positionH>
            <wp:positionV relativeFrom="paragraph">
              <wp:posOffset>-5715</wp:posOffset>
            </wp:positionV>
            <wp:extent cx="799465" cy="741045"/>
            <wp:effectExtent l="0" t="0" r="635" b="1905"/>
            <wp:wrapNone/>
            <wp:docPr id="72"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descr="鸡西风玫瑰"/>
                    <pic:cNvPicPr>
                      <a:picLocks noChangeAspect="1"/>
                    </pic:cNvPicPr>
                  </pic:nvPicPr>
                  <pic:blipFill>
                    <a:blip r:embed="rId36"/>
                    <a:stretch>
                      <a:fillRect/>
                    </a:stretch>
                  </pic:blipFill>
                  <pic:spPr>
                    <a:xfrm>
                      <a:off x="0" y="0"/>
                      <a:ext cx="799465" cy="741045"/>
                    </a:xfrm>
                    <a:prstGeom prst="rect">
                      <a:avLst/>
                    </a:prstGeom>
                    <a:noFill/>
                    <a:ln>
                      <a:noFill/>
                    </a:ln>
                  </pic:spPr>
                </pic:pic>
              </a:graphicData>
            </a:graphic>
          </wp:anchor>
        </w:drawing>
      </w:r>
      <w:r>
        <w:rPr>
          <w:color w:val="auto"/>
          <w:highlight w:val="none"/>
        </w:rPr>
        <w:drawing>
          <wp:inline distT="0" distB="0" distL="114300" distR="114300">
            <wp:extent cx="8134350" cy="5172075"/>
            <wp:effectExtent l="0" t="0" r="0" b="952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0"/>
                    <a:stretch>
                      <a:fillRect/>
                    </a:stretch>
                  </pic:blipFill>
                  <pic:spPr>
                    <a:xfrm>
                      <a:off x="0" y="0"/>
                      <a:ext cx="8134350" cy="5172075"/>
                    </a:xfrm>
                    <a:prstGeom prst="rect">
                      <a:avLst/>
                    </a:prstGeom>
                    <a:noFill/>
                    <a:ln>
                      <a:noFill/>
                    </a:ln>
                  </pic:spPr>
                </pic:pic>
              </a:graphicData>
            </a:graphic>
          </wp:inline>
        </w:drawing>
      </w:r>
      <w:r>
        <w:rPr>
          <w:color w:val="auto"/>
          <w:sz w:val="18"/>
          <w:highlight w:val="none"/>
        </w:rPr>
        <mc:AlternateContent>
          <mc:Choice Requires="wps">
            <w:drawing>
              <wp:anchor distT="0" distB="0" distL="114300" distR="114300" simplePos="0" relativeHeight="251685888" behindDoc="0" locked="0" layoutInCell="1" allowOverlap="1">
                <wp:simplePos x="0" y="0"/>
                <wp:positionH relativeFrom="column">
                  <wp:posOffset>6887210</wp:posOffset>
                </wp:positionH>
                <wp:positionV relativeFrom="paragraph">
                  <wp:posOffset>4477385</wp:posOffset>
                </wp:positionV>
                <wp:extent cx="208280" cy="129540"/>
                <wp:effectExtent l="9525" t="9525" r="10795" b="13335"/>
                <wp:wrapNone/>
                <wp:docPr id="107" name="矩形 77"/>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cap="flat" cmpd="sng" algn="ctr">
                          <a:solidFill>
                            <a:srgbClr val="0E11D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7" o:spid="_x0000_s1026" o:spt="1" style="position:absolute;left:0pt;margin-left:542.3pt;margin-top:352.55pt;height:10.2pt;width:16.4pt;z-index:251685888;v-text-anchor:middle;mso-width-relative:page;mso-height-relative:page;" filled="f" stroked="t" coordsize="21600,21600" o:gfxdata="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0McjbZAAAADQEAAA8AAAAAAAAAAQAgAAAAIgAAAGRycy9k&#10;b3ducmV2LnhtbFBLAQIUABQAAAAIAIdO4kCTNGJ8cwIAANsEAAAOAAAAAAAAAAEAIAAAACgBAABk&#10;cnMvZTJvRG9jLnhtbFBLBQYAAAAABgAGAFkBAAANBgAAAAA=&#10;">
                <v:fill on="f" focussize="0,0"/>
                <v:stroke weight="1.5pt" color="#0E11D7"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3840" behindDoc="0" locked="0" layoutInCell="1" allowOverlap="1">
                <wp:simplePos x="0" y="0"/>
                <wp:positionH relativeFrom="column">
                  <wp:posOffset>6887210</wp:posOffset>
                </wp:positionH>
                <wp:positionV relativeFrom="paragraph">
                  <wp:posOffset>3943350</wp:posOffset>
                </wp:positionV>
                <wp:extent cx="208280" cy="129540"/>
                <wp:effectExtent l="9525" t="9525" r="10795" b="13335"/>
                <wp:wrapNone/>
                <wp:docPr id="84" name="矩形 78"/>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8" o:spid="_x0000_s1026" o:spt="1" style="position:absolute;left:0pt;margin-left:542.3pt;margin-top:310.5pt;height:10.2pt;width:16.4pt;z-index:251683840;v-text-anchor:middle;mso-width-relative:page;mso-height-relative:page;" filled="f" stroked="t" coordsize="21600,21600" o:gfxdata="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CUGc42QAAAA0BAAAPAAAAAAAAAAEAIAAAACIAAABkcnMvZG93&#10;bnJldi54bWxQSwECFAAUAAAACACHTuJABPe3FnECAADaBAAADgAAAAAAAAABACAAAAAoAQAAZHJz&#10;L2Uyb0RvYy54bWxQSwUGAAAAAAYABgBZAQAACwYAAAAA&#10;">
                <v:fill on="f" focussize="0,0"/>
                <v:stroke weight="1.5pt" color="#FF0000"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4864" behindDoc="0" locked="0" layoutInCell="1" allowOverlap="1">
                <wp:simplePos x="0" y="0"/>
                <wp:positionH relativeFrom="column">
                  <wp:posOffset>6887210</wp:posOffset>
                </wp:positionH>
                <wp:positionV relativeFrom="paragraph">
                  <wp:posOffset>4210050</wp:posOffset>
                </wp:positionV>
                <wp:extent cx="208280" cy="129540"/>
                <wp:effectExtent l="9525" t="9525" r="10795" b="13335"/>
                <wp:wrapNone/>
                <wp:docPr id="103" name="矩形 76"/>
                <wp:cNvGraphicFramePr/>
                <a:graphic xmlns:a="http://schemas.openxmlformats.org/drawingml/2006/main">
                  <a:graphicData uri="http://schemas.microsoft.com/office/word/2010/wordprocessingShape">
                    <wps:wsp>
                      <wps:cNvSpPr/>
                      <wps:spPr>
                        <a:xfrm>
                          <a:off x="0" y="0"/>
                          <a:ext cx="208280" cy="129540"/>
                        </a:xfrm>
                        <a:prstGeom prst="rect">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542.3pt;margin-top:331.5pt;height:10.2pt;width:16.4pt;z-index:251684864;v-text-anchor:middle;mso-width-relative:page;mso-height-relative:page;" filled="f" stroked="t" coordsize="21600,21600" o:gfxdata="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nTs9raAAAADQEAAA8AAAAAAAAAAQAgAAAAIgAAAGRycy9k&#10;b3ducmV2LnhtbFBLAQIUABQAAAAIAIdO4kC/oiHWcgIAANsEAAAOAAAAAAAAAAEAIAAAACkBAABk&#10;cnMvZTJvRG9jLnhtbFBLBQYAAAAABgAGAFkBAAANBgAAAAA=&#10;">
                <v:fill on="f" focussize="0,0"/>
                <v:stroke weight="1.5pt" color="#FFFF00"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6912" behindDoc="0" locked="0" layoutInCell="1" allowOverlap="1">
                <wp:simplePos x="0" y="0"/>
                <wp:positionH relativeFrom="column">
                  <wp:posOffset>6887210</wp:posOffset>
                </wp:positionH>
                <wp:positionV relativeFrom="paragraph">
                  <wp:posOffset>4716145</wp:posOffset>
                </wp:positionV>
                <wp:extent cx="208280" cy="129540"/>
                <wp:effectExtent l="9525" t="9525" r="10795" b="13335"/>
                <wp:wrapNone/>
                <wp:docPr id="109" name="矩形 84"/>
                <wp:cNvGraphicFramePr/>
                <a:graphic xmlns:a="http://schemas.openxmlformats.org/drawingml/2006/main">
                  <a:graphicData uri="http://schemas.microsoft.com/office/word/2010/wordprocessingShape">
                    <wps:wsp>
                      <wps:cNvSpPr/>
                      <wps:spPr>
                        <a:xfrm>
                          <a:off x="0" y="0"/>
                          <a:ext cx="208280" cy="129540"/>
                        </a:xfrm>
                        <a:prstGeom prst="rect">
                          <a:avLst/>
                        </a:prstGeom>
                        <a:solidFill>
                          <a:srgbClr val="FFFF00"/>
                        </a:solid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4" o:spid="_x0000_s1026" o:spt="1" style="position:absolute;left:0pt;margin-left:542.3pt;margin-top:371.35pt;height:10.2pt;width:16.4pt;z-index:251686912;v-text-anchor:middle;mso-width-relative:page;mso-height-relative:page;" fillcolor="#FFFF00" filled="t" stroked="t" coordsize="21600,21600" o:gfxdata="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6pPF7aAAAADQEAAA8AAAAAAAAAAQAgAAAAIgAAAGRycy9k&#10;b3ducmV2LnhtbFBLAQIUABQAAAAIAIdO4kCb+PaOcgIAAAQFAAAOAAAAAAAAAAEAIAAAACkBAABk&#10;cnMvZTJvRG9jLnhtbFBLBQYAAAAABgAGAFkBAAANBgAAAAA=&#10;">
                <v:fill on="t" focussize="0,0"/>
                <v:stroke weight="1.5pt" color="#FFFF00"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2816" behindDoc="0" locked="0" layoutInCell="1" allowOverlap="1">
                <wp:simplePos x="0" y="0"/>
                <wp:positionH relativeFrom="column">
                  <wp:posOffset>6807200</wp:posOffset>
                </wp:positionH>
                <wp:positionV relativeFrom="paragraph">
                  <wp:posOffset>3614420</wp:posOffset>
                </wp:positionV>
                <wp:extent cx="1553845" cy="1562100"/>
                <wp:effectExtent l="4445" t="4445" r="22860" b="14605"/>
                <wp:wrapNone/>
                <wp:docPr id="78" name="文本框 73"/>
                <wp:cNvGraphicFramePr/>
                <a:graphic xmlns:a="http://schemas.openxmlformats.org/drawingml/2006/main">
                  <a:graphicData uri="http://schemas.microsoft.com/office/word/2010/wordprocessingShape">
                    <wps:wsp>
                      <wps:cNvSpPr txBox="1"/>
                      <wps:spPr>
                        <a:xfrm>
                          <a:off x="0" y="0"/>
                          <a:ext cx="1553845" cy="1562100"/>
                        </a:xfrm>
                        <a:prstGeom prst="rect">
                          <a:avLst/>
                        </a:prstGeom>
                        <a:solidFill>
                          <a:srgbClr val="FFFFFF"/>
                        </a:solidFill>
                        <a:ln w="6350">
                          <a:solidFill>
                            <a:prstClr val="black"/>
                          </a:solidFill>
                        </a:ln>
                        <a:effectLst/>
                      </wps:spPr>
                      <wps:txbx>
                        <w:txbxContent>
                          <w:p w14:paraId="6DFCC090">
                            <w:pPr>
                              <w:adjustRightInd w:val="0"/>
                              <w:snapToGrid w:val="0"/>
                              <w:spacing w:line="360" w:lineRule="auto"/>
                              <w:jc w:val="center"/>
                            </w:pPr>
                            <w:r>
                              <w:rPr>
                                <w:rFonts w:hint="eastAsia"/>
                              </w:rPr>
                              <w:t>图例</w:t>
                            </w:r>
                          </w:p>
                          <w:p w14:paraId="5E431257">
                            <w:pPr>
                              <w:adjustRightInd w:val="0"/>
                              <w:snapToGrid w:val="0"/>
                              <w:spacing w:line="360" w:lineRule="auto"/>
                              <w:ind w:firstLine="420" w:firstLineChars="200"/>
                            </w:pPr>
                            <w:r>
                              <w:rPr>
                                <w:rFonts w:hint="eastAsia"/>
                              </w:rPr>
                              <w:t>项目位置</w:t>
                            </w:r>
                          </w:p>
                          <w:p w14:paraId="6368DBDA">
                            <w:pPr>
                              <w:adjustRightInd w:val="0"/>
                              <w:snapToGrid w:val="0"/>
                              <w:spacing w:line="360" w:lineRule="auto"/>
                              <w:ind w:firstLine="420" w:firstLineChars="200"/>
                            </w:pPr>
                            <w:r>
                              <w:rPr>
                                <w:rFonts w:hint="eastAsia"/>
                              </w:rPr>
                              <w:t>大气环境保护范围</w:t>
                            </w:r>
                          </w:p>
                          <w:p w14:paraId="037F688B">
                            <w:pPr>
                              <w:adjustRightInd w:val="0"/>
                              <w:snapToGrid w:val="0"/>
                              <w:spacing w:line="360" w:lineRule="auto"/>
                              <w:ind w:firstLine="420" w:firstLineChars="200"/>
                            </w:pPr>
                            <w:r>
                              <w:rPr>
                                <w:rFonts w:hint="eastAsia"/>
                              </w:rPr>
                              <w:t>声环境保护范围</w:t>
                            </w:r>
                          </w:p>
                          <w:p w14:paraId="4DA81091">
                            <w:pPr>
                              <w:adjustRightInd w:val="0"/>
                              <w:snapToGrid w:val="0"/>
                              <w:spacing w:line="360" w:lineRule="auto"/>
                              <w:ind w:firstLine="420" w:firstLineChars="200"/>
                            </w:pPr>
                            <w:r>
                              <w:rPr>
                                <w:rFonts w:hint="eastAsia"/>
                              </w:rPr>
                              <w:t>大气保护目标</w:t>
                            </w:r>
                          </w:p>
                          <w:p w14:paraId="3EE628F5">
                            <w:pPr>
                              <w:adjustRightInd w:val="0"/>
                              <w:snapToGrid w:val="0"/>
                              <w:spacing w:line="360" w:lineRule="auto"/>
                              <w:jc w:val="both"/>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3" o:spid="_x0000_s1026" o:spt="202" type="#_x0000_t202" style="position:absolute;left:0pt;margin-left:536pt;margin-top:284.6pt;height:123pt;width:122.35pt;z-index:251682816;mso-width-relative:page;mso-height-relative:page;" fillcolor="#FFFFFF" filled="t" stroked="t" coordsize="21600,21600" o:gfxdata="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8W2ItgAAAANAQAADwAAAAAAAAABACAAAAAiAAAAZHJzL2Rvd25yZXYueG1sUEsBAhQA&#10;FAAAAAgAh07iQPJynSxkAgAAyAQAAA4AAAAAAAAAAQAgAAAAJwEAAGRycy9lMm9Eb2MueG1sUEsF&#10;BgAAAAAGAAYAWQEAAP0FAAAAAA==&#10;">
                <v:fill on="t" focussize="0,0"/>
                <v:stroke weight="0.5pt" color="#000000" joinstyle="round"/>
                <v:imagedata o:title=""/>
                <o:lock v:ext="edit" aspectratio="f"/>
                <v:textbox>
                  <w:txbxContent>
                    <w:p w14:paraId="6DFCC090">
                      <w:pPr>
                        <w:adjustRightInd w:val="0"/>
                        <w:snapToGrid w:val="0"/>
                        <w:spacing w:line="360" w:lineRule="auto"/>
                        <w:jc w:val="center"/>
                      </w:pPr>
                      <w:r>
                        <w:rPr>
                          <w:rFonts w:hint="eastAsia"/>
                        </w:rPr>
                        <w:t>图例</w:t>
                      </w:r>
                    </w:p>
                    <w:p w14:paraId="5E431257">
                      <w:pPr>
                        <w:adjustRightInd w:val="0"/>
                        <w:snapToGrid w:val="0"/>
                        <w:spacing w:line="360" w:lineRule="auto"/>
                        <w:ind w:firstLine="420" w:firstLineChars="200"/>
                      </w:pPr>
                      <w:r>
                        <w:rPr>
                          <w:rFonts w:hint="eastAsia"/>
                        </w:rPr>
                        <w:t>项目位置</w:t>
                      </w:r>
                    </w:p>
                    <w:p w14:paraId="6368DBDA">
                      <w:pPr>
                        <w:adjustRightInd w:val="0"/>
                        <w:snapToGrid w:val="0"/>
                        <w:spacing w:line="360" w:lineRule="auto"/>
                        <w:ind w:firstLine="420" w:firstLineChars="200"/>
                      </w:pPr>
                      <w:r>
                        <w:rPr>
                          <w:rFonts w:hint="eastAsia"/>
                        </w:rPr>
                        <w:t>大气环境保护范围</w:t>
                      </w:r>
                    </w:p>
                    <w:p w14:paraId="037F688B">
                      <w:pPr>
                        <w:adjustRightInd w:val="0"/>
                        <w:snapToGrid w:val="0"/>
                        <w:spacing w:line="360" w:lineRule="auto"/>
                        <w:ind w:firstLine="420" w:firstLineChars="200"/>
                      </w:pPr>
                      <w:r>
                        <w:rPr>
                          <w:rFonts w:hint="eastAsia"/>
                        </w:rPr>
                        <w:t>声环境保护范围</w:t>
                      </w:r>
                    </w:p>
                    <w:p w14:paraId="4DA81091">
                      <w:pPr>
                        <w:adjustRightInd w:val="0"/>
                        <w:snapToGrid w:val="0"/>
                        <w:spacing w:line="360" w:lineRule="auto"/>
                        <w:ind w:firstLine="420" w:firstLineChars="200"/>
                      </w:pPr>
                      <w:r>
                        <w:rPr>
                          <w:rFonts w:hint="eastAsia"/>
                        </w:rPr>
                        <w:t>大气保护目标</w:t>
                      </w:r>
                    </w:p>
                    <w:p w14:paraId="3EE628F5">
                      <w:pPr>
                        <w:adjustRightInd w:val="0"/>
                        <w:snapToGrid w:val="0"/>
                        <w:spacing w:line="360" w:lineRule="auto"/>
                        <w:jc w:val="both"/>
                        <w:rPr>
                          <w:rFonts w:hint="default" w:eastAsia="宋体"/>
                          <w:lang w:val="en-US"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-5499735</wp:posOffset>
                </wp:positionH>
                <wp:positionV relativeFrom="paragraph">
                  <wp:posOffset>5093970</wp:posOffset>
                </wp:positionV>
                <wp:extent cx="3177540" cy="793750"/>
                <wp:effectExtent l="0" t="0" r="0" b="0"/>
                <wp:wrapNone/>
                <wp:docPr id="45" name="文本框 18"/>
                <wp:cNvGraphicFramePr/>
                <a:graphic xmlns:a="http://schemas.openxmlformats.org/drawingml/2006/main">
                  <a:graphicData uri="http://schemas.microsoft.com/office/word/2010/wordprocessingShape">
                    <wps:wsp>
                      <wps:cNvSpPr txBox="1"/>
                      <wps:spPr>
                        <a:xfrm>
                          <a:off x="0" y="0"/>
                          <a:ext cx="3177540" cy="793750"/>
                        </a:xfrm>
                        <a:prstGeom prst="rect">
                          <a:avLst/>
                        </a:prstGeom>
                        <a:noFill/>
                        <a:ln w="6350">
                          <a:noFill/>
                        </a:ln>
                        <a:effectLst/>
                      </wps:spPr>
                      <wps:txbx>
                        <w:txbxContent>
                          <w:p w14:paraId="4316D63C">
                            <w:pPr>
                              <w:pStyle w:val="6"/>
                              <w:ind w:left="0" w:leftChars="0" w:firstLine="0" w:firstLineChars="0"/>
                              <w:jc w:val="center"/>
                              <w:outlineLvl w:val="0"/>
                            </w:pPr>
                            <w:r>
                              <w:rPr>
                                <w:rFonts w:ascii="Times New Roman" w:hAnsi="Times New Roman" w:eastAsia="黑体" w:cs="Times New Roman"/>
                                <w:snapToGrid w:val="0"/>
                                <w:kern w:val="0"/>
                                <w:sz w:val="28"/>
                                <w:szCs w:val="28"/>
                              </w:rPr>
                              <w:t xml:space="preserve">附图2 </w:t>
                            </w:r>
                            <w:r>
                              <w:rPr>
                                <w:rFonts w:hint="eastAsia" w:ascii="Times New Roman" w:hAnsi="Times New Roman" w:eastAsia="黑体" w:cs="Times New Roman"/>
                                <w:snapToGrid w:val="0"/>
                                <w:kern w:val="0"/>
                                <w:sz w:val="28"/>
                                <w:szCs w:val="28"/>
                              </w:rPr>
                              <w:t>鸡西市</w:t>
                            </w:r>
                            <w:r>
                              <w:rPr>
                                <w:rFonts w:ascii="Times New Roman" w:hAnsi="Times New Roman" w:eastAsia="黑体" w:cs="Times New Roman"/>
                                <w:snapToGrid w:val="0"/>
                                <w:kern w:val="0"/>
                                <w:sz w:val="28"/>
                                <w:szCs w:val="28"/>
                              </w:rPr>
                              <w:t>环境管控单元</w:t>
                            </w:r>
                            <w:r>
                              <w:rPr>
                                <w:rFonts w:hint="eastAsia" w:ascii="Times New Roman" w:hAnsi="Times New Roman" w:eastAsia="黑体" w:cs="Times New Roman"/>
                                <w:snapToGrid w:val="0"/>
                                <w:kern w:val="0"/>
                                <w:sz w:val="28"/>
                                <w:szCs w:val="28"/>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8" o:spid="_x0000_s1026" o:spt="202" type="#_x0000_t202" style="position:absolute;left:0pt;margin-left:-433.05pt;margin-top:401.1pt;height:62.5pt;width:250.2pt;z-index:251666432;mso-width-relative:page;mso-height-relative:page;" filled="f" stroked="f" coordsize="21600,21600" o:gfxdata="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SAV/+d4AAAANAQAADwAAAAAAAAAB&#10;ACAAAAAiAAAAZHJzL2Rvd25yZXYueG1sUEsBAhQAFAAAAAgAh07iQIKcm5lDAgAAdgQAAA4AAAAA&#10;AAAAAQAgAAAALQEAAGRycy9lMm9Eb2MueG1sUEsFBgAAAAAGAAYAWQEAAOIFAAAAAA==&#10;">
                <v:fill on="f" focussize="0,0"/>
                <v:stroke on="f" weight="0.5pt"/>
                <v:imagedata o:title=""/>
                <o:lock v:ext="edit" aspectratio="f"/>
                <v:textbox>
                  <w:txbxContent>
                    <w:p w14:paraId="4316D63C">
                      <w:pPr>
                        <w:pStyle w:val="6"/>
                        <w:ind w:left="0" w:leftChars="0" w:firstLine="0" w:firstLineChars="0"/>
                        <w:jc w:val="center"/>
                        <w:outlineLvl w:val="0"/>
                      </w:pPr>
                      <w:r>
                        <w:rPr>
                          <w:rFonts w:ascii="Times New Roman" w:hAnsi="Times New Roman" w:eastAsia="黑体" w:cs="Times New Roman"/>
                          <w:snapToGrid w:val="0"/>
                          <w:kern w:val="0"/>
                          <w:sz w:val="28"/>
                          <w:szCs w:val="28"/>
                        </w:rPr>
                        <w:t xml:space="preserve">附图2 </w:t>
                      </w:r>
                      <w:r>
                        <w:rPr>
                          <w:rFonts w:hint="eastAsia" w:ascii="Times New Roman" w:hAnsi="Times New Roman" w:eastAsia="黑体" w:cs="Times New Roman"/>
                          <w:snapToGrid w:val="0"/>
                          <w:kern w:val="0"/>
                          <w:sz w:val="28"/>
                          <w:szCs w:val="28"/>
                        </w:rPr>
                        <w:t>鸡西市</w:t>
                      </w:r>
                      <w:r>
                        <w:rPr>
                          <w:rFonts w:ascii="Times New Roman" w:hAnsi="Times New Roman" w:eastAsia="黑体" w:cs="Times New Roman"/>
                          <w:snapToGrid w:val="0"/>
                          <w:kern w:val="0"/>
                          <w:sz w:val="28"/>
                          <w:szCs w:val="28"/>
                        </w:rPr>
                        <w:t>环境管控单元</w:t>
                      </w:r>
                      <w:r>
                        <w:rPr>
                          <w:rFonts w:hint="eastAsia" w:ascii="Times New Roman" w:hAnsi="Times New Roman" w:eastAsia="黑体" w:cs="Times New Roman"/>
                          <w:snapToGrid w:val="0"/>
                          <w:kern w:val="0"/>
                          <w:sz w:val="28"/>
                          <w:szCs w:val="28"/>
                        </w:rPr>
                        <w:t>图</w:t>
                      </w:r>
                    </w:p>
                  </w:txbxContent>
                </v:textbox>
              </v:shape>
            </w:pict>
          </mc:Fallback>
        </mc:AlternateContent>
      </w:r>
      <w:bookmarkEnd w:id="83"/>
      <w:bookmarkEnd w:id="84"/>
      <w:bookmarkEnd w:id="85"/>
      <w:bookmarkEnd w:id="86"/>
      <w:bookmarkEnd w:id="87"/>
    </w:p>
    <w:p w14:paraId="6C671369">
      <w:pPr>
        <w:spacing w:afterLines="50"/>
        <w:jc w:val="center"/>
        <w:outlineLvl w:val="0"/>
        <w:rPr>
          <w:rFonts w:ascii="宋体" w:hAnsi="宋体" w:cs="宋体"/>
          <w:b/>
          <w:color w:val="auto"/>
          <w:sz w:val="28"/>
          <w:szCs w:val="28"/>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88" w:name="_Toc4127"/>
      <w:bookmarkStart w:id="89" w:name="_Toc5453"/>
      <w:bookmarkStart w:id="90" w:name="_Toc12101"/>
      <w:bookmarkStart w:id="91" w:name="_Toc13147"/>
      <w:bookmarkStart w:id="92" w:name="_Toc28694"/>
      <w:r>
        <w:rPr>
          <w:rFonts w:hint="eastAsia" w:ascii="宋体" w:hAnsi="宋体" w:cs="宋体"/>
          <w:b/>
          <w:color w:val="auto"/>
          <w:sz w:val="28"/>
          <w:szCs w:val="28"/>
          <w:highlight w:val="none"/>
        </w:rPr>
        <w:t>附</w:t>
      </w:r>
      <w:r>
        <w:rPr>
          <w:rFonts w:hint="default" w:ascii="Times New Roman" w:hAnsi="Times New Roman" w:cs="Times New Roman"/>
          <w:b/>
          <w:color w:val="auto"/>
          <w:sz w:val="28"/>
          <w:szCs w:val="28"/>
          <w:highlight w:val="none"/>
        </w:rPr>
        <w:t>图4</w:t>
      </w:r>
      <w:r>
        <w:rPr>
          <w:rFonts w:hint="eastAsia" w:ascii="宋体" w:hAnsi="宋体" w:cs="宋体"/>
          <w:b/>
          <w:color w:val="auto"/>
          <w:sz w:val="28"/>
          <w:szCs w:val="28"/>
          <w:highlight w:val="none"/>
        </w:rPr>
        <w:t>环境保护目标图</w:t>
      </w:r>
      <w:bookmarkEnd w:id="88"/>
      <w:bookmarkEnd w:id="89"/>
      <w:bookmarkEnd w:id="90"/>
      <w:bookmarkEnd w:id="91"/>
      <w:bookmarkEnd w:id="92"/>
    </w:p>
    <w:p w14:paraId="0FD2AB12">
      <w:pPr>
        <w:jc w:val="center"/>
        <w:rPr>
          <w:color w:val="auto"/>
          <w:highlight w:val="none"/>
        </w:rPr>
      </w:pPr>
    </w:p>
    <w:tbl>
      <w:tblPr>
        <w:tblStyle w:val="23"/>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3"/>
        <w:gridCol w:w="6393"/>
      </w:tblGrid>
      <w:tr w14:paraId="1FF86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1" w:hRule="atLeast"/>
          <w:jc w:val="center"/>
        </w:trPr>
        <w:tc>
          <w:tcPr>
            <w:tcW w:w="2505" w:type="pct"/>
            <w:noWrap/>
            <w:vAlign w:val="center"/>
          </w:tcPr>
          <w:p w14:paraId="1AAEA809">
            <w:pPr>
              <w:rPr>
                <w:rFonts w:ascii="Calibri" w:hAnsi="Calibri"/>
                <w:color w:val="auto"/>
                <w:highlight w:val="none"/>
              </w:rPr>
            </w:pPr>
            <w:r>
              <w:rPr>
                <w:rFonts w:hint="eastAsia" w:ascii="Calibri" w:hAnsi="Calibri"/>
                <w:color w:val="auto"/>
                <w:highlight w:val="none"/>
              </w:rPr>
              <w:drawing>
                <wp:inline distT="0" distB="0" distL="114300" distR="114300">
                  <wp:extent cx="3933190" cy="2339340"/>
                  <wp:effectExtent l="0" t="0" r="10160" b="3810"/>
                  <wp:docPr id="96" name="图片 96" descr="8e7f9a0ea23f1a244a4b5f733cea27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8e7f9a0ea23f1a244a4b5f733cea271d"/>
                          <pic:cNvPicPr>
                            <a:picLocks noChangeAspect="1"/>
                          </pic:cNvPicPr>
                        </pic:nvPicPr>
                        <pic:blipFill>
                          <a:blip r:embed="rId41"/>
                          <a:stretch>
                            <a:fillRect/>
                          </a:stretch>
                        </pic:blipFill>
                        <pic:spPr>
                          <a:xfrm>
                            <a:off x="0" y="0"/>
                            <a:ext cx="3933190" cy="2339340"/>
                          </a:xfrm>
                          <a:prstGeom prst="rect">
                            <a:avLst/>
                          </a:prstGeom>
                        </pic:spPr>
                      </pic:pic>
                    </a:graphicData>
                  </a:graphic>
                </wp:inline>
              </w:drawing>
            </w:r>
          </w:p>
        </w:tc>
        <w:tc>
          <w:tcPr>
            <w:tcW w:w="2494" w:type="pct"/>
            <w:noWrap/>
            <w:vAlign w:val="center"/>
          </w:tcPr>
          <w:p w14:paraId="0E15AE50">
            <w:pPr>
              <w:jc w:val="center"/>
              <w:rPr>
                <w:rFonts w:ascii="Calibri" w:hAnsi="Calibri"/>
                <w:color w:val="auto"/>
                <w:highlight w:val="none"/>
              </w:rPr>
            </w:pPr>
            <w:r>
              <w:rPr>
                <w:rFonts w:hint="eastAsia" w:ascii="Calibri" w:hAnsi="Calibri"/>
                <w:color w:val="auto"/>
                <w:highlight w:val="none"/>
              </w:rPr>
              <w:drawing>
                <wp:inline distT="0" distB="0" distL="114300" distR="114300">
                  <wp:extent cx="3916045" cy="2357120"/>
                  <wp:effectExtent l="0" t="0" r="8255" b="5080"/>
                  <wp:docPr id="98" name="图片 98" descr="3c52f8cd7623d29a5584225c68e0c7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3c52f8cd7623d29a5584225c68e0c71e"/>
                          <pic:cNvPicPr>
                            <a:picLocks noChangeAspect="1"/>
                          </pic:cNvPicPr>
                        </pic:nvPicPr>
                        <pic:blipFill>
                          <a:blip r:embed="rId42"/>
                          <a:stretch>
                            <a:fillRect/>
                          </a:stretch>
                        </pic:blipFill>
                        <pic:spPr>
                          <a:xfrm>
                            <a:off x="0" y="0"/>
                            <a:ext cx="3916045" cy="2357120"/>
                          </a:xfrm>
                          <a:prstGeom prst="rect">
                            <a:avLst/>
                          </a:prstGeom>
                        </pic:spPr>
                      </pic:pic>
                    </a:graphicData>
                  </a:graphic>
                </wp:inline>
              </w:drawing>
            </w:r>
          </w:p>
        </w:tc>
      </w:tr>
      <w:tr w14:paraId="00E9F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ign w:val="center"/>
          </w:tcPr>
          <w:p w14:paraId="3DCEBF97">
            <w:pPr>
              <w:jc w:val="center"/>
              <w:rPr>
                <w:rFonts w:ascii="Calibri" w:hAnsi="Calibri"/>
                <w:color w:val="auto"/>
                <w:highlight w:val="none"/>
              </w:rPr>
            </w:pPr>
            <w:r>
              <w:rPr>
                <w:rFonts w:hint="eastAsia" w:ascii="Calibri" w:hAnsi="Calibri"/>
                <w:color w:val="auto"/>
                <w:highlight w:val="none"/>
              </w:rPr>
              <w:t>项目东侧</w:t>
            </w:r>
          </w:p>
        </w:tc>
        <w:tc>
          <w:tcPr>
            <w:tcW w:w="2494" w:type="pct"/>
            <w:noWrap/>
            <w:vAlign w:val="center"/>
          </w:tcPr>
          <w:p w14:paraId="7546ADEF">
            <w:pPr>
              <w:jc w:val="center"/>
              <w:rPr>
                <w:rFonts w:ascii="Calibri" w:hAnsi="Calibri"/>
                <w:color w:val="auto"/>
                <w:highlight w:val="none"/>
              </w:rPr>
            </w:pPr>
            <w:r>
              <w:rPr>
                <w:rFonts w:hint="eastAsia" w:ascii="Calibri" w:hAnsi="Calibri"/>
                <w:color w:val="auto"/>
                <w:highlight w:val="none"/>
              </w:rPr>
              <w:t>项目南侧</w:t>
            </w:r>
          </w:p>
        </w:tc>
      </w:tr>
      <w:tr w14:paraId="10970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ign w:val="center"/>
          </w:tcPr>
          <w:p w14:paraId="329D292E">
            <w:pPr>
              <w:rPr>
                <w:rFonts w:ascii="Calibri" w:hAnsi="Calibri"/>
                <w:color w:val="auto"/>
                <w:highlight w:val="none"/>
              </w:rPr>
            </w:pPr>
            <w:r>
              <w:rPr>
                <w:rFonts w:hint="eastAsia" w:ascii="Calibri" w:hAnsi="Calibri"/>
                <w:color w:val="auto"/>
                <w:highlight w:val="none"/>
              </w:rPr>
              <w:drawing>
                <wp:inline distT="0" distB="0" distL="114300" distR="114300">
                  <wp:extent cx="3932555" cy="2212340"/>
                  <wp:effectExtent l="0" t="0" r="10795" b="16510"/>
                  <wp:docPr id="99" name="图片 99" descr="24a6b49463696dd4d8852049856cdd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4a6b49463696dd4d8852049856cdd7e"/>
                          <pic:cNvPicPr>
                            <a:picLocks noChangeAspect="1"/>
                          </pic:cNvPicPr>
                        </pic:nvPicPr>
                        <pic:blipFill>
                          <a:blip r:embed="rId43"/>
                          <a:stretch>
                            <a:fillRect/>
                          </a:stretch>
                        </pic:blipFill>
                        <pic:spPr>
                          <a:xfrm>
                            <a:off x="0" y="0"/>
                            <a:ext cx="3932555" cy="2212340"/>
                          </a:xfrm>
                          <a:prstGeom prst="rect">
                            <a:avLst/>
                          </a:prstGeom>
                        </pic:spPr>
                      </pic:pic>
                    </a:graphicData>
                  </a:graphic>
                </wp:inline>
              </w:drawing>
            </w:r>
          </w:p>
        </w:tc>
        <w:tc>
          <w:tcPr>
            <w:tcW w:w="2494" w:type="pct"/>
            <w:noWrap/>
            <w:vAlign w:val="center"/>
          </w:tcPr>
          <w:p w14:paraId="549C656B">
            <w:pPr>
              <w:rPr>
                <w:rFonts w:ascii="Calibri" w:hAnsi="Calibri"/>
                <w:color w:val="auto"/>
                <w:highlight w:val="none"/>
              </w:rPr>
            </w:pPr>
            <w:r>
              <w:rPr>
                <w:rFonts w:hint="eastAsia" w:ascii="Calibri" w:hAnsi="Calibri"/>
                <w:color w:val="auto"/>
                <w:highlight w:val="none"/>
              </w:rPr>
              <w:drawing>
                <wp:inline distT="0" distB="0" distL="114300" distR="114300">
                  <wp:extent cx="3916045" cy="2218055"/>
                  <wp:effectExtent l="0" t="0" r="8255" b="10795"/>
                  <wp:docPr id="97" name="图片 97" descr="94ad1a1b20c016ede66bc395ee541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94ad1a1b20c016ede66bc395ee5413bb"/>
                          <pic:cNvPicPr>
                            <a:picLocks noChangeAspect="1"/>
                          </pic:cNvPicPr>
                        </pic:nvPicPr>
                        <pic:blipFill>
                          <a:blip r:embed="rId44"/>
                          <a:stretch>
                            <a:fillRect/>
                          </a:stretch>
                        </pic:blipFill>
                        <pic:spPr>
                          <a:xfrm>
                            <a:off x="0" y="0"/>
                            <a:ext cx="3916045" cy="2218055"/>
                          </a:xfrm>
                          <a:prstGeom prst="rect">
                            <a:avLst/>
                          </a:prstGeom>
                        </pic:spPr>
                      </pic:pic>
                    </a:graphicData>
                  </a:graphic>
                </wp:inline>
              </w:drawing>
            </w:r>
          </w:p>
        </w:tc>
      </w:tr>
      <w:tr w14:paraId="2372E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ign w:val="center"/>
          </w:tcPr>
          <w:p w14:paraId="22DD593F">
            <w:pPr>
              <w:jc w:val="center"/>
              <w:rPr>
                <w:rFonts w:ascii="Calibri" w:hAnsi="Calibri"/>
                <w:color w:val="auto"/>
                <w:highlight w:val="none"/>
              </w:rPr>
            </w:pPr>
            <w:r>
              <w:rPr>
                <w:rFonts w:hint="eastAsia" w:ascii="Calibri" w:hAnsi="Calibri"/>
                <w:color w:val="auto"/>
                <w:highlight w:val="none"/>
              </w:rPr>
              <w:t>项目西侧</w:t>
            </w:r>
          </w:p>
        </w:tc>
        <w:tc>
          <w:tcPr>
            <w:tcW w:w="2494" w:type="pct"/>
            <w:noWrap/>
            <w:vAlign w:val="center"/>
          </w:tcPr>
          <w:p w14:paraId="33446559">
            <w:pPr>
              <w:ind w:firstLine="210" w:firstLineChars="100"/>
              <w:jc w:val="center"/>
              <w:rPr>
                <w:rFonts w:ascii="Calibri" w:hAnsi="Calibri"/>
                <w:color w:val="auto"/>
                <w:highlight w:val="none"/>
              </w:rPr>
            </w:pPr>
            <w:r>
              <w:rPr>
                <w:rFonts w:hint="eastAsia" w:ascii="Calibri" w:hAnsi="Calibri"/>
                <w:color w:val="auto"/>
                <w:highlight w:val="none"/>
              </w:rPr>
              <w:t>项目北侧</w:t>
            </w:r>
          </w:p>
        </w:tc>
      </w:tr>
    </w:tbl>
    <w:p w14:paraId="2CF47F97">
      <w:pPr>
        <w:spacing w:afterLines="50"/>
        <w:jc w:val="center"/>
        <w:outlineLvl w:val="0"/>
        <w:rPr>
          <w:rFonts w:ascii="Times New Roman" w:hAnsi="Times New Roman" w:cs="Times New Roman"/>
          <w:b/>
          <w:color w:val="auto"/>
          <w:sz w:val="28"/>
          <w:szCs w:val="28"/>
          <w:highlight w:val="none"/>
        </w:rPr>
      </w:pPr>
      <w:bookmarkStart w:id="93" w:name="_Toc15181"/>
      <w:bookmarkStart w:id="94" w:name="_Toc463"/>
      <w:bookmarkStart w:id="95" w:name="_Toc14121"/>
      <w:bookmarkStart w:id="96" w:name="_Toc19885"/>
      <w:bookmarkStart w:id="97" w:name="_Toc5564"/>
      <w:bookmarkStart w:id="98" w:name="_Toc13158"/>
      <w:r>
        <w:rPr>
          <w:rFonts w:hint="default" w:ascii="Times New Roman" w:hAnsi="Times New Roman" w:cs="Times New Roman"/>
          <w:b/>
          <w:color w:val="auto"/>
          <w:sz w:val="28"/>
          <w:szCs w:val="28"/>
          <w:highlight w:val="none"/>
        </w:rPr>
        <w:t>附图5</w:t>
      </w:r>
      <w:bookmarkEnd w:id="93"/>
      <w:bookmarkEnd w:id="94"/>
      <w:bookmarkEnd w:id="95"/>
      <w:bookmarkEnd w:id="96"/>
      <w:bookmarkEnd w:id="97"/>
      <w:bookmarkEnd w:id="98"/>
      <w:r>
        <w:rPr>
          <w:rFonts w:hint="default" w:ascii="Times New Roman" w:hAnsi="Times New Roman" w:cs="Times New Roman"/>
          <w:b/>
          <w:color w:val="auto"/>
          <w:sz w:val="28"/>
          <w:szCs w:val="28"/>
          <w:highlight w:val="none"/>
        </w:rPr>
        <w:t>厂界照片</w:t>
      </w:r>
    </w:p>
    <w:p w14:paraId="0D065405">
      <w:pPr>
        <w:pStyle w:val="8"/>
        <w:ind w:firstLine="210"/>
        <w:rPr>
          <w:rFonts w:hint="eastAsia" w:eastAsia="宋体"/>
          <w:color w:val="auto"/>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2C217237">
      <w:pPr>
        <w:pStyle w:val="28"/>
        <w:ind w:firstLine="0" w:firstLineChars="0"/>
        <w:jc w:val="center"/>
        <w:rPr>
          <w:rFonts w:hint="eastAsia" w:ascii="宋体" w:hAnsi="宋体" w:eastAsia="宋体" w:cs="宋体"/>
          <w:b/>
          <w:bCs/>
          <w:snapToGrid w:val="0"/>
          <w:color w:val="auto"/>
          <w:sz w:val="32"/>
          <w:szCs w:val="32"/>
          <w:highlight w:val="none"/>
          <w:lang w:eastAsia="zh-CN"/>
        </w:rPr>
      </w:pPr>
      <w:bookmarkStart w:id="99" w:name="_Toc24992"/>
      <w:bookmarkStart w:id="100" w:name="_Toc30429"/>
      <w:bookmarkStart w:id="101" w:name="_Toc13214"/>
      <w:bookmarkStart w:id="102" w:name="_Toc25379"/>
      <w:bookmarkStart w:id="103" w:name="_Toc21601"/>
      <w:r>
        <w:rPr>
          <w:rFonts w:hint="eastAsia" w:ascii="宋体" w:hAnsi="宋体" w:eastAsia="宋体" w:cs="宋体"/>
          <w:b/>
          <w:bCs/>
          <w:snapToGrid w:val="0"/>
          <w:color w:val="auto"/>
          <w:sz w:val="32"/>
          <w:szCs w:val="32"/>
          <w:highlight w:val="none"/>
          <w:lang w:eastAsia="zh-CN"/>
        </w:rPr>
        <w:drawing>
          <wp:inline distT="0" distB="0" distL="114300" distR="114300">
            <wp:extent cx="7285990" cy="5164455"/>
            <wp:effectExtent l="0" t="0" r="10160" b="17145"/>
            <wp:docPr id="53" name="图片 53" descr="自行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自行监测点位图"/>
                    <pic:cNvPicPr>
                      <a:picLocks noChangeAspect="1"/>
                    </pic:cNvPicPr>
                  </pic:nvPicPr>
                  <pic:blipFill>
                    <a:blip r:embed="rId45"/>
                    <a:stretch>
                      <a:fillRect/>
                    </a:stretch>
                  </pic:blipFill>
                  <pic:spPr>
                    <a:xfrm>
                      <a:off x="0" y="0"/>
                      <a:ext cx="7285990" cy="5164455"/>
                    </a:xfrm>
                    <a:prstGeom prst="rect">
                      <a:avLst/>
                    </a:prstGeom>
                  </pic:spPr>
                </pic:pic>
              </a:graphicData>
            </a:graphic>
          </wp:inline>
        </w:drawing>
      </w:r>
    </w:p>
    <w:p w14:paraId="5B90C88C">
      <w:pPr>
        <w:adjustRightInd w:val="0"/>
        <w:snapToGrid w:val="0"/>
        <w:spacing w:afterLines="0"/>
        <w:jc w:val="center"/>
        <w:outlineLvl w:val="0"/>
        <w:rPr>
          <w:rFonts w:hint="eastAsia" w:ascii="宋体" w:hAnsi="宋体" w:cs="宋体"/>
          <w:b/>
          <w:color w:val="auto"/>
          <w:sz w:val="28"/>
          <w:szCs w:val="28"/>
          <w:highlight w:val="none"/>
          <w:lang w:eastAsia="zh-CN"/>
        </w:rPr>
      </w:pPr>
      <w:r>
        <w:rPr>
          <w:rFonts w:hint="eastAsia" w:ascii="宋体" w:hAnsi="宋体" w:cs="宋体"/>
          <w:b/>
          <w:color w:val="auto"/>
          <w:sz w:val="28"/>
          <w:szCs w:val="28"/>
          <w:highlight w:val="none"/>
        </w:rPr>
        <w:t>附</w:t>
      </w:r>
      <w:r>
        <w:rPr>
          <w:rFonts w:hint="default" w:ascii="Times New Roman" w:hAnsi="Times New Roman" w:cs="Times New Roman"/>
          <w:b/>
          <w:color w:val="auto"/>
          <w:sz w:val="28"/>
          <w:szCs w:val="28"/>
          <w:highlight w:val="none"/>
        </w:rPr>
        <w:t>图</w:t>
      </w:r>
      <w:r>
        <w:rPr>
          <w:rFonts w:hint="default" w:ascii="Times New Roman" w:hAnsi="Times New Roman" w:cs="Times New Roman"/>
          <w:b/>
          <w:color w:val="auto"/>
          <w:sz w:val="28"/>
          <w:szCs w:val="28"/>
          <w:highlight w:val="none"/>
          <w:lang w:val="en-US" w:eastAsia="zh-CN"/>
        </w:rPr>
        <w:t>6</w:t>
      </w:r>
      <w:r>
        <w:rPr>
          <w:rFonts w:hint="eastAsia" w:ascii="宋体" w:hAnsi="宋体" w:cs="宋体"/>
          <w:b/>
          <w:color w:val="auto"/>
          <w:sz w:val="28"/>
          <w:szCs w:val="28"/>
          <w:highlight w:val="none"/>
          <w:lang w:eastAsia="zh-CN"/>
        </w:rPr>
        <w:t>自行监测点位图</w:t>
      </w:r>
    </w:p>
    <w:p w14:paraId="0C652DE4">
      <w:pPr>
        <w:adjustRightInd w:val="0"/>
        <w:snapToGrid w:val="0"/>
        <w:spacing w:afterLines="0"/>
        <w:jc w:val="center"/>
        <w:outlineLvl w:val="0"/>
        <w:rPr>
          <w:rFonts w:hint="eastAsia" w:ascii="宋体" w:hAnsi="宋体" w:cs="宋体"/>
          <w:b/>
          <w:color w:val="auto"/>
          <w:sz w:val="28"/>
          <w:szCs w:val="28"/>
          <w:highlight w:val="none"/>
          <w:lang w:eastAsia="zh-CN"/>
        </w:rPr>
      </w:pPr>
      <w:r>
        <w:rPr>
          <w:rFonts w:hint="eastAsia" w:ascii="宋体" w:hAnsi="宋体" w:cs="宋体"/>
          <w:b/>
          <w:color w:val="auto"/>
          <w:sz w:val="28"/>
          <w:szCs w:val="28"/>
          <w:highlight w:val="none"/>
          <w:lang w:eastAsia="zh-CN"/>
        </w:rPr>
        <w:drawing>
          <wp:inline distT="0" distB="0" distL="114300" distR="114300">
            <wp:extent cx="7304405" cy="5173345"/>
            <wp:effectExtent l="0" t="0" r="10795" b="8255"/>
            <wp:docPr id="34" name="图片 34" descr="焦诚新增土地面积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焦诚新增土地面积示意图"/>
                    <pic:cNvPicPr>
                      <a:picLocks noChangeAspect="1"/>
                    </pic:cNvPicPr>
                  </pic:nvPicPr>
                  <pic:blipFill>
                    <a:blip r:embed="rId46"/>
                    <a:stretch>
                      <a:fillRect/>
                    </a:stretch>
                  </pic:blipFill>
                  <pic:spPr>
                    <a:xfrm>
                      <a:off x="0" y="0"/>
                      <a:ext cx="7304405" cy="5173345"/>
                    </a:xfrm>
                    <a:prstGeom prst="rect">
                      <a:avLst/>
                    </a:prstGeom>
                  </pic:spPr>
                </pic:pic>
              </a:graphicData>
            </a:graphic>
          </wp:inline>
        </w:drawing>
      </w:r>
    </w:p>
    <w:p w14:paraId="6A1BEB7F">
      <w:pPr>
        <w:adjustRightInd w:val="0"/>
        <w:snapToGrid w:val="0"/>
        <w:spacing w:afterLines="0"/>
        <w:jc w:val="center"/>
        <w:outlineLvl w:val="0"/>
        <w:rPr>
          <w:rFonts w:hint="default" w:ascii="Times New Roman" w:hAnsi="Times New Roman" w:cs="Times New Roman"/>
          <w:b/>
          <w:color w:val="auto"/>
          <w:sz w:val="28"/>
          <w:szCs w:val="28"/>
          <w:highlight w:val="none"/>
          <w:lang w:val="en-US" w:eastAsia="zh-CN"/>
        </w:rPr>
      </w:pPr>
      <w:r>
        <w:rPr>
          <w:rFonts w:hint="default" w:ascii="Times New Roman" w:hAnsi="Times New Roman" w:cs="Times New Roman"/>
          <w:b/>
          <w:color w:val="auto"/>
          <w:sz w:val="28"/>
          <w:szCs w:val="28"/>
          <w:highlight w:val="none"/>
        </w:rPr>
        <w:t>附图</w:t>
      </w:r>
      <w:r>
        <w:rPr>
          <w:rFonts w:hint="default" w:ascii="Times New Roman" w:hAnsi="Times New Roman" w:cs="Times New Roman"/>
          <w:b/>
          <w:color w:val="auto"/>
          <w:sz w:val="28"/>
          <w:szCs w:val="28"/>
          <w:highlight w:val="none"/>
          <w:lang w:val="en-US" w:eastAsia="zh-CN"/>
        </w:rPr>
        <w:t>7</w:t>
      </w:r>
      <w:r>
        <w:rPr>
          <w:rFonts w:hint="eastAsia" w:ascii="Times New Roman" w:hAnsi="Times New Roman" w:cs="Times New Roman"/>
          <w:b/>
          <w:color w:val="auto"/>
          <w:sz w:val="28"/>
          <w:szCs w:val="28"/>
          <w:highlight w:val="none"/>
          <w:lang w:val="en-US" w:eastAsia="zh-CN"/>
        </w:rPr>
        <w:t>厂区新增面积示意图</w:t>
      </w:r>
    </w:p>
    <w:p w14:paraId="6AB01433">
      <w:pPr>
        <w:pStyle w:val="28"/>
        <w:ind w:firstLine="0" w:firstLineChars="0"/>
        <w:jc w:val="both"/>
        <w:rPr>
          <w:color w:val="auto"/>
          <w:highlight w:val="none"/>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rFonts w:hint="eastAsia" w:ascii="宋体" w:hAnsi="宋体" w:cs="宋体"/>
          <w:b/>
          <w:bCs/>
          <w:snapToGrid w:val="0"/>
          <w:color w:val="auto"/>
          <w:sz w:val="32"/>
          <w:szCs w:val="32"/>
          <w:highlight w:val="none"/>
        </w:rPr>
        <w:t>附件1 营业执照</w:t>
      </w:r>
      <w:bookmarkEnd w:id="99"/>
      <w:bookmarkEnd w:id="100"/>
      <w:bookmarkEnd w:id="101"/>
      <w:bookmarkEnd w:id="102"/>
      <w:bookmarkEnd w:id="103"/>
      <w:r>
        <w:rPr>
          <w:color w:val="auto"/>
          <w:highlight w:val="none"/>
        </w:rPr>
        <w:drawing>
          <wp:anchor distT="0" distB="0" distL="114300" distR="114300" simplePos="0" relativeHeight="251692032" behindDoc="0" locked="0" layoutInCell="1" allowOverlap="1">
            <wp:simplePos x="0" y="0"/>
            <wp:positionH relativeFrom="column">
              <wp:posOffset>2046605</wp:posOffset>
            </wp:positionH>
            <wp:positionV relativeFrom="paragraph">
              <wp:posOffset>-496570</wp:posOffset>
            </wp:positionV>
            <wp:extent cx="4730750" cy="6673850"/>
            <wp:effectExtent l="0" t="0" r="12700" b="12700"/>
            <wp:wrapSquare wrapText="bothSides"/>
            <wp:docPr id="17" name="图片 17" descr="68d87ab235ec20e8812ecd25270bb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68d87ab235ec20e8812ecd25270bbb9f"/>
                    <pic:cNvPicPr>
                      <a:picLocks noChangeAspect="1"/>
                    </pic:cNvPicPr>
                  </pic:nvPicPr>
                  <pic:blipFill>
                    <a:blip r:embed="rId47"/>
                    <a:stretch>
                      <a:fillRect/>
                    </a:stretch>
                  </pic:blipFill>
                  <pic:spPr>
                    <a:xfrm rot="16200000">
                      <a:off x="0" y="0"/>
                      <a:ext cx="4730750" cy="6673850"/>
                    </a:xfrm>
                    <a:prstGeom prst="rect">
                      <a:avLst/>
                    </a:prstGeom>
                  </pic:spPr>
                </pic:pic>
              </a:graphicData>
            </a:graphic>
          </wp:anchor>
        </w:drawing>
      </w:r>
    </w:p>
    <w:p w14:paraId="6E126A1C">
      <w:pPr>
        <w:pStyle w:val="4"/>
        <w:rPr>
          <w:rFonts w:ascii="宋体" w:hAnsi="宋体" w:eastAsia="宋体" w:cs="宋体"/>
          <w:color w:val="auto"/>
          <w:sz w:val="32"/>
          <w:szCs w:val="32"/>
          <w:highlight w:val="none"/>
        </w:rPr>
      </w:pPr>
      <w:bookmarkStart w:id="104" w:name="_Toc25313"/>
      <w:bookmarkStart w:id="105" w:name="_Toc612"/>
      <w:bookmarkStart w:id="106" w:name="_Toc2448"/>
      <w:bookmarkStart w:id="107" w:name="_Toc23489"/>
      <w:bookmarkStart w:id="108" w:name="_Toc31353"/>
      <w:bookmarkStart w:id="109" w:name="_Toc7286"/>
      <w:r>
        <w:rPr>
          <w:rFonts w:hint="eastAsia" w:ascii="宋体" w:hAnsi="宋体" w:eastAsia="宋体" w:cs="宋体"/>
          <w:color w:val="auto"/>
          <w:sz w:val="32"/>
          <w:szCs w:val="32"/>
          <w:highlight w:val="none"/>
        </w:rPr>
        <w:t xml:space="preserve">附件2 </w:t>
      </w:r>
      <w:bookmarkEnd w:id="104"/>
      <w:bookmarkEnd w:id="105"/>
      <w:bookmarkEnd w:id="106"/>
      <w:r>
        <w:rPr>
          <w:rFonts w:hint="eastAsia" w:ascii="宋体" w:hAnsi="宋体" w:eastAsia="宋体" w:cs="宋体"/>
          <w:color w:val="auto"/>
          <w:sz w:val="32"/>
          <w:szCs w:val="32"/>
          <w:highlight w:val="none"/>
        </w:rPr>
        <w:t>用地地类及</w:t>
      </w:r>
      <w:bookmarkEnd w:id="107"/>
      <w:bookmarkEnd w:id="108"/>
      <w:bookmarkEnd w:id="109"/>
      <w:r>
        <w:rPr>
          <w:rFonts w:hint="eastAsia" w:ascii="宋体" w:hAnsi="宋体" w:eastAsia="宋体" w:cs="宋体"/>
          <w:color w:val="auto"/>
          <w:sz w:val="32"/>
          <w:szCs w:val="32"/>
          <w:highlight w:val="none"/>
        </w:rPr>
        <w:t>租赁协议</w:t>
      </w:r>
    </w:p>
    <w:p w14:paraId="220E7530">
      <w:pPr>
        <w:jc w:val="center"/>
        <w:rPr>
          <w:rFonts w:ascii="宋体" w:hAnsi="宋体" w:cs="宋体"/>
          <w:b/>
          <w:bCs/>
          <w:color w:val="auto"/>
          <w:sz w:val="32"/>
          <w:szCs w:val="32"/>
          <w:highlight w:val="none"/>
        </w:rPr>
        <w:sectPr>
          <w:footerReference r:id="rId9" w:type="default"/>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321935" cy="7392035"/>
            <wp:effectExtent l="0" t="0" r="12065" b="1841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48"/>
                    <a:stretch>
                      <a:fillRect/>
                    </a:stretch>
                  </pic:blipFill>
                  <pic:spPr>
                    <a:xfrm>
                      <a:off x="0" y="0"/>
                      <a:ext cx="5321935" cy="7392035"/>
                    </a:xfrm>
                    <a:prstGeom prst="rect">
                      <a:avLst/>
                    </a:prstGeom>
                    <a:noFill/>
                    <a:ln>
                      <a:noFill/>
                    </a:ln>
                  </pic:spPr>
                </pic:pic>
              </a:graphicData>
            </a:graphic>
          </wp:inline>
        </w:drawing>
      </w:r>
      <w:r>
        <w:rPr>
          <w:color w:val="auto"/>
          <w:highlight w:val="none"/>
        </w:rPr>
        <w:drawing>
          <wp:inline distT="0" distB="0" distL="114300" distR="114300">
            <wp:extent cx="4759325" cy="6593205"/>
            <wp:effectExtent l="0" t="0" r="3175" b="1714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49"/>
                    <a:stretch>
                      <a:fillRect/>
                    </a:stretch>
                  </pic:blipFill>
                  <pic:spPr>
                    <a:xfrm>
                      <a:off x="0" y="0"/>
                      <a:ext cx="4759325" cy="6593205"/>
                    </a:xfrm>
                    <a:prstGeom prst="rect">
                      <a:avLst/>
                    </a:prstGeom>
                    <a:noFill/>
                    <a:ln>
                      <a:noFill/>
                    </a:ln>
                  </pic:spPr>
                </pic:pic>
              </a:graphicData>
            </a:graphic>
          </wp:inline>
        </w:drawing>
      </w:r>
      <w:r>
        <w:rPr>
          <w:color w:val="auto"/>
          <w:highlight w:val="none"/>
        </w:rPr>
        <w:drawing>
          <wp:inline distT="0" distB="0" distL="114300" distR="114300">
            <wp:extent cx="4585335" cy="6447790"/>
            <wp:effectExtent l="0" t="0" r="5715" b="10160"/>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50"/>
                    <a:stretch>
                      <a:fillRect/>
                    </a:stretch>
                  </pic:blipFill>
                  <pic:spPr>
                    <a:xfrm>
                      <a:off x="0" y="0"/>
                      <a:ext cx="4585335" cy="6447790"/>
                    </a:xfrm>
                    <a:prstGeom prst="rect">
                      <a:avLst/>
                    </a:prstGeom>
                    <a:noFill/>
                    <a:ln>
                      <a:noFill/>
                    </a:ln>
                  </pic:spPr>
                </pic:pic>
              </a:graphicData>
            </a:graphic>
          </wp:inline>
        </w:drawing>
      </w:r>
      <w:r>
        <w:rPr>
          <w:color w:val="auto"/>
          <w:highlight w:val="none"/>
        </w:rPr>
        <w:drawing>
          <wp:inline distT="0" distB="0" distL="114300" distR="114300">
            <wp:extent cx="5614670" cy="4628515"/>
            <wp:effectExtent l="0" t="0" r="5080" b="63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51"/>
                    <a:stretch>
                      <a:fillRect/>
                    </a:stretch>
                  </pic:blipFill>
                  <pic:spPr>
                    <a:xfrm>
                      <a:off x="0" y="0"/>
                      <a:ext cx="5614670" cy="4628515"/>
                    </a:xfrm>
                    <a:prstGeom prst="rect">
                      <a:avLst/>
                    </a:prstGeom>
                    <a:noFill/>
                    <a:ln>
                      <a:noFill/>
                    </a:ln>
                  </pic:spPr>
                </pic:pic>
              </a:graphicData>
            </a:graphic>
          </wp:inline>
        </w:drawing>
      </w:r>
      <w:r>
        <w:rPr>
          <w:color w:val="auto"/>
          <w:highlight w:val="none"/>
        </w:rPr>
        <w:drawing>
          <wp:inline distT="0" distB="0" distL="114300" distR="114300">
            <wp:extent cx="4900930" cy="6600190"/>
            <wp:effectExtent l="0" t="0" r="13970" b="1016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52"/>
                    <a:stretch>
                      <a:fillRect/>
                    </a:stretch>
                  </pic:blipFill>
                  <pic:spPr>
                    <a:xfrm>
                      <a:off x="0" y="0"/>
                      <a:ext cx="4900930" cy="6600190"/>
                    </a:xfrm>
                    <a:prstGeom prst="rect">
                      <a:avLst/>
                    </a:prstGeom>
                    <a:noFill/>
                    <a:ln>
                      <a:noFill/>
                    </a:ln>
                  </pic:spPr>
                </pic:pic>
              </a:graphicData>
            </a:graphic>
          </wp:inline>
        </w:drawing>
      </w:r>
    </w:p>
    <w:p w14:paraId="5FA3FDB2">
      <w:pPr>
        <w:rPr>
          <w:rFonts w:ascii="宋体" w:hAnsi="宋体" w:cs="宋体"/>
          <w:b/>
          <w:bCs/>
          <w:color w:val="auto"/>
          <w:spacing w:val="4"/>
          <w:position w:val="-1"/>
          <w:szCs w:val="32"/>
          <w:highlight w:val="none"/>
        </w:rPr>
      </w:pPr>
      <w:bookmarkStart w:id="110" w:name="_Toc12453"/>
      <w:bookmarkStart w:id="111" w:name="_Toc22447"/>
      <w:bookmarkStart w:id="112" w:name="_Toc28318"/>
      <w:bookmarkStart w:id="113" w:name="_Toc24613"/>
      <w:bookmarkStart w:id="114" w:name="_Toc28516"/>
      <w:r>
        <w:rPr>
          <w:rFonts w:hint="eastAsia" w:ascii="宋体" w:hAnsi="宋体" w:cs="宋体"/>
          <w:b/>
          <w:bCs/>
          <w:color w:val="auto"/>
          <w:sz w:val="32"/>
          <w:szCs w:val="32"/>
          <w:highlight w:val="none"/>
        </w:rPr>
        <w:t>附件3</w:t>
      </w:r>
      <w:bookmarkEnd w:id="110"/>
      <w:bookmarkEnd w:id="111"/>
      <w:bookmarkEnd w:id="112"/>
      <w:bookmarkEnd w:id="113"/>
      <w:bookmarkEnd w:id="114"/>
      <w:r>
        <w:rPr>
          <w:rFonts w:hint="eastAsia" w:ascii="宋体" w:hAnsi="宋体" w:cs="宋体"/>
          <w:b/>
          <w:bCs/>
          <w:color w:val="auto"/>
          <w:sz w:val="32"/>
          <w:szCs w:val="32"/>
          <w:highlight w:val="none"/>
        </w:rPr>
        <w:t>煤泥中</w:t>
      </w:r>
      <w:r>
        <w:rPr>
          <w:rFonts w:hint="eastAsia" w:ascii="宋体" w:hAnsi="宋体" w:cs="宋体"/>
          <w:b/>
          <w:bCs/>
          <w:color w:val="auto"/>
          <w:sz w:val="32"/>
          <w:szCs w:val="32"/>
          <w:highlight w:val="none"/>
          <w:vertAlign w:val="superscript"/>
        </w:rPr>
        <w:t>226</w:t>
      </w:r>
      <w:r>
        <w:rPr>
          <w:rFonts w:hint="eastAsia" w:ascii="宋体" w:hAnsi="宋体" w:cs="宋体"/>
          <w:b/>
          <w:bCs/>
          <w:color w:val="auto"/>
          <w:sz w:val="32"/>
          <w:szCs w:val="32"/>
          <w:highlight w:val="none"/>
        </w:rPr>
        <w:t>Ra、</w:t>
      </w:r>
      <w:r>
        <w:rPr>
          <w:rFonts w:hint="eastAsia" w:ascii="宋体" w:hAnsi="宋体" w:cs="宋体"/>
          <w:b/>
          <w:bCs/>
          <w:color w:val="auto"/>
          <w:sz w:val="32"/>
          <w:szCs w:val="32"/>
          <w:highlight w:val="none"/>
          <w:vertAlign w:val="superscript"/>
        </w:rPr>
        <w:t>232</w:t>
      </w:r>
      <w:r>
        <w:rPr>
          <w:rFonts w:hint="eastAsia" w:ascii="宋体" w:hAnsi="宋体" w:cs="宋体"/>
          <w:b/>
          <w:bCs/>
          <w:color w:val="auto"/>
          <w:sz w:val="32"/>
          <w:szCs w:val="32"/>
          <w:highlight w:val="none"/>
        </w:rPr>
        <w:t>Th 活度浓度检测报告</w:t>
      </w:r>
    </w:p>
    <w:p w14:paraId="3011FFD0">
      <w:pPr>
        <w:outlineLvl w:val="9"/>
        <w:rPr>
          <w:color w:val="auto"/>
          <w:highlight w:val="none"/>
        </w:rPr>
      </w:pPr>
    </w:p>
    <w:p w14:paraId="07D85AC8">
      <w:pPr>
        <w:jc w:val="center"/>
        <w:rPr>
          <w:rFonts w:ascii="宋体" w:hAnsi="宋体" w:cs="宋体"/>
          <w:b/>
          <w:bCs/>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4984115" cy="6645910"/>
            <wp:effectExtent l="0" t="0" r="6985" b="254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53"/>
                    <a:stretch>
                      <a:fillRect/>
                    </a:stretch>
                  </pic:blipFill>
                  <pic:spPr>
                    <a:xfrm>
                      <a:off x="0" y="0"/>
                      <a:ext cx="4984115" cy="6645910"/>
                    </a:xfrm>
                    <a:prstGeom prst="rect">
                      <a:avLst/>
                    </a:prstGeom>
                    <a:noFill/>
                    <a:ln>
                      <a:noFill/>
                    </a:ln>
                  </pic:spPr>
                </pic:pic>
              </a:graphicData>
            </a:graphic>
          </wp:inline>
        </w:drawing>
      </w:r>
      <w:r>
        <w:rPr>
          <w:color w:val="auto"/>
          <w:highlight w:val="none"/>
        </w:rPr>
        <w:drawing>
          <wp:inline distT="0" distB="0" distL="114300" distR="114300">
            <wp:extent cx="4469765" cy="6348730"/>
            <wp:effectExtent l="0" t="0" r="6985" b="13970"/>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54"/>
                    <a:stretch>
                      <a:fillRect/>
                    </a:stretch>
                  </pic:blipFill>
                  <pic:spPr>
                    <a:xfrm>
                      <a:off x="0" y="0"/>
                      <a:ext cx="4469765" cy="6348730"/>
                    </a:xfrm>
                    <a:prstGeom prst="rect">
                      <a:avLst/>
                    </a:prstGeom>
                    <a:noFill/>
                    <a:ln>
                      <a:noFill/>
                    </a:ln>
                  </pic:spPr>
                </pic:pic>
              </a:graphicData>
            </a:graphic>
          </wp:inline>
        </w:drawing>
      </w:r>
    </w:p>
    <w:p w14:paraId="58BA6714">
      <w:pPr>
        <w:pStyle w:val="8"/>
        <w:ind w:firstLine="0" w:firstLineChars="0"/>
        <w:jc w:val="left"/>
        <w:outlineLvl w:val="0"/>
        <w:rPr>
          <w:b/>
          <w:bCs/>
          <w:color w:val="auto"/>
          <w:sz w:val="32"/>
          <w:szCs w:val="32"/>
          <w:highlight w:val="none"/>
        </w:rPr>
      </w:pPr>
      <w:bookmarkStart w:id="115" w:name="_Toc8741"/>
      <w:bookmarkStart w:id="116" w:name="_Toc29572"/>
      <w:bookmarkStart w:id="117" w:name="_Toc20195"/>
      <w:bookmarkStart w:id="118" w:name="_Toc16102"/>
      <w:bookmarkStart w:id="119" w:name="_Toc25476"/>
      <w:r>
        <w:rPr>
          <w:rFonts w:hint="eastAsia"/>
          <w:b/>
          <w:bCs/>
          <w:color w:val="auto"/>
          <w:sz w:val="32"/>
          <w:szCs w:val="32"/>
          <w:highlight w:val="none"/>
        </w:rPr>
        <w:t>附件</w:t>
      </w:r>
      <w:bookmarkEnd w:id="115"/>
      <w:bookmarkEnd w:id="116"/>
      <w:bookmarkEnd w:id="117"/>
      <w:bookmarkEnd w:id="118"/>
      <w:bookmarkEnd w:id="119"/>
      <w:r>
        <w:rPr>
          <w:rFonts w:hint="eastAsia"/>
          <w:b/>
          <w:bCs/>
          <w:color w:val="auto"/>
          <w:sz w:val="32"/>
          <w:szCs w:val="32"/>
          <w:highlight w:val="none"/>
        </w:rPr>
        <w:t>4环境空气、土壤现状监测报告</w:t>
      </w:r>
      <w:r>
        <w:rPr>
          <w:color w:val="auto"/>
          <w:highlight w:val="none"/>
        </w:rPr>
        <w:drawing>
          <wp:inline distT="0" distB="0" distL="114300" distR="114300">
            <wp:extent cx="5419725" cy="7550150"/>
            <wp:effectExtent l="0" t="0" r="9525" b="1270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55"/>
                    <a:stretch>
                      <a:fillRect/>
                    </a:stretch>
                  </pic:blipFill>
                  <pic:spPr>
                    <a:xfrm>
                      <a:off x="0" y="0"/>
                      <a:ext cx="5419725" cy="7550150"/>
                    </a:xfrm>
                    <a:prstGeom prst="rect">
                      <a:avLst/>
                    </a:prstGeom>
                    <a:noFill/>
                    <a:ln>
                      <a:noFill/>
                    </a:ln>
                  </pic:spPr>
                </pic:pic>
              </a:graphicData>
            </a:graphic>
          </wp:inline>
        </w:drawing>
      </w:r>
    </w:p>
    <w:p w14:paraId="34DEF185">
      <w:pPr>
        <w:pStyle w:val="8"/>
        <w:ind w:firstLine="0" w:firstLineChars="0"/>
        <w:jc w:val="center"/>
        <w:outlineLvl w:val="0"/>
        <w:rPr>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4873625" cy="6809105"/>
            <wp:effectExtent l="0" t="0" r="3175" b="10795"/>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56"/>
                    <a:stretch>
                      <a:fillRect/>
                    </a:stretch>
                  </pic:blipFill>
                  <pic:spPr>
                    <a:xfrm>
                      <a:off x="0" y="0"/>
                      <a:ext cx="4873625" cy="6809105"/>
                    </a:xfrm>
                    <a:prstGeom prst="rect">
                      <a:avLst/>
                    </a:prstGeom>
                    <a:noFill/>
                    <a:ln>
                      <a:noFill/>
                    </a:ln>
                  </pic:spPr>
                </pic:pic>
              </a:graphicData>
            </a:graphic>
          </wp:inline>
        </w:drawing>
      </w:r>
      <w:r>
        <w:rPr>
          <w:color w:val="auto"/>
          <w:highlight w:val="none"/>
        </w:rPr>
        <w:drawing>
          <wp:inline distT="0" distB="0" distL="114300" distR="114300">
            <wp:extent cx="4755515" cy="6731000"/>
            <wp:effectExtent l="0" t="0" r="6985" b="12700"/>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57"/>
                    <a:stretch>
                      <a:fillRect/>
                    </a:stretch>
                  </pic:blipFill>
                  <pic:spPr>
                    <a:xfrm>
                      <a:off x="0" y="0"/>
                      <a:ext cx="4755515" cy="6731000"/>
                    </a:xfrm>
                    <a:prstGeom prst="rect">
                      <a:avLst/>
                    </a:prstGeom>
                    <a:noFill/>
                    <a:ln>
                      <a:noFill/>
                    </a:ln>
                  </pic:spPr>
                </pic:pic>
              </a:graphicData>
            </a:graphic>
          </wp:inline>
        </w:drawing>
      </w:r>
      <w:r>
        <w:rPr>
          <w:color w:val="auto"/>
          <w:highlight w:val="none"/>
        </w:rPr>
        <w:drawing>
          <wp:inline distT="0" distB="0" distL="114300" distR="114300">
            <wp:extent cx="5023485" cy="7160895"/>
            <wp:effectExtent l="0" t="0" r="5715" b="19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58"/>
                    <a:stretch>
                      <a:fillRect/>
                    </a:stretch>
                  </pic:blipFill>
                  <pic:spPr>
                    <a:xfrm>
                      <a:off x="0" y="0"/>
                      <a:ext cx="5023485" cy="7160895"/>
                    </a:xfrm>
                    <a:prstGeom prst="rect">
                      <a:avLst/>
                    </a:prstGeom>
                    <a:noFill/>
                    <a:ln>
                      <a:noFill/>
                    </a:ln>
                  </pic:spPr>
                </pic:pic>
              </a:graphicData>
            </a:graphic>
          </wp:inline>
        </w:drawing>
      </w:r>
      <w:r>
        <w:rPr>
          <w:color w:val="auto"/>
          <w:highlight w:val="none"/>
        </w:rPr>
        <w:drawing>
          <wp:inline distT="0" distB="0" distL="114300" distR="114300">
            <wp:extent cx="4736465" cy="6696075"/>
            <wp:effectExtent l="0" t="0" r="6985" b="9525"/>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59"/>
                    <a:stretch>
                      <a:fillRect/>
                    </a:stretch>
                  </pic:blipFill>
                  <pic:spPr>
                    <a:xfrm>
                      <a:off x="0" y="0"/>
                      <a:ext cx="4736465" cy="6696075"/>
                    </a:xfrm>
                    <a:prstGeom prst="rect">
                      <a:avLst/>
                    </a:prstGeom>
                    <a:noFill/>
                    <a:ln>
                      <a:noFill/>
                    </a:ln>
                  </pic:spPr>
                </pic:pic>
              </a:graphicData>
            </a:graphic>
          </wp:inline>
        </w:drawing>
      </w:r>
      <w:r>
        <w:rPr>
          <w:color w:val="auto"/>
          <w:highlight w:val="none"/>
        </w:rPr>
        <w:drawing>
          <wp:inline distT="0" distB="0" distL="114300" distR="114300">
            <wp:extent cx="4784090" cy="6733540"/>
            <wp:effectExtent l="0" t="0" r="16510" b="1016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60"/>
                    <a:stretch>
                      <a:fillRect/>
                    </a:stretch>
                  </pic:blipFill>
                  <pic:spPr>
                    <a:xfrm>
                      <a:off x="0" y="0"/>
                      <a:ext cx="4784090" cy="6733540"/>
                    </a:xfrm>
                    <a:prstGeom prst="rect">
                      <a:avLst/>
                    </a:prstGeom>
                    <a:noFill/>
                    <a:ln>
                      <a:noFill/>
                    </a:ln>
                  </pic:spPr>
                </pic:pic>
              </a:graphicData>
            </a:graphic>
          </wp:inline>
        </w:drawing>
      </w:r>
      <w:r>
        <w:rPr>
          <w:color w:val="auto"/>
          <w:highlight w:val="none"/>
        </w:rPr>
        <w:drawing>
          <wp:inline distT="0" distB="0" distL="114300" distR="114300">
            <wp:extent cx="4690110" cy="6666865"/>
            <wp:effectExtent l="0" t="0" r="15240" b="635"/>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61"/>
                    <a:stretch>
                      <a:fillRect/>
                    </a:stretch>
                  </pic:blipFill>
                  <pic:spPr>
                    <a:xfrm>
                      <a:off x="0" y="0"/>
                      <a:ext cx="4690110" cy="6666865"/>
                    </a:xfrm>
                    <a:prstGeom prst="rect">
                      <a:avLst/>
                    </a:prstGeom>
                    <a:noFill/>
                    <a:ln>
                      <a:noFill/>
                    </a:ln>
                  </pic:spPr>
                </pic:pic>
              </a:graphicData>
            </a:graphic>
          </wp:inline>
        </w:drawing>
      </w:r>
      <w:r>
        <w:rPr>
          <w:color w:val="auto"/>
          <w:highlight w:val="none"/>
        </w:rPr>
        <w:drawing>
          <wp:inline distT="0" distB="0" distL="114300" distR="114300">
            <wp:extent cx="4719320" cy="6628130"/>
            <wp:effectExtent l="0" t="0" r="5080" b="1270"/>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62"/>
                    <a:stretch>
                      <a:fillRect/>
                    </a:stretch>
                  </pic:blipFill>
                  <pic:spPr>
                    <a:xfrm>
                      <a:off x="0" y="0"/>
                      <a:ext cx="4719320" cy="6628130"/>
                    </a:xfrm>
                    <a:prstGeom prst="rect">
                      <a:avLst/>
                    </a:prstGeom>
                    <a:noFill/>
                    <a:ln>
                      <a:noFill/>
                    </a:ln>
                  </pic:spPr>
                </pic:pic>
              </a:graphicData>
            </a:graphic>
          </wp:inline>
        </w:drawing>
      </w:r>
    </w:p>
    <w:p w14:paraId="17E67DF0">
      <w:pPr>
        <w:jc w:val="center"/>
        <w:rPr>
          <w:color w:val="auto"/>
          <w:highlight w:val="none"/>
        </w:rPr>
      </w:pPr>
      <w:r>
        <w:rPr>
          <w:color w:val="auto"/>
          <w:highlight w:val="none"/>
        </w:rPr>
        <w:drawing>
          <wp:inline distT="0" distB="0" distL="114300" distR="114300">
            <wp:extent cx="7831455" cy="5446395"/>
            <wp:effectExtent l="0" t="0" r="17145" b="1905"/>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63"/>
                    <a:stretch>
                      <a:fillRect/>
                    </a:stretch>
                  </pic:blipFill>
                  <pic:spPr>
                    <a:xfrm>
                      <a:off x="0" y="0"/>
                      <a:ext cx="7831455" cy="5446395"/>
                    </a:xfrm>
                    <a:prstGeom prst="rect">
                      <a:avLst/>
                    </a:prstGeom>
                    <a:noFill/>
                    <a:ln>
                      <a:noFill/>
                    </a:ln>
                  </pic:spPr>
                </pic:pic>
              </a:graphicData>
            </a:graphic>
          </wp:inline>
        </w:drawing>
      </w:r>
      <w:r>
        <w:rPr>
          <w:color w:val="auto"/>
          <w:highlight w:val="none"/>
        </w:rPr>
        <w:drawing>
          <wp:inline distT="0" distB="0" distL="114300" distR="114300">
            <wp:extent cx="7956550" cy="5517515"/>
            <wp:effectExtent l="0" t="0" r="6350" b="6985"/>
            <wp:docPr id="1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
                    <pic:cNvPicPr>
                      <a:picLocks noChangeAspect="1"/>
                    </pic:cNvPicPr>
                  </pic:nvPicPr>
                  <pic:blipFill>
                    <a:blip r:embed="rId64"/>
                    <a:stretch>
                      <a:fillRect/>
                    </a:stretch>
                  </pic:blipFill>
                  <pic:spPr>
                    <a:xfrm>
                      <a:off x="0" y="0"/>
                      <a:ext cx="7956550" cy="5517515"/>
                    </a:xfrm>
                    <a:prstGeom prst="rect">
                      <a:avLst/>
                    </a:prstGeom>
                    <a:noFill/>
                    <a:ln>
                      <a:noFill/>
                    </a:ln>
                  </pic:spPr>
                </pic:pic>
              </a:graphicData>
            </a:graphic>
          </wp:inline>
        </w:drawing>
      </w:r>
      <w:r>
        <w:rPr>
          <w:color w:val="auto"/>
          <w:highlight w:val="none"/>
        </w:rPr>
        <w:drawing>
          <wp:inline distT="0" distB="0" distL="114300" distR="114300">
            <wp:extent cx="7834630" cy="5487035"/>
            <wp:effectExtent l="0" t="0" r="13970" b="18415"/>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65"/>
                    <a:stretch>
                      <a:fillRect/>
                    </a:stretch>
                  </pic:blipFill>
                  <pic:spPr>
                    <a:xfrm>
                      <a:off x="0" y="0"/>
                      <a:ext cx="7834630" cy="5487035"/>
                    </a:xfrm>
                    <a:prstGeom prst="rect">
                      <a:avLst/>
                    </a:prstGeom>
                    <a:noFill/>
                    <a:ln>
                      <a:noFill/>
                    </a:ln>
                  </pic:spPr>
                </pic:pic>
              </a:graphicData>
            </a:graphic>
          </wp:inline>
        </w:drawing>
      </w:r>
      <w:r>
        <w:rPr>
          <w:color w:val="auto"/>
          <w:highlight w:val="none"/>
        </w:rPr>
        <w:drawing>
          <wp:inline distT="0" distB="0" distL="114300" distR="114300">
            <wp:extent cx="7973695" cy="5422900"/>
            <wp:effectExtent l="0" t="0" r="8255" b="6350"/>
            <wp:docPr id="1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
                    <pic:cNvPicPr>
                      <a:picLocks noChangeAspect="1"/>
                    </pic:cNvPicPr>
                  </pic:nvPicPr>
                  <pic:blipFill>
                    <a:blip r:embed="rId66"/>
                    <a:stretch>
                      <a:fillRect/>
                    </a:stretch>
                  </pic:blipFill>
                  <pic:spPr>
                    <a:xfrm>
                      <a:off x="0" y="0"/>
                      <a:ext cx="7973695" cy="5422900"/>
                    </a:xfrm>
                    <a:prstGeom prst="rect">
                      <a:avLst/>
                    </a:prstGeom>
                    <a:noFill/>
                    <a:ln>
                      <a:noFill/>
                    </a:ln>
                  </pic:spPr>
                </pic:pic>
              </a:graphicData>
            </a:graphic>
          </wp:inline>
        </w:drawing>
      </w:r>
      <w:r>
        <w:rPr>
          <w:color w:val="auto"/>
          <w:highlight w:val="none"/>
        </w:rPr>
        <w:drawing>
          <wp:inline distT="0" distB="0" distL="114300" distR="114300">
            <wp:extent cx="7743825" cy="5440045"/>
            <wp:effectExtent l="0" t="0" r="9525" b="8255"/>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67"/>
                    <a:stretch>
                      <a:fillRect/>
                    </a:stretch>
                  </pic:blipFill>
                  <pic:spPr>
                    <a:xfrm>
                      <a:off x="0" y="0"/>
                      <a:ext cx="7743825" cy="5440045"/>
                    </a:xfrm>
                    <a:prstGeom prst="rect">
                      <a:avLst/>
                    </a:prstGeom>
                    <a:noFill/>
                    <a:ln>
                      <a:noFill/>
                    </a:ln>
                  </pic:spPr>
                </pic:pic>
              </a:graphicData>
            </a:graphic>
          </wp:inline>
        </w:drawing>
      </w:r>
      <w:r>
        <w:rPr>
          <w:color w:val="auto"/>
          <w:highlight w:val="none"/>
        </w:rPr>
        <w:drawing>
          <wp:inline distT="0" distB="0" distL="114300" distR="114300">
            <wp:extent cx="7724140" cy="5467985"/>
            <wp:effectExtent l="0" t="0" r="10160" b="18415"/>
            <wp:docPr id="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
                    <pic:cNvPicPr>
                      <a:picLocks noChangeAspect="1"/>
                    </pic:cNvPicPr>
                  </pic:nvPicPr>
                  <pic:blipFill>
                    <a:blip r:embed="rId68"/>
                    <a:stretch>
                      <a:fillRect/>
                    </a:stretch>
                  </pic:blipFill>
                  <pic:spPr>
                    <a:xfrm>
                      <a:off x="0" y="0"/>
                      <a:ext cx="7724140" cy="5467985"/>
                    </a:xfrm>
                    <a:prstGeom prst="rect">
                      <a:avLst/>
                    </a:prstGeom>
                    <a:noFill/>
                    <a:ln>
                      <a:noFill/>
                    </a:ln>
                  </pic:spPr>
                </pic:pic>
              </a:graphicData>
            </a:graphic>
          </wp:inline>
        </w:drawing>
      </w:r>
    </w:p>
    <w:p w14:paraId="769C04AA">
      <w:pPr>
        <w:pStyle w:val="8"/>
        <w:ind w:firstLine="0" w:firstLineChars="0"/>
        <w:outlineLvl w:val="0"/>
        <w:rPr>
          <w:rFonts w:ascii="宋体" w:hAnsi="宋体" w:cs="宋体"/>
          <w:b/>
          <w:bCs/>
          <w:snapToGrid w:val="0"/>
          <w:color w:val="auto"/>
          <w:sz w:val="32"/>
          <w:szCs w:val="32"/>
          <w:highlight w:val="none"/>
        </w:rPr>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p>
    <w:p w14:paraId="206D24E9">
      <w:pPr>
        <w:pStyle w:val="8"/>
        <w:ind w:firstLine="0" w:firstLineChars="0"/>
        <w:outlineLvl w:val="0"/>
        <w:rPr>
          <w:rFonts w:ascii="宋体" w:hAnsi="宋体" w:cs="宋体"/>
          <w:b/>
          <w:bCs/>
          <w:snapToGrid w:val="0"/>
          <w:color w:val="auto"/>
          <w:sz w:val="32"/>
          <w:szCs w:val="32"/>
          <w:highlight w:val="none"/>
        </w:rPr>
      </w:pPr>
      <w:r>
        <w:rPr>
          <w:rFonts w:hint="eastAsia" w:ascii="宋体" w:hAnsi="宋体" w:cs="宋体"/>
          <w:b/>
          <w:bCs/>
          <w:snapToGrid w:val="0"/>
          <w:color w:val="auto"/>
          <w:sz w:val="32"/>
          <w:szCs w:val="32"/>
          <w:highlight w:val="none"/>
        </w:rPr>
        <w:t>附件5起泡剂、捕收剂检测报告</w:t>
      </w:r>
    </w:p>
    <w:p w14:paraId="49ACCAA1">
      <w:pPr>
        <w:rPr>
          <w:color w:val="auto"/>
          <w:highlight w:val="none"/>
        </w:rPr>
      </w:pPr>
      <w:r>
        <w:rPr>
          <w:color w:val="auto"/>
          <w:highlight w:val="none"/>
        </w:rPr>
        <w:drawing>
          <wp:inline distT="0" distB="0" distL="114300" distR="114300">
            <wp:extent cx="5305425" cy="7153275"/>
            <wp:effectExtent l="0" t="0" r="9525" b="952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69"/>
                    <a:stretch>
                      <a:fillRect/>
                    </a:stretch>
                  </pic:blipFill>
                  <pic:spPr>
                    <a:xfrm>
                      <a:off x="0" y="0"/>
                      <a:ext cx="5305425" cy="7153275"/>
                    </a:xfrm>
                    <a:prstGeom prst="rect">
                      <a:avLst/>
                    </a:prstGeom>
                    <a:noFill/>
                    <a:ln>
                      <a:noFill/>
                    </a:ln>
                  </pic:spPr>
                </pic:pic>
              </a:graphicData>
            </a:graphic>
          </wp:inline>
        </w:drawing>
      </w:r>
    </w:p>
    <w:p w14:paraId="5E316A90">
      <w:pPr>
        <w:rPr>
          <w:color w:val="auto"/>
          <w:highlight w:val="none"/>
        </w:rPr>
      </w:pPr>
    </w:p>
    <w:p w14:paraId="1DB77B13">
      <w:pPr>
        <w:rPr>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419090" cy="7474585"/>
            <wp:effectExtent l="0" t="0" r="10160" b="1206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70"/>
                    <a:stretch>
                      <a:fillRect/>
                    </a:stretch>
                  </pic:blipFill>
                  <pic:spPr>
                    <a:xfrm>
                      <a:off x="0" y="0"/>
                      <a:ext cx="5419090" cy="7474585"/>
                    </a:xfrm>
                    <a:prstGeom prst="rect">
                      <a:avLst/>
                    </a:prstGeom>
                    <a:noFill/>
                    <a:ln>
                      <a:noFill/>
                    </a:ln>
                  </pic:spPr>
                </pic:pic>
              </a:graphicData>
            </a:graphic>
          </wp:inline>
        </w:drawing>
      </w:r>
      <w:r>
        <w:rPr>
          <w:color w:val="auto"/>
          <w:highlight w:val="none"/>
        </w:rPr>
        <w:drawing>
          <wp:inline distT="0" distB="0" distL="114300" distR="114300">
            <wp:extent cx="5431790" cy="7209790"/>
            <wp:effectExtent l="0" t="0" r="16510" b="1016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71"/>
                    <a:stretch>
                      <a:fillRect/>
                    </a:stretch>
                  </pic:blipFill>
                  <pic:spPr>
                    <a:xfrm>
                      <a:off x="0" y="0"/>
                      <a:ext cx="5431790" cy="7209790"/>
                    </a:xfrm>
                    <a:prstGeom prst="rect">
                      <a:avLst/>
                    </a:prstGeom>
                    <a:noFill/>
                    <a:ln>
                      <a:noFill/>
                    </a:ln>
                  </pic:spPr>
                </pic:pic>
              </a:graphicData>
            </a:graphic>
          </wp:inline>
        </w:drawing>
      </w:r>
      <w:r>
        <w:rPr>
          <w:color w:val="auto"/>
          <w:highlight w:val="none"/>
        </w:rPr>
        <w:drawing>
          <wp:inline distT="0" distB="0" distL="114300" distR="114300">
            <wp:extent cx="5305425" cy="7296150"/>
            <wp:effectExtent l="0" t="0" r="9525" b="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72"/>
                    <a:stretch>
                      <a:fillRect/>
                    </a:stretch>
                  </pic:blipFill>
                  <pic:spPr>
                    <a:xfrm>
                      <a:off x="0" y="0"/>
                      <a:ext cx="5305425" cy="7296150"/>
                    </a:xfrm>
                    <a:prstGeom prst="rect">
                      <a:avLst/>
                    </a:prstGeom>
                    <a:noFill/>
                    <a:ln>
                      <a:noFill/>
                    </a:ln>
                  </pic:spPr>
                </pic:pic>
              </a:graphicData>
            </a:graphic>
          </wp:inline>
        </w:drawing>
      </w:r>
      <w:r>
        <w:rPr>
          <w:color w:val="auto"/>
          <w:highlight w:val="none"/>
        </w:rPr>
        <w:drawing>
          <wp:inline distT="0" distB="0" distL="114300" distR="114300">
            <wp:extent cx="5048250" cy="7000875"/>
            <wp:effectExtent l="0" t="0" r="0" b="952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73"/>
                    <a:stretch>
                      <a:fillRect/>
                    </a:stretch>
                  </pic:blipFill>
                  <pic:spPr>
                    <a:xfrm>
                      <a:off x="0" y="0"/>
                      <a:ext cx="5048250" cy="7000875"/>
                    </a:xfrm>
                    <a:prstGeom prst="rect">
                      <a:avLst/>
                    </a:prstGeom>
                    <a:noFill/>
                    <a:ln>
                      <a:noFill/>
                    </a:ln>
                  </pic:spPr>
                </pic:pic>
              </a:graphicData>
            </a:graphic>
          </wp:inline>
        </w:drawing>
      </w:r>
      <w:r>
        <w:rPr>
          <w:color w:val="auto"/>
          <w:highlight w:val="none"/>
        </w:rPr>
        <w:drawing>
          <wp:inline distT="0" distB="0" distL="114300" distR="114300">
            <wp:extent cx="5295900" cy="7124700"/>
            <wp:effectExtent l="0" t="0" r="0" b="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74"/>
                    <a:stretch>
                      <a:fillRect/>
                    </a:stretch>
                  </pic:blipFill>
                  <pic:spPr>
                    <a:xfrm>
                      <a:off x="0" y="0"/>
                      <a:ext cx="5295900" cy="7124700"/>
                    </a:xfrm>
                    <a:prstGeom prst="rect">
                      <a:avLst/>
                    </a:prstGeom>
                    <a:noFill/>
                    <a:ln>
                      <a:noFill/>
                    </a:ln>
                  </pic:spPr>
                </pic:pic>
              </a:graphicData>
            </a:graphic>
          </wp:inline>
        </w:drawing>
      </w:r>
      <w:r>
        <w:rPr>
          <w:color w:val="auto"/>
          <w:highlight w:val="none"/>
        </w:rPr>
        <w:drawing>
          <wp:inline distT="0" distB="0" distL="114300" distR="114300">
            <wp:extent cx="5248275" cy="7038975"/>
            <wp:effectExtent l="0" t="0" r="9525" b="952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75"/>
                    <a:stretch>
                      <a:fillRect/>
                    </a:stretch>
                  </pic:blipFill>
                  <pic:spPr>
                    <a:xfrm>
                      <a:off x="0" y="0"/>
                      <a:ext cx="5248275" cy="7038975"/>
                    </a:xfrm>
                    <a:prstGeom prst="rect">
                      <a:avLst/>
                    </a:prstGeom>
                    <a:noFill/>
                    <a:ln>
                      <a:noFill/>
                    </a:ln>
                  </pic:spPr>
                </pic:pic>
              </a:graphicData>
            </a:graphic>
          </wp:inline>
        </w:drawing>
      </w:r>
      <w:bookmarkStart w:id="120" w:name="_Toc1903"/>
      <w:bookmarkStart w:id="121" w:name="_Toc32017"/>
      <w:bookmarkStart w:id="122" w:name="_Toc29259"/>
      <w:bookmarkStart w:id="123" w:name="_Toc11712"/>
      <w:bookmarkStart w:id="124" w:name="_Toc2949"/>
    </w:p>
    <w:p w14:paraId="336E0531">
      <w:pPr>
        <w:pStyle w:val="8"/>
        <w:ind w:firstLine="0" w:firstLineChars="0"/>
        <w:outlineLvl w:val="0"/>
        <w:rPr>
          <w:b/>
          <w:bCs/>
          <w:snapToGrid w:val="0"/>
          <w:color w:val="auto"/>
          <w:sz w:val="32"/>
          <w:szCs w:val="32"/>
          <w:highlight w:val="none"/>
        </w:rPr>
      </w:pPr>
      <w:r>
        <w:rPr>
          <w:b/>
          <w:bCs/>
          <w:snapToGrid w:val="0"/>
          <w:color w:val="auto"/>
          <w:sz w:val="32"/>
          <w:szCs w:val="32"/>
          <w:highlight w:val="none"/>
        </w:rPr>
        <w:t>附件6原环评批复</w:t>
      </w:r>
    </w:p>
    <w:p w14:paraId="4C4D1C4E">
      <w:pPr>
        <w:pStyle w:val="16"/>
        <w:rPr>
          <w:rFonts w:ascii="宋体" w:hAnsi="宋体" w:cs="宋体"/>
          <w:b/>
          <w:bCs/>
          <w:snapToGrid w:val="0"/>
          <w:color w:val="auto"/>
          <w:kern w:val="2"/>
          <w:sz w:val="32"/>
          <w:szCs w:val="32"/>
          <w:highlight w:val="none"/>
        </w:rPr>
      </w:pPr>
    </w:p>
    <w:p w14:paraId="4A8C4253">
      <w:pPr>
        <w:jc w:val="center"/>
        <w:rPr>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4777740" cy="7110095"/>
            <wp:effectExtent l="0" t="0" r="3810" b="14605"/>
            <wp:docPr id="88" name="图片 88" descr="ceb795ca9708a28160f7c8cd3393a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eb795ca9708a28160f7c8cd3393a679"/>
                    <pic:cNvPicPr>
                      <a:picLocks noChangeAspect="1"/>
                    </pic:cNvPicPr>
                  </pic:nvPicPr>
                  <pic:blipFill>
                    <a:blip r:embed="rId76"/>
                    <a:stretch>
                      <a:fillRect/>
                    </a:stretch>
                  </pic:blipFill>
                  <pic:spPr>
                    <a:xfrm>
                      <a:off x="0" y="0"/>
                      <a:ext cx="4777740" cy="7110095"/>
                    </a:xfrm>
                    <a:prstGeom prst="rect">
                      <a:avLst/>
                    </a:prstGeom>
                  </pic:spPr>
                </pic:pic>
              </a:graphicData>
            </a:graphic>
          </wp:inline>
        </w:drawing>
      </w:r>
      <w:r>
        <w:rPr>
          <w:color w:val="auto"/>
          <w:highlight w:val="none"/>
        </w:rPr>
        <w:drawing>
          <wp:inline distT="0" distB="0" distL="114300" distR="114300">
            <wp:extent cx="4753610" cy="7663180"/>
            <wp:effectExtent l="0" t="0" r="8890" b="13970"/>
            <wp:docPr id="89" name="图片 89" descr="c6e1539fb3e1b6557dcd1b206440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6e1539fb3e1b6557dcd1b2064405010"/>
                    <pic:cNvPicPr>
                      <a:picLocks noChangeAspect="1"/>
                    </pic:cNvPicPr>
                  </pic:nvPicPr>
                  <pic:blipFill>
                    <a:blip r:embed="rId77"/>
                    <a:stretch>
                      <a:fillRect/>
                    </a:stretch>
                  </pic:blipFill>
                  <pic:spPr>
                    <a:xfrm>
                      <a:off x="0" y="0"/>
                      <a:ext cx="4753610" cy="7663180"/>
                    </a:xfrm>
                    <a:prstGeom prst="rect">
                      <a:avLst/>
                    </a:prstGeom>
                  </pic:spPr>
                </pic:pic>
              </a:graphicData>
            </a:graphic>
          </wp:inline>
        </w:drawing>
      </w:r>
      <w:r>
        <w:rPr>
          <w:color w:val="auto"/>
          <w:highlight w:val="none"/>
        </w:rPr>
        <w:drawing>
          <wp:inline distT="0" distB="0" distL="114300" distR="114300">
            <wp:extent cx="4650105" cy="7763510"/>
            <wp:effectExtent l="0" t="0" r="17145" b="8890"/>
            <wp:docPr id="91" name="图片 91" descr="a6dc2e1893a1dc23551f05479a3953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a6dc2e1893a1dc23551f05479a3953f9"/>
                    <pic:cNvPicPr>
                      <a:picLocks noChangeAspect="1"/>
                    </pic:cNvPicPr>
                  </pic:nvPicPr>
                  <pic:blipFill>
                    <a:blip r:embed="rId78"/>
                    <a:stretch>
                      <a:fillRect/>
                    </a:stretch>
                  </pic:blipFill>
                  <pic:spPr>
                    <a:xfrm>
                      <a:off x="0" y="0"/>
                      <a:ext cx="4650105" cy="7763510"/>
                    </a:xfrm>
                    <a:prstGeom prst="rect">
                      <a:avLst/>
                    </a:prstGeom>
                  </pic:spPr>
                </pic:pic>
              </a:graphicData>
            </a:graphic>
          </wp:inline>
        </w:drawing>
      </w:r>
    </w:p>
    <w:p w14:paraId="34F32164">
      <w:pPr>
        <w:rPr>
          <w:b/>
          <w:bCs/>
          <w:snapToGrid w:val="0"/>
          <w:color w:val="auto"/>
          <w:sz w:val="32"/>
          <w:szCs w:val="32"/>
          <w:highlight w:val="none"/>
        </w:rPr>
      </w:pPr>
      <w:r>
        <w:rPr>
          <w:b/>
          <w:bCs/>
          <w:snapToGrid w:val="0"/>
          <w:color w:val="auto"/>
          <w:sz w:val="32"/>
          <w:szCs w:val="32"/>
          <w:highlight w:val="none"/>
        </w:rPr>
        <w:t>附件7原验收意见</w:t>
      </w:r>
    </w:p>
    <w:p w14:paraId="030A1A3D">
      <w:pPr>
        <w:jc w:val="center"/>
        <w:rPr>
          <w:rFonts w:ascii="宋体" w:hAnsi="宋体" w:cs="宋体"/>
          <w:b/>
          <w:bCs/>
          <w:snapToGrid w:val="0"/>
          <w:color w:val="auto"/>
          <w:sz w:val="32"/>
          <w:szCs w:val="32"/>
          <w:highlight w:val="none"/>
        </w:rPr>
      </w:pPr>
      <w:r>
        <w:rPr>
          <w:rFonts w:ascii="宋体" w:hAnsi="宋体" w:cs="宋体"/>
          <w:b/>
          <w:bCs/>
          <w:snapToGrid w:val="0"/>
          <w:color w:val="auto"/>
          <w:sz w:val="32"/>
          <w:szCs w:val="32"/>
          <w:highlight w:val="none"/>
        </w:rPr>
        <w:drawing>
          <wp:inline distT="0" distB="0" distL="114300" distR="114300">
            <wp:extent cx="4580255" cy="7555230"/>
            <wp:effectExtent l="0" t="0" r="10795" b="7620"/>
            <wp:docPr id="94" name="图片 94" descr="01861d2863e896e81a6df489e6053e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1861d2863e896e81a6df489e6053eb5"/>
                    <pic:cNvPicPr>
                      <a:picLocks noChangeAspect="1"/>
                    </pic:cNvPicPr>
                  </pic:nvPicPr>
                  <pic:blipFill>
                    <a:blip r:embed="rId79"/>
                    <a:stretch>
                      <a:fillRect/>
                    </a:stretch>
                  </pic:blipFill>
                  <pic:spPr>
                    <a:xfrm>
                      <a:off x="0" y="0"/>
                      <a:ext cx="4580255" cy="7555230"/>
                    </a:xfrm>
                    <a:prstGeom prst="rect">
                      <a:avLst/>
                    </a:prstGeom>
                  </pic:spPr>
                </pic:pic>
              </a:graphicData>
            </a:graphic>
          </wp:inline>
        </w:drawing>
      </w:r>
      <w:r>
        <w:rPr>
          <w:rFonts w:ascii="宋体" w:hAnsi="宋体" w:cs="宋体"/>
          <w:b/>
          <w:bCs/>
          <w:snapToGrid w:val="0"/>
          <w:color w:val="auto"/>
          <w:sz w:val="32"/>
          <w:szCs w:val="32"/>
          <w:highlight w:val="none"/>
        </w:rPr>
        <w:drawing>
          <wp:inline distT="0" distB="0" distL="114300" distR="114300">
            <wp:extent cx="4835525" cy="7861300"/>
            <wp:effectExtent l="0" t="0" r="3175" b="6350"/>
            <wp:docPr id="95" name="图片 95" descr="f618f8c34f1caf80918e8d5508c02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f618f8c34f1caf80918e8d5508c0292f"/>
                    <pic:cNvPicPr>
                      <a:picLocks noChangeAspect="1"/>
                    </pic:cNvPicPr>
                  </pic:nvPicPr>
                  <pic:blipFill>
                    <a:blip r:embed="rId80"/>
                    <a:stretch>
                      <a:fillRect/>
                    </a:stretch>
                  </pic:blipFill>
                  <pic:spPr>
                    <a:xfrm>
                      <a:off x="0" y="0"/>
                      <a:ext cx="4835525" cy="7861300"/>
                    </a:xfrm>
                    <a:prstGeom prst="rect">
                      <a:avLst/>
                    </a:prstGeom>
                  </pic:spPr>
                </pic:pic>
              </a:graphicData>
            </a:graphic>
          </wp:inline>
        </w:drawing>
      </w:r>
      <w:r>
        <w:rPr>
          <w:rFonts w:ascii="宋体" w:hAnsi="宋体" w:cs="宋体"/>
          <w:b/>
          <w:bCs/>
          <w:snapToGrid w:val="0"/>
          <w:color w:val="auto"/>
          <w:sz w:val="32"/>
          <w:szCs w:val="32"/>
          <w:highlight w:val="none"/>
        </w:rPr>
        <w:drawing>
          <wp:inline distT="0" distB="0" distL="114300" distR="114300">
            <wp:extent cx="5090160" cy="7867015"/>
            <wp:effectExtent l="0" t="0" r="15240" b="635"/>
            <wp:docPr id="100" name="图片 100" descr="ad2aa4331edad3f10e2ee12518463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ad2aa4331edad3f10e2ee12518463deb"/>
                    <pic:cNvPicPr>
                      <a:picLocks noChangeAspect="1"/>
                    </pic:cNvPicPr>
                  </pic:nvPicPr>
                  <pic:blipFill>
                    <a:blip r:embed="rId81"/>
                    <a:stretch>
                      <a:fillRect/>
                    </a:stretch>
                  </pic:blipFill>
                  <pic:spPr>
                    <a:xfrm>
                      <a:off x="0" y="0"/>
                      <a:ext cx="5090160" cy="7867015"/>
                    </a:xfrm>
                    <a:prstGeom prst="rect">
                      <a:avLst/>
                    </a:prstGeom>
                  </pic:spPr>
                </pic:pic>
              </a:graphicData>
            </a:graphic>
          </wp:inline>
        </w:drawing>
      </w:r>
      <w:r>
        <w:rPr>
          <w:rFonts w:ascii="宋体" w:hAnsi="宋体" w:cs="宋体"/>
          <w:b/>
          <w:bCs/>
          <w:snapToGrid w:val="0"/>
          <w:color w:val="auto"/>
          <w:sz w:val="32"/>
          <w:szCs w:val="32"/>
          <w:highlight w:val="none"/>
        </w:rPr>
        <w:drawing>
          <wp:inline distT="0" distB="0" distL="114300" distR="114300">
            <wp:extent cx="5187315" cy="7681595"/>
            <wp:effectExtent l="0" t="0" r="13335" b="14605"/>
            <wp:docPr id="102" name="图片 102" descr="058f2576dadce9c0744d46e3bd40b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058f2576dadce9c0744d46e3bd40ba42"/>
                    <pic:cNvPicPr>
                      <a:picLocks noChangeAspect="1"/>
                    </pic:cNvPicPr>
                  </pic:nvPicPr>
                  <pic:blipFill>
                    <a:blip r:embed="rId82"/>
                    <a:stretch>
                      <a:fillRect/>
                    </a:stretch>
                  </pic:blipFill>
                  <pic:spPr>
                    <a:xfrm>
                      <a:off x="0" y="0"/>
                      <a:ext cx="5187315" cy="7681595"/>
                    </a:xfrm>
                    <a:prstGeom prst="rect">
                      <a:avLst/>
                    </a:prstGeom>
                  </pic:spPr>
                </pic:pic>
              </a:graphicData>
            </a:graphic>
          </wp:inline>
        </w:drawing>
      </w:r>
    </w:p>
    <w:p w14:paraId="450655F1">
      <w:pPr>
        <w:jc w:val="center"/>
        <w:rPr>
          <w:rFonts w:ascii="宋体" w:hAnsi="宋体" w:cs="宋体"/>
          <w:b/>
          <w:bCs/>
          <w:snapToGrid w:val="0"/>
          <w:color w:val="auto"/>
          <w:sz w:val="32"/>
          <w:szCs w:val="32"/>
          <w:highlight w:val="none"/>
        </w:rPr>
      </w:pPr>
    </w:p>
    <w:p w14:paraId="52C484A0">
      <w:pPr>
        <w:jc w:val="center"/>
        <w:rPr>
          <w:rFonts w:ascii="宋体" w:hAnsi="宋体" w:cs="宋体"/>
          <w:b/>
          <w:bCs/>
          <w:snapToGrid w:val="0"/>
          <w:color w:val="auto"/>
          <w:sz w:val="32"/>
          <w:szCs w:val="32"/>
          <w:highlight w:val="none"/>
        </w:rPr>
      </w:pPr>
    </w:p>
    <w:p w14:paraId="3CA72552">
      <w:pPr>
        <w:jc w:val="center"/>
        <w:rPr>
          <w:rFonts w:ascii="宋体" w:hAnsi="宋体" w:cs="宋体"/>
          <w:b/>
          <w:bCs/>
          <w:snapToGrid w:val="0"/>
          <w:color w:val="auto"/>
          <w:sz w:val="32"/>
          <w:szCs w:val="32"/>
          <w:highlight w:val="none"/>
        </w:rPr>
      </w:pPr>
    </w:p>
    <w:p w14:paraId="0891290E">
      <w:pPr>
        <w:pStyle w:val="8"/>
        <w:ind w:firstLine="0" w:firstLineChars="0"/>
        <w:outlineLvl w:val="0"/>
        <w:rPr>
          <w:rFonts w:hint="default" w:ascii="Times New Roman" w:hAnsi="Times New Roman" w:cs="Times New Roman"/>
          <w:b/>
          <w:bCs/>
          <w:snapToGrid w:val="0"/>
          <w:color w:val="auto"/>
          <w:sz w:val="32"/>
          <w:szCs w:val="32"/>
          <w:highlight w:val="none"/>
          <w:lang w:val="en-US" w:eastAsia="zh-CN"/>
        </w:rPr>
      </w:pPr>
      <w:r>
        <w:rPr>
          <w:rFonts w:hint="default" w:ascii="Times New Roman" w:hAnsi="Times New Roman" w:cs="Times New Roman"/>
          <w:b/>
          <w:bCs/>
          <w:snapToGrid w:val="0"/>
          <w:color w:val="auto"/>
          <w:sz w:val="32"/>
          <w:szCs w:val="32"/>
          <w:highlight w:val="none"/>
          <w:lang w:eastAsia="zh-CN"/>
        </w:rPr>
        <w:t>附件</w:t>
      </w:r>
      <w:r>
        <w:rPr>
          <w:rFonts w:hint="default" w:ascii="Times New Roman" w:hAnsi="Times New Roman" w:cs="Times New Roman"/>
          <w:b/>
          <w:bCs/>
          <w:snapToGrid w:val="0"/>
          <w:color w:val="auto"/>
          <w:sz w:val="32"/>
          <w:szCs w:val="32"/>
          <w:highlight w:val="none"/>
          <w:lang w:val="en-US" w:eastAsia="zh-CN"/>
        </w:rPr>
        <w:t>8煤泥检验报告</w:t>
      </w:r>
    </w:p>
    <w:p w14:paraId="2C3E17FE">
      <w:pPr>
        <w:pStyle w:val="16"/>
        <w:rPr>
          <w:rFonts w:hint="default"/>
          <w:color w:val="auto"/>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rFonts w:hint="default" w:ascii="宋体" w:hAnsi="宋体" w:cs="宋体"/>
          <w:b/>
          <w:bCs/>
          <w:snapToGrid w:val="0"/>
          <w:color w:val="auto"/>
          <w:kern w:val="2"/>
          <w:sz w:val="32"/>
          <w:szCs w:val="32"/>
          <w:highlight w:val="none"/>
          <w:lang w:val="en-US" w:eastAsia="zh-CN"/>
        </w:rPr>
        <w:drawing>
          <wp:inline distT="0" distB="0" distL="114300" distR="114300">
            <wp:extent cx="5612765" cy="7458075"/>
            <wp:effectExtent l="0" t="0" r="6985" b="9525"/>
            <wp:docPr id="140" name="图片 140" descr="0d5ff21b8aeb30045f1891a9cc5765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d5ff21b8aeb30045f1891a9cc5765d4"/>
                    <pic:cNvPicPr>
                      <a:picLocks noChangeAspect="1"/>
                    </pic:cNvPicPr>
                  </pic:nvPicPr>
                  <pic:blipFill>
                    <a:blip r:embed="rId83"/>
                    <a:stretch>
                      <a:fillRect/>
                    </a:stretch>
                  </pic:blipFill>
                  <pic:spPr>
                    <a:xfrm>
                      <a:off x="0" y="0"/>
                      <a:ext cx="5612765" cy="7458075"/>
                    </a:xfrm>
                    <a:prstGeom prst="rect">
                      <a:avLst/>
                    </a:prstGeom>
                  </pic:spPr>
                </pic:pic>
              </a:graphicData>
            </a:graphic>
          </wp:inline>
        </w:drawing>
      </w:r>
    </w:p>
    <w:p w14:paraId="2291E09E">
      <w:pPr>
        <w:pStyle w:val="8"/>
        <w:ind w:firstLine="0" w:firstLineChars="0"/>
        <w:jc w:val="left"/>
        <w:outlineLvl w:val="0"/>
        <w:rPr>
          <w:b/>
          <w:bCs/>
          <w:snapToGrid w:val="0"/>
          <w:color w:val="auto"/>
          <w:sz w:val="32"/>
          <w:szCs w:val="32"/>
          <w:highlight w:val="none"/>
        </w:rPr>
      </w:pPr>
      <w:r>
        <w:rPr>
          <w:b/>
          <w:bCs/>
          <w:snapToGrid w:val="0"/>
          <w:color w:val="auto"/>
          <w:sz w:val="32"/>
          <w:szCs w:val="32"/>
          <w:highlight w:val="none"/>
        </w:rPr>
        <w:t>附件</w:t>
      </w:r>
      <w:r>
        <w:rPr>
          <w:rFonts w:hint="eastAsia"/>
          <w:b/>
          <w:bCs/>
          <w:snapToGrid w:val="0"/>
          <w:color w:val="auto"/>
          <w:sz w:val="32"/>
          <w:szCs w:val="32"/>
          <w:highlight w:val="none"/>
          <w:lang w:val="en-US" w:eastAsia="zh-CN"/>
        </w:rPr>
        <w:t>9</w:t>
      </w:r>
      <w:r>
        <w:rPr>
          <w:b/>
          <w:bCs/>
          <w:snapToGrid w:val="0"/>
          <w:color w:val="auto"/>
          <w:sz w:val="32"/>
          <w:szCs w:val="32"/>
          <w:highlight w:val="none"/>
        </w:rPr>
        <w:t>鸡西市焦诚矸石加工厂生态环境分区管控分析报告</w:t>
      </w:r>
      <w:bookmarkEnd w:id="120"/>
      <w:bookmarkEnd w:id="121"/>
      <w:bookmarkEnd w:id="122"/>
      <w:bookmarkEnd w:id="123"/>
      <w:bookmarkEnd w:id="124"/>
      <w:r>
        <w:rPr>
          <w:color w:val="auto"/>
          <w:highlight w:val="none"/>
        </w:rPr>
        <w:drawing>
          <wp:inline distT="0" distB="0" distL="114300" distR="114300">
            <wp:extent cx="7506335" cy="5217160"/>
            <wp:effectExtent l="0" t="0" r="18415" b="254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84"/>
                    <a:stretch>
                      <a:fillRect/>
                    </a:stretch>
                  </pic:blipFill>
                  <pic:spPr>
                    <a:xfrm>
                      <a:off x="0" y="0"/>
                      <a:ext cx="7506335" cy="5217160"/>
                    </a:xfrm>
                    <a:prstGeom prst="rect">
                      <a:avLst/>
                    </a:prstGeom>
                    <a:noFill/>
                    <a:ln>
                      <a:noFill/>
                    </a:ln>
                  </pic:spPr>
                </pic:pic>
              </a:graphicData>
            </a:graphic>
          </wp:inline>
        </w:drawing>
      </w:r>
    </w:p>
    <w:p w14:paraId="6BA99CBE">
      <w:pPr>
        <w:pStyle w:val="8"/>
        <w:ind w:firstLine="0" w:firstLineChars="0"/>
        <w:jc w:val="center"/>
        <w:outlineLvl w:val="0"/>
        <w:rPr>
          <w:color w:val="auto"/>
          <w:highlight w:val="none"/>
        </w:rPr>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7727950" cy="5375275"/>
            <wp:effectExtent l="0" t="0" r="6350" b="15875"/>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85"/>
                    <a:stretch>
                      <a:fillRect/>
                    </a:stretch>
                  </pic:blipFill>
                  <pic:spPr>
                    <a:xfrm>
                      <a:off x="0" y="0"/>
                      <a:ext cx="7727950" cy="5375275"/>
                    </a:xfrm>
                    <a:prstGeom prst="rect">
                      <a:avLst/>
                    </a:prstGeom>
                    <a:noFill/>
                    <a:ln>
                      <a:noFill/>
                    </a:ln>
                  </pic:spPr>
                </pic:pic>
              </a:graphicData>
            </a:graphic>
          </wp:inline>
        </w:drawing>
      </w:r>
      <w:r>
        <w:rPr>
          <w:color w:val="auto"/>
          <w:highlight w:val="none"/>
        </w:rPr>
        <w:drawing>
          <wp:inline distT="0" distB="0" distL="114300" distR="114300">
            <wp:extent cx="7744460" cy="5181600"/>
            <wp:effectExtent l="0" t="0" r="8890" b="0"/>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86"/>
                    <a:stretch>
                      <a:fillRect/>
                    </a:stretch>
                  </pic:blipFill>
                  <pic:spPr>
                    <a:xfrm>
                      <a:off x="0" y="0"/>
                      <a:ext cx="7744460" cy="5181600"/>
                    </a:xfrm>
                    <a:prstGeom prst="rect">
                      <a:avLst/>
                    </a:prstGeom>
                    <a:noFill/>
                    <a:ln>
                      <a:noFill/>
                    </a:ln>
                  </pic:spPr>
                </pic:pic>
              </a:graphicData>
            </a:graphic>
          </wp:inline>
        </w:drawing>
      </w:r>
      <w:r>
        <w:rPr>
          <w:color w:val="auto"/>
          <w:highlight w:val="none"/>
        </w:rPr>
        <w:drawing>
          <wp:inline distT="0" distB="0" distL="114300" distR="114300">
            <wp:extent cx="7525385" cy="5121275"/>
            <wp:effectExtent l="0" t="0" r="18415" b="3175"/>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87"/>
                    <a:stretch>
                      <a:fillRect/>
                    </a:stretch>
                  </pic:blipFill>
                  <pic:spPr>
                    <a:xfrm>
                      <a:off x="0" y="0"/>
                      <a:ext cx="7525385" cy="5121275"/>
                    </a:xfrm>
                    <a:prstGeom prst="rect">
                      <a:avLst/>
                    </a:prstGeom>
                    <a:noFill/>
                    <a:ln>
                      <a:noFill/>
                    </a:ln>
                  </pic:spPr>
                </pic:pic>
              </a:graphicData>
            </a:graphic>
          </wp:inline>
        </w:drawing>
      </w:r>
      <w:r>
        <w:rPr>
          <w:color w:val="auto"/>
          <w:highlight w:val="none"/>
        </w:rPr>
        <w:drawing>
          <wp:inline distT="0" distB="0" distL="114300" distR="114300">
            <wp:extent cx="7727315" cy="5084445"/>
            <wp:effectExtent l="0" t="0" r="6985" b="1905"/>
            <wp:docPr id="5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7"/>
                    <pic:cNvPicPr>
                      <a:picLocks noChangeAspect="1"/>
                    </pic:cNvPicPr>
                  </pic:nvPicPr>
                  <pic:blipFill>
                    <a:blip r:embed="rId88"/>
                    <a:stretch>
                      <a:fillRect/>
                    </a:stretch>
                  </pic:blipFill>
                  <pic:spPr>
                    <a:xfrm>
                      <a:off x="0" y="0"/>
                      <a:ext cx="7727315" cy="5084445"/>
                    </a:xfrm>
                    <a:prstGeom prst="rect">
                      <a:avLst/>
                    </a:prstGeom>
                    <a:noFill/>
                    <a:ln>
                      <a:noFill/>
                    </a:ln>
                  </pic:spPr>
                </pic:pic>
              </a:graphicData>
            </a:graphic>
          </wp:inline>
        </w:drawing>
      </w:r>
      <w:r>
        <w:rPr>
          <w:color w:val="auto"/>
          <w:highlight w:val="none"/>
        </w:rPr>
        <w:drawing>
          <wp:inline distT="0" distB="0" distL="114300" distR="114300">
            <wp:extent cx="7785100" cy="5455285"/>
            <wp:effectExtent l="0" t="0" r="6350" b="12065"/>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pic:cNvPicPr>
                      <a:picLocks noChangeAspect="1"/>
                    </pic:cNvPicPr>
                  </pic:nvPicPr>
                  <pic:blipFill>
                    <a:blip r:embed="rId89"/>
                    <a:stretch>
                      <a:fillRect/>
                    </a:stretch>
                  </pic:blipFill>
                  <pic:spPr>
                    <a:xfrm>
                      <a:off x="0" y="0"/>
                      <a:ext cx="7785100" cy="5455285"/>
                    </a:xfrm>
                    <a:prstGeom prst="rect">
                      <a:avLst/>
                    </a:prstGeom>
                    <a:noFill/>
                    <a:ln>
                      <a:noFill/>
                    </a:ln>
                  </pic:spPr>
                </pic:pic>
              </a:graphicData>
            </a:graphic>
          </wp:inline>
        </w:drawing>
      </w:r>
      <w:r>
        <w:rPr>
          <w:color w:val="auto"/>
          <w:highlight w:val="none"/>
        </w:rPr>
        <w:drawing>
          <wp:inline distT="0" distB="0" distL="114300" distR="114300">
            <wp:extent cx="7639050" cy="5193030"/>
            <wp:effectExtent l="0" t="0" r="0" b="7620"/>
            <wp:docPr id="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pic:cNvPicPr>
                      <a:picLocks noChangeAspect="1"/>
                    </pic:cNvPicPr>
                  </pic:nvPicPr>
                  <pic:blipFill>
                    <a:blip r:embed="rId90"/>
                    <a:stretch>
                      <a:fillRect/>
                    </a:stretch>
                  </pic:blipFill>
                  <pic:spPr>
                    <a:xfrm>
                      <a:off x="0" y="0"/>
                      <a:ext cx="7639050" cy="5193030"/>
                    </a:xfrm>
                    <a:prstGeom prst="rect">
                      <a:avLst/>
                    </a:prstGeom>
                    <a:noFill/>
                    <a:ln>
                      <a:noFill/>
                    </a:ln>
                  </pic:spPr>
                </pic:pic>
              </a:graphicData>
            </a:graphic>
          </wp:inline>
        </w:drawing>
      </w:r>
      <w:r>
        <w:rPr>
          <w:color w:val="auto"/>
          <w:highlight w:val="none"/>
        </w:rPr>
        <w:drawing>
          <wp:inline distT="0" distB="0" distL="114300" distR="114300">
            <wp:extent cx="7085965" cy="4720590"/>
            <wp:effectExtent l="0" t="0" r="635" b="3810"/>
            <wp:docPr id="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0"/>
                    <pic:cNvPicPr>
                      <a:picLocks noChangeAspect="1"/>
                    </pic:cNvPicPr>
                  </pic:nvPicPr>
                  <pic:blipFill>
                    <a:blip r:embed="rId91"/>
                    <a:stretch>
                      <a:fillRect/>
                    </a:stretch>
                  </pic:blipFill>
                  <pic:spPr>
                    <a:xfrm>
                      <a:off x="0" y="0"/>
                      <a:ext cx="7085965" cy="4720590"/>
                    </a:xfrm>
                    <a:prstGeom prst="rect">
                      <a:avLst/>
                    </a:prstGeom>
                    <a:noFill/>
                    <a:ln>
                      <a:noFill/>
                    </a:ln>
                  </pic:spPr>
                </pic:pic>
              </a:graphicData>
            </a:graphic>
          </wp:inline>
        </w:drawing>
      </w:r>
      <w:r>
        <w:rPr>
          <w:color w:val="auto"/>
          <w:highlight w:val="none"/>
        </w:rPr>
        <w:drawing>
          <wp:inline distT="0" distB="0" distL="114300" distR="114300">
            <wp:extent cx="7881620" cy="5491480"/>
            <wp:effectExtent l="0" t="0" r="5080" b="13970"/>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92"/>
                    <a:stretch>
                      <a:fillRect/>
                    </a:stretch>
                  </pic:blipFill>
                  <pic:spPr>
                    <a:xfrm>
                      <a:off x="0" y="0"/>
                      <a:ext cx="7881620" cy="5491480"/>
                    </a:xfrm>
                    <a:prstGeom prst="rect">
                      <a:avLst/>
                    </a:prstGeom>
                    <a:noFill/>
                    <a:ln>
                      <a:noFill/>
                    </a:ln>
                  </pic:spPr>
                </pic:pic>
              </a:graphicData>
            </a:graphic>
          </wp:inline>
        </w:drawing>
      </w:r>
      <w:r>
        <w:rPr>
          <w:color w:val="auto"/>
          <w:highlight w:val="none"/>
        </w:rPr>
        <w:drawing>
          <wp:inline distT="0" distB="0" distL="114300" distR="114300">
            <wp:extent cx="7795895" cy="5434965"/>
            <wp:effectExtent l="0" t="0" r="14605" b="13335"/>
            <wp:docPr id="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pic:cNvPicPr>
                      <a:picLocks noChangeAspect="1"/>
                    </pic:cNvPicPr>
                  </pic:nvPicPr>
                  <pic:blipFill>
                    <a:blip r:embed="rId93"/>
                    <a:stretch>
                      <a:fillRect/>
                    </a:stretch>
                  </pic:blipFill>
                  <pic:spPr>
                    <a:xfrm>
                      <a:off x="0" y="0"/>
                      <a:ext cx="7795895" cy="5434965"/>
                    </a:xfrm>
                    <a:prstGeom prst="rect">
                      <a:avLst/>
                    </a:prstGeom>
                    <a:noFill/>
                    <a:ln>
                      <a:noFill/>
                    </a:ln>
                  </pic:spPr>
                </pic:pic>
              </a:graphicData>
            </a:graphic>
          </wp:inline>
        </w:drawing>
      </w:r>
    </w:p>
    <w:p w14:paraId="5E6BFE19">
      <w:pPr>
        <w:pStyle w:val="8"/>
        <w:ind w:firstLine="0" w:firstLineChars="0"/>
        <w:jc w:val="both"/>
        <w:outlineLvl w:val="0"/>
        <w:rPr>
          <w:color w:val="auto"/>
          <w:highlight w:val="none"/>
        </w:rPr>
      </w:pPr>
      <w:r>
        <w:rPr>
          <w:b/>
          <w:bCs/>
          <w:snapToGrid w:val="0"/>
          <w:color w:val="auto"/>
          <w:sz w:val="32"/>
          <w:szCs w:val="32"/>
          <w:highlight w:val="none"/>
        </w:rPr>
        <w:t>附件</w:t>
      </w:r>
      <w:r>
        <w:rPr>
          <w:rFonts w:hint="eastAsia"/>
          <w:b/>
          <w:bCs/>
          <w:snapToGrid w:val="0"/>
          <w:color w:val="auto"/>
          <w:sz w:val="32"/>
          <w:szCs w:val="32"/>
          <w:highlight w:val="none"/>
          <w:lang w:val="en-US" w:eastAsia="zh-CN"/>
        </w:rPr>
        <w:t>10</w:t>
      </w:r>
      <w:r>
        <w:rPr>
          <w:rFonts w:hint="default" w:ascii="宋体" w:hAnsi="宋体" w:eastAsia="宋体" w:cs="宋体"/>
          <w:b/>
          <w:bCs/>
          <w:snapToGrid w:val="0"/>
          <w:color w:val="auto"/>
          <w:kern w:val="2"/>
          <w:sz w:val="32"/>
          <w:szCs w:val="32"/>
          <w:highlight w:val="none"/>
          <w:lang w:val="en-US" w:eastAsia="zh-CN"/>
        </w:rPr>
        <w:t>违法行为决定书及行政处罚告知书</w:t>
      </w:r>
    </w:p>
    <w:p w14:paraId="41847B04">
      <w:pPr>
        <w:pStyle w:val="8"/>
        <w:ind w:firstLine="0" w:firstLineChars="0"/>
        <w:jc w:val="both"/>
        <w:outlineLvl w:val="0"/>
        <w:rPr>
          <w:color w:val="auto"/>
        </w:rPr>
      </w:pPr>
      <w:r>
        <w:rPr>
          <w:color w:val="auto"/>
        </w:rPr>
        <w:drawing>
          <wp:inline distT="0" distB="0" distL="114300" distR="114300">
            <wp:extent cx="5438775" cy="7789545"/>
            <wp:effectExtent l="0" t="0" r="9525" b="190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94"/>
                    <a:stretch>
                      <a:fillRect/>
                    </a:stretch>
                  </pic:blipFill>
                  <pic:spPr>
                    <a:xfrm>
                      <a:off x="0" y="0"/>
                      <a:ext cx="5438775" cy="7789545"/>
                    </a:xfrm>
                    <a:prstGeom prst="rect">
                      <a:avLst/>
                    </a:prstGeom>
                    <a:noFill/>
                    <a:ln>
                      <a:noFill/>
                    </a:ln>
                  </pic:spPr>
                </pic:pic>
              </a:graphicData>
            </a:graphic>
          </wp:inline>
        </w:drawing>
      </w:r>
    </w:p>
    <w:p w14:paraId="14408663">
      <w:pPr>
        <w:pStyle w:val="8"/>
        <w:ind w:firstLine="0" w:firstLineChars="0"/>
        <w:jc w:val="both"/>
        <w:outlineLvl w:val="0"/>
        <w:rPr>
          <w:color w:val="auto"/>
        </w:rPr>
      </w:pPr>
      <w:r>
        <w:rPr>
          <w:color w:val="auto"/>
        </w:rPr>
        <w:drawing>
          <wp:inline distT="0" distB="0" distL="114300" distR="114300">
            <wp:extent cx="5638800" cy="8013700"/>
            <wp:effectExtent l="0" t="0" r="0" b="635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95"/>
                    <a:stretch>
                      <a:fillRect/>
                    </a:stretch>
                  </pic:blipFill>
                  <pic:spPr>
                    <a:xfrm>
                      <a:off x="0" y="0"/>
                      <a:ext cx="5638800" cy="8013700"/>
                    </a:xfrm>
                    <a:prstGeom prst="rect">
                      <a:avLst/>
                    </a:prstGeom>
                    <a:noFill/>
                    <a:ln>
                      <a:noFill/>
                    </a:ln>
                  </pic:spPr>
                </pic:pic>
              </a:graphicData>
            </a:graphic>
          </wp:inline>
        </w:drawing>
      </w:r>
    </w:p>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A3727023-5F92-45A2-BDF4-D3460BC4A4D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D57D9387-F114-44CC-A435-B2656D91964F}"/>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embedRegular r:id="rId3" w:fontKey="{107B2CE7-8BFB-413F-AFD7-A5CE566ACB5D}"/>
  </w:font>
  <w:font w:name="Cambria Math">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embedRegular r:id="rId4" w:fontKey="{D5406383-7537-4551-8601-6798007CFB34}"/>
  </w:font>
  <w:font w:name="方正小标宋_GBK">
    <w:panose1 w:val="02000000000000000000"/>
    <w:charset w:val="86"/>
    <w:family w:val="script"/>
    <w:pitch w:val="default"/>
    <w:sig w:usb0="A00002BF" w:usb1="38CF7CFA" w:usb2="00082016" w:usb3="00000000" w:csb0="00040001" w:csb1="00000000"/>
    <w:embedRegular r:id="rId5" w:fontKey="{A0F63761-BDF2-46FF-BC83-EB015B4CA105}"/>
  </w:font>
  <w:font w:name="楷体_GB2312">
    <w:altName w:val="楷体"/>
    <w:panose1 w:val="00000000000000000000"/>
    <w:charset w:val="86"/>
    <w:family w:val="auto"/>
    <w:pitch w:val="default"/>
    <w:sig w:usb0="00000000" w:usb1="00000000" w:usb2="00000000" w:usb3="00000000" w:csb0="00040000" w:csb1="00000000"/>
    <w:embedRegular r:id="rId6" w:fontKey="{901DCB73-9DC0-4CF2-824A-479FD0AC89DB}"/>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embedRegular r:id="rId7" w:fontKey="{A152EAB3-ED57-41F8-99B4-0C0491C4751F}"/>
  </w:font>
  <w:font w:name="等线">
    <w:panose1 w:val="02010600030101010101"/>
    <w:charset w:val="86"/>
    <w:family w:val="auto"/>
    <w:pitch w:val="default"/>
    <w:sig w:usb0="A00002BF" w:usb1="38CF7CFA" w:usb2="00000016" w:usb3="00000000" w:csb0="0004000F" w:csb1="00000000"/>
    <w:embedRegular r:id="rId8" w:fontKey="{6CAFA49F-AA8D-44CF-BB52-1481D6FA5666}"/>
  </w:font>
  <w:font w:name="浠垮畫_GB2312">
    <w:altName w:val="Times New Roman"/>
    <w:panose1 w:val="00000000000000000000"/>
    <w:charset w:val="00"/>
    <w:family w:val="auto"/>
    <w:pitch w:val="default"/>
    <w:sig w:usb0="00000000" w:usb1="00000000" w:usb2="00000000" w:usb3="00000000" w:csb0="00000000" w:csb1="00000000"/>
    <w:embedRegular r:id="rId9" w:fontKey="{D00BB2E3-BF4F-4981-BF77-897A96838E6C}"/>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D5266">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623E2">
    <w:pPr>
      <w:pStyle w:val="14"/>
      <w:framePr w:wrap="around" w:vAnchor="text" w:hAnchor="margin" w:xAlign="center" w:y="1"/>
      <w:rPr>
        <w:rStyle w:val="26"/>
      </w:rPr>
    </w:pPr>
    <w:r>
      <w:fldChar w:fldCharType="begin"/>
    </w:r>
    <w:r>
      <w:rPr>
        <w:rStyle w:val="26"/>
      </w:rPr>
      <w:instrText xml:space="preserve">PAGE  </w:instrText>
    </w:r>
    <w:r>
      <w:fldChar w:fldCharType="end"/>
    </w:r>
  </w:p>
  <w:p w14:paraId="569112AB">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28DC8303">
        <w:pPr>
          <w:pStyle w:val="14"/>
          <w:ind w:left="2250" w:hanging="1200"/>
          <w:jc w:val="center"/>
        </w:pPr>
        <w:r>
          <w:fldChar w:fldCharType="begin"/>
        </w:r>
        <w:r>
          <w:instrText xml:space="preserve">PAGE   \* MERGEFORMAT</w:instrText>
        </w:r>
        <w:r>
          <w:fldChar w:fldCharType="separate"/>
        </w:r>
        <w:r>
          <w:rPr>
            <w:lang w:val="zh-CN"/>
          </w:rPr>
          <w:t>59</w:t>
        </w:r>
        <w:r>
          <w:rPr>
            <w:lang w:val="zh-CN"/>
          </w:rPr>
          <w:fldChar w:fldCharType="end"/>
        </w:r>
      </w:p>
    </w:sdtContent>
  </w:sdt>
  <w:p w14:paraId="08083CFB">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7C54A">
    <w:pPr>
      <w:pStyle w:val="14"/>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126"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ffectLst/>
                    </wps:spPr>
                    <wps:txbx>
                      <w:txbxContent>
                        <w:p w14:paraId="687AD98E">
                          <w:pPr>
                            <w:pStyle w:val="14"/>
                          </w:pPr>
                          <w:r>
                            <w:fldChar w:fldCharType="begin"/>
                          </w:r>
                          <w:r>
                            <w:instrText xml:space="preserve"> PAGE  \* MERGEFORMAT </w:instrText>
                          </w:r>
                          <w:r>
                            <w:fldChar w:fldCharType="separate"/>
                          </w:r>
                          <w:r>
                            <w:t>60</w:t>
                          </w:r>
                          <w: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PlfknQAAAAAwEAAA8AAAAAAAAAAQAgAAAA&#10;IgAAAGRycy9kb3ducmV2LnhtbFBLAQIUABQAAAAIAIdO4kASnQ1lEwIAABUEAAAOAAAAAAAAAAEA&#10;IAAAAB8BAABkcnMvZTJvRG9jLnhtbFBLBQYAAAAABgAGAFkBAACkBQAAAAA=&#10;">
              <v:fill on="f" focussize="0,0"/>
              <v:stroke on="f"/>
              <v:imagedata o:title=""/>
              <o:lock v:ext="edit" aspectratio="f"/>
              <v:textbox inset="0mm,0mm,0mm,0mm" style="mso-fit-shape-to-text:t;">
                <w:txbxContent>
                  <w:p w14:paraId="687AD98E">
                    <w:pPr>
                      <w:pStyle w:val="14"/>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1D1501">
    <w:pPr>
      <w:pStyle w:val="14"/>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127"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ffectLst/>
                    </wps:spPr>
                    <wps:txbx>
                      <w:txbxContent>
                        <w:p w14:paraId="567F60F7">
                          <w:pPr>
                            <w:pStyle w:val="14"/>
                          </w:pPr>
                          <w:r>
                            <w:fldChar w:fldCharType="begin"/>
                          </w:r>
                          <w:r>
                            <w:instrText xml:space="preserve"> PAGE  \* MERGEFORMAT </w:instrText>
                          </w:r>
                          <w:r>
                            <w:fldChar w:fldCharType="separate"/>
                          </w:r>
                          <w:r>
                            <w:t>65</w:t>
                          </w:r>
                          <w: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PlfknQAAAAAwEAAA8AAAAAAAAAAQAgAAAA&#10;IgAAAGRycy9kb3ducmV2LnhtbFBLAQIUABQAAAAIAIdO4kB5P7FkEwIAABUEAAAOAAAAAAAAAAEA&#10;IAAAAB8BAABkcnMvZTJvRG9jLnhtbFBLBQYAAAAABgAGAFkBAACkBQAAAAA=&#10;">
              <v:fill on="f" focussize="0,0"/>
              <v:stroke on="f"/>
              <v:imagedata o:title=""/>
              <o:lock v:ext="edit" aspectratio="f"/>
              <v:textbox inset="0mm,0mm,0mm,0mm" style="mso-fit-shape-to-text:t;">
                <w:txbxContent>
                  <w:p w14:paraId="567F60F7">
                    <w:pPr>
                      <w:pStyle w:val="14"/>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D88EB">
    <w:pPr>
      <w:pStyle w:val="14"/>
      <w:jc w:val="center"/>
      <w:rPr>
        <w:rFonts w:ascii="宋体" w:hAnsi="宋体"/>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25"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ffectLst/>
                    </wps:spPr>
                    <wps:txbx>
                      <w:txbxContent>
                        <w:p w14:paraId="027286ED">
                          <w:pPr>
                            <w:pStyle w:val="14"/>
                          </w:pPr>
                          <w:r>
                            <w:fldChar w:fldCharType="begin"/>
                          </w:r>
                          <w:r>
                            <w:instrText xml:space="preserve"> PAGE  \* MERGEFORMAT </w:instrText>
                          </w:r>
                          <w:r>
                            <w:fldChar w:fldCharType="separate"/>
                          </w:r>
                          <w:r>
                            <w:t>67</w:t>
                          </w:r>
                          <w: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V+SdAAAAADAQAADwAAAAAAAAABACAAAAAi&#10;AAAAZHJzL2Rvd25yZXYueG1sUEsBAhQAFAAAAAgAh07iQChfEYsSAgAAFQQAAA4AAAAAAAAAAQAg&#10;AAAAHwEAAGRycy9lMm9Eb2MueG1sUEsFBgAAAAAGAAYAWQEAAKMFAAAAAA==&#10;">
              <v:fill on="f" focussize="0,0"/>
              <v:stroke on="f"/>
              <v:imagedata o:title=""/>
              <o:lock v:ext="edit" aspectratio="f"/>
              <v:textbox inset="0mm,0mm,0mm,0mm" style="mso-fit-shape-to-text:t;">
                <w:txbxContent>
                  <w:p w14:paraId="027286ED">
                    <w:pPr>
                      <w:pStyle w:val="14"/>
                    </w:pPr>
                    <w:r>
                      <w:fldChar w:fldCharType="begin"/>
                    </w:r>
                    <w:r>
                      <w:instrText xml:space="preserve"> PAGE  \* MERGEFORMAT </w:instrText>
                    </w:r>
                    <w:r>
                      <w:fldChar w:fldCharType="separate"/>
                    </w:r>
                    <w:r>
                      <w:t>67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043CF">
    <w:pPr>
      <w:pStyle w:val="14"/>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3A17A04">
                          <w:pPr>
                            <w:pStyle w:val="14"/>
                          </w:pPr>
                          <w:r>
                            <w:fldChar w:fldCharType="begin"/>
                          </w:r>
                          <w:r>
                            <w:instrText xml:space="preserve"> PAGE  \* MERGEFORMAT </w:instrText>
                          </w:r>
                          <w:r>
                            <w:fldChar w:fldCharType="separate"/>
                          </w:r>
                          <w:r>
                            <w:t>111</w:t>
                          </w:r>
                          <w:r>
                            <w:fldChar w:fldCharType="end"/>
                          </w:r>
                        </w:p>
                      </w:txbxContent>
                    </wps:txbx>
                    <wps:bodyPr wrap="none" lIns="0" tIns="0" rIns="0" bIns="0">
                      <a:spAutoFit/>
                    </wps:bodyPr>
                  </wps:wsp>
                </a:graphicData>
              </a:graphic>
            </wp:anchor>
          </w:drawing>
        </mc:Choice>
        <mc:Fallback>
          <w:pict>
            <v:shape id="文本框 5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c4tHLIAQAAngMAAA4AAAAAAAAAAQAgAAAAHgEAAGRycy9lMm9Eb2Mu&#10;eG1sUEsFBgAAAAAGAAYAWQEAAFgFAAAAAA==&#10;">
              <v:fill on="f" focussize="0,0"/>
              <v:stroke on="f"/>
              <v:imagedata o:title=""/>
              <o:lock v:ext="edit" aspectratio="f"/>
              <v:textbox inset="0mm,0mm,0mm,0mm" style="mso-fit-shape-to-text:t;">
                <w:txbxContent>
                  <w:p w14:paraId="03A17A04">
                    <w:pPr>
                      <w:pStyle w:val="14"/>
                    </w:pPr>
                    <w:r>
                      <w:fldChar w:fldCharType="begin"/>
                    </w:r>
                    <w:r>
                      <w:instrText xml:space="preserve"> PAGE  \* MERGEFORMAT </w:instrText>
                    </w:r>
                    <w:r>
                      <w:fldChar w:fldCharType="separate"/>
                    </w:r>
                    <w:r>
                      <w:t>111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E30FC5"/>
    <w:multiLevelType w:val="singleLevel"/>
    <w:tmpl w:val="8BE30FC5"/>
    <w:lvl w:ilvl="0" w:tentative="0">
      <w:start w:val="1"/>
      <w:numFmt w:val="decimal"/>
      <w:suff w:val="nothing"/>
      <w:lvlText w:val="（%1）"/>
      <w:lvlJc w:val="left"/>
    </w:lvl>
  </w:abstractNum>
  <w:abstractNum w:abstractNumId="1">
    <w:nsid w:val="BE834B51"/>
    <w:multiLevelType w:val="singleLevel"/>
    <w:tmpl w:val="BE834B51"/>
    <w:lvl w:ilvl="0" w:tentative="0">
      <w:start w:val="1"/>
      <w:numFmt w:val="bullet"/>
      <w:pStyle w:val="3"/>
      <w:lvlText w:val=""/>
      <w:lvlJc w:val="left"/>
      <w:pPr>
        <w:tabs>
          <w:tab w:val="left" w:pos="2040"/>
        </w:tabs>
        <w:ind w:left="2040" w:hanging="360"/>
      </w:pPr>
      <w:rPr>
        <w:rFonts w:hint="default" w:ascii="Wingdings" w:hAnsi="Wingdings"/>
      </w:rPr>
    </w:lvl>
  </w:abstractNum>
  <w:abstractNum w:abstractNumId="2">
    <w:nsid w:val="2238916B"/>
    <w:multiLevelType w:val="singleLevel"/>
    <w:tmpl w:val="2238916B"/>
    <w:lvl w:ilvl="0" w:tentative="0">
      <w:start w:val="2"/>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hNGY3YzRjNDgxMjI3YTk3YTcyN2Y1NGJkYWFkZWMifQ=="/>
  </w:docVars>
  <w:rsids>
    <w:rsidRoot w:val="00CD52C7"/>
    <w:rsid w:val="00110F4C"/>
    <w:rsid w:val="00130173"/>
    <w:rsid w:val="002250B2"/>
    <w:rsid w:val="00353815"/>
    <w:rsid w:val="005D478E"/>
    <w:rsid w:val="00670669"/>
    <w:rsid w:val="006D234D"/>
    <w:rsid w:val="00A610C2"/>
    <w:rsid w:val="00A938A1"/>
    <w:rsid w:val="00A93DB2"/>
    <w:rsid w:val="00AA672C"/>
    <w:rsid w:val="00AD2208"/>
    <w:rsid w:val="00B901D7"/>
    <w:rsid w:val="00BD23CB"/>
    <w:rsid w:val="00CD52C7"/>
    <w:rsid w:val="00D0059B"/>
    <w:rsid w:val="00D040C7"/>
    <w:rsid w:val="00E31D8B"/>
    <w:rsid w:val="00E83B04"/>
    <w:rsid w:val="00F55B5A"/>
    <w:rsid w:val="01117B09"/>
    <w:rsid w:val="01856B06"/>
    <w:rsid w:val="027D3E9D"/>
    <w:rsid w:val="02861AEE"/>
    <w:rsid w:val="030B73A9"/>
    <w:rsid w:val="037E1062"/>
    <w:rsid w:val="03801CE3"/>
    <w:rsid w:val="03D90444"/>
    <w:rsid w:val="0400593D"/>
    <w:rsid w:val="048A73FC"/>
    <w:rsid w:val="04C57DA7"/>
    <w:rsid w:val="04E31DE1"/>
    <w:rsid w:val="051348E3"/>
    <w:rsid w:val="05C45A95"/>
    <w:rsid w:val="06824DC3"/>
    <w:rsid w:val="06CA4FF0"/>
    <w:rsid w:val="06F04F90"/>
    <w:rsid w:val="070E0675"/>
    <w:rsid w:val="081E6D6D"/>
    <w:rsid w:val="08493DEA"/>
    <w:rsid w:val="085418C4"/>
    <w:rsid w:val="088107FE"/>
    <w:rsid w:val="0936544F"/>
    <w:rsid w:val="09941BAA"/>
    <w:rsid w:val="099421ED"/>
    <w:rsid w:val="09964F8F"/>
    <w:rsid w:val="09FB55B8"/>
    <w:rsid w:val="0A4F2F7E"/>
    <w:rsid w:val="0ADD081A"/>
    <w:rsid w:val="0B555E51"/>
    <w:rsid w:val="0B8535C3"/>
    <w:rsid w:val="0B903FA1"/>
    <w:rsid w:val="0D075066"/>
    <w:rsid w:val="0F5F5CA1"/>
    <w:rsid w:val="0F646EAB"/>
    <w:rsid w:val="0FB9564C"/>
    <w:rsid w:val="0FF860F6"/>
    <w:rsid w:val="101637E3"/>
    <w:rsid w:val="110F1949"/>
    <w:rsid w:val="111873EF"/>
    <w:rsid w:val="11424362"/>
    <w:rsid w:val="1209283C"/>
    <w:rsid w:val="121576A2"/>
    <w:rsid w:val="125C5624"/>
    <w:rsid w:val="12845106"/>
    <w:rsid w:val="12C163E8"/>
    <w:rsid w:val="12F63B22"/>
    <w:rsid w:val="13816095"/>
    <w:rsid w:val="13C16F46"/>
    <w:rsid w:val="1426174C"/>
    <w:rsid w:val="14686217"/>
    <w:rsid w:val="14996DC2"/>
    <w:rsid w:val="14A204E2"/>
    <w:rsid w:val="14AC0D65"/>
    <w:rsid w:val="151A7FD1"/>
    <w:rsid w:val="154107F7"/>
    <w:rsid w:val="154850ED"/>
    <w:rsid w:val="166030CC"/>
    <w:rsid w:val="167209B0"/>
    <w:rsid w:val="16B74615"/>
    <w:rsid w:val="16D163A2"/>
    <w:rsid w:val="17CA0665"/>
    <w:rsid w:val="18EF1E30"/>
    <w:rsid w:val="194A2D73"/>
    <w:rsid w:val="19A520EB"/>
    <w:rsid w:val="19A862A5"/>
    <w:rsid w:val="19AD797F"/>
    <w:rsid w:val="19DE6FEA"/>
    <w:rsid w:val="19EB1402"/>
    <w:rsid w:val="19F65454"/>
    <w:rsid w:val="19FB6549"/>
    <w:rsid w:val="1A5A24B4"/>
    <w:rsid w:val="1AE259D8"/>
    <w:rsid w:val="1B08398B"/>
    <w:rsid w:val="1B2913A0"/>
    <w:rsid w:val="1C1D39BB"/>
    <w:rsid w:val="1CFB37D3"/>
    <w:rsid w:val="1D69418F"/>
    <w:rsid w:val="1E8A4992"/>
    <w:rsid w:val="1EC766D6"/>
    <w:rsid w:val="1EE73F05"/>
    <w:rsid w:val="1F0C3F4B"/>
    <w:rsid w:val="20064163"/>
    <w:rsid w:val="21E23923"/>
    <w:rsid w:val="22483EAF"/>
    <w:rsid w:val="224F429B"/>
    <w:rsid w:val="231D7EF5"/>
    <w:rsid w:val="237454C5"/>
    <w:rsid w:val="23986063"/>
    <w:rsid w:val="23E34C9B"/>
    <w:rsid w:val="240E769E"/>
    <w:rsid w:val="24262DDA"/>
    <w:rsid w:val="243B19E5"/>
    <w:rsid w:val="248B1675"/>
    <w:rsid w:val="248F7DBD"/>
    <w:rsid w:val="25180974"/>
    <w:rsid w:val="251D4221"/>
    <w:rsid w:val="25DC3C0C"/>
    <w:rsid w:val="260D5FFF"/>
    <w:rsid w:val="269B33CF"/>
    <w:rsid w:val="27D0155B"/>
    <w:rsid w:val="28B2378A"/>
    <w:rsid w:val="29057462"/>
    <w:rsid w:val="29DF4157"/>
    <w:rsid w:val="29F71166"/>
    <w:rsid w:val="2A1268FC"/>
    <w:rsid w:val="2A48247C"/>
    <w:rsid w:val="2ADB5543"/>
    <w:rsid w:val="2B1E09DB"/>
    <w:rsid w:val="2B4D20BD"/>
    <w:rsid w:val="2B956DFA"/>
    <w:rsid w:val="2BAB31DB"/>
    <w:rsid w:val="2CB95D87"/>
    <w:rsid w:val="2DD37125"/>
    <w:rsid w:val="2DFC4BE0"/>
    <w:rsid w:val="2E2E77DA"/>
    <w:rsid w:val="2F064015"/>
    <w:rsid w:val="2F4166D0"/>
    <w:rsid w:val="2F922C08"/>
    <w:rsid w:val="2F923078"/>
    <w:rsid w:val="2FB118AC"/>
    <w:rsid w:val="2FB15F53"/>
    <w:rsid w:val="2FD23E16"/>
    <w:rsid w:val="2FEC4ED7"/>
    <w:rsid w:val="30766A4C"/>
    <w:rsid w:val="318209DA"/>
    <w:rsid w:val="31952718"/>
    <w:rsid w:val="31A97D4A"/>
    <w:rsid w:val="31BE5023"/>
    <w:rsid w:val="31CE49C6"/>
    <w:rsid w:val="31D5779E"/>
    <w:rsid w:val="3246399D"/>
    <w:rsid w:val="32B32CE6"/>
    <w:rsid w:val="331B3B35"/>
    <w:rsid w:val="334D3B90"/>
    <w:rsid w:val="33845E82"/>
    <w:rsid w:val="338D1240"/>
    <w:rsid w:val="34880F47"/>
    <w:rsid w:val="34A044E2"/>
    <w:rsid w:val="34C07A23"/>
    <w:rsid w:val="35027FC5"/>
    <w:rsid w:val="356E638F"/>
    <w:rsid w:val="361B20DC"/>
    <w:rsid w:val="365463A7"/>
    <w:rsid w:val="367D334E"/>
    <w:rsid w:val="369708EE"/>
    <w:rsid w:val="36B9188B"/>
    <w:rsid w:val="36EE6D5F"/>
    <w:rsid w:val="37435B4B"/>
    <w:rsid w:val="377C1237"/>
    <w:rsid w:val="37C10485"/>
    <w:rsid w:val="37DF3ADD"/>
    <w:rsid w:val="385E26EA"/>
    <w:rsid w:val="387754B2"/>
    <w:rsid w:val="388B33D1"/>
    <w:rsid w:val="39C80763"/>
    <w:rsid w:val="39F2758E"/>
    <w:rsid w:val="3A025D32"/>
    <w:rsid w:val="3A7976B5"/>
    <w:rsid w:val="3AF528F5"/>
    <w:rsid w:val="3BC82C9D"/>
    <w:rsid w:val="3C074C63"/>
    <w:rsid w:val="3C436B59"/>
    <w:rsid w:val="3C4A35E1"/>
    <w:rsid w:val="3C926E07"/>
    <w:rsid w:val="3C964B49"/>
    <w:rsid w:val="3CD31567"/>
    <w:rsid w:val="3CE33CCB"/>
    <w:rsid w:val="3CFD2F5E"/>
    <w:rsid w:val="3D4349AD"/>
    <w:rsid w:val="3D565FB7"/>
    <w:rsid w:val="3D610081"/>
    <w:rsid w:val="3D6B5DB3"/>
    <w:rsid w:val="3D855520"/>
    <w:rsid w:val="3D8B7193"/>
    <w:rsid w:val="3DCB71A1"/>
    <w:rsid w:val="3DCB7B22"/>
    <w:rsid w:val="3E333D55"/>
    <w:rsid w:val="3EC7548D"/>
    <w:rsid w:val="3ECB1624"/>
    <w:rsid w:val="3F174129"/>
    <w:rsid w:val="3F3902ED"/>
    <w:rsid w:val="3F744599"/>
    <w:rsid w:val="3F7AC5AB"/>
    <w:rsid w:val="40635E06"/>
    <w:rsid w:val="40801445"/>
    <w:rsid w:val="40C1415E"/>
    <w:rsid w:val="41110C42"/>
    <w:rsid w:val="413A1E35"/>
    <w:rsid w:val="41B84F77"/>
    <w:rsid w:val="435074A8"/>
    <w:rsid w:val="43A54466"/>
    <w:rsid w:val="43C13C6A"/>
    <w:rsid w:val="446D1837"/>
    <w:rsid w:val="448E6105"/>
    <w:rsid w:val="44EF078E"/>
    <w:rsid w:val="45014B29"/>
    <w:rsid w:val="45481CFF"/>
    <w:rsid w:val="45FE68F5"/>
    <w:rsid w:val="470B6133"/>
    <w:rsid w:val="470C46CD"/>
    <w:rsid w:val="474F7946"/>
    <w:rsid w:val="478A67E0"/>
    <w:rsid w:val="484719C2"/>
    <w:rsid w:val="48E81981"/>
    <w:rsid w:val="498D2E30"/>
    <w:rsid w:val="4A686FB7"/>
    <w:rsid w:val="4ACD18C8"/>
    <w:rsid w:val="4C422BCF"/>
    <w:rsid w:val="4E1216A5"/>
    <w:rsid w:val="4E713919"/>
    <w:rsid w:val="4F0A4871"/>
    <w:rsid w:val="4F332905"/>
    <w:rsid w:val="4F4A25D0"/>
    <w:rsid w:val="4FE44E4A"/>
    <w:rsid w:val="500145FF"/>
    <w:rsid w:val="50185A4D"/>
    <w:rsid w:val="50BE4216"/>
    <w:rsid w:val="5198658B"/>
    <w:rsid w:val="51B61999"/>
    <w:rsid w:val="52203701"/>
    <w:rsid w:val="52A8522F"/>
    <w:rsid w:val="52AF1B41"/>
    <w:rsid w:val="52D43DC1"/>
    <w:rsid w:val="532D5DB4"/>
    <w:rsid w:val="534F1D86"/>
    <w:rsid w:val="5362726B"/>
    <w:rsid w:val="53F51CFD"/>
    <w:rsid w:val="54147C88"/>
    <w:rsid w:val="541A1F5B"/>
    <w:rsid w:val="54281AFA"/>
    <w:rsid w:val="55603F11"/>
    <w:rsid w:val="55E471E7"/>
    <w:rsid w:val="56074E9B"/>
    <w:rsid w:val="567C6706"/>
    <w:rsid w:val="5693695C"/>
    <w:rsid w:val="56A15E8C"/>
    <w:rsid w:val="572D1494"/>
    <w:rsid w:val="58033D63"/>
    <w:rsid w:val="585F1178"/>
    <w:rsid w:val="58CB5722"/>
    <w:rsid w:val="58FE4D8A"/>
    <w:rsid w:val="59534E81"/>
    <w:rsid w:val="5A221D54"/>
    <w:rsid w:val="5A7A2F5C"/>
    <w:rsid w:val="5AD7480F"/>
    <w:rsid w:val="5B10545C"/>
    <w:rsid w:val="5BB0570C"/>
    <w:rsid w:val="5C0931AC"/>
    <w:rsid w:val="5C6C205A"/>
    <w:rsid w:val="5CB52971"/>
    <w:rsid w:val="5DBB55E2"/>
    <w:rsid w:val="5E737F88"/>
    <w:rsid w:val="5EA42B91"/>
    <w:rsid w:val="5EC71BCD"/>
    <w:rsid w:val="5F0A2011"/>
    <w:rsid w:val="5F61742A"/>
    <w:rsid w:val="5F667264"/>
    <w:rsid w:val="5F93241B"/>
    <w:rsid w:val="5FA8344B"/>
    <w:rsid w:val="6074735B"/>
    <w:rsid w:val="60817677"/>
    <w:rsid w:val="60A07495"/>
    <w:rsid w:val="617534E8"/>
    <w:rsid w:val="629435B8"/>
    <w:rsid w:val="62E6128B"/>
    <w:rsid w:val="62ED138B"/>
    <w:rsid w:val="63211D7B"/>
    <w:rsid w:val="63D77671"/>
    <w:rsid w:val="64386FE5"/>
    <w:rsid w:val="64D364A5"/>
    <w:rsid w:val="64D43BB1"/>
    <w:rsid w:val="65491356"/>
    <w:rsid w:val="65636192"/>
    <w:rsid w:val="65AF446B"/>
    <w:rsid w:val="660109D5"/>
    <w:rsid w:val="661004E0"/>
    <w:rsid w:val="66697233"/>
    <w:rsid w:val="67743146"/>
    <w:rsid w:val="67AE693B"/>
    <w:rsid w:val="684D4946"/>
    <w:rsid w:val="698369BC"/>
    <w:rsid w:val="69CE6DEE"/>
    <w:rsid w:val="6AFE0445"/>
    <w:rsid w:val="6B4A7988"/>
    <w:rsid w:val="6B565A5A"/>
    <w:rsid w:val="6B8E1734"/>
    <w:rsid w:val="6BA15289"/>
    <w:rsid w:val="6BB23A24"/>
    <w:rsid w:val="6C7A7C07"/>
    <w:rsid w:val="6CB05239"/>
    <w:rsid w:val="6D6F47F8"/>
    <w:rsid w:val="6E4A2F1A"/>
    <w:rsid w:val="6E82527D"/>
    <w:rsid w:val="6EDD4457"/>
    <w:rsid w:val="6F70667E"/>
    <w:rsid w:val="6FD607DD"/>
    <w:rsid w:val="71347A84"/>
    <w:rsid w:val="72396177"/>
    <w:rsid w:val="7358775B"/>
    <w:rsid w:val="74AE3B20"/>
    <w:rsid w:val="74AE5BE6"/>
    <w:rsid w:val="7553467E"/>
    <w:rsid w:val="76041EAA"/>
    <w:rsid w:val="7679B9F7"/>
    <w:rsid w:val="77ED3E76"/>
    <w:rsid w:val="78564BB1"/>
    <w:rsid w:val="78BA0A49"/>
    <w:rsid w:val="78CC645D"/>
    <w:rsid w:val="78D81567"/>
    <w:rsid w:val="79B56435"/>
    <w:rsid w:val="79C917A1"/>
    <w:rsid w:val="7A541353"/>
    <w:rsid w:val="7B1E4C98"/>
    <w:rsid w:val="7B4D279B"/>
    <w:rsid w:val="7B8E6198"/>
    <w:rsid w:val="7BDE7397"/>
    <w:rsid w:val="7C093CE8"/>
    <w:rsid w:val="7C552BDB"/>
    <w:rsid w:val="7C710B6D"/>
    <w:rsid w:val="7CD41461"/>
    <w:rsid w:val="7DE642E1"/>
    <w:rsid w:val="7DEF77B2"/>
    <w:rsid w:val="7E680A67"/>
    <w:rsid w:val="7F651C8D"/>
    <w:rsid w:val="7FFB620C"/>
    <w:rsid w:val="B7FD9967"/>
    <w:rsid w:val="DFFF2EF2"/>
    <w:rsid w:val="F7F58B7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62"/>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autoRedefine/>
    <w:qFormat/>
    <w:uiPriority w:val="0"/>
    <w:pPr>
      <w:widowControl/>
      <w:snapToGrid w:val="0"/>
      <w:spacing w:before="60" w:after="160" w:line="259" w:lineRule="auto"/>
      <w:ind w:right="113"/>
    </w:pPr>
    <w:rPr>
      <w:kern w:val="0"/>
      <w:sz w:val="18"/>
      <w:szCs w:val="20"/>
    </w:rPr>
  </w:style>
  <w:style w:type="paragraph" w:styleId="3">
    <w:name w:val="List Bullet 5"/>
    <w:basedOn w:val="1"/>
    <w:qFormat/>
    <w:uiPriority w:val="0"/>
    <w:pPr>
      <w:numPr>
        <w:ilvl w:val="0"/>
        <w:numId w:val="1"/>
      </w:numPr>
    </w:pPr>
  </w:style>
  <w:style w:type="paragraph" w:styleId="5">
    <w:name w:val="Normal Indent"/>
    <w:basedOn w:val="1"/>
    <w:next w:val="6"/>
    <w:autoRedefine/>
    <w:qFormat/>
    <w:uiPriority w:val="0"/>
    <w:pPr>
      <w:spacing w:line="460" w:lineRule="atLeast"/>
      <w:ind w:firstLine="420"/>
    </w:pPr>
    <w:rPr>
      <w:sz w:val="24"/>
      <w:szCs w:val="20"/>
    </w:rPr>
  </w:style>
  <w:style w:type="paragraph" w:styleId="6">
    <w:name w:val="Body Text First Indent 2"/>
    <w:basedOn w:val="7"/>
    <w:next w:val="8"/>
    <w:autoRedefine/>
    <w:qFormat/>
    <w:uiPriority w:val="0"/>
    <w:pPr>
      <w:ind w:firstLine="420" w:firstLineChars="200"/>
    </w:pPr>
    <w:rPr>
      <w:rFonts w:ascii="Calibri" w:hAnsi="Calibri" w:cs="Calibri"/>
      <w:kern w:val="2"/>
      <w:sz w:val="21"/>
      <w:szCs w:val="24"/>
    </w:rPr>
  </w:style>
  <w:style w:type="paragraph" w:styleId="7">
    <w:name w:val="Body Text Indent"/>
    <w:basedOn w:val="1"/>
    <w:autoRedefine/>
    <w:qFormat/>
    <w:uiPriority w:val="0"/>
    <w:pPr>
      <w:spacing w:after="120"/>
      <w:ind w:left="420" w:leftChars="200"/>
    </w:pPr>
    <w:rPr>
      <w:kern w:val="0"/>
      <w:sz w:val="24"/>
      <w:szCs w:val="20"/>
    </w:rPr>
  </w:style>
  <w:style w:type="paragraph" w:styleId="8">
    <w:name w:val="Body Text First Indent"/>
    <w:basedOn w:val="2"/>
    <w:autoRedefine/>
    <w:qFormat/>
    <w:uiPriority w:val="0"/>
    <w:pPr>
      <w:ind w:firstLine="420" w:firstLineChars="100"/>
    </w:pPr>
  </w:style>
  <w:style w:type="paragraph" w:styleId="9">
    <w:name w:val="caption"/>
    <w:basedOn w:val="1"/>
    <w:next w:val="1"/>
    <w:autoRedefine/>
    <w:qFormat/>
    <w:uiPriority w:val="35"/>
    <w:pPr>
      <w:widowControl/>
      <w:adjustRightInd w:val="0"/>
      <w:snapToGrid w:val="0"/>
      <w:jc w:val="center"/>
    </w:pPr>
    <w:rPr>
      <w:rFonts w:eastAsia="黑体"/>
      <w:kern w:val="0"/>
      <w:sz w:val="24"/>
    </w:rPr>
  </w:style>
  <w:style w:type="paragraph" w:styleId="10">
    <w:name w:val="annotation text"/>
    <w:basedOn w:val="1"/>
    <w:link w:val="81"/>
    <w:autoRedefine/>
    <w:semiHidden/>
    <w:qFormat/>
    <w:uiPriority w:val="0"/>
    <w:pPr>
      <w:jc w:val="left"/>
    </w:pPr>
    <w:rPr>
      <w:kern w:val="0"/>
      <w:sz w:val="24"/>
      <w:szCs w:val="20"/>
    </w:rPr>
  </w:style>
  <w:style w:type="paragraph" w:styleId="11">
    <w:name w:val="Plain Text"/>
    <w:basedOn w:val="1"/>
    <w:autoRedefine/>
    <w:qFormat/>
    <w:uiPriority w:val="0"/>
    <w:rPr>
      <w:rFonts w:ascii="宋体" w:hAnsi="Courier New"/>
      <w:szCs w:val="20"/>
    </w:rPr>
  </w:style>
  <w:style w:type="paragraph" w:styleId="12">
    <w:name w:val="Body Text Indent 2"/>
    <w:basedOn w:val="1"/>
    <w:next w:val="1"/>
    <w:qFormat/>
    <w:uiPriority w:val="0"/>
    <w:pPr>
      <w:spacing w:after="120" w:line="480" w:lineRule="auto"/>
      <w:ind w:left="420" w:leftChars="200"/>
    </w:pPr>
  </w:style>
  <w:style w:type="paragraph" w:styleId="13">
    <w:name w:val="Balloon Text"/>
    <w:basedOn w:val="1"/>
    <w:link w:val="80"/>
    <w:qFormat/>
    <w:uiPriority w:val="0"/>
    <w:rPr>
      <w:sz w:val="18"/>
      <w:szCs w:val="18"/>
    </w:rPr>
  </w:style>
  <w:style w:type="paragraph" w:styleId="14">
    <w:name w:val="footer"/>
    <w:basedOn w:val="1"/>
    <w:autoRedefine/>
    <w:qFormat/>
    <w:uiPriority w:val="99"/>
    <w:pPr>
      <w:tabs>
        <w:tab w:val="center" w:pos="4153"/>
        <w:tab w:val="right" w:pos="8306"/>
      </w:tabs>
      <w:snapToGrid w:val="0"/>
      <w:jc w:val="left"/>
    </w:pPr>
    <w:rPr>
      <w:kern w:val="0"/>
      <w:sz w:val="18"/>
      <w:szCs w:val="20"/>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6">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7">
    <w:name w:val="toc 2"/>
    <w:basedOn w:val="1"/>
    <w:next w:val="1"/>
    <w:autoRedefine/>
    <w:qFormat/>
    <w:uiPriority w:val="39"/>
    <w:pPr>
      <w:ind w:left="210"/>
      <w:jc w:val="left"/>
    </w:pPr>
    <w:rPr>
      <w:smallCaps/>
      <w:sz w:val="20"/>
      <w:szCs w:val="20"/>
    </w:rPr>
  </w:style>
  <w:style w:type="paragraph" w:styleId="18">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9">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20">
    <w:name w:val="Title"/>
    <w:basedOn w:val="1"/>
    <w:next w:val="1"/>
    <w:qFormat/>
    <w:uiPriority w:val="0"/>
    <w:pPr>
      <w:spacing w:before="240" w:after="60"/>
      <w:jc w:val="center"/>
      <w:outlineLvl w:val="0"/>
    </w:pPr>
    <w:rPr>
      <w:rFonts w:ascii="等线 Light" w:hAnsi="等线 Light"/>
      <w:b/>
      <w:bCs/>
      <w:sz w:val="32"/>
      <w:szCs w:val="32"/>
    </w:rPr>
  </w:style>
  <w:style w:type="paragraph" w:styleId="21">
    <w:name w:val="annotation subject"/>
    <w:basedOn w:val="10"/>
    <w:next w:val="10"/>
    <w:link w:val="82"/>
    <w:qFormat/>
    <w:uiPriority w:val="0"/>
    <w:rPr>
      <w:b/>
      <w:bCs/>
      <w:kern w:val="2"/>
      <w:sz w:val="21"/>
      <w:szCs w:val="24"/>
    </w:rPr>
  </w:style>
  <w:style w:type="table" w:styleId="23">
    <w:name w:val="Table Grid"/>
    <w:basedOn w:val="22"/>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uiPriority w:val="0"/>
    <w:rPr>
      <w:b/>
    </w:rPr>
  </w:style>
  <w:style w:type="character" w:styleId="26">
    <w:name w:val="page number"/>
    <w:basedOn w:val="24"/>
    <w:autoRedefine/>
    <w:qFormat/>
    <w:uiPriority w:val="0"/>
  </w:style>
  <w:style w:type="character" w:styleId="27">
    <w:name w:val="annotation reference"/>
    <w:basedOn w:val="24"/>
    <w:qFormat/>
    <w:uiPriority w:val="0"/>
    <w:rPr>
      <w:sz w:val="21"/>
      <w:szCs w:val="21"/>
    </w:rPr>
  </w:style>
  <w:style w:type="paragraph" w:customStyle="1" w:styleId="28">
    <w:name w:val="样式 正文首行缩进 + 首行缩进:  2 字符1"/>
    <w:basedOn w:val="1"/>
    <w:next w:val="16"/>
    <w:autoRedefine/>
    <w:qFormat/>
    <w:uiPriority w:val="0"/>
    <w:pPr>
      <w:spacing w:line="360" w:lineRule="auto"/>
      <w:ind w:firstLine="480" w:firstLineChars="200"/>
    </w:pPr>
    <w:rPr>
      <w:sz w:val="24"/>
    </w:rPr>
  </w:style>
  <w:style w:type="paragraph" w:customStyle="1" w:styleId="29">
    <w:name w:val="Normal (Web)1"/>
    <w:basedOn w:val="1"/>
    <w:next w:val="30"/>
    <w:autoRedefine/>
    <w:qFormat/>
    <w:uiPriority w:val="0"/>
    <w:pPr>
      <w:widowControl/>
      <w:jc w:val="left"/>
    </w:pPr>
    <w:rPr>
      <w:rFonts w:ascii="宋体"/>
      <w:kern w:val="0"/>
      <w:sz w:val="24"/>
      <w:szCs w:val="21"/>
    </w:rPr>
  </w:style>
  <w:style w:type="paragraph" w:customStyle="1" w:styleId="30">
    <w:name w:val="Date1"/>
    <w:basedOn w:val="1"/>
    <w:next w:val="1"/>
    <w:autoRedefine/>
    <w:qFormat/>
    <w:uiPriority w:val="99"/>
    <w:pPr>
      <w:ind w:left="2500" w:leftChars="2500"/>
    </w:pPr>
  </w:style>
  <w:style w:type="paragraph" w:customStyle="1" w:styleId="31">
    <w:name w:val="BodyText"/>
    <w:basedOn w:val="1"/>
    <w:autoRedefine/>
    <w:qFormat/>
    <w:uiPriority w:val="0"/>
    <w:pPr>
      <w:textAlignment w:val="baseline"/>
    </w:pPr>
    <w:rPr>
      <w:rFonts w:ascii="宋体" w:hAnsi="宋体"/>
      <w:szCs w:val="21"/>
    </w:rPr>
  </w:style>
  <w:style w:type="paragraph" w:customStyle="1" w:styleId="32">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33">
    <w:name w:val="样式 正文缩进正文缩进2正文缩进 Char Char正文缩进 Char Char Char Char正文缩进 Char ..."/>
    <w:basedOn w:val="5"/>
    <w:autoRedefine/>
    <w:qFormat/>
    <w:uiPriority w:val="0"/>
    <w:pPr>
      <w:spacing w:line="240" w:lineRule="auto"/>
      <w:ind w:firstLine="0"/>
    </w:pPr>
    <w:rPr>
      <w:w w:val="80"/>
      <w:sz w:val="18"/>
      <w:szCs w:val="15"/>
    </w:rPr>
  </w:style>
  <w:style w:type="paragraph" w:customStyle="1" w:styleId="34">
    <w:name w:val="样式 正文文本缩进 + 行距: 1.5 倍行距"/>
    <w:basedOn w:val="7"/>
    <w:autoRedefine/>
    <w:qFormat/>
    <w:uiPriority w:val="0"/>
    <w:pPr>
      <w:spacing w:line="360" w:lineRule="auto"/>
      <w:ind w:left="90" w:leftChars="32" w:firstLine="560" w:firstLineChars="200"/>
    </w:pPr>
    <w:rPr>
      <w:rFonts w:cs="宋体"/>
    </w:rPr>
  </w:style>
  <w:style w:type="paragraph" w:customStyle="1" w:styleId="35">
    <w:name w:val="Default"/>
    <w:basedOn w:val="36"/>
    <w:next w:val="1"/>
    <w:autoRedefine/>
    <w:qFormat/>
    <w:uiPriority w:val="0"/>
    <w:pPr>
      <w:widowControl w:val="0"/>
      <w:autoSpaceDE w:val="0"/>
      <w:autoSpaceDN w:val="0"/>
    </w:pPr>
    <w:rPr>
      <w:rFonts w:hAnsi="Times New Roman" w:cs="宋体"/>
      <w:color w:val="000000"/>
      <w:szCs w:val="24"/>
    </w:rPr>
  </w:style>
  <w:style w:type="paragraph" w:customStyle="1" w:styleId="36">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7">
    <w:name w:val="【正文】"/>
    <w:basedOn w:val="1"/>
    <w:next w:val="18"/>
    <w:link w:val="84"/>
    <w:autoRedefine/>
    <w:qFormat/>
    <w:uiPriority w:val="0"/>
    <w:pPr>
      <w:ind w:firstLine="480"/>
    </w:pPr>
    <w:rPr>
      <w:sz w:val="24"/>
    </w:rPr>
  </w:style>
  <w:style w:type="paragraph" w:customStyle="1" w:styleId="38">
    <w:name w:val="内容"/>
    <w:basedOn w:val="1"/>
    <w:autoRedefine/>
    <w:qFormat/>
    <w:uiPriority w:val="0"/>
    <w:pPr>
      <w:spacing w:beforeLines="50" w:afterLines="50"/>
      <w:ind w:firstLine="200" w:firstLineChars="200"/>
    </w:pPr>
    <w:rPr>
      <w:color w:val="000000"/>
      <w:sz w:val="24"/>
    </w:rPr>
  </w:style>
  <w:style w:type="paragraph" w:customStyle="1" w:styleId="39">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40">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41">
    <w:name w:val="表中文字"/>
    <w:basedOn w:val="1"/>
    <w:autoRedefine/>
    <w:qFormat/>
    <w:uiPriority w:val="0"/>
    <w:pPr>
      <w:jc w:val="center"/>
    </w:pPr>
  </w:style>
  <w:style w:type="paragraph" w:customStyle="1" w:styleId="42">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43">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44">
    <w:name w:val="表格内容"/>
    <w:basedOn w:val="45"/>
    <w:next w:val="1"/>
    <w:autoRedefine/>
    <w:qFormat/>
    <w:uiPriority w:val="0"/>
    <w:pPr>
      <w:adjustRightInd w:val="0"/>
      <w:snapToGrid w:val="0"/>
      <w:spacing w:line="360" w:lineRule="exact"/>
    </w:pPr>
    <w:rPr>
      <w:rFonts w:eastAsia="宋体"/>
      <w:color w:val="000000"/>
      <w:sz w:val="21"/>
    </w:rPr>
  </w:style>
  <w:style w:type="paragraph" w:customStyle="1" w:styleId="45">
    <w:name w:val="封皮-证书编号"/>
    <w:basedOn w:val="1"/>
    <w:qFormat/>
    <w:uiPriority w:val="0"/>
    <w:pPr>
      <w:jc w:val="center"/>
    </w:pPr>
    <w:rPr>
      <w:rFonts w:eastAsia="黑体"/>
      <w:sz w:val="28"/>
    </w:rPr>
  </w:style>
  <w:style w:type="paragraph" w:customStyle="1" w:styleId="46">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7">
    <w:name w:val="首行缩进表格正文"/>
    <w:basedOn w:val="1"/>
    <w:autoRedefine/>
    <w:qFormat/>
    <w:uiPriority w:val="0"/>
    <w:pPr>
      <w:spacing w:line="360" w:lineRule="auto"/>
      <w:ind w:firstLine="720" w:firstLineChars="200"/>
      <w:jc w:val="left"/>
    </w:pPr>
  </w:style>
  <w:style w:type="paragraph" w:customStyle="1" w:styleId="48">
    <w:name w:val="【表中文字】"/>
    <w:basedOn w:val="49"/>
    <w:autoRedefine/>
    <w:qFormat/>
    <w:uiPriority w:val="0"/>
    <w:pPr>
      <w:spacing w:line="240" w:lineRule="auto"/>
    </w:pPr>
    <w:rPr>
      <w:rFonts w:ascii="Calibri" w:hAnsi="Calibri"/>
      <w:szCs w:val="22"/>
    </w:rPr>
  </w:style>
  <w:style w:type="paragraph" w:customStyle="1" w:styleId="49">
    <w:name w:val=".表1-1-1内容"/>
    <w:basedOn w:val="1"/>
    <w:autoRedefine/>
    <w:qFormat/>
    <w:uiPriority w:val="0"/>
    <w:pPr>
      <w:spacing w:line="300" w:lineRule="exact"/>
      <w:jc w:val="center"/>
    </w:pPr>
    <w:rPr>
      <w:kern w:val="0"/>
      <w:szCs w:val="21"/>
    </w:rPr>
  </w:style>
  <w:style w:type="paragraph" w:customStyle="1" w:styleId="50">
    <w:name w:val="表格文字"/>
    <w:basedOn w:val="11"/>
    <w:next w:val="1"/>
    <w:autoRedefine/>
    <w:qFormat/>
    <w:uiPriority w:val="0"/>
    <w:pPr>
      <w:spacing w:before="60" w:after="60" w:line="360" w:lineRule="auto"/>
      <w:ind w:firstLine="640"/>
    </w:pPr>
    <w:rPr>
      <w:rFonts w:ascii="Calibri" w:hAnsi="Calibri"/>
    </w:rPr>
  </w:style>
  <w:style w:type="paragraph" w:customStyle="1" w:styleId="51">
    <w:name w:val="文本正文"/>
    <w:autoRedefine/>
    <w:qFormat/>
    <w:uiPriority w:val="0"/>
    <w:pPr>
      <w:spacing w:line="360" w:lineRule="auto"/>
      <w:ind w:firstLine="200" w:firstLineChars="200"/>
    </w:pPr>
    <w:rPr>
      <w:rFonts w:ascii="Times New Roman" w:hAnsi="Times New Roman" w:eastAsia="宋体" w:cs="Times New Roman"/>
      <w:sz w:val="24"/>
      <w:szCs w:val="24"/>
      <w:lang w:val="en-US" w:eastAsia="zh-CN" w:bidi="ar-SA"/>
    </w:rPr>
  </w:style>
  <w:style w:type="character" w:customStyle="1" w:styleId="52">
    <w:name w:val="样式 文本正文 + Calibri 黑色 Char"/>
    <w:link w:val="53"/>
    <w:autoRedefine/>
    <w:qFormat/>
    <w:uiPriority w:val="0"/>
    <w:rPr>
      <w:color w:val="000000"/>
    </w:rPr>
  </w:style>
  <w:style w:type="paragraph" w:customStyle="1" w:styleId="53">
    <w:name w:val="样式 文本正文 + Calibri 黑色"/>
    <w:basedOn w:val="51"/>
    <w:link w:val="52"/>
    <w:autoRedefine/>
    <w:qFormat/>
    <w:uiPriority w:val="0"/>
    <w:rPr>
      <w:color w:val="000000"/>
    </w:rPr>
  </w:style>
  <w:style w:type="paragraph" w:customStyle="1" w:styleId="54">
    <w:name w:val="样式 黑体 居中 行距: 1.5 倍行距"/>
    <w:basedOn w:val="1"/>
    <w:autoRedefine/>
    <w:qFormat/>
    <w:uiPriority w:val="0"/>
    <w:pPr>
      <w:spacing w:line="360" w:lineRule="auto"/>
      <w:jc w:val="center"/>
    </w:pPr>
    <w:rPr>
      <w:rFonts w:hint="eastAsia" w:ascii="黑体" w:hAnsi="黑体" w:eastAsia="黑体"/>
      <w:kern w:val="0"/>
      <w:sz w:val="24"/>
      <w:szCs w:val="20"/>
    </w:rPr>
  </w:style>
  <w:style w:type="paragraph" w:customStyle="1" w:styleId="55">
    <w:name w:val="雪表头"/>
    <w:basedOn w:val="1"/>
    <w:next w:val="1"/>
    <w:autoRedefine/>
    <w:qFormat/>
    <w:uiPriority w:val="0"/>
    <w:pPr>
      <w:keepNext/>
      <w:spacing w:line="500" w:lineRule="exact"/>
      <w:jc w:val="center"/>
    </w:pPr>
    <w:rPr>
      <w:rFonts w:eastAsia="黑体"/>
    </w:rPr>
  </w:style>
  <w:style w:type="paragraph" w:customStyle="1" w:styleId="56">
    <w:name w:val="表格中文字"/>
    <w:basedOn w:val="1"/>
    <w:autoRedefine/>
    <w:qFormat/>
    <w:uiPriority w:val="0"/>
    <w:pPr>
      <w:spacing w:line="360" w:lineRule="exact"/>
      <w:jc w:val="center"/>
    </w:pPr>
    <w:rPr>
      <w:kern w:val="0"/>
      <w:szCs w:val="21"/>
    </w:rPr>
  </w:style>
  <w:style w:type="paragraph" w:customStyle="1" w:styleId="57">
    <w:name w:val="表表头"/>
    <w:basedOn w:val="1"/>
    <w:autoRedefine/>
    <w:qFormat/>
    <w:uiPriority w:val="0"/>
    <w:pPr>
      <w:jc w:val="center"/>
    </w:pPr>
    <w:rPr>
      <w:rFonts w:eastAsia="黑体"/>
    </w:rPr>
  </w:style>
  <w:style w:type="paragraph" w:customStyle="1" w:styleId="58">
    <w:name w:val="表文"/>
    <w:basedOn w:val="11"/>
    <w:next w:val="1"/>
    <w:autoRedefine/>
    <w:qFormat/>
    <w:uiPriority w:val="0"/>
    <w:pPr>
      <w:jc w:val="center"/>
    </w:pPr>
  </w:style>
  <w:style w:type="paragraph" w:customStyle="1" w:styleId="59">
    <w:name w:val="【表头】"/>
    <w:basedOn w:val="60"/>
    <w:next w:val="1"/>
    <w:autoRedefine/>
    <w:qFormat/>
    <w:uiPriority w:val="0"/>
    <w:pPr>
      <w:spacing w:line="460" w:lineRule="exact"/>
      <w:jc w:val="center"/>
    </w:pPr>
    <w:rPr>
      <w:b/>
      <w:sz w:val="24"/>
    </w:rPr>
  </w:style>
  <w:style w:type="paragraph" w:customStyle="1" w:styleId="60">
    <w:name w:val="0"/>
    <w:basedOn w:val="1"/>
    <w:autoRedefine/>
    <w:qFormat/>
    <w:uiPriority w:val="99"/>
    <w:pPr>
      <w:widowControl/>
      <w:snapToGrid w:val="0"/>
      <w:jc w:val="left"/>
    </w:pPr>
    <w:rPr>
      <w:rFonts w:ascii="宋体"/>
      <w:kern w:val="0"/>
      <w:sz w:val="20"/>
      <w:szCs w:val="20"/>
    </w:rPr>
  </w:style>
  <w:style w:type="paragraph" w:customStyle="1" w:styleId="61">
    <w:name w:val="环评正文"/>
    <w:basedOn w:val="1"/>
    <w:autoRedefine/>
    <w:qFormat/>
    <w:uiPriority w:val="0"/>
    <w:pPr>
      <w:spacing w:line="360" w:lineRule="auto"/>
      <w:ind w:firstLine="200" w:firstLineChars="200"/>
    </w:pPr>
    <w:rPr>
      <w:rFonts w:ascii="Cambria Math" w:hAnsi="Cambria Math" w:eastAsia="Arial" w:cs="Cambria Math"/>
      <w:sz w:val="24"/>
    </w:rPr>
  </w:style>
  <w:style w:type="character" w:customStyle="1" w:styleId="62">
    <w:name w:val="标题 1 Char"/>
    <w:link w:val="4"/>
    <w:qFormat/>
    <w:uiPriority w:val="99"/>
    <w:rPr>
      <w:rFonts w:eastAsia="黑体"/>
      <w:b/>
      <w:bCs/>
      <w:color w:val="000000"/>
      <w:kern w:val="44"/>
      <w:sz w:val="30"/>
      <w:szCs w:val="30"/>
    </w:rPr>
  </w:style>
  <w:style w:type="paragraph" w:customStyle="1" w:styleId="63">
    <w:name w:val="WPSOffice手动目录 1"/>
    <w:qFormat/>
    <w:uiPriority w:val="0"/>
    <w:rPr>
      <w:rFonts w:ascii="Times New Roman" w:hAnsi="Times New Roman" w:eastAsia="宋体" w:cs="Times New Roman"/>
      <w:lang w:val="en-US" w:eastAsia="zh-CN" w:bidi="ar-SA"/>
    </w:rPr>
  </w:style>
  <w:style w:type="paragraph" w:customStyle="1" w:styleId="64">
    <w:name w:val="Table Text"/>
    <w:basedOn w:val="1"/>
    <w:semiHidden/>
    <w:qFormat/>
    <w:uiPriority w:val="0"/>
    <w:rPr>
      <w:rFonts w:ascii="仿宋" w:hAnsi="仿宋" w:eastAsia="仿宋" w:cs="仿宋"/>
      <w:sz w:val="28"/>
      <w:szCs w:val="28"/>
      <w:lang w:eastAsia="en-US"/>
    </w:rPr>
  </w:style>
  <w:style w:type="table" w:customStyle="1" w:styleId="65">
    <w:name w:val="Table Normal"/>
    <w:semiHidden/>
    <w:unhideWhenUsed/>
    <w:qFormat/>
    <w:uiPriority w:val="0"/>
    <w:tblPr>
      <w:tblCellMar>
        <w:top w:w="0" w:type="dxa"/>
        <w:left w:w="0" w:type="dxa"/>
        <w:bottom w:w="0" w:type="dxa"/>
        <w:right w:w="0" w:type="dxa"/>
      </w:tblCellMar>
    </w:tblPr>
  </w:style>
  <w:style w:type="paragraph" w:customStyle="1" w:styleId="66">
    <w:name w:val="Char Char Char Char Char Char Char"/>
    <w:basedOn w:val="1"/>
    <w:qFormat/>
    <w:uiPriority w:val="0"/>
    <w:pPr>
      <w:spacing w:line="360" w:lineRule="auto"/>
      <w:ind w:firstLine="200" w:firstLineChars="200"/>
    </w:pPr>
    <w:rPr>
      <w:rFonts w:ascii="宋体" w:hAnsi="宋体" w:cs="宋体"/>
      <w:sz w:val="24"/>
    </w:rPr>
  </w:style>
  <w:style w:type="paragraph" w:customStyle="1" w:styleId="67">
    <w:name w:val="p0"/>
    <w:basedOn w:val="1"/>
    <w:qFormat/>
    <w:uiPriority w:val="0"/>
    <w:pPr>
      <w:widowControl/>
    </w:pPr>
    <w:rPr>
      <w:kern w:val="0"/>
      <w:szCs w:val="21"/>
    </w:rPr>
  </w:style>
  <w:style w:type="paragraph" w:customStyle="1" w:styleId="68">
    <w:name w:val="a正文"/>
    <w:basedOn w:val="69"/>
    <w:qFormat/>
    <w:uiPriority w:val="0"/>
    <w:pPr>
      <w:spacing w:line="520" w:lineRule="exact"/>
      <w:ind w:firstLine="200"/>
    </w:pPr>
    <w:rPr>
      <w:sz w:val="24"/>
    </w:rPr>
  </w:style>
  <w:style w:type="paragraph" w:customStyle="1" w:styleId="69">
    <w:name w:val="正文格式"/>
    <w:basedOn w:val="1"/>
    <w:next w:val="1"/>
    <w:qFormat/>
    <w:uiPriority w:val="0"/>
    <w:pPr>
      <w:spacing w:line="360" w:lineRule="auto"/>
      <w:ind w:firstLine="420" w:firstLineChars="200"/>
    </w:pPr>
    <w:rPr>
      <w:kern w:val="0"/>
      <w:szCs w:val="21"/>
    </w:rPr>
  </w:style>
  <w:style w:type="paragraph" w:customStyle="1" w:styleId="70">
    <w:name w:val="_Style 4"/>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71">
    <w:name w:val="【表中的文字】"/>
    <w:basedOn w:val="20"/>
    <w:qFormat/>
    <w:uiPriority w:val="0"/>
    <w:pPr>
      <w:spacing w:before="0" w:after="0"/>
      <w:outlineLvl w:val="9"/>
    </w:pPr>
    <w:rPr>
      <w:rFonts w:ascii="Times New Roman" w:hAnsi="Times New Roman"/>
      <w:b w:val="0"/>
      <w:sz w:val="21"/>
      <w:szCs w:val="21"/>
    </w:rPr>
  </w:style>
  <w:style w:type="paragraph" w:customStyle="1" w:styleId="72">
    <w:name w:val="表格正文"/>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73">
    <w:name w:val="[图号]"/>
    <w:basedOn w:val="1"/>
    <w:qFormat/>
    <w:uiPriority w:val="0"/>
    <w:pPr>
      <w:jc w:val="center"/>
    </w:pPr>
    <w:rPr>
      <w:b/>
    </w:rPr>
  </w:style>
  <w:style w:type="paragraph" w:customStyle="1" w:styleId="74">
    <w:name w:val="【表中】"/>
    <w:basedOn w:val="1"/>
    <w:qFormat/>
    <w:uiPriority w:val="0"/>
    <w:pPr>
      <w:tabs>
        <w:tab w:val="left" w:leader="middleDot" w:pos="7371"/>
      </w:tabs>
      <w:adjustRightInd w:val="0"/>
      <w:snapToGrid w:val="0"/>
      <w:jc w:val="center"/>
    </w:pPr>
  </w:style>
  <w:style w:type="character" w:customStyle="1" w:styleId="75">
    <w:name w:val="【图号】"/>
    <w:qFormat/>
    <w:uiPriority w:val="0"/>
    <w:rPr>
      <w:b/>
      <w:kern w:val="2"/>
      <w:sz w:val="21"/>
      <w:szCs w:val="24"/>
    </w:rPr>
  </w:style>
  <w:style w:type="paragraph" w:customStyle="1" w:styleId="76">
    <w:name w:val="..正文"/>
    <w:basedOn w:val="1"/>
    <w:qFormat/>
    <w:uiPriority w:val="0"/>
    <w:pPr>
      <w:spacing w:line="520" w:lineRule="exact"/>
      <w:ind w:firstLine="200" w:firstLineChars="200"/>
    </w:pPr>
    <w:rPr>
      <w:kern w:val="0"/>
      <w:sz w:val="24"/>
    </w:rPr>
  </w:style>
  <w:style w:type="paragraph" w:customStyle="1" w:styleId="77">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78">
    <w:name w:val="雪表文"/>
    <w:basedOn w:val="1"/>
    <w:qFormat/>
    <w:uiPriority w:val="0"/>
    <w:pPr>
      <w:spacing w:line="360" w:lineRule="exact"/>
      <w:jc w:val="center"/>
      <w:textAlignment w:val="center"/>
    </w:pPr>
    <w:rPr>
      <w:bCs/>
      <w:iCs/>
      <w:szCs w:val="28"/>
    </w:rPr>
  </w:style>
  <w:style w:type="paragraph" w:customStyle="1" w:styleId="79">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80">
    <w:name w:val="批注框文本 Char"/>
    <w:basedOn w:val="24"/>
    <w:link w:val="13"/>
    <w:qFormat/>
    <w:uiPriority w:val="0"/>
    <w:rPr>
      <w:kern w:val="2"/>
      <w:sz w:val="18"/>
      <w:szCs w:val="18"/>
    </w:rPr>
  </w:style>
  <w:style w:type="character" w:customStyle="1" w:styleId="81">
    <w:name w:val="批注文字 Char"/>
    <w:basedOn w:val="24"/>
    <w:link w:val="10"/>
    <w:semiHidden/>
    <w:qFormat/>
    <w:uiPriority w:val="0"/>
    <w:rPr>
      <w:sz w:val="24"/>
    </w:rPr>
  </w:style>
  <w:style w:type="character" w:customStyle="1" w:styleId="82">
    <w:name w:val="批注主题 Char"/>
    <w:basedOn w:val="81"/>
    <w:link w:val="21"/>
    <w:qFormat/>
    <w:uiPriority w:val="0"/>
  </w:style>
  <w:style w:type="paragraph" w:customStyle="1" w:styleId="83">
    <w:name w:val="C首行缩进正文"/>
    <w:basedOn w:val="37"/>
    <w:qFormat/>
    <w:uiPriority w:val="0"/>
    <w:pPr>
      <w:spacing w:line="360" w:lineRule="auto"/>
      <w:ind w:firstLine="200"/>
    </w:pPr>
    <w:rPr>
      <w:color w:val="000000"/>
    </w:rPr>
  </w:style>
  <w:style w:type="character" w:customStyle="1" w:styleId="84">
    <w:name w:val="【正文】 Char1"/>
    <w:link w:val="37"/>
    <w:qFormat/>
    <w:uiPriority w:val="0"/>
    <w:rPr>
      <w:sz w:val="24"/>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customXml" Target="../customXml/item2.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7.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jpeg"/><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footer" Target="footer6.xml"/><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5.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pn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9f2435c1-6934-4fa1-a5a1-13e994345428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6EC3480C</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24c2ca2a-94d1-4404-bf01-383f5d864894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654919E0</paraID>
      <start xmlns="http://schemas.wps.cn/vas-ai-hub/contract-review">36</start>
      <end xmlns="http://schemas.wps.cn/vas-ai-hub/contract-review">37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3b6206ec-5cb0-43fb-875e-1f06a20a16f5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654919E0</paraID>
      <start xmlns="http://schemas.wps.cn/vas-ai-hub/contract-review">38</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111b8bb2-eff4-4209-8574-95d3d5f4affe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C7A49F4</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80cd5550-421f-4638-b0f1-e094377bb311</errorID>
      <errorWord xmlns="http://schemas.wps.cn/vas-ai-hub/contract-review">[2021]2号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〔2021〕2号</item>
      </candidateList>
      <explain xmlns="http://schemas.wps.cn/vas-ai-hub/contract-review">发文字号格式错误。</explain>
      <paraID xmlns="http://schemas.wps.cn/vas-ai-hub/contract-review">7FADD1D7</paraID>
      <start xmlns="http://schemas.wps.cn/vas-ai-hub/contract-review">53</start>
      <end xmlns="http://schemas.wps.cn/vas-ai-hub/contract-review">69</end>
      <status xmlns="http://schemas.wps.cn/vas-ai-hub/contract-review">modified</status>
      <modifiedWord xmlns="http://schemas.wps.cn/vas-ai-hub/contract-review">〔2021〕2号</modifiedWord>
      <trackRevisions xmlns="http://schemas.wps.cn/vas-ai-hub/contract-review">true</trackRevisions>
    </reviewItem>
    <reviewItem xmlns="http://schemas.wps.cn/vas-ai-hub/contract-review">
      <errorID xmlns="http://schemas.wps.cn/vas-ai-hub/contract-review">b11c810a-d4c9-49fd-b57f-99b6d02b30e1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650F5A1A</paraID>
      <start xmlns="http://schemas.wps.cn/vas-ai-hub/contract-review">5</start>
      <end xmlns="http://schemas.wps.cn/vas-ai-hub/contract-review">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d3a6fa24-ebeb-44a7-a4f7-65a57c7b18d6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7F317634</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0d6dc3fb-6915-486b-8b3e-dada2fa8d4f4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7F317634</paraID>
      <start xmlns="http://schemas.wps.cn/vas-ai-hub/contract-review">70</start>
      <end xmlns="http://schemas.wps.cn/vas-ai-hub/contract-review">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8d78feee-be3d-49e1-a26b-269ea22a943d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960B000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60cc50cc-557a-4ceb-a30e-bddd84054f9a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960B000</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ea57b398-3e39-4cfe-b561-6fed1126886c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5C4BFBC9</paraID>
      <start xmlns="http://schemas.wps.cn/vas-ai-hub/contract-review">24</start>
      <end xmlns="http://schemas.wps.cn/vas-ai-hub/contract-review">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8ab5ce77-8cac-4869-8c50-a5b9a38ec17f</errorID>
      <errorWord xmlns="http://schemas.wps.cn/vas-ai-hub/contract-review">[2019]111号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〔2019〕111号</item>
      </candidateList>
      <explain xmlns="http://schemas.wps.cn/vas-ai-hub/contract-review">发文字号格式错误。</explain>
      <paraID xmlns="http://schemas.wps.cn/vas-ai-hub/contract-review">5C4BFBC9</paraID>
      <start xmlns="http://schemas.wps.cn/vas-ai-hub/contract-review">49</start>
      <end xmlns="http://schemas.wps.cn/vas-ai-hub/contract-review">69</end>
      <status xmlns="http://schemas.wps.cn/vas-ai-hub/contract-review">modified</status>
      <modifiedWord xmlns="http://schemas.wps.cn/vas-ai-hub/contract-review">〔2019〕111号</modifiedWord>
      <trackRevisions xmlns="http://schemas.wps.cn/vas-ai-hub/contract-review">true</trackRevisions>
    </reviewItem>
    <reviewItem xmlns="http://schemas.wps.cn/vas-ai-hub/contract-review">
      <errorID xmlns="http://schemas.wps.cn/vas-ai-hub/contract-review">a9b75f75-1983-4a50-a615-366f7e6533b4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3B45FFF4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9a3d6940-3cf5-44a6-b552-1878c9ca6907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477E172D</paraID>
      <start xmlns="http://schemas.wps.cn/vas-ai-hub/contract-review">26</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806c0d1d-10a4-4458-94e9-2689180c4a17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38442CE3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02302411-44c0-4398-9877-4a561d71cfd6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15834-2011《标点符号用法》中的4.5.3.5节，标有引号的并列成分之间、标有书名号的并列成分之间通常不用顿号。如“《红楼梦》《三国演义》《西游记》《水浒传》，是我国长篇小说的四大名著”。</explain>
      <paraID xmlns="http://schemas.wps.cn/vas-ai-hub/contract-review">155EF1A6</paraID>
      <start xmlns="http://schemas.wps.cn/vas-ai-hub/contract-review">143</start>
      <end xmlns="http://schemas.wps.cn/vas-ai-hub/contract-review">146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09e7d0ae-5ae4-424f-bcf7-2c27b15d4f44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40F936C7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0598dc12-8312-4ff6-8e07-f109e092b0be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DD8F702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deab8e78-7a8e-460f-b936-a06a69aa42e1</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191ED0DD</paraID>
      <start xmlns="http://schemas.wps.cn/vas-ai-hub/contract-review">32</start>
      <end xmlns="http://schemas.wps.cn/vas-ai-hub/contract-review">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7e1a6f11-0faf-4521-a8a0-e0a04176ec55</errorID>
      <errorWord xmlns="http://schemas.wps.cn/vas-ai-hub/contract-review">过程在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过程</item>
      </candidateList>
      <explain xmlns="http://schemas.wps.cn/vas-ai-hub/contract-review"/>
      <paraID xmlns="http://schemas.wps.cn/vas-ai-hub/contract-review">191ED0DD</paraID>
      <start xmlns="http://schemas.wps.cn/vas-ai-hub/contract-review">49</start>
      <end xmlns="http://schemas.wps.cn/vas-ai-hub/contract-review">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a1d6acaa-88d8-4786-98c8-d73410d5a033</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44661968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843a2e76-6102-4d18-826d-aff978d825ad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2E17E37D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314c287f-473f-4a62-870c-06256448dc88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739B7162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6743837a-3a45-406d-b38f-1d17613b2b75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3EC9B34C</paraID>
      <start xmlns="http://schemas.wps.cn/vas-ai-hub/contract-review">42</start>
      <end xmlns="http://schemas.wps.cn/vas-ai-hub/contract-review">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85d7f6d0-9f8e-4576-a971-e23d8efdf477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2AC069C7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2b7fb904-e637-4726-ab50-5eb47c807e9f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15C97189</paraID>
      <start xmlns="http://schemas.wps.cn/vas-ai-hub/contract-review">79</start>
      <end xmlns="http://schemas.wps.cn/vas-ai-hub/contract-review">80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362e0234-9de4-454c-9e4d-9888681139ec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15C97189</paraID>
      <start xmlns="http://schemas.wps.cn/vas-ai-hub/contract-review">83</start>
      <end xmlns="http://schemas.wps.cn/vas-ai-hub/contract-review">84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fef2b199-239e-4c32-a9d9-4570e54d1f26</errorID>
      <errorWord xmlns="http://schemas.wps.cn/vas-ai-hub/contract-review">交集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交界</item>
      </candidateList>
      <explain xmlns="http://schemas.wps.cn/vas-ai-hub/contract-review"/>
      <paraID xmlns="http://schemas.wps.cn/vas-ai-hub/contract-review">72D4CB7B</paraID>
      <start xmlns="http://schemas.wps.cn/vas-ai-hub/contract-review">10</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86c8bed5-0254-4b20-bd6a-a79b08d36bb9</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41FFF393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edfa99a1-a832-4909-848d-2fb972e10f87</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6C44819A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b1fb862c-f4fd-4a3d-9a30-7101b63e6c69</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5D2E7B27</paraID>
      <start xmlns="http://schemas.wps.cn/vas-ai-hub/contract-review">59</start>
      <end xmlns="http://schemas.wps.cn/vas-ai-hub/contract-review">60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9f090592-25c9-4919-8e1d-44f343af26dd</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6148227A</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5bb82abc-d357-4dd4-a154-36a7285b5eb5</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765508C5</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4e30303e-998e-4f34-8eb9-5ab232de5b2e</errorID>
      <errorWord xmlns="http://schemas.wps.cn/vas-ai-hub/contract-review">12、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775FA2BE</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501826ce-0b89-4b30-ba1f-45bac89ec92e</errorID>
      <errorWord xmlns="http://schemas.wps.cn/vas-ai-hub/contract-review">14、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7FA88450</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f85b9ee8-b523-4ee8-a1e5-c9e77302962a</errorID>
      <errorWord xmlns="http://schemas.wps.cn/vas-ai-hub/contract-review">城乡结合部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城乡接合部</item>
      </candidateList>
      <explain xmlns="http://schemas.wps.cn/vas-ai-hub/contract-review"/>
      <paraID xmlns="http://schemas.wps.cn/vas-ai-hub/contract-review">735535F7</paraID>
      <start xmlns="http://schemas.wps.cn/vas-ai-hub/contract-review">84</start>
      <end xmlns="http://schemas.wps.cn/vas-ai-hub/contract-review">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c95ab514-98d1-46c0-8736-cc885ec145f9</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
      <paraID xmlns="http://schemas.wps.cn/vas-ai-hub/contract-review">735535F7</paraID>
      <start xmlns="http://schemas.wps.cn/vas-ai-hub/contract-review">100</start>
      <end xmlns="http://schemas.wps.cn/vas-ai-hub/contract-review">101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7a73a388-456b-423f-bff1-42ddcd256b01</errorID>
      <errorWord xmlns="http://schemas.wps.cn/vas-ai-hub/contract-review">15、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3A4D07FB</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d719f4a9-b8db-4e2a-84c5-bf3b3f0b0f07</errorID>
      <errorWord xmlns="http://schemas.wps.cn/vas-ai-hub/contract-review">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细化</item>
      </candidateList>
      <explain xmlns="http://schemas.wps.cn/vas-ai-hub/contract-review"/>
      <paraID xmlns="http://schemas.wps.cn/vas-ai-hub/contract-review">343D31CE</paraID>
      <start xmlns="http://schemas.wps.cn/vas-ai-hub/contract-review">11</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7fb451b5-d9d6-40cf-aca9-9b3035f5de23</errorID>
      <errorWord xmlns="http://schemas.wps.cn/vas-ai-hub/contract-review">制定计划</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制订计划</item>
      </candidateList>
      <explain xmlns="http://schemas.wps.cn/vas-ai-hub/contract-review"/>
      <paraID xmlns="http://schemas.wps.cn/vas-ai-hub/contract-review">7DF77045</paraID>
      <start xmlns="http://schemas.wps.cn/vas-ai-hub/contract-review">37</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017c3ef4-5f3e-44d3-8648-4eb0ce325f6c</errorID>
      <errorWord xmlns="http://schemas.wps.cn/vas-ai-hub/contract-review">交有</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交由</item>
      </candidateList>
      <explain xmlns="http://schemas.wps.cn/vas-ai-hub/contract-review"/>
      <paraID xmlns="http://schemas.wps.cn/vas-ai-hub/contract-review">1CA3550C</paraID>
      <start xmlns="http://schemas.wps.cn/vas-ai-hub/contract-review">288</start>
      <end xmlns="http://schemas.wps.cn/vas-ai-hub/contract-review">290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578e3997-5890-455d-9235-c1a7fbb0bea0</errorID>
      <errorWord xmlns="http://schemas.wps.cn/vas-ai-hub/contract-review">17、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5C155522</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aa2a14ba-a748-4c1c-9f57-53a7d163edac</errorID>
      <errorWord xmlns="http://schemas.wps.cn/vas-ai-hub/contract-review">煤厂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煤场</item>
      </candidateList>
      <explain xmlns="http://schemas.wps.cn/vas-ai-hub/contract-review"/>
      <paraID xmlns="http://schemas.wps.cn/vas-ai-hub/contract-review">2BB6BF9B</paraID>
      <start xmlns="http://schemas.wps.cn/vas-ai-hub/contract-review">1</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4dfa641e-b547-4681-a16b-242e2ba92cad</errorID>
      <errorWord xmlns="http://schemas.wps.cn/vas-ai-hub/contract-review">煤厂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煤场</item>
      </candidateList>
      <explain xmlns="http://schemas.wps.cn/vas-ai-hub/contract-review">存在发音相同字词的误用。</explain>
      <paraID xmlns="http://schemas.wps.cn/vas-ai-hub/contract-review">2BB6BF9B</paraID>
      <start xmlns="http://schemas.wps.cn/vas-ai-hub/contract-review">55</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dc1d1623-d2de-414c-9274-6f0b7abcc366</errorID>
      <errorWord xmlns="http://schemas.wps.cn/vas-ai-hub/contract-review">厂所</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场所</item>
      </candidateList>
      <explain xmlns="http://schemas.wps.cn/vas-ai-hub/contract-review">存在发音相同字词的误用。</explain>
      <paraID xmlns="http://schemas.wps.cn/vas-ai-hub/contract-review">49F001FF</paraID>
      <start xmlns="http://schemas.wps.cn/vas-ai-hub/contract-review">2</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699e80e3-bdb8-4988-898f-aac00a4252ed</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》和</item>
      </candidateList>
      <explain xmlns="http://schemas.wps.cn/vas-ai-hub/contract-review"/>
      <paraID xmlns="http://schemas.wps.cn/vas-ai-hub/contract-review">4215F098</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37c5ca03-31bf-4a3c-9fba-24f870b4af09</errorID>
      <errorWord xmlns="http://schemas.wps.cn/vas-ai-hub/contract-review">[2023]</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〔2023〕</item>
      </candidateList>
      <explain xmlns="http://schemas.wps.cn/vas-ai-hub/contract-review"/>
      <paraID xmlns="http://schemas.wps.cn/vas-ai-hub/contract-review">17CDFBAA</paraID>
      <start xmlns="http://schemas.wps.cn/vas-ai-hub/contract-review">35</start>
      <end xmlns="http://schemas.wps.cn/vas-ai-hub/contract-review">47</end>
      <status xmlns="http://schemas.wps.cn/vas-ai-hub/contract-review">modified</status>
      <modifiedWord xmlns="http://schemas.wps.cn/vas-ai-hub/contract-review">〔2023〕</modifiedWord>
      <trackRevisions xmlns="http://schemas.wps.cn/vas-ai-hub/contract-review">true</trackRevisions>
    </reviewItem>
    <reviewItem xmlns="http://schemas.wps.cn/vas-ai-hub/contract-review">
      <errorID xmlns="http://schemas.wps.cn/vas-ai-hub/contract-review">779a0393-e884-422d-9797-803403cd6cb2</errorID>
      <errorWord xmlns="http://schemas.wps.cn/vas-ai-hub/contract-review">[2023]</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〔2023〕</item>
      </candidateList>
      <explain xmlns="http://schemas.wps.cn/vas-ai-hub/contract-review"/>
      <paraID xmlns="http://schemas.wps.cn/vas-ai-hub/contract-review">2EC1AB7C</paraID>
      <start xmlns="http://schemas.wps.cn/vas-ai-hub/contract-review">39</start>
      <end xmlns="http://schemas.wps.cn/vas-ai-hub/contract-review">51</end>
      <status xmlns="http://schemas.wps.cn/vas-ai-hub/contract-review">modified</status>
      <modifiedWord xmlns="http://schemas.wps.cn/vas-ai-hub/contract-review">〔2023〕</modifiedWord>
      <trackRevisions xmlns="http://schemas.wps.cn/vas-ai-hub/contract-review">true</trackRevisions>
    </reviewItem>
    <reviewItem xmlns="http://schemas.wps.cn/vas-ai-hub/contract-review">
      <errorID xmlns="http://schemas.wps.cn/vas-ai-hub/contract-review">c77ba734-7eec-4a1c-95f6-effa18698afd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16924DE8</paraID>
      <start xmlns="http://schemas.wps.cn/vas-ai-hub/contract-review">19</start>
      <end xmlns="http://schemas.wps.cn/vas-ai-hub/contract-review">20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c198d765-727e-4722-915c-1a9e57d83a25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16924DE8</paraID>
      <start xmlns="http://schemas.wps.cn/vas-ai-hub/contract-review">22</start>
      <end xmlns="http://schemas.wps.cn/vas-ai-hub/contract-review">23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cb615f54-a2ea-4960-a7d0-abffc8bbaf6b</errorID>
      <errorWord xmlns="http://schemas.wps.cn/vas-ai-hub/contract-review">19、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C08D1D6</paraID>
      <start xmlns="http://schemas.wps.cn/vas-ai-hub/contract-review">0</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86acc4e4-4d7d-4476-be84-295779d8f756</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27F5F229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97bb158d-c3aa-4445-9b86-0f83b86ecdd8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14A44D2C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89740e05-e4f4-42f3-bc0e-467c12aa4bd8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618FAC8D</paraID>
      <start xmlns="http://schemas.wps.cn/vas-ai-hub/contract-review">170</start>
      <end xmlns="http://schemas.wps.cn/vas-ai-hub/contract-review">171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196b7481-b598-460d-8b9c-f5f9905edd91</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7EFDA088</paraID>
      <start xmlns="http://schemas.wps.cn/vas-ai-hub/contract-review">55</start>
      <end xmlns="http://schemas.wps.cn/vas-ai-hub/contract-review">56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2664b5d3-d2e0-46ca-b6a2-4c8a829e6db0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48169B04</paraID>
      <start xmlns="http://schemas.wps.cn/vas-ai-hub/contract-review">82</start>
      <end xmlns="http://schemas.wps.cn/vas-ai-hub/contract-review">83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d401dadd-08d3-4679-990e-9141d2ca298e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4839D259</paraID>
      <start xmlns="http://schemas.wps.cn/vas-ai-hub/contract-review">81</start>
      <end xmlns="http://schemas.wps.cn/vas-ai-hub/contract-review">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a0187e8f-ec5a-4fbb-bf3a-1451054ba3f5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19A070C3</paraID>
      <start xmlns="http://schemas.wps.cn/vas-ai-hub/contract-review">108</start>
      <end xmlns="http://schemas.wps.cn/vas-ai-hub/contract-review">109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131c4747-e3be-44cc-b099-f5b788310fee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8E3E078</paraID>
      <start xmlns="http://schemas.wps.cn/vas-ai-hub/contract-review">61</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33a260f6-c9b9-48ac-936e-0deb5a98e2c1</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6DF2356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bc506e63-3f7d-420b-9a9d-b3bf54c6abba</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13854423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7aac1aac-ae9c-4a94-86be-10f01e6104b3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76DC6421</paraID>
      <start xmlns="http://schemas.wps.cn/vas-ai-hub/contract-review">1</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9cac5ed7-fc37-488e-9a43-0bbdf09fee46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60F9229</paraID>
      <start xmlns="http://schemas.wps.cn/vas-ai-hub/contract-review">1</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f656fd59-cf5f-4436-9df9-9e44e34e731e</errorID>
      <errorWord xmlns="http://schemas.wps.cn/vas-ai-hub/contract-review">水份</errorWord>
      <group xmlns="http://schemas.wps.cn/vas-ai-hub/contract-review">L1_Word</group>
      <groupName xmlns="http://schemas.wps.cn/vas-ai-hub/contract-review">字词问题</groupName>
      <ability xmlns="http://schemas.wps.cn/vas-ai-hub/contract-review">L2_Variant</ability>
      <abilityName xmlns="http://schemas.wps.cn/vas-ai-hub/contract-review">异形词</abilityName>
      <candidateList xmlns="http://schemas.wps.cn/vas-ai-hub/contract-review">
        <item xmlns="http://schemas.wps.cn/vas-ai-hub/contract-review">水分</item>
      </candidateList>
      <explain xmlns="http://schemas.wps.cn/vas-ai-hub/contract-review">词汇[水份]的规范词形写作[水分]。</explain>
      <paraID xmlns="http://schemas.wps.cn/vas-ai-hub/contract-review">2F307D71</paraID>
      <start xmlns="http://schemas.wps.cn/vas-ai-hub/contract-review">1</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3db7c5b9-a80c-4f92-95be-1d511edd70fd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51E8CEB3</paraID>
      <start xmlns="http://schemas.wps.cn/vas-ai-hub/contract-review">18</start>
      <end xmlns="http://schemas.wps.cn/vas-ai-hub/contract-review">19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29d627c2-de61-4742-9783-942531aef295</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64AB9F86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284e4e2b-1bc2-43f0-9cca-5e3468107fc1</errorID>
      <errorWord xmlns="http://schemas.wps.cn/vas-ai-hub/contract-review">水份</errorWord>
      <group xmlns="http://schemas.wps.cn/vas-ai-hub/contract-review">L1_Word</group>
      <groupName xmlns="http://schemas.wps.cn/vas-ai-hub/contract-review">字词问题</groupName>
      <ability xmlns="http://schemas.wps.cn/vas-ai-hub/contract-review">L2_Variant</ability>
      <abilityName xmlns="http://schemas.wps.cn/vas-ai-hub/contract-review">异形词</abilityName>
      <candidateList xmlns="http://schemas.wps.cn/vas-ai-hub/contract-review">
        <item xmlns="http://schemas.wps.cn/vas-ai-hub/contract-review">水分</item>
      </candidateList>
      <explain xmlns="http://schemas.wps.cn/vas-ai-hub/contract-review">词汇[水份]的规范词形写作[水分]。</explain>
      <paraID xmlns="http://schemas.wps.cn/vas-ai-hub/contract-review">30A5D5FC</paraID>
      <start xmlns="http://schemas.wps.cn/vas-ai-hub/contract-review">1</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df872214-565f-4b43-91bd-6e614a860aab</errorID>
      <errorWord xmlns="http://schemas.wps.cn/vas-ai-hub/contract-review">灰份</errorWord>
      <group xmlns="http://schemas.wps.cn/vas-ai-hub/contract-review">L1_Word</group>
      <groupName xmlns="http://schemas.wps.cn/vas-ai-hub/contract-review">字词问题</groupName>
      <ability xmlns="http://schemas.wps.cn/vas-ai-hub/contract-review">L2_Variant</ability>
      <abilityName xmlns="http://schemas.wps.cn/vas-ai-hub/contract-review">异形词</abilityName>
      <candidateList xmlns="http://schemas.wps.cn/vas-ai-hub/contract-review">
        <item xmlns="http://schemas.wps.cn/vas-ai-hub/contract-review">灰分</item>
      </candidateList>
      <explain xmlns="http://schemas.wps.cn/vas-ai-hub/contract-review">词汇[灰份]的规范词形写作[灰分]。</explain>
      <paraID xmlns="http://schemas.wps.cn/vas-ai-hub/contract-review">2B01EAD9</paraID>
      <start xmlns="http://schemas.wps.cn/vas-ai-hub/contract-review">3</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c37cb1eb-51f8-4229-800e-7f7079adf3a3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&lt;</item>
      </candidateList>
      <explain xmlns="http://schemas.wps.cn/vas-ai-hub/contract-review">文本全半角错误。</explain>
      <paraID xmlns="http://schemas.wps.cn/vas-ai-hub/contract-review"> 5D7F57D</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0a3e9590-65ef-436e-9474-3d6c6c833ce7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1622536E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9bb835da-a282-42d7-bbd0-6da289258f35</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6C0FE23D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5b1650d0-3e75-4196-bc78-808c71e27e50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6C0FE23D</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3ad445ef-538d-4a06-a6a0-dc80c1cc8f86</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6C95543A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9ceec51c-1dd6-40c3-b218-2bb606118bf0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&lt;</item>
      </candidateList>
      <explain xmlns="http://schemas.wps.cn/vas-ai-hub/contract-review">文本全半角错误。</explain>
      <paraID xmlns="http://schemas.wps.cn/vas-ai-hub/contract-review">123B10CD</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3d8d5c69-a53c-4bcf-a450-f3e19abe2f3a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45B62836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8a9142a6-e34a-42fd-b030-8e9366093f9e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2B228E2D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1f547bf8-ee72-4f51-b399-8b3908e44f8d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2B228E2D</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97d53032-c1d4-41a2-8481-6d93ad1b18ce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94B44ED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0b945a8c-0c1a-4d4f-9eb5-1080fc8eaadf</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7901D042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5fa60c84-bcec-4733-b197-2a07d30e9681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7B634839</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b67879f1-118b-41cb-a9df-1109bff0a76f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3D93A420</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48bedb3f-3402-4f30-8387-bf9839e31f44</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4E6C6155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6a0063b8-2374-4b91-9f95-a899b27868c9</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A38439B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f0677c47-9458-493c-93b4-c3bf3ba7ce6e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79F6F764</paraID>
      <start xmlns="http://schemas.wps.cn/vas-ai-hub/contract-review">73</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eaed0c9c-0279-4af7-97d0-5ebadcff846d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7D0E21C4</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aeabd5b3-1e71-423c-83d6-31b09aaf6cf5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7D0E21C4</paraID>
      <start xmlns="http://schemas.wps.cn/vas-ai-hub/contract-review">252</start>
      <end xmlns="http://schemas.wps.cn/vas-ai-hub/contract-review">254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3d3495ca-5e17-498a-a112-2bbc8dcf86fc</errorID>
      <errorWord xmlns="http://schemas.wps.cn/vas-ai-hub/contract-review">车间车间</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车间</item>
      </candidateList>
      <explain xmlns="http://schemas.wps.cn/vas-ai-hub/contract-review"/>
      <paraID xmlns="http://schemas.wps.cn/vas-ai-hub/contract-review">5058D413</paraID>
      <start xmlns="http://schemas.wps.cn/vas-ai-hub/contract-review">0</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8442eba6-aee3-47d2-9b0d-c8e4ed1bacc9</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4DDB51F5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8cfd5acf-ffd8-41e4-8ef1-b131a923b3d6</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4BC2E52B</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44f28ba3-84b0-4345-9552-20fa3e6ca5bc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5D0B763F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1d3245b5-35b9-424a-b306-2b6e5d3fac18</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6723736C</paraID>
      <start xmlns="http://schemas.wps.cn/vas-ai-hub/contract-review">46</start>
      <end xmlns="http://schemas.wps.cn/vas-ai-hub/contract-review">47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b4308aa5-db5e-4785-a1ef-1c0cfc83c779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402EEACC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802011ab-81db-4513-b7f8-83cf9f1a5777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2222EBD7</paraID>
      <start xmlns="http://schemas.wps.cn/vas-ai-hub/contract-review">68</start>
      <end xmlns="http://schemas.wps.cn/vas-ai-hub/contract-review">69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b5f5a0ab-e385-42a3-ad68-66f46ec8677e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2222EBD7</paraID>
      <start xmlns="http://schemas.wps.cn/vas-ai-hub/contract-review">161</start>
      <end xmlns="http://schemas.wps.cn/vas-ai-hub/contract-review">162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5f7b8251-63d9-4942-9459-60440ab8f2c5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78B0E37A</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20d44f54-ea1c-4780-82f0-b039fc8ad141</errorID>
      <errorWord xmlns="http://schemas.wps.cn/vas-ai-hub/contract-review">[2013]24号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〔2013〕24号</item>
      </candidateList>
      <explain xmlns="http://schemas.wps.cn/vas-ai-hub/contract-review">发文字号格式错误。</explain>
      <paraID xmlns="http://schemas.wps.cn/vas-ai-hub/contract-review"> 51C7B54</paraID>
      <start xmlns="http://schemas.wps.cn/vas-ai-hub/contract-review">4</start>
      <end xmlns="http://schemas.wps.cn/vas-ai-hub/contract-review">22</end>
      <status xmlns="http://schemas.wps.cn/vas-ai-hub/contract-review">modified</status>
      <modifiedWord xmlns="http://schemas.wps.cn/vas-ai-hub/contract-review">〔2013〕24号</modifiedWord>
      <trackRevisions xmlns="http://schemas.wps.cn/vas-ai-hub/contract-review">true</trackRevisions>
    </reviewItem>
    <reviewItem xmlns="http://schemas.wps.cn/vas-ai-hub/contract-review">
      <errorID xmlns="http://schemas.wps.cn/vas-ai-hub/contract-review">4cc50846-3359-4a38-8d55-6726551adb8c</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1A3DEBF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3f758215-d338-4ac1-a037-f157465235ea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43AB746</paraID>
      <start xmlns="http://schemas.wps.cn/vas-ai-hub/contract-review">36</start>
      <end xmlns="http://schemas.wps.cn/vas-ai-hub/contract-review">37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d204cabf-e3d0-4b80-839f-1b46d8149199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43AB746</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872a31b3-5e02-42bf-9717-12c4af89e7ad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43AB746</paraID>
      <start xmlns="http://schemas.wps.cn/vas-ai-hub/contract-review">78</start>
      <end xmlns="http://schemas.wps.cn/vas-ai-hub/contract-review">79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30863c8c-1bbb-4706-85cd-c6809ea389f8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43AB746</paraID>
      <start xmlns="http://schemas.wps.cn/vas-ai-hub/contract-review">91</start>
      <end xmlns="http://schemas.wps.cn/vas-ai-hub/contract-review">92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6841c9d2-cb7f-49c6-a7ad-b3b366dda123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1603BC36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df028f74-7ae1-4cce-aaaf-de88707fed46</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3488BAA4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1314942e-3757-454c-88f5-7ea8057e93b8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395D99B7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dd0fd8fd-b1c4-4446-bc0c-ca54f17bcf2f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6EF347C5</paraID>
      <start xmlns="http://schemas.wps.cn/vas-ai-hub/contract-review">47</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d7e0c3da-6409-4822-b1ca-fc6e110fff18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37A05925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fcecdd0c-bc23-4026-8ced-f20d66e1ccce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8C58210</paraID>
      <start xmlns="http://schemas.wps.cn/vas-ai-hub/contract-review">42</start>
      <end xmlns="http://schemas.wps.cn/vas-ai-hub/contract-review">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a78857db-8ab9-4cd3-a2b5-48dd37cf56f7</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2E28CB5D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d059a6b2-635b-4692-bbf4-39da72d4f7d7</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6A7C6DCC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d001c581-4135-443f-964d-fe88470b1f07</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1FDF54A4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053f2e11-3245-491e-b906-da426a06596a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6A18B9FF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83e9670b-8f09-45aa-92d3-34a2dd281c38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326295BC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d2c22d31-46a1-45ce-a14a-1130a71a10a4</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3E3DDFAC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e54fad9e-4207-47a7-939d-a5f9af737f4a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17195E61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fdd4959f-eb9f-4680-a4d4-3cb7f751a65d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35F661C8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2d45c60b-8a20-4e79-8d00-cb3c9564d87a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F82BE56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d8324246-ee10-4716-bd99-c68abb3949aa</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450400DE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cda371b0-a8d0-4d18-b452-d8fa4d2b223d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74D38834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39732453-27cd-45d7-b848-59a67400a620</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6F72D9D8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9839095d-ef3d-493a-86ed-dcdd1adac364</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5FAB0075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9590d7c3-075e-4598-83c7-f8794eb4902d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28C05A96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15004df3-f4d2-43ca-9418-94acf3b196b0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7393432F</paraID>
      <start xmlns="http://schemas.wps.cn/vas-ai-hub/contract-review">1</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c4761a70-77e6-476e-a733-5fc209a8f800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22DA349E</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530d23bc-e352-4c31-b975-2645541c4ecf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22DA349E</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8eb89374-ca60-4580-8ba8-988051cdc88e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218025C7</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7946584e-fa51-4dcf-9cbb-00ba29b702e2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218025C7</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38830713-f37d-46b1-9b4b-daace46d6fb3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1C46685</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cb0d6369-9dea-43cb-8085-014cd3305c91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1C46685</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8a4732f6-7783-4960-8e80-44bf58fe4c4a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1A93239D</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4c829f07-7ff5-4085-bc6a-3629bd3e6459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1A93239D</paraID>
      <start xmlns="http://schemas.wps.cn/vas-ai-hub/contract-review">4</start>
      <end xmlns="http://schemas.wps.cn/vas-ai-hub/contract-review">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9ea06b21-af8b-4db9-a973-eb41d99c3130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5D3E48A9</paraID>
      <start xmlns="http://schemas.wps.cn/vas-ai-hub/contract-review">3</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2305df72-9ae5-4b47-95ae-57d7f45b3656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5D3E48A9</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72e08f11-6737-41a9-8213-5447989426de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48C4E0E6</paraID>
      <start xmlns="http://schemas.wps.cn/vas-ai-hub/contract-review">2</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ee6cafd4-087a-4d47-acd1-b323c2dcd17b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48C4E0E6</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0586c294-c47d-48ab-a1ad-50f9fc8b67c9</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66DB87FB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c9397704-3939-44d1-abfe-22f3e96131dc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5899006D</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47803622-8f9f-4718-93bd-02de459861f6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5899006D</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50a237eb-669a-449b-a172-58ae12e773d5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103FBF92</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8ac4832c-84b4-43ff-bda9-29244b1f8a13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103FBF92</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48458ef3-b2dc-4026-ae38-55a4c5918b47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50F26D53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65f403eb-be98-4272-8da4-0b4ba9b165e8</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1346DC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b6aa8032-8aa6-4c75-a1ff-ff6a59fd90cf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5C45DF71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b9897037-2ade-4a40-9116-fa2ef974d137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21CD0B00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5778cdd3-f77e-42a5-8afc-25da489b599b</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14B62F89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412e4a3b-416b-4392-95ed-6b025b9df05a</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331313B2</paraID>
      <start xmlns="http://schemas.wps.cn/vas-ai-hub/contract-review">132</start>
      <end xmlns="http://schemas.wps.cn/vas-ai-hub/contract-review">133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44d35bdf-8110-4dc8-92e0-fe1cb5b1e9ca</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3DF959ED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b194db29-4e78-4922-b62e-846c987b6870</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20EE4959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22b988bb-02fb-430c-b8be-b5f10ce0e1ee</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7D758CD7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3880935f-1111-4ddf-a355-7bbf1e92ab42</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45AB87A6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7bad3c2d-5a19-436f-a47b-eca96b2f381d</errorID>
      <errorWord xmlns="http://schemas.wps.cn/vas-ai-hub/contract-review">《扬尘源颗粒物排放清单编制技术指南》（试行）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《扬尘源颗粒物排放清单编制技术指南（试行）》</item>
      </candidateList>
      <explain xmlns="http://schemas.wps.cn/vas-ai-hub/contract-review">疑似政策文件、法律法规名称等书写不规范，请注意检查。</explain>
      <paraID xmlns="http://schemas.wps.cn/vas-ai-hub/contract-review">59EEAB6C</paraID>
      <start xmlns="http://schemas.wps.cn/vas-ai-hub/contract-review">2</start>
      <end xmlns="http://schemas.wps.cn/vas-ai-hub/contract-review">24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1f71cd52-4e43-4e9a-b391-7e67349d7d15</errorID>
      <errorWord xmlns="http://schemas.wps.cn/vas-ai-hub/contract-review">《扬尘源颗粒物排放清单编制技术指南》（试行）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《扬尘源颗粒物排放清单编制技术指南（试行）》</item>
      </candidateList>
      <explain xmlns="http://schemas.wps.cn/vas-ai-hub/contract-review">疑似政策文件、法律法规名称等书写不规范，请注意检查。</explain>
      <paraID xmlns="http://schemas.wps.cn/vas-ai-hub/contract-review">42664FC1</paraID>
      <start xmlns="http://schemas.wps.cn/vas-ai-hub/contract-review">13</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8c2beec6-7e6b-4b7a-a39a-4a75a3f53ea6</errorID>
      <errorWord xmlns="http://schemas.wps.cn/vas-ai-hub/contract-review">《扬尘源颗粒物排放清单编制技术指南》（试行）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《扬尘源颗粒物排放清单编制技术指南（试行）》</item>
      </candidateList>
      <explain xmlns="http://schemas.wps.cn/vas-ai-hub/contract-review">疑似政策文件、法律法规名称等书写不规范，请注意检查。</explain>
      <paraID xmlns="http://schemas.wps.cn/vas-ai-hub/contract-review">421CF0E0</paraID>
      <start xmlns="http://schemas.wps.cn/vas-ai-hub/contract-review">54</start>
      <end xmlns="http://schemas.wps.cn/vas-ai-hub/contract-review">76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fa4c98a7-6342-4878-b505-e222b8a1cc03</errorID>
      <errorWord xmlns="http://schemas.wps.cn/vas-ai-hub/contract-review">《扬尘源颗粒物排放清单编制技术指南》（试行）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《扬尘源颗粒物排放清单编制技术指南（试行）》</item>
      </candidateList>
      <explain xmlns="http://schemas.wps.cn/vas-ai-hub/contract-review">疑似政策文件、法律法规名称等书写不规范，请注意检查。</explain>
      <paraID xmlns="http://schemas.wps.cn/vas-ai-hub/contract-review">421CF0E0</paraID>
      <start xmlns="http://schemas.wps.cn/vas-ai-hub/contract-review">121</start>
      <end xmlns="http://schemas.wps.cn/vas-ai-hub/contract-review">143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36f311ec-9773-4ecd-91af-2da0fd82c2bc</errorID>
      <errorWord xmlns="http://schemas.wps.cn/vas-ai-hub/contract-review">《扬尘源颗粒物排放清单编制技术指南》（试行）</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《扬尘源颗粒物排放清单编制技术指南（试行）》</item>
      </candidateList>
      <explain xmlns="http://schemas.wps.cn/vas-ai-hub/contract-review">疑似政策文件、法律法规名称等书写不规范，请注意检查。</explain>
      <paraID xmlns="http://schemas.wps.cn/vas-ai-hub/contract-review">7A824A1E</paraID>
      <start xmlns="http://schemas.wps.cn/vas-ai-hub/contract-review">26</start>
      <end xmlns="http://schemas.wps.cn/vas-ai-hub/contract-review">48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b1074d4c-d18c-42c1-9df8-db25590a4afc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368514A6</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564984cf-d893-40d4-8a94-e55b3025624b</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2B2114B5</paraID>
      <start xmlns="http://schemas.wps.cn/vas-ai-hub/contract-review">6</start>
      <end xmlns="http://schemas.wps.cn/vas-ai-hub/contract-review">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2400505c-95cb-447c-8348-f83e49b1ef09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2394ACE1</paraID>
      <start xmlns="http://schemas.wps.cn/vas-ai-hub/contract-review">94</start>
      <end xmlns="http://schemas.wps.cn/vas-ai-hub/contract-review">95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c3d19599-c60f-45f9-b4aa-44b15badb887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2394ACE1</paraID>
      <start xmlns="http://schemas.wps.cn/vas-ai-hub/contract-review">96</start>
      <end xmlns="http://schemas.wps.cn/vas-ai-hub/contract-review">97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83eb545d-3995-43e1-b5d8-6d89f1f8727c</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17E79780</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cd14b5e9-367c-4984-9bae-971d450ade12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
      <paraID xmlns="http://schemas.wps.cn/vas-ai-hub/contract-review">1662068F</paraID>
      <start xmlns="http://schemas.wps.cn/vas-ai-hub/contract-review">0</start>
      <end xmlns="http://schemas.wps.cn/vas-ai-hub/contract-review">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c40fa7d2-726a-4c32-ad09-e984eaff9b56</errorID>
      <errorWord xmlns="http://schemas.wps.cn/vas-ai-hub/contract-review">属</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属于</item>
      </candidateList>
      <explain xmlns="http://schemas.wps.cn/vas-ai-hub/contract-review"/>
      <paraID xmlns="http://schemas.wps.cn/vas-ai-hub/contract-review"> 5258CB3</paraID>
      <start xmlns="http://schemas.wps.cn/vas-ai-hub/contract-review">356</start>
      <end xmlns="http://schemas.wps.cn/vas-ai-hub/contract-review">357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94270ec5-a97c-4853-929e-6177af0caa00</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3898F589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f4d2db8a-d929-4e49-9851-329287b034c5</errorID>
      <errorWord xmlns="http://schemas.wps.cn/vas-ai-hub/contract-review">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积是</item>
      </candidateList>
      <explain xmlns="http://schemas.wps.cn/vas-ai-hub/contract-review"/>
      <paraID xmlns="http://schemas.wps.cn/vas-ai-hub/contract-review"> E24A2AF</paraID>
      <start xmlns="http://schemas.wps.cn/vas-ai-hub/contract-review">67</start>
      <end xmlns="http://schemas.wps.cn/vas-ai-hub/contract-review">68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70a655a0-ba9f-47f0-8be1-3e7a951d7fb6</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1B7E248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28f23f46-6d42-4de9-82e9-b4ab55c6e62b</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51467512</paraID>
      <start xmlns="http://schemas.wps.cn/vas-ai-hub/contract-review">12</start>
      <end xmlns="http://schemas.wps.cn/vas-ai-hub/contract-review">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2d6d7a62-9acd-4286-a921-53e82300b1c2</errorID>
      <errorWord xmlns="http://schemas.wps.cn/vas-ai-hub/contract-review">减震</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减振</item>
      </candidateList>
      <explain xmlns="http://schemas.wps.cn/vas-ai-hub/contract-review">存在发音相同字词的误用。</explain>
      <paraID xmlns="http://schemas.wps.cn/vas-ai-hub/contract-review">409CB788</paraID>
      <start xmlns="http://schemas.wps.cn/vas-ai-hub/contract-review">57</start>
      <end xmlns="http://schemas.wps.cn/vas-ai-hub/contract-review">61</end>
      <status xmlns="http://schemas.wps.cn/vas-ai-hub/contract-review">modified</status>
      <modifiedWord xmlns="http://schemas.wps.cn/vas-ai-hub/contract-review">减振</modifiedWord>
      <trackRevisions xmlns="http://schemas.wps.cn/vas-ai-hub/contract-review">true</trackRevisions>
    </reviewItem>
    <reviewItem xmlns="http://schemas.wps.cn/vas-ai-hub/contract-review">
      <errorID xmlns="http://schemas.wps.cn/vas-ai-hub/contract-review">a4104353-a554-4110-9472-3974a90da8af</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1EDE7757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3f3e2eb0-1a48-4239-8e6b-6e465d087d1a</errorID>
      <errorWord xmlns="http://schemas.wps.cn/vas-ai-hub/contract-review">除尘灰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除尘</item>
      </candidateList>
      <explain xmlns="http://schemas.wps.cn/vas-ai-hub/contract-review"/>
      <paraID xmlns="http://schemas.wps.cn/vas-ai-hub/contract-review"> 9A9B600</paraID>
      <start xmlns="http://schemas.wps.cn/vas-ai-hub/contract-review">12</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5aa26f7e-45db-44b2-8824-f18c29517ad5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3FFF72B4</paraID>
      <start xmlns="http://schemas.wps.cn/vas-ai-hub/contract-review">89</start>
      <end xmlns="http://schemas.wps.cn/vas-ai-hub/contract-review">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444c8682-962e-4494-a9a7-9ce092dbd999</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77A4B124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8652b16a-ace6-489d-bb58-555c838a7117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36D8479</paraID>
      <start xmlns="http://schemas.wps.cn/vas-ai-hub/contract-review">85</start>
      <end xmlns="http://schemas.wps.cn/vas-ai-hub/contract-review">86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617d2aca-eba7-4590-a5d1-558a453a5d90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36D8479</paraID>
      <start xmlns="http://schemas.wps.cn/vas-ai-hub/contract-review">137</start>
      <end xmlns="http://schemas.wps.cn/vas-ai-hub/contract-review">138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b34bcd95-a603-4e30-a2de-23b4aa946a23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2BE615F4</paraID>
      <start xmlns="http://schemas.wps.cn/vas-ai-hub/contract-review">81</start>
      <end xmlns="http://schemas.wps.cn/vas-ai-hub/contract-review">82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98597347-e601-4572-a2f5-588fc963523b</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7F6525C4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8d3a7462-a693-491f-8110-5e067c170480</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2C5DD728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451bb417-46f1-4dd2-94ad-286fef0923f8</errorID>
      <errorWord xmlns="http://schemas.wps.cn/vas-ai-hub/contract-review">项目为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项目</item>
      </candidateList>
      <explain xmlns="http://schemas.wps.cn/vas-ai-hub/contract-review">〈名〉事物分成的门类：服务～｜体育～｜建设～。</explain>
      <paraID xmlns="http://schemas.wps.cn/vas-ai-hub/contract-review">37747DDD</paraID>
      <start xmlns="http://schemas.wps.cn/vas-ai-hub/contract-review">1</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204444d2-b72e-4066-8763-2e4de5e1931d</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32F48434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418b1a24-b297-4365-b613-63aeebf80c5f</errorID>
      <errorWord xmlns="http://schemas.wps.cn/vas-ai-hub/contract-review">泄露</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泄漏</item>
      </candidateList>
      <explain xmlns="http://schemas.wps.cn/vas-ai-hub/contract-review">存在发音相同字词的误用。</explain>
      <paraID xmlns="http://schemas.wps.cn/vas-ai-hub/contract-review">766BE492</paraID>
      <start xmlns="http://schemas.wps.cn/vas-ai-hub/contract-review">64</start>
      <end xmlns="http://schemas.wps.cn/vas-ai-hub/contract-review">68</end>
      <status xmlns="http://schemas.wps.cn/vas-ai-hub/contract-review">modified</status>
      <modifiedWord xmlns="http://schemas.wps.cn/vas-ai-hub/contract-review">泄漏</modifiedWord>
      <trackRevisions xmlns="http://schemas.wps.cn/vas-ai-hub/contract-review">true</trackRevisions>
    </reviewItem>
    <reviewItem xmlns="http://schemas.wps.cn/vas-ai-hub/contract-review">
      <errorID xmlns="http://schemas.wps.cn/vas-ai-hub/contract-review">c244802f-d5c2-4e86-9de4-04f5e673596e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766BE492</paraID>
      <start xmlns="http://schemas.wps.cn/vas-ai-hub/contract-review">151</start>
      <end xmlns="http://schemas.wps.cn/vas-ai-hub/contract-review">152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54d1859c-9e53-470b-947b-6089ed23ad99</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766BE492</paraID>
      <start xmlns="http://schemas.wps.cn/vas-ai-hub/contract-review">235</start>
      <end xmlns="http://schemas.wps.cn/vas-ai-hub/contract-review">236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266ce3f8-8ece-4fc8-9514-c2b003a43d5b</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16611903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90514716-10f0-4188-8381-e40eb6f63c00</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3AA01224</paraID>
      <start xmlns="http://schemas.wps.cn/vas-ai-hub/contract-review">126</start>
      <end xmlns="http://schemas.wps.cn/vas-ai-hub/contract-review">127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a690a2d6-8ce2-4ba1-bebd-587010a37f6c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3AA01224</paraID>
      <start xmlns="http://schemas.wps.cn/vas-ai-hub/contract-review">129</start>
      <end xmlns="http://schemas.wps.cn/vas-ai-hub/contract-review">130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a184985c-09a7-4a88-b546-3d98dbcf7fb3</errorID>
      <errorWord xmlns="http://schemas.wps.cn/vas-ai-hub/contract-review">境</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境对</item>
      </candidateList>
      <explain xmlns="http://schemas.wps.cn/vas-ai-hub/contract-review"/>
      <paraID xmlns="http://schemas.wps.cn/vas-ai-hub/contract-review">3A07423A</paraID>
      <start xmlns="http://schemas.wps.cn/vas-ai-hub/contract-review">151</start>
      <end xmlns="http://schemas.wps.cn/vas-ai-hub/contract-review">152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5e08baeb-3f73-48f2-836a-d0cc08a42398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57A9E2BD</paraID>
      <start xmlns="http://schemas.wps.cn/vas-ai-hub/contract-review">109</start>
      <end xmlns="http://schemas.wps.cn/vas-ai-hub/contract-review">110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c08ce1d6-0525-4197-837c-88caace39fdf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57A9E2BD</paraID>
      <start xmlns="http://schemas.wps.cn/vas-ai-hub/contract-review">189</start>
      <end xmlns="http://schemas.wps.cn/vas-ai-hub/contract-review">190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069b8370-3c9e-4ca3-a2e5-f93fa5d029f9</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60425092</paraID>
      <start xmlns="http://schemas.wps.cn/vas-ai-hub/contract-review">59</start>
      <end xmlns="http://schemas.wps.cn/vas-ai-hub/contract-review">62</end>
      <status xmlns="http://schemas.wps.cn/vas-ai-hub/contract-review">modified</status>
      <modifiedWord xmlns="http://schemas.wps.cn/vas-ai-hub/contract-review">，以</modifiedWord>
      <trackRevisions xmlns="http://schemas.wps.cn/vas-ai-hub/contract-review">true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dc19db-85d6-4138-ac0f-57bcc5c392ba}">
  <ds:schemaRefs/>
</ds:datastoreItem>
</file>

<file path=docProps/app.xml><?xml version="1.0" encoding="utf-8"?>
<Properties xmlns="http://schemas.openxmlformats.org/officeDocument/2006/extended-properties" xmlns:vt="http://schemas.openxmlformats.org/officeDocument/2006/docPropsVTypes">
  <Template>Normal.dotm</Template>
  <Company>zilong</Company>
  <Pages>123</Pages>
  <Words>26960</Words>
  <Characters>29284</Characters>
  <Lines>353</Lines>
  <Paragraphs>99</Paragraphs>
  <TotalTime>8</TotalTime>
  <ScaleCrop>false</ScaleCrop>
  <LinksUpToDate>false</LinksUpToDate>
  <CharactersWithSpaces>29419</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2023-10-28T14:18:00Z</dcterms:created>
  <dc:creator>小哲</dc:creator>
  <cp:lastModifiedBy>进击的豆子</cp:lastModifiedBy>
  <cp:lastPrinted>2024-07-31T16:44:00Z</cp:lastPrinted>
  <dcterms:modified xsi:type="dcterms:W3CDTF">2026-06-16T01:56:06Z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250DD148B75F407082C4662C3BC45498_13</vt:lpwstr>
  </property>
  <property fmtid="{D5CDD505-2E9C-101B-9397-08002B2CF9AE}" pid="4" name="KSOTemplateDocerSaveRecord">
    <vt:lpwstr>eyJoZGlkIjoiNDA3ZDEzYTcyZWRiOGYyNzJkZjRjYTAzZDg0ODNmY2UiLCJ1c2VySWQiOiIzNDIxNTk0NDEifQ==</vt:lpwstr>
  </property>
</Properties>
</file>