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1792DA">
      <w:pPr>
        <w:keepNext w:val="0"/>
        <w:keepLines w:val="0"/>
        <w:pageBreakBefore w:val="0"/>
        <w:widowControl w:val="0"/>
        <w:kinsoku/>
        <w:wordWrap/>
        <w:overflowPunct/>
        <w:topLinePunct w:val="0"/>
        <w:autoSpaceDE/>
        <w:autoSpaceDN/>
        <w:bidi w:val="0"/>
        <w:adjustRightInd w:val="0"/>
        <w:snapToGrid w:val="0"/>
        <w:spacing w:before="1873" w:beforeLines="600"/>
        <w:jc w:val="center"/>
        <w:textAlignment w:val="auto"/>
        <w:outlineLvl w:val="0"/>
        <w:rPr>
          <w:rFonts w:hint="default" w:ascii="Times New Roman" w:hAnsi="Times New Roman" w:eastAsia="宋体" w:cs="Times New Roman"/>
          <w:bCs/>
          <w:color w:val="auto"/>
          <w:sz w:val="72"/>
          <w:szCs w:val="72"/>
        </w:rPr>
      </w:pPr>
      <w:bookmarkStart w:id="0" w:name="_Toc13768"/>
      <w:bookmarkStart w:id="1" w:name="_Toc25844"/>
      <w:bookmarkStart w:id="2" w:name="_Toc447"/>
      <w:bookmarkStart w:id="3" w:name="_Toc159"/>
      <w:bookmarkStart w:id="4" w:name="_Toc30626"/>
      <w:bookmarkStart w:id="5" w:name="_Toc30556"/>
      <w:bookmarkStart w:id="6" w:name="_Toc9265"/>
      <w:bookmarkStart w:id="7" w:name="_Toc15380"/>
      <w:bookmarkStart w:id="8" w:name="_Toc19888"/>
      <w:bookmarkStart w:id="9" w:name="_Toc2781"/>
      <w:r>
        <w:rPr>
          <w:rFonts w:hint="default" w:ascii="Times New Roman" w:hAnsi="Times New Roman" w:eastAsia="宋体" w:cs="Times New Roman"/>
          <w:b/>
          <w:bCs w:val="0"/>
          <w:color w:val="auto"/>
          <w:sz w:val="72"/>
          <w:szCs w:val="72"/>
        </w:rPr>
        <w:t>建设项目环境影响报告表</w:t>
      </w:r>
      <w:bookmarkEnd w:id="0"/>
      <w:bookmarkEnd w:id="1"/>
      <w:bookmarkEnd w:id="2"/>
      <w:bookmarkEnd w:id="3"/>
      <w:bookmarkEnd w:id="4"/>
      <w:bookmarkEnd w:id="5"/>
      <w:bookmarkEnd w:id="6"/>
      <w:bookmarkEnd w:id="7"/>
      <w:bookmarkEnd w:id="8"/>
      <w:bookmarkEnd w:id="9"/>
    </w:p>
    <w:p w14:paraId="301510A8">
      <w:pPr>
        <w:adjustRightInd w:val="0"/>
        <w:snapToGrid w:val="0"/>
        <w:spacing w:before="192" w:beforeLines="80"/>
        <w:jc w:val="center"/>
        <w:rPr>
          <w:rFonts w:hint="default" w:ascii="Times New Roman" w:hAnsi="Times New Roman" w:eastAsia="宋体" w:cs="Times New Roman"/>
          <w:bCs/>
          <w:color w:val="auto"/>
          <w:sz w:val="48"/>
          <w:szCs w:val="48"/>
        </w:rPr>
      </w:pPr>
      <w:r>
        <w:rPr>
          <w:rFonts w:hint="default" w:ascii="Times New Roman" w:hAnsi="Times New Roman" w:eastAsia="宋体" w:cs="Times New Roman"/>
          <w:bCs/>
          <w:color w:val="auto"/>
          <w:sz w:val="48"/>
          <w:szCs w:val="48"/>
        </w:rPr>
        <w:t>（污染影响类）</w:t>
      </w:r>
    </w:p>
    <w:p w14:paraId="233639C2">
      <w:pPr>
        <w:keepNext w:val="0"/>
        <w:keepLines w:val="0"/>
        <w:pageBreakBefore w:val="0"/>
        <w:widowControl w:val="0"/>
        <w:kinsoku/>
        <w:wordWrap/>
        <w:overflowPunct/>
        <w:topLinePunct w:val="0"/>
        <w:autoSpaceDE/>
        <w:autoSpaceDN/>
        <w:bidi w:val="0"/>
        <w:adjustRightInd w:val="0"/>
        <w:snapToGrid w:val="0"/>
        <w:spacing w:before="6241" w:beforeLines="2000" w:line="360" w:lineRule="auto"/>
        <w:ind w:left="1056" w:leftChars="503"/>
        <w:textAlignment w:val="auto"/>
        <w:rPr>
          <w:rFonts w:hint="eastAsia" w:ascii="Times New Roman" w:hAnsi="Times New Roman" w:eastAsia="宋体" w:cs="Times New Roman"/>
          <w:color w:val="auto"/>
          <w:sz w:val="32"/>
          <w:szCs w:val="32"/>
          <w:u w:val="single"/>
          <w:lang w:eastAsia="zh-CN"/>
        </w:rPr>
      </w:pPr>
      <w:r>
        <w:rPr>
          <w:rFonts w:hint="default" w:ascii="Times New Roman" w:hAnsi="Times New Roman" w:eastAsia="宋体" w:cs="Times New Roman"/>
          <w:color w:val="auto"/>
          <w:sz w:val="28"/>
          <w:szCs w:val="28"/>
        </w:rPr>
        <w:t xml:space="preserve">项目名称： </w:t>
      </w:r>
      <w:r>
        <w:rPr>
          <w:rFonts w:hint="eastAsia" w:cs="Times New Roman"/>
          <w:color w:val="auto"/>
          <w:sz w:val="28"/>
          <w:szCs w:val="28"/>
          <w:u w:val="single"/>
          <w:lang w:eastAsia="zh-CN"/>
        </w:rPr>
        <w:t>鸡西海霖煤炭销售有限公司储煤场建设项目</w:t>
      </w:r>
    </w:p>
    <w:p w14:paraId="709FAEA2">
      <w:pPr>
        <w:adjustRightInd w:val="0"/>
        <w:snapToGrid w:val="0"/>
        <w:spacing w:line="360" w:lineRule="auto"/>
        <w:ind w:left="1056" w:leftChars="503"/>
        <w:rPr>
          <w:rFonts w:hint="default" w:ascii="Times New Roman" w:hAnsi="Times New Roman" w:eastAsia="宋体" w:cs="Times New Roman"/>
          <w:color w:val="auto"/>
          <w:sz w:val="28"/>
          <w:szCs w:val="28"/>
          <w:u w:val="single"/>
        </w:rPr>
      </w:pPr>
      <w:r>
        <w:rPr>
          <w:rFonts w:hint="default" w:ascii="Times New Roman" w:hAnsi="Times New Roman" w:eastAsia="宋体" w:cs="Times New Roman"/>
          <w:color w:val="auto"/>
          <w:sz w:val="28"/>
          <w:szCs w:val="28"/>
        </w:rPr>
        <w:t>建设单位（盖章）：</w:t>
      </w:r>
      <w:r>
        <w:rPr>
          <w:rFonts w:hint="eastAsia" w:cs="Times New Roman"/>
          <w:color w:val="auto"/>
          <w:sz w:val="28"/>
          <w:szCs w:val="28"/>
          <w:u w:val="single"/>
          <w:lang w:eastAsia="zh-CN"/>
        </w:rPr>
        <w:t>鸡西海霖煤炭销售有限公司</w:t>
      </w:r>
      <w:r>
        <w:rPr>
          <w:rFonts w:hint="default" w:ascii="Times New Roman" w:hAnsi="Times New Roman" w:eastAsia="宋体" w:cs="Times New Roman"/>
          <w:color w:val="auto"/>
          <w:sz w:val="28"/>
          <w:szCs w:val="28"/>
          <w:u w:val="single"/>
        </w:rPr>
        <w:t xml:space="preserve"> </w:t>
      </w:r>
    </w:p>
    <w:p w14:paraId="409B7C51">
      <w:pPr>
        <w:adjustRightInd w:val="0"/>
        <w:snapToGrid w:val="0"/>
        <w:spacing w:line="360" w:lineRule="auto"/>
        <w:ind w:left="1056" w:leftChars="503"/>
        <w:rPr>
          <w:rFonts w:hint="default" w:ascii="Times New Roman" w:hAnsi="Times New Roman" w:eastAsia="宋体" w:cs="Times New Roman"/>
          <w:color w:val="auto"/>
          <w:sz w:val="36"/>
          <w:szCs w:val="36"/>
          <w:u w:val="single"/>
        </w:rPr>
      </w:pPr>
      <w:r>
        <w:rPr>
          <w:rFonts w:hint="default" w:ascii="Times New Roman" w:hAnsi="Times New Roman" w:eastAsia="宋体" w:cs="Times New Roman"/>
          <w:color w:val="auto"/>
          <w:sz w:val="28"/>
          <w:szCs w:val="28"/>
        </w:rPr>
        <w:t>编制日期：</w:t>
      </w:r>
      <w:r>
        <w:rPr>
          <w:rFonts w:hint="default" w:ascii="Times New Roman" w:hAnsi="Times New Roman" w:eastAsia="宋体" w:cs="Times New Roman"/>
          <w:color w:val="auto"/>
          <w:sz w:val="28"/>
          <w:szCs w:val="28"/>
          <w:u w:val="single"/>
        </w:rPr>
        <w:t xml:space="preserve">    </w:t>
      </w:r>
      <w:r>
        <w:rPr>
          <w:rFonts w:hint="eastAsia" w:cs="Times New Roman"/>
          <w:color w:val="auto"/>
          <w:sz w:val="28"/>
          <w:szCs w:val="28"/>
          <w:u w:val="single"/>
          <w:lang w:val="en-US" w:eastAsia="zh-CN"/>
        </w:rPr>
        <w:t xml:space="preserve">      </w:t>
      </w:r>
      <w:r>
        <w:rPr>
          <w:rFonts w:hint="default" w:ascii="Times New Roman" w:hAnsi="Times New Roman" w:eastAsia="宋体" w:cs="Times New Roman"/>
          <w:color w:val="auto"/>
          <w:sz w:val="28"/>
          <w:szCs w:val="28"/>
          <w:u w:val="single"/>
        </w:rPr>
        <w:t xml:space="preserve"> 202</w:t>
      </w:r>
      <w:r>
        <w:rPr>
          <w:rFonts w:hint="eastAsia" w:cs="Times New Roman"/>
          <w:color w:val="auto"/>
          <w:sz w:val="28"/>
          <w:szCs w:val="28"/>
          <w:u w:val="single"/>
          <w:lang w:val="en-US" w:eastAsia="zh-CN"/>
        </w:rPr>
        <w:t>5</w:t>
      </w:r>
      <w:r>
        <w:rPr>
          <w:rFonts w:hint="default" w:ascii="Times New Roman" w:hAnsi="Times New Roman" w:eastAsia="宋体" w:cs="Times New Roman"/>
          <w:color w:val="auto"/>
          <w:sz w:val="28"/>
          <w:szCs w:val="28"/>
          <w:u w:val="single"/>
        </w:rPr>
        <w:t>年</w:t>
      </w:r>
      <w:r>
        <w:rPr>
          <w:rFonts w:hint="eastAsia" w:cs="Times New Roman"/>
          <w:color w:val="auto"/>
          <w:sz w:val="28"/>
          <w:szCs w:val="28"/>
          <w:u w:val="single"/>
          <w:lang w:val="en-US" w:eastAsia="zh-CN"/>
        </w:rPr>
        <w:t>9</w:t>
      </w:r>
      <w:r>
        <w:rPr>
          <w:rFonts w:hint="default" w:ascii="Times New Roman" w:hAnsi="Times New Roman" w:eastAsia="宋体" w:cs="Times New Roman"/>
          <w:color w:val="auto"/>
          <w:sz w:val="28"/>
          <w:szCs w:val="28"/>
          <w:u w:val="single"/>
        </w:rPr>
        <w:t xml:space="preserve">月             </w:t>
      </w:r>
    </w:p>
    <w:p w14:paraId="6C39B112">
      <w:pPr>
        <w:keepNext w:val="0"/>
        <w:keepLines w:val="0"/>
        <w:pageBreakBefore w:val="0"/>
        <w:widowControl w:val="0"/>
        <w:kinsoku/>
        <w:wordWrap/>
        <w:overflowPunct/>
        <w:topLinePunct w:val="0"/>
        <w:autoSpaceDE/>
        <w:autoSpaceDN/>
        <w:bidi w:val="0"/>
        <w:adjustRightInd w:val="0"/>
        <w:snapToGrid w:val="0"/>
        <w:spacing w:before="1561" w:beforeLines="500" w:line="288" w:lineRule="auto"/>
        <w:jc w:val="center"/>
        <w:textAlignment w:val="auto"/>
        <w:rPr>
          <w:rFonts w:hint="default" w:ascii="Times New Roman" w:hAnsi="Times New Roman" w:eastAsia="宋体" w:cs="Times New Roman"/>
          <w:color w:val="auto"/>
          <w:sz w:val="36"/>
          <w:szCs w:val="36"/>
        </w:rPr>
      </w:pPr>
      <w:bookmarkStart w:id="10" w:name="_Toc12517"/>
      <w:r>
        <w:rPr>
          <w:rFonts w:hint="default" w:ascii="Times New Roman" w:hAnsi="Times New Roman" w:eastAsia="宋体" w:cs="Times New Roman"/>
          <w:color w:val="auto"/>
          <w:sz w:val="36"/>
          <w:szCs w:val="36"/>
        </w:rPr>
        <w:t>中华人民共和国生态环境部制</w:t>
      </w:r>
      <w:bookmarkEnd w:id="10"/>
    </w:p>
    <w:p w14:paraId="6D913CD9">
      <w:pPr>
        <w:adjustRightInd w:val="0"/>
        <w:snapToGrid w:val="0"/>
        <w:spacing w:line="288" w:lineRule="auto"/>
        <w:ind w:firstLine="1040"/>
        <w:rPr>
          <w:rFonts w:hint="default" w:ascii="Times New Roman" w:hAnsi="Times New Roman" w:eastAsia="宋体" w:cs="Times New Roman"/>
          <w:color w:val="auto"/>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p>
    <w:p w14:paraId="49B931D5">
      <w:pPr>
        <w:rPr>
          <w:rFonts w:hint="default" w:ascii="Times New Roman" w:hAnsi="Times New Roman" w:eastAsia="宋体" w:cs="Times New Roman"/>
          <w:b/>
          <w:bCs/>
          <w:snapToGrid w:val="0"/>
          <w:color w:val="auto"/>
          <w:sz w:val="36"/>
          <w:szCs w:val="36"/>
        </w:rPr>
      </w:pPr>
      <w:bookmarkStart w:id="11" w:name="_Toc32233"/>
      <w:bookmarkStart w:id="12" w:name="_Toc9174"/>
      <w:bookmarkStart w:id="13" w:name="_Toc21587"/>
      <w:bookmarkStart w:id="14" w:name="_Toc18016"/>
      <w:bookmarkStart w:id="15" w:name="_Toc1798"/>
      <w:bookmarkStart w:id="16" w:name="_Toc16701"/>
      <w:bookmarkStart w:id="17" w:name="_Toc30089"/>
      <w:r>
        <w:rPr>
          <w:color w:val="auto"/>
        </w:rPr>
        <w:drawing>
          <wp:anchor distT="0" distB="0" distL="114300" distR="114300" simplePos="0" relativeHeight="251684864" behindDoc="0" locked="0" layoutInCell="1" allowOverlap="1">
            <wp:simplePos x="0" y="0"/>
            <wp:positionH relativeFrom="column">
              <wp:posOffset>-952500</wp:posOffset>
            </wp:positionH>
            <wp:positionV relativeFrom="paragraph">
              <wp:posOffset>-1061085</wp:posOffset>
            </wp:positionV>
            <wp:extent cx="6935470" cy="9788525"/>
            <wp:effectExtent l="0" t="0" r="17780" b="3175"/>
            <wp:wrapNone/>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10"/>
                    <a:stretch>
                      <a:fillRect/>
                    </a:stretch>
                  </pic:blipFill>
                  <pic:spPr>
                    <a:xfrm>
                      <a:off x="0" y="0"/>
                      <a:ext cx="6935470" cy="9788525"/>
                    </a:xfrm>
                    <a:prstGeom prst="rect">
                      <a:avLst/>
                    </a:prstGeom>
                    <a:noFill/>
                    <a:ln>
                      <a:noFill/>
                    </a:ln>
                  </pic:spPr>
                </pic:pic>
              </a:graphicData>
            </a:graphic>
          </wp:anchor>
        </w:drawing>
      </w:r>
      <w:r>
        <w:rPr>
          <w:rFonts w:hint="default" w:ascii="Times New Roman" w:hAnsi="Times New Roman" w:eastAsia="宋体" w:cs="Times New Roman"/>
          <w:b/>
          <w:bCs/>
          <w:snapToGrid w:val="0"/>
          <w:color w:val="auto"/>
          <w:sz w:val="36"/>
          <w:szCs w:val="36"/>
        </w:rPr>
        <w:br w:type="page"/>
      </w:r>
    </w:p>
    <w:p w14:paraId="2CD7A1BC">
      <w:pPr>
        <w:pStyle w:val="26"/>
        <w:keepNext w:val="0"/>
        <w:keepLines w:val="0"/>
        <w:pageBreakBefore w:val="0"/>
        <w:widowControl/>
        <w:kinsoku/>
        <w:wordWrap/>
        <w:overflowPunct/>
        <w:topLinePunct w:val="0"/>
        <w:autoSpaceDE/>
        <w:autoSpaceDN/>
        <w:bidi w:val="0"/>
        <w:adjustRightInd/>
        <w:snapToGrid/>
        <w:spacing w:before="260" w:beforeAutospacing="0" w:after="260" w:afterAutospacing="0" w:line="360" w:lineRule="auto"/>
        <w:jc w:val="center"/>
        <w:textAlignment w:val="auto"/>
        <w:outlineLvl w:val="0"/>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b/>
          <w:bCs/>
          <w:snapToGrid w:val="0"/>
          <w:color w:val="auto"/>
          <w:sz w:val="36"/>
          <w:szCs w:val="36"/>
        </w:rPr>
        <w:t>目 录</w:t>
      </w:r>
      <w:bookmarkEnd w:id="11"/>
      <w:bookmarkEnd w:id="12"/>
      <w:bookmarkEnd w:id="13"/>
      <w:bookmarkEnd w:id="14"/>
      <w:bookmarkEnd w:id="15"/>
      <w:bookmarkEnd w:id="16"/>
      <w:bookmarkEnd w:id="17"/>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TOC \o "1-1" \h \u </w:instrText>
      </w:r>
      <w:r>
        <w:rPr>
          <w:rFonts w:hint="default" w:ascii="Times New Roman" w:hAnsi="Times New Roman" w:eastAsia="宋体" w:cs="Times New Roman"/>
          <w:color w:val="auto"/>
          <w:sz w:val="24"/>
          <w:szCs w:val="24"/>
        </w:rPr>
        <w:fldChar w:fldCharType="separate"/>
      </w:r>
    </w:p>
    <w:p w14:paraId="78B0E98E">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_Toc1314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snapToGrid w:val="0"/>
          <w:color w:val="auto"/>
          <w:sz w:val="24"/>
          <w:szCs w:val="24"/>
        </w:rPr>
        <w:t>一、建设项目基本情况</w:t>
      </w:r>
      <w:r>
        <w:rPr>
          <w:color w:val="auto"/>
          <w:sz w:val="24"/>
          <w:szCs w:val="24"/>
        </w:rPr>
        <w:tab/>
      </w:r>
      <w:r>
        <w:rPr>
          <w:color w:val="auto"/>
          <w:sz w:val="24"/>
          <w:szCs w:val="24"/>
        </w:rPr>
        <w:fldChar w:fldCharType="begin"/>
      </w:r>
      <w:r>
        <w:rPr>
          <w:color w:val="auto"/>
          <w:sz w:val="24"/>
          <w:szCs w:val="24"/>
        </w:rPr>
        <w:instrText xml:space="preserve"> PAGEREF _Toc1314 \h </w:instrText>
      </w:r>
      <w:r>
        <w:rPr>
          <w:color w:val="auto"/>
          <w:sz w:val="24"/>
          <w:szCs w:val="24"/>
        </w:rPr>
        <w:fldChar w:fldCharType="separate"/>
      </w:r>
      <w:r>
        <w:rPr>
          <w:color w:val="auto"/>
          <w:sz w:val="24"/>
          <w:szCs w:val="24"/>
        </w:rPr>
        <w:t>1</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691F2EBD">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_Toc23770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snapToGrid w:val="0"/>
          <w:color w:val="auto"/>
          <w:sz w:val="24"/>
          <w:szCs w:val="24"/>
        </w:rPr>
        <w:t>二、建设项目工程分析</w:t>
      </w:r>
      <w:r>
        <w:rPr>
          <w:color w:val="auto"/>
          <w:sz w:val="24"/>
          <w:szCs w:val="24"/>
        </w:rPr>
        <w:tab/>
      </w:r>
      <w:r>
        <w:rPr>
          <w:color w:val="auto"/>
          <w:sz w:val="24"/>
          <w:szCs w:val="24"/>
        </w:rPr>
        <w:fldChar w:fldCharType="begin"/>
      </w:r>
      <w:r>
        <w:rPr>
          <w:color w:val="auto"/>
          <w:sz w:val="24"/>
          <w:szCs w:val="24"/>
        </w:rPr>
        <w:instrText xml:space="preserve"> PAGEREF _Toc23770 \h </w:instrText>
      </w:r>
      <w:r>
        <w:rPr>
          <w:color w:val="auto"/>
          <w:sz w:val="24"/>
          <w:szCs w:val="24"/>
        </w:rPr>
        <w:fldChar w:fldCharType="separate"/>
      </w:r>
      <w:r>
        <w:rPr>
          <w:color w:val="auto"/>
          <w:sz w:val="24"/>
          <w:szCs w:val="24"/>
        </w:rPr>
        <w:t>19</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3180F09B">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_Toc11239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snapToGrid w:val="0"/>
          <w:color w:val="auto"/>
          <w:sz w:val="24"/>
          <w:szCs w:val="24"/>
        </w:rPr>
        <w:t>三、区域环境质量现状、环境保护目标及评价标准</w:t>
      </w:r>
      <w:r>
        <w:rPr>
          <w:color w:val="auto"/>
          <w:sz w:val="24"/>
          <w:szCs w:val="24"/>
        </w:rPr>
        <w:tab/>
      </w:r>
      <w:r>
        <w:rPr>
          <w:color w:val="auto"/>
          <w:sz w:val="24"/>
          <w:szCs w:val="24"/>
        </w:rPr>
        <w:fldChar w:fldCharType="begin"/>
      </w:r>
      <w:r>
        <w:rPr>
          <w:color w:val="auto"/>
          <w:sz w:val="24"/>
          <w:szCs w:val="24"/>
        </w:rPr>
        <w:instrText xml:space="preserve"> PAGEREF _Toc11239 \h </w:instrText>
      </w:r>
      <w:r>
        <w:rPr>
          <w:color w:val="auto"/>
          <w:sz w:val="24"/>
          <w:szCs w:val="24"/>
        </w:rPr>
        <w:fldChar w:fldCharType="separate"/>
      </w:r>
      <w:r>
        <w:rPr>
          <w:color w:val="auto"/>
          <w:sz w:val="24"/>
          <w:szCs w:val="24"/>
        </w:rPr>
        <w:t>39</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166A0C6E">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_Toc17812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snapToGrid w:val="0"/>
          <w:color w:val="auto"/>
          <w:sz w:val="24"/>
          <w:szCs w:val="24"/>
        </w:rPr>
        <w:t>四、主要环境影响和保护措施</w:t>
      </w:r>
      <w:r>
        <w:rPr>
          <w:color w:val="auto"/>
          <w:sz w:val="24"/>
          <w:szCs w:val="24"/>
        </w:rPr>
        <w:tab/>
      </w:r>
      <w:r>
        <w:rPr>
          <w:color w:val="auto"/>
          <w:sz w:val="24"/>
          <w:szCs w:val="24"/>
        </w:rPr>
        <w:fldChar w:fldCharType="begin"/>
      </w:r>
      <w:r>
        <w:rPr>
          <w:color w:val="auto"/>
          <w:sz w:val="24"/>
          <w:szCs w:val="24"/>
        </w:rPr>
        <w:instrText xml:space="preserve"> PAGEREF _Toc17812 \h </w:instrText>
      </w:r>
      <w:r>
        <w:rPr>
          <w:color w:val="auto"/>
          <w:sz w:val="24"/>
          <w:szCs w:val="24"/>
        </w:rPr>
        <w:fldChar w:fldCharType="separate"/>
      </w:r>
      <w:r>
        <w:rPr>
          <w:color w:val="auto"/>
          <w:sz w:val="24"/>
          <w:szCs w:val="24"/>
        </w:rPr>
        <w:t>46</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4719091E">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_Toc26782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snapToGrid w:val="0"/>
          <w:color w:val="auto"/>
          <w:sz w:val="24"/>
          <w:szCs w:val="24"/>
        </w:rPr>
        <w:t>五、环境保护措施监督检查清单</w:t>
      </w:r>
      <w:r>
        <w:rPr>
          <w:color w:val="auto"/>
          <w:sz w:val="24"/>
          <w:szCs w:val="24"/>
        </w:rPr>
        <w:tab/>
      </w:r>
      <w:r>
        <w:rPr>
          <w:color w:val="auto"/>
          <w:sz w:val="24"/>
          <w:szCs w:val="24"/>
        </w:rPr>
        <w:fldChar w:fldCharType="begin"/>
      </w:r>
      <w:r>
        <w:rPr>
          <w:color w:val="auto"/>
          <w:sz w:val="24"/>
          <w:szCs w:val="24"/>
        </w:rPr>
        <w:instrText xml:space="preserve"> PAGEREF _Toc26782 \h </w:instrText>
      </w:r>
      <w:r>
        <w:rPr>
          <w:color w:val="auto"/>
          <w:sz w:val="24"/>
          <w:szCs w:val="24"/>
        </w:rPr>
        <w:fldChar w:fldCharType="separate"/>
      </w:r>
      <w:r>
        <w:rPr>
          <w:color w:val="auto"/>
          <w:sz w:val="24"/>
          <w:szCs w:val="24"/>
        </w:rPr>
        <w:t>78</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381E05A8">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_Toc4371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snapToGrid w:val="0"/>
          <w:color w:val="auto"/>
          <w:sz w:val="24"/>
          <w:szCs w:val="24"/>
        </w:rPr>
        <w:t>六、结论</w:t>
      </w:r>
      <w:r>
        <w:rPr>
          <w:color w:val="auto"/>
          <w:sz w:val="24"/>
          <w:szCs w:val="24"/>
        </w:rPr>
        <w:tab/>
      </w:r>
      <w:r>
        <w:rPr>
          <w:color w:val="auto"/>
          <w:sz w:val="24"/>
          <w:szCs w:val="24"/>
        </w:rPr>
        <w:fldChar w:fldCharType="begin"/>
      </w:r>
      <w:r>
        <w:rPr>
          <w:color w:val="auto"/>
          <w:sz w:val="24"/>
          <w:szCs w:val="24"/>
        </w:rPr>
        <w:instrText xml:space="preserve"> PAGEREF _Toc4371 \h </w:instrText>
      </w:r>
      <w:r>
        <w:rPr>
          <w:color w:val="auto"/>
          <w:sz w:val="24"/>
          <w:szCs w:val="24"/>
        </w:rPr>
        <w:fldChar w:fldCharType="separate"/>
      </w:r>
      <w:r>
        <w:rPr>
          <w:color w:val="auto"/>
          <w:sz w:val="24"/>
          <w:szCs w:val="24"/>
        </w:rPr>
        <w:t>81</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6E49532B">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_Toc13030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snapToGrid w:val="0"/>
          <w:color w:val="auto"/>
          <w:sz w:val="24"/>
          <w:szCs w:val="24"/>
        </w:rPr>
        <w:t>附表</w:t>
      </w:r>
      <w:r>
        <w:rPr>
          <w:rFonts w:hint="default" w:ascii="Times New Roman" w:hAnsi="Times New Roman" w:eastAsia="宋体" w:cs="Times New Roman"/>
          <w:color w:val="auto"/>
          <w:sz w:val="24"/>
          <w:szCs w:val="24"/>
        </w:rPr>
        <w:fldChar w:fldCharType="end"/>
      </w:r>
    </w:p>
    <w:p w14:paraId="6526BADA">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_Toc18054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snapToGrid w:val="0"/>
          <w:color w:val="auto"/>
          <w:sz w:val="24"/>
          <w:szCs w:val="24"/>
        </w:rPr>
        <w:t>建设项目污染物排放量汇总表</w:t>
      </w:r>
      <w:r>
        <w:rPr>
          <w:color w:val="auto"/>
          <w:sz w:val="24"/>
          <w:szCs w:val="24"/>
        </w:rPr>
        <w:tab/>
      </w:r>
      <w:r>
        <w:rPr>
          <w:color w:val="auto"/>
          <w:sz w:val="24"/>
          <w:szCs w:val="24"/>
        </w:rPr>
        <w:fldChar w:fldCharType="begin"/>
      </w:r>
      <w:r>
        <w:rPr>
          <w:color w:val="auto"/>
          <w:sz w:val="24"/>
          <w:szCs w:val="24"/>
        </w:rPr>
        <w:instrText xml:space="preserve"> PAGEREF _Toc18054 \h </w:instrText>
      </w:r>
      <w:r>
        <w:rPr>
          <w:color w:val="auto"/>
          <w:sz w:val="24"/>
          <w:szCs w:val="24"/>
        </w:rPr>
        <w:fldChar w:fldCharType="separate"/>
      </w:r>
      <w:r>
        <w:rPr>
          <w:color w:val="auto"/>
          <w:sz w:val="24"/>
          <w:szCs w:val="24"/>
        </w:rPr>
        <w:t>82</w:t>
      </w:r>
      <w:r>
        <w:rPr>
          <w:color w:val="auto"/>
          <w:sz w:val="24"/>
          <w:szCs w:val="24"/>
        </w:rPr>
        <w:fldChar w:fldCharType="end"/>
      </w:r>
      <w:r>
        <w:rPr>
          <w:rFonts w:hint="default" w:ascii="Times New Roman" w:hAnsi="Times New Roman" w:eastAsia="宋体" w:cs="Times New Roman"/>
          <w:color w:val="auto"/>
          <w:sz w:val="24"/>
          <w:szCs w:val="24"/>
        </w:rPr>
        <w:fldChar w:fldCharType="end"/>
      </w:r>
    </w:p>
    <w:p w14:paraId="498B1562">
      <w:pPr>
        <w:pStyle w:val="20"/>
        <w:tabs>
          <w:tab w:val="right" w:leader="dot" w:pos="8844"/>
        </w:tabs>
        <w:spacing w:line="360" w:lineRule="auto"/>
        <w:rPr>
          <w:rFonts w:hint="eastAsia" w:eastAsia="宋体" w:cs="Times New Roman"/>
          <w:color w:val="auto"/>
          <w:sz w:val="24"/>
          <w:szCs w:val="24"/>
          <w:lang w:val="en-US" w:eastAsia="zh-CN"/>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_Toc5015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snapToGrid w:val="0"/>
          <w:color w:val="auto"/>
          <w:sz w:val="24"/>
          <w:szCs w:val="24"/>
        </w:rPr>
        <w:t>编制单位和编制人员情况表</w:t>
      </w:r>
      <w:r>
        <w:rPr>
          <w:rFonts w:hint="default" w:ascii="Times New Roman" w:hAnsi="Times New Roman" w:eastAsia="宋体" w:cs="Times New Roman"/>
          <w:color w:val="auto"/>
          <w:sz w:val="24"/>
          <w:szCs w:val="24"/>
        </w:rPr>
        <w:tab/>
      </w:r>
      <w:r>
        <w:rPr>
          <w:rFonts w:hint="eastAsia" w:eastAsia="宋体" w:cs="Times New Roman"/>
          <w:color w:val="auto"/>
          <w:sz w:val="24"/>
          <w:szCs w:val="24"/>
          <w:lang w:val="en-US" w:eastAsia="zh-CN"/>
        </w:rPr>
        <w:t>7</w:t>
      </w:r>
      <w:r>
        <w:rPr>
          <w:rFonts w:hint="default" w:ascii="Times New Roman" w:hAnsi="Times New Roman" w:eastAsia="宋体" w:cs="Times New Roman"/>
          <w:color w:val="auto"/>
          <w:sz w:val="24"/>
          <w:szCs w:val="24"/>
        </w:rPr>
        <w:fldChar w:fldCharType="end"/>
      </w:r>
      <w:r>
        <w:rPr>
          <w:rFonts w:hint="eastAsia" w:eastAsia="宋体" w:cs="Times New Roman"/>
          <w:color w:val="auto"/>
          <w:sz w:val="24"/>
          <w:szCs w:val="24"/>
          <w:lang w:val="en-US" w:eastAsia="zh-CN"/>
        </w:rPr>
        <w:t>2</w:t>
      </w:r>
    </w:p>
    <w:p w14:paraId="44C18D98">
      <w:pPr>
        <w:pStyle w:val="20"/>
        <w:tabs>
          <w:tab w:val="right" w:leader="dot" w:pos="8844"/>
        </w:tabs>
        <w:spacing w:line="360" w:lineRule="auto"/>
        <w:rPr>
          <w:rFonts w:hint="eastAsia" w:cs="Times New Roman"/>
          <w:color w:val="auto"/>
          <w:sz w:val="24"/>
          <w:szCs w:val="24"/>
          <w:lang w:eastAsia="zh-CN"/>
        </w:rPr>
      </w:pPr>
    </w:p>
    <w:p w14:paraId="30B97E20">
      <w:pPr>
        <w:pStyle w:val="20"/>
        <w:tabs>
          <w:tab w:val="right" w:leader="dot" w:pos="8844"/>
        </w:tabs>
        <w:spacing w:line="360" w:lineRule="auto"/>
        <w:rPr>
          <w:rFonts w:hint="eastAsia" w:ascii="Times New Roman" w:hAnsi="Times New Roman" w:eastAsia="宋体" w:cs="Times New Roman"/>
          <w:color w:val="auto"/>
          <w:sz w:val="24"/>
          <w:szCs w:val="24"/>
          <w:lang w:eastAsia="zh-CN"/>
        </w:rPr>
      </w:pPr>
      <w:r>
        <w:rPr>
          <w:rFonts w:hint="eastAsia" w:cs="Times New Roman"/>
          <w:color w:val="auto"/>
          <w:sz w:val="24"/>
          <w:szCs w:val="24"/>
          <w:lang w:eastAsia="zh-CN"/>
        </w:rPr>
        <w:t>附图</w:t>
      </w:r>
    </w:p>
    <w:p w14:paraId="0590766F">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_Toc81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sz w:val="24"/>
          <w:szCs w:val="24"/>
        </w:rPr>
        <w:t>附图1 地理位置图</w:t>
      </w:r>
      <w:r>
        <w:rPr>
          <w:rFonts w:hint="default" w:ascii="Times New Roman" w:hAnsi="Times New Roman" w:eastAsia="宋体" w:cs="Times New Roman"/>
          <w:color w:val="auto"/>
          <w:sz w:val="24"/>
          <w:szCs w:val="24"/>
        </w:rPr>
        <w:fldChar w:fldCharType="end"/>
      </w:r>
    </w:p>
    <w:p w14:paraId="6ACDCD3E">
      <w:pPr>
        <w:pStyle w:val="20"/>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_Toc5408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sz w:val="24"/>
          <w:szCs w:val="24"/>
          <w:highlight w:val="none"/>
        </w:rPr>
        <w:t>附图2 项目</w:t>
      </w:r>
      <w:r>
        <w:rPr>
          <w:rFonts w:hint="eastAsia" w:cs="Times New Roman"/>
          <w:bCs/>
          <w:snapToGrid w:val="0"/>
          <w:color w:val="auto"/>
          <w:sz w:val="24"/>
          <w:szCs w:val="24"/>
          <w:highlight w:val="none"/>
          <w:lang w:eastAsia="zh-CN"/>
        </w:rPr>
        <w:t>周边环境示意</w:t>
      </w:r>
      <w:r>
        <w:rPr>
          <w:rFonts w:hint="default" w:ascii="Times New Roman" w:hAnsi="Times New Roman" w:eastAsia="宋体" w:cs="Times New Roman"/>
          <w:bCs/>
          <w:snapToGrid w:val="0"/>
          <w:color w:val="auto"/>
          <w:sz w:val="24"/>
          <w:szCs w:val="24"/>
          <w:highlight w:val="none"/>
        </w:rPr>
        <w:t>图</w:t>
      </w:r>
      <w:r>
        <w:rPr>
          <w:rFonts w:hint="default" w:ascii="Times New Roman" w:hAnsi="Times New Roman" w:eastAsia="宋体" w:cs="Times New Roman"/>
          <w:color w:val="auto"/>
          <w:sz w:val="24"/>
          <w:szCs w:val="24"/>
        </w:rPr>
        <w:fldChar w:fldCharType="end"/>
      </w:r>
    </w:p>
    <w:p w14:paraId="7676F209">
      <w:pPr>
        <w:pStyle w:val="20"/>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_Toc5408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sz w:val="24"/>
          <w:szCs w:val="24"/>
          <w:highlight w:val="none"/>
        </w:rPr>
        <w:t>附图</w:t>
      </w:r>
      <w:r>
        <w:rPr>
          <w:rFonts w:hint="eastAsia" w:cs="Times New Roman"/>
          <w:bCs/>
          <w:snapToGrid w:val="0"/>
          <w:color w:val="auto"/>
          <w:sz w:val="24"/>
          <w:szCs w:val="24"/>
          <w:highlight w:val="none"/>
          <w:lang w:val="en-US" w:eastAsia="zh-CN"/>
        </w:rPr>
        <w:t>3</w:t>
      </w:r>
      <w:r>
        <w:rPr>
          <w:rFonts w:hint="default" w:ascii="Times New Roman" w:hAnsi="Times New Roman" w:eastAsia="宋体" w:cs="Times New Roman"/>
          <w:bCs/>
          <w:snapToGrid w:val="0"/>
          <w:color w:val="auto"/>
          <w:sz w:val="24"/>
          <w:szCs w:val="24"/>
          <w:highlight w:val="none"/>
        </w:rPr>
        <w:t xml:space="preserve"> 项目四</w:t>
      </w:r>
      <w:r>
        <w:rPr>
          <w:rFonts w:hint="default" w:ascii="Times New Roman" w:hAnsi="Times New Roman" w:eastAsia="宋体" w:cs="Times New Roman"/>
          <w:bCs/>
          <w:snapToGrid w:val="0"/>
          <w:color w:val="auto"/>
          <w:sz w:val="24"/>
          <w:szCs w:val="24"/>
          <w:highlight w:val="none"/>
          <w:lang w:eastAsia="zh-CN"/>
        </w:rPr>
        <w:t>周</w:t>
      </w:r>
      <w:r>
        <w:rPr>
          <w:rFonts w:hint="default" w:ascii="Times New Roman" w:hAnsi="Times New Roman" w:eastAsia="宋体" w:cs="Times New Roman"/>
          <w:bCs/>
          <w:snapToGrid w:val="0"/>
          <w:color w:val="auto"/>
          <w:sz w:val="24"/>
          <w:szCs w:val="24"/>
          <w:highlight w:val="none"/>
        </w:rPr>
        <w:t>图</w:t>
      </w:r>
      <w:r>
        <w:rPr>
          <w:rFonts w:hint="default" w:ascii="Times New Roman" w:hAnsi="Times New Roman" w:eastAsia="宋体" w:cs="Times New Roman"/>
          <w:color w:val="auto"/>
          <w:sz w:val="24"/>
          <w:szCs w:val="24"/>
        </w:rPr>
        <w:fldChar w:fldCharType="end"/>
      </w:r>
    </w:p>
    <w:p w14:paraId="6C15AF75">
      <w:pPr>
        <w:pStyle w:val="20"/>
        <w:tabs>
          <w:tab w:val="right" w:leader="dot" w:pos="8844"/>
        </w:tabs>
        <w:spacing w:line="360" w:lineRule="auto"/>
        <w:rPr>
          <w:rFonts w:hint="eastAsia" w:eastAsia="宋体"/>
          <w:color w:val="auto"/>
          <w:sz w:val="24"/>
          <w:szCs w:val="24"/>
          <w:lang w:eastAsia="zh-CN"/>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_Toc26935 </w:instrText>
      </w:r>
      <w:r>
        <w:rPr>
          <w:rFonts w:hint="default" w:ascii="Times New Roman" w:hAnsi="Times New Roman" w:eastAsia="宋体" w:cs="Times New Roman"/>
          <w:color w:val="auto"/>
          <w:sz w:val="24"/>
          <w:szCs w:val="24"/>
        </w:rPr>
        <w:fldChar w:fldCharType="separate"/>
      </w:r>
      <w:r>
        <w:rPr>
          <w:rFonts w:hint="eastAsia" w:cs="Times New Roman"/>
          <w:bCs/>
          <w:snapToGrid w:val="0"/>
          <w:color w:val="auto"/>
          <w:sz w:val="24"/>
          <w:szCs w:val="24"/>
          <w:lang w:eastAsia="zh-CN"/>
        </w:rPr>
        <w:t>附图</w:t>
      </w:r>
      <w:r>
        <w:rPr>
          <w:rFonts w:hint="eastAsia" w:cs="Times New Roman"/>
          <w:bCs/>
          <w:snapToGrid w:val="0"/>
          <w:color w:val="auto"/>
          <w:sz w:val="24"/>
          <w:szCs w:val="24"/>
          <w:lang w:val="en-US" w:eastAsia="zh-CN"/>
        </w:rPr>
        <w:t>4 鸡</w:t>
      </w:r>
      <w:r>
        <w:rPr>
          <w:rFonts w:hint="default" w:ascii="Times New Roman" w:hAnsi="Times New Roman" w:eastAsia="宋体" w:cs="Times New Roman"/>
          <w:color w:val="auto"/>
          <w:sz w:val="24"/>
          <w:szCs w:val="24"/>
        </w:rPr>
        <w:fldChar w:fldCharType="end"/>
      </w:r>
      <w:r>
        <w:rPr>
          <w:rFonts w:hint="eastAsia" w:cs="Times New Roman"/>
          <w:color w:val="auto"/>
          <w:sz w:val="24"/>
          <w:szCs w:val="24"/>
          <w:lang w:eastAsia="zh-CN"/>
        </w:rPr>
        <w:t>西市单元管控分布图</w:t>
      </w:r>
    </w:p>
    <w:p w14:paraId="368847A0">
      <w:pPr>
        <w:pStyle w:val="20"/>
        <w:tabs>
          <w:tab w:val="right" w:leader="dot" w:pos="8844"/>
        </w:tabs>
        <w:spacing w:line="360" w:lineRule="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_Toc471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sz w:val="24"/>
          <w:szCs w:val="24"/>
        </w:rPr>
        <w:t>附图</w:t>
      </w:r>
      <w:r>
        <w:rPr>
          <w:rFonts w:hint="eastAsia" w:cs="Times New Roman"/>
          <w:bCs/>
          <w:snapToGrid w:val="0"/>
          <w:color w:val="auto"/>
          <w:sz w:val="24"/>
          <w:szCs w:val="24"/>
          <w:lang w:val="en-US" w:eastAsia="zh-CN"/>
        </w:rPr>
        <w:t>5</w:t>
      </w:r>
      <w:r>
        <w:rPr>
          <w:rFonts w:hint="default" w:ascii="Times New Roman" w:hAnsi="Times New Roman" w:eastAsia="宋体" w:cs="Times New Roman"/>
          <w:bCs/>
          <w:snapToGrid w:val="0"/>
          <w:color w:val="auto"/>
          <w:sz w:val="24"/>
          <w:szCs w:val="24"/>
        </w:rPr>
        <w:t xml:space="preserve"> </w:t>
      </w:r>
      <w:r>
        <w:rPr>
          <w:rFonts w:hint="eastAsia" w:cs="Times New Roman"/>
          <w:bCs/>
          <w:snapToGrid w:val="0"/>
          <w:color w:val="auto"/>
          <w:sz w:val="24"/>
          <w:szCs w:val="24"/>
          <w:lang w:eastAsia="zh-CN"/>
        </w:rPr>
        <w:t>鸡</w:t>
      </w:r>
      <w:r>
        <w:rPr>
          <w:rFonts w:hint="default" w:ascii="Times New Roman" w:hAnsi="Times New Roman" w:eastAsia="宋体" w:cs="Times New Roman"/>
          <w:color w:val="auto"/>
          <w:sz w:val="24"/>
          <w:szCs w:val="24"/>
        </w:rPr>
        <w:fldChar w:fldCharType="end"/>
      </w:r>
      <w:r>
        <w:rPr>
          <w:rFonts w:hint="eastAsia" w:cs="Times New Roman"/>
          <w:color w:val="auto"/>
          <w:sz w:val="24"/>
          <w:szCs w:val="24"/>
          <w:lang w:eastAsia="zh-CN"/>
        </w:rPr>
        <w:t>西市生态环境管控图</w:t>
      </w:r>
    </w:p>
    <w:p w14:paraId="62BE5F0D">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_Toc14173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sz w:val="24"/>
          <w:szCs w:val="24"/>
        </w:rPr>
        <w:t>附图</w:t>
      </w:r>
      <w:r>
        <w:rPr>
          <w:rFonts w:hint="eastAsia" w:cs="Times New Roman"/>
          <w:bCs/>
          <w:snapToGrid w:val="0"/>
          <w:color w:val="auto"/>
          <w:sz w:val="24"/>
          <w:szCs w:val="24"/>
          <w:lang w:val="en-US" w:eastAsia="zh-CN"/>
        </w:rPr>
        <w:t>6</w:t>
      </w:r>
      <w:r>
        <w:rPr>
          <w:rFonts w:hint="default" w:ascii="Times New Roman" w:hAnsi="Times New Roman" w:eastAsia="宋体" w:cs="Times New Roman"/>
          <w:bCs/>
          <w:snapToGrid w:val="0"/>
          <w:color w:val="auto"/>
          <w:sz w:val="24"/>
          <w:szCs w:val="24"/>
        </w:rPr>
        <w:t xml:space="preserve"> </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_Toc13717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sz w:val="24"/>
          <w:szCs w:val="24"/>
        </w:rPr>
        <w:t>环境保护目标示意图</w:t>
      </w:r>
      <w:r>
        <w:rPr>
          <w:rFonts w:hint="default" w:ascii="Times New Roman" w:hAnsi="Times New Roman" w:eastAsia="宋体" w:cs="Times New Roman"/>
          <w:color w:val="auto"/>
          <w:sz w:val="24"/>
          <w:szCs w:val="24"/>
        </w:rPr>
        <w:fldChar w:fldCharType="end"/>
      </w:r>
    </w:p>
    <w:p w14:paraId="0CA875CA">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_Toc26935 </w:instrText>
      </w:r>
      <w:r>
        <w:rPr>
          <w:rFonts w:hint="default" w:ascii="Times New Roman" w:hAnsi="Times New Roman" w:eastAsia="宋体" w:cs="Times New Roman"/>
          <w:color w:val="auto"/>
          <w:sz w:val="24"/>
          <w:szCs w:val="24"/>
        </w:rPr>
        <w:fldChar w:fldCharType="separate"/>
      </w:r>
      <w:r>
        <w:rPr>
          <w:rFonts w:hint="eastAsia" w:cs="Times New Roman"/>
          <w:bCs/>
          <w:snapToGrid w:val="0"/>
          <w:color w:val="auto"/>
          <w:sz w:val="24"/>
          <w:szCs w:val="24"/>
          <w:lang w:eastAsia="zh-CN"/>
        </w:rPr>
        <w:t>附图</w:t>
      </w:r>
      <w:r>
        <w:rPr>
          <w:rFonts w:hint="eastAsia" w:cs="Times New Roman"/>
          <w:bCs/>
          <w:snapToGrid w:val="0"/>
          <w:color w:val="auto"/>
          <w:sz w:val="24"/>
          <w:szCs w:val="24"/>
          <w:lang w:val="en-US" w:eastAsia="zh-CN"/>
        </w:rPr>
        <w:t>7 厂区平面布置图</w:t>
      </w:r>
      <w:r>
        <w:rPr>
          <w:rFonts w:hint="default" w:ascii="Times New Roman" w:hAnsi="Times New Roman" w:eastAsia="宋体" w:cs="Times New Roman"/>
          <w:color w:val="auto"/>
          <w:sz w:val="24"/>
          <w:szCs w:val="24"/>
        </w:rPr>
        <w:fldChar w:fldCharType="end"/>
      </w:r>
    </w:p>
    <w:p w14:paraId="30DA6CBB">
      <w:pPr>
        <w:pStyle w:val="20"/>
        <w:tabs>
          <w:tab w:val="right" w:leader="dot" w:pos="8844"/>
        </w:tabs>
        <w:spacing w:line="360" w:lineRule="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_Toc471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sz w:val="24"/>
          <w:szCs w:val="24"/>
        </w:rPr>
        <w:t>附图</w:t>
      </w:r>
      <w:r>
        <w:rPr>
          <w:rFonts w:hint="eastAsia" w:cs="Times New Roman"/>
          <w:bCs/>
          <w:snapToGrid w:val="0"/>
          <w:color w:val="auto"/>
          <w:sz w:val="24"/>
          <w:szCs w:val="24"/>
          <w:lang w:val="en-US" w:eastAsia="zh-CN"/>
        </w:rPr>
        <w:t>8</w:t>
      </w:r>
      <w:r>
        <w:rPr>
          <w:rFonts w:hint="default" w:ascii="Times New Roman" w:hAnsi="Times New Roman" w:eastAsia="宋体" w:cs="Times New Roman"/>
          <w:bCs/>
          <w:snapToGrid w:val="0"/>
          <w:color w:val="auto"/>
          <w:sz w:val="24"/>
          <w:szCs w:val="24"/>
        </w:rPr>
        <w:t xml:space="preserve"> 厂区平面</w:t>
      </w:r>
      <w:r>
        <w:rPr>
          <w:rFonts w:hint="default" w:ascii="Times New Roman" w:hAnsi="Times New Roman" w:eastAsia="宋体" w:cs="Times New Roman"/>
          <w:bCs/>
          <w:snapToGrid w:val="0"/>
          <w:color w:val="auto"/>
          <w:sz w:val="24"/>
          <w:szCs w:val="24"/>
          <w:lang w:eastAsia="zh-CN"/>
        </w:rPr>
        <w:t>防渗</w:t>
      </w:r>
      <w:r>
        <w:rPr>
          <w:rFonts w:hint="eastAsia" w:cs="Times New Roman"/>
          <w:bCs/>
          <w:snapToGrid w:val="0"/>
          <w:color w:val="auto"/>
          <w:sz w:val="24"/>
          <w:szCs w:val="24"/>
          <w:lang w:eastAsia="zh-CN"/>
        </w:rPr>
        <w:t>图</w:t>
      </w:r>
      <w:r>
        <w:rPr>
          <w:rFonts w:hint="default" w:ascii="Times New Roman" w:hAnsi="Times New Roman" w:eastAsia="宋体" w:cs="Times New Roman"/>
          <w:color w:val="auto"/>
          <w:sz w:val="24"/>
          <w:szCs w:val="24"/>
        </w:rPr>
        <w:fldChar w:fldCharType="end"/>
      </w:r>
    </w:p>
    <w:p w14:paraId="3D60B8BA">
      <w:pPr>
        <w:pStyle w:val="20"/>
        <w:tabs>
          <w:tab w:val="right" w:leader="dot" w:pos="8844"/>
        </w:tabs>
        <w:spacing w:line="360" w:lineRule="auto"/>
        <w:rPr>
          <w:rFonts w:hint="eastAsia" w:eastAsia="宋体"/>
          <w:color w:val="auto"/>
          <w:sz w:val="24"/>
          <w:szCs w:val="24"/>
          <w:lang w:val="en-US" w:eastAsia="zh-CN"/>
        </w:rPr>
      </w:pPr>
      <w:r>
        <w:rPr>
          <w:rFonts w:hint="eastAsia" w:cs="Times New Roman"/>
          <w:color w:val="auto"/>
          <w:sz w:val="24"/>
          <w:szCs w:val="24"/>
          <w:lang w:eastAsia="zh-CN"/>
        </w:rPr>
        <w:t>附图</w:t>
      </w:r>
      <w:r>
        <w:rPr>
          <w:rFonts w:hint="eastAsia" w:cs="Times New Roman"/>
          <w:color w:val="auto"/>
          <w:sz w:val="24"/>
          <w:szCs w:val="24"/>
          <w:lang w:val="en-US" w:eastAsia="zh-CN"/>
        </w:rPr>
        <w:t>9 运输路线图</w:t>
      </w:r>
    </w:p>
    <w:p w14:paraId="592968D7">
      <w:pPr>
        <w:pStyle w:val="20"/>
        <w:tabs>
          <w:tab w:val="right" w:leader="dot" w:pos="8844"/>
        </w:tabs>
        <w:spacing w:line="360" w:lineRule="auto"/>
        <w:rPr>
          <w:rFonts w:hint="eastAsia" w:cs="Times New Roman"/>
          <w:color w:val="auto"/>
          <w:sz w:val="24"/>
          <w:szCs w:val="24"/>
          <w:lang w:eastAsia="zh-CN"/>
        </w:rPr>
      </w:pPr>
    </w:p>
    <w:p w14:paraId="486127D4">
      <w:pPr>
        <w:pStyle w:val="20"/>
        <w:tabs>
          <w:tab w:val="right" w:leader="dot" w:pos="8844"/>
        </w:tabs>
        <w:spacing w:line="360" w:lineRule="auto"/>
        <w:rPr>
          <w:rFonts w:hint="eastAsia" w:ascii="Times New Roman" w:hAnsi="Times New Roman" w:eastAsia="宋体" w:cs="Times New Roman"/>
          <w:color w:val="auto"/>
          <w:sz w:val="24"/>
          <w:szCs w:val="24"/>
          <w:lang w:eastAsia="zh-CN"/>
        </w:rPr>
      </w:pPr>
      <w:r>
        <w:rPr>
          <w:rFonts w:hint="eastAsia" w:cs="Times New Roman"/>
          <w:color w:val="auto"/>
          <w:sz w:val="24"/>
          <w:szCs w:val="24"/>
          <w:lang w:eastAsia="zh-CN"/>
        </w:rPr>
        <w:t>附件</w:t>
      </w:r>
    </w:p>
    <w:p w14:paraId="17C56FFE">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_Toc30166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sz w:val="24"/>
          <w:szCs w:val="24"/>
        </w:rPr>
        <w:t>附件1 营业执照</w:t>
      </w:r>
      <w:r>
        <w:rPr>
          <w:rFonts w:hint="default" w:ascii="Times New Roman" w:hAnsi="Times New Roman" w:eastAsia="宋体" w:cs="Times New Roman"/>
          <w:color w:val="auto"/>
          <w:sz w:val="24"/>
          <w:szCs w:val="24"/>
        </w:rPr>
        <w:fldChar w:fldCharType="end"/>
      </w:r>
    </w:p>
    <w:p w14:paraId="1A319D4F">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_Toc14761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sz w:val="24"/>
          <w:szCs w:val="24"/>
        </w:rPr>
        <w:t xml:space="preserve">附件2 </w:t>
      </w:r>
      <w:r>
        <w:rPr>
          <w:rFonts w:hint="eastAsia" w:cs="Times New Roman"/>
          <w:bCs/>
          <w:snapToGrid w:val="0"/>
          <w:color w:val="auto"/>
          <w:sz w:val="24"/>
          <w:szCs w:val="24"/>
          <w:lang w:eastAsia="zh-CN"/>
        </w:rPr>
        <w:t>采矿用地</w:t>
      </w:r>
      <w:r>
        <w:rPr>
          <w:rFonts w:hint="default" w:ascii="Times New Roman" w:hAnsi="Times New Roman" w:eastAsia="宋体" w:cs="Times New Roman"/>
          <w:bCs/>
          <w:snapToGrid w:val="0"/>
          <w:color w:val="auto"/>
          <w:sz w:val="24"/>
          <w:szCs w:val="24"/>
        </w:rPr>
        <w:t>证明</w:t>
      </w:r>
      <w:r>
        <w:rPr>
          <w:rFonts w:hint="default" w:ascii="Times New Roman" w:hAnsi="Times New Roman" w:eastAsia="宋体" w:cs="Times New Roman"/>
          <w:color w:val="auto"/>
          <w:sz w:val="24"/>
          <w:szCs w:val="24"/>
        </w:rPr>
        <w:fldChar w:fldCharType="end"/>
      </w:r>
    </w:p>
    <w:p w14:paraId="3CB166B6">
      <w:pPr>
        <w:pStyle w:val="20"/>
        <w:tabs>
          <w:tab w:val="right" w:leader="dot" w:pos="8844"/>
        </w:tabs>
        <w:spacing w:line="360" w:lineRule="auto"/>
        <w:rPr>
          <w:color w:val="auto"/>
          <w:sz w:val="24"/>
          <w:szCs w:val="24"/>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_Toc9159 </w:instrText>
      </w:r>
      <w:r>
        <w:rPr>
          <w:rFonts w:hint="default" w:ascii="Times New Roman" w:hAnsi="Times New Roman" w:eastAsia="宋体" w:cs="Times New Roman"/>
          <w:color w:val="auto"/>
          <w:sz w:val="24"/>
          <w:szCs w:val="24"/>
        </w:rPr>
        <w:fldChar w:fldCharType="separate"/>
      </w:r>
      <w:r>
        <w:rPr>
          <w:rFonts w:hint="eastAsia" w:cs="Times New Roman"/>
          <w:bCs/>
          <w:snapToGrid w:val="0"/>
          <w:color w:val="auto"/>
          <w:sz w:val="24"/>
          <w:szCs w:val="24"/>
          <w:lang w:eastAsia="zh-CN"/>
        </w:rPr>
        <w:t>附件</w:t>
      </w:r>
      <w:r>
        <w:rPr>
          <w:rFonts w:hint="eastAsia" w:cs="Times New Roman"/>
          <w:bCs/>
          <w:snapToGrid w:val="0"/>
          <w:color w:val="auto"/>
          <w:sz w:val="24"/>
          <w:szCs w:val="24"/>
          <w:lang w:val="en-US" w:eastAsia="zh-CN"/>
        </w:rPr>
        <w:t>3 生态保护红线占地与项目位置关系</w:t>
      </w:r>
      <w:r>
        <w:rPr>
          <w:rFonts w:hint="default" w:ascii="Times New Roman" w:hAnsi="Times New Roman" w:eastAsia="宋体" w:cs="Times New Roman"/>
          <w:color w:val="auto"/>
          <w:sz w:val="24"/>
          <w:szCs w:val="24"/>
        </w:rPr>
        <w:fldChar w:fldCharType="end"/>
      </w:r>
    </w:p>
    <w:p w14:paraId="0A1E62A5">
      <w:pPr>
        <w:pStyle w:val="20"/>
        <w:tabs>
          <w:tab w:val="right" w:leader="dot" w:pos="8844"/>
        </w:tabs>
        <w:spacing w:line="360" w:lineRule="auto"/>
        <w:rPr>
          <w:rFonts w:hint="eastAsia" w:cs="Times New Roman"/>
          <w:color w:val="auto"/>
          <w:sz w:val="24"/>
          <w:szCs w:val="24"/>
          <w:lang w:eastAsia="zh-CN"/>
        </w:rPr>
      </w:pP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HYPERLINK \l _Toc14740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bCs/>
          <w:snapToGrid w:val="0"/>
          <w:color w:val="auto"/>
          <w:sz w:val="24"/>
          <w:szCs w:val="24"/>
        </w:rPr>
        <w:t>附件</w:t>
      </w:r>
      <w:r>
        <w:rPr>
          <w:rFonts w:hint="eastAsia" w:cs="Times New Roman"/>
          <w:bCs/>
          <w:snapToGrid w:val="0"/>
          <w:color w:val="auto"/>
          <w:sz w:val="24"/>
          <w:szCs w:val="24"/>
          <w:lang w:val="en-US" w:eastAsia="zh-CN"/>
        </w:rPr>
        <w:t>4 现状监测</w:t>
      </w:r>
      <w:r>
        <w:rPr>
          <w:rFonts w:hint="default" w:ascii="Times New Roman" w:hAnsi="Times New Roman" w:eastAsia="宋体" w:cs="Times New Roman"/>
          <w:color w:val="auto"/>
          <w:sz w:val="24"/>
          <w:szCs w:val="24"/>
        </w:rPr>
        <w:fldChar w:fldCharType="end"/>
      </w:r>
      <w:r>
        <w:rPr>
          <w:rFonts w:hint="eastAsia" w:cs="Times New Roman"/>
          <w:color w:val="auto"/>
          <w:sz w:val="24"/>
          <w:szCs w:val="24"/>
          <w:lang w:eastAsia="zh-CN"/>
        </w:rPr>
        <w:t>引用报告</w:t>
      </w:r>
    </w:p>
    <w:p w14:paraId="084D6049">
      <w:pPr>
        <w:pStyle w:val="20"/>
        <w:tabs>
          <w:tab w:val="right" w:leader="dot" w:pos="8844"/>
        </w:tabs>
        <w:spacing w:line="360" w:lineRule="auto"/>
        <w:rPr>
          <w:rFonts w:hint="default" w:eastAsia="宋体"/>
          <w:color w:val="auto"/>
          <w:sz w:val="24"/>
          <w:szCs w:val="24"/>
          <w:lang w:val="en-US" w:eastAsia="zh-CN"/>
        </w:rPr>
      </w:pPr>
      <w:r>
        <w:rPr>
          <w:rFonts w:hint="eastAsia" w:cs="Times New Roman"/>
          <w:color w:val="auto"/>
          <w:sz w:val="24"/>
          <w:szCs w:val="24"/>
          <w:lang w:val="en-US" w:eastAsia="zh-CN"/>
        </w:rPr>
        <w:t>附件5 法人与联系人关系证明</w:t>
      </w:r>
    </w:p>
    <w:p w14:paraId="67EC8A6C">
      <w:pPr>
        <w:pStyle w:val="5"/>
        <w:keepNext w:val="0"/>
        <w:keepLines w:val="0"/>
        <w:pageBreakBefore w:val="0"/>
        <w:widowControl/>
        <w:kinsoku/>
        <w:wordWrap/>
        <w:overflowPunct/>
        <w:topLinePunct w:val="0"/>
        <w:autoSpaceDE/>
        <w:autoSpaceDN/>
        <w:bidi w:val="0"/>
        <w:adjustRightInd/>
        <w:snapToGrid/>
        <w:spacing w:before="260" w:beforeAutospacing="0" w:after="260" w:afterAutospacing="0" w:line="360" w:lineRule="auto"/>
        <w:jc w:val="center"/>
        <w:textAlignment w:val="auto"/>
        <w:outlineLvl w:val="0"/>
        <w:rPr>
          <w:rFonts w:hint="default" w:ascii="Times New Roman" w:hAnsi="Times New Roman" w:eastAsia="宋体" w:cs="Times New Roman"/>
          <w:color w:val="auto"/>
          <w:sz w:val="24"/>
          <w:szCs w:val="24"/>
        </w:rPr>
        <w:sectPr>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r>
        <w:rPr>
          <w:rFonts w:hint="default" w:ascii="Times New Roman" w:hAnsi="Times New Roman" w:eastAsia="宋体" w:cs="Times New Roman"/>
          <w:color w:val="auto"/>
          <w:sz w:val="24"/>
          <w:szCs w:val="24"/>
        </w:rPr>
        <w:fldChar w:fldCharType="end"/>
      </w:r>
    </w:p>
    <w:p w14:paraId="07184C76">
      <w:pPr>
        <w:pStyle w:val="26"/>
        <w:keepNext w:val="0"/>
        <w:keepLines w:val="0"/>
        <w:pageBreakBefore w:val="0"/>
        <w:widowControl/>
        <w:kinsoku/>
        <w:wordWrap/>
        <w:overflowPunct/>
        <w:topLinePunct w:val="0"/>
        <w:autoSpaceDE/>
        <w:autoSpaceDN/>
        <w:bidi w:val="0"/>
        <w:adjustRightInd/>
        <w:snapToGrid/>
        <w:spacing w:before="260" w:beforeAutospacing="0" w:after="260" w:afterAutospacing="0" w:line="240" w:lineRule="auto"/>
        <w:jc w:val="center"/>
        <w:textAlignment w:val="auto"/>
        <w:outlineLvl w:val="0"/>
        <w:rPr>
          <w:rFonts w:hint="default" w:ascii="Times New Roman" w:hAnsi="Times New Roman" w:eastAsia="宋体" w:cs="Times New Roman"/>
          <w:snapToGrid w:val="0"/>
          <w:color w:val="auto"/>
          <w:sz w:val="30"/>
          <w:szCs w:val="30"/>
        </w:rPr>
      </w:pPr>
      <w:bookmarkStart w:id="18" w:name="_Toc1314"/>
      <w:r>
        <w:rPr>
          <w:rFonts w:hint="default" w:ascii="Times New Roman" w:hAnsi="Times New Roman" w:eastAsia="宋体" w:cs="Times New Roman"/>
          <w:snapToGrid w:val="0"/>
          <w:color w:val="auto"/>
          <w:sz w:val="30"/>
          <w:szCs w:val="30"/>
        </w:rPr>
        <w:t>一、建设项目基本情况</w:t>
      </w:r>
      <w:bookmarkEnd w:id="18"/>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438"/>
        <w:gridCol w:w="1142"/>
        <w:gridCol w:w="2439"/>
        <w:gridCol w:w="2212"/>
        <w:gridCol w:w="2639"/>
      </w:tblGrid>
      <w:tr w14:paraId="5AFED2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80" w:type="dxa"/>
            <w:gridSpan w:val="2"/>
            <w:noWrap w:val="0"/>
            <w:tcMar>
              <w:top w:w="16" w:type="dxa"/>
              <w:left w:w="16" w:type="dxa"/>
              <w:right w:w="16" w:type="dxa"/>
            </w:tcMar>
            <w:vAlign w:val="center"/>
          </w:tcPr>
          <w:p w14:paraId="1787C93F">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建设项目名称</w:t>
            </w:r>
          </w:p>
        </w:tc>
        <w:tc>
          <w:tcPr>
            <w:tcW w:w="7290" w:type="dxa"/>
            <w:gridSpan w:val="3"/>
            <w:noWrap w:val="0"/>
            <w:vAlign w:val="center"/>
          </w:tcPr>
          <w:p w14:paraId="18E28D9E">
            <w:pPr>
              <w:adjustRightInd w:val="0"/>
              <w:snapToGrid w:val="0"/>
              <w:jc w:val="center"/>
              <w:rPr>
                <w:rFonts w:hint="eastAsia" w:ascii="Times New Roman" w:hAnsi="Times New Roman" w:eastAsia="宋体" w:cs="Times New Roman"/>
                <w:color w:val="auto"/>
                <w:sz w:val="24"/>
                <w:szCs w:val="24"/>
                <w:lang w:eastAsia="zh-CN"/>
              </w:rPr>
            </w:pPr>
            <w:r>
              <w:rPr>
                <w:rFonts w:hint="eastAsia" w:cs="Times New Roman"/>
                <w:color w:val="auto"/>
                <w:sz w:val="24"/>
                <w:szCs w:val="24"/>
                <w:lang w:eastAsia="zh-CN"/>
              </w:rPr>
              <w:t>鸡西海霖煤炭销售有限公司储煤场建设项目</w:t>
            </w:r>
          </w:p>
        </w:tc>
      </w:tr>
      <w:tr w14:paraId="1A3182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80" w:type="dxa"/>
            <w:gridSpan w:val="2"/>
            <w:noWrap w:val="0"/>
            <w:tcMar>
              <w:top w:w="16" w:type="dxa"/>
              <w:left w:w="16" w:type="dxa"/>
              <w:right w:w="16" w:type="dxa"/>
            </w:tcMar>
            <w:vAlign w:val="center"/>
          </w:tcPr>
          <w:p w14:paraId="5664B480">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项目代码</w:t>
            </w:r>
          </w:p>
        </w:tc>
        <w:tc>
          <w:tcPr>
            <w:tcW w:w="7290" w:type="dxa"/>
            <w:gridSpan w:val="3"/>
            <w:noWrap w:val="0"/>
            <w:vAlign w:val="center"/>
          </w:tcPr>
          <w:p w14:paraId="439A3A35">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p>
        </w:tc>
      </w:tr>
      <w:tr w14:paraId="46F773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80" w:type="dxa"/>
            <w:gridSpan w:val="2"/>
            <w:noWrap w:val="0"/>
            <w:tcMar>
              <w:top w:w="16" w:type="dxa"/>
              <w:left w:w="16" w:type="dxa"/>
              <w:right w:w="16" w:type="dxa"/>
            </w:tcMar>
            <w:vAlign w:val="center"/>
          </w:tcPr>
          <w:p w14:paraId="19DA90FE">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w:t>
            </w:r>
          </w:p>
          <w:p w14:paraId="2312A71E">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联系人</w:t>
            </w:r>
          </w:p>
        </w:tc>
        <w:tc>
          <w:tcPr>
            <w:tcW w:w="2439" w:type="dxa"/>
            <w:noWrap w:val="0"/>
            <w:vAlign w:val="center"/>
          </w:tcPr>
          <w:p w14:paraId="57CE7683">
            <w:pPr>
              <w:adjustRightInd w:val="0"/>
              <w:snapToGrid w:val="0"/>
              <w:jc w:val="center"/>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郑海霖</w:t>
            </w:r>
          </w:p>
        </w:tc>
        <w:tc>
          <w:tcPr>
            <w:tcW w:w="2212" w:type="dxa"/>
            <w:noWrap w:val="0"/>
            <w:vAlign w:val="center"/>
          </w:tcPr>
          <w:p w14:paraId="27B1DEEF">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联系方式</w:t>
            </w:r>
          </w:p>
        </w:tc>
        <w:tc>
          <w:tcPr>
            <w:tcW w:w="2639" w:type="dxa"/>
            <w:noWrap w:val="0"/>
            <w:vAlign w:val="center"/>
          </w:tcPr>
          <w:p w14:paraId="31EC82E6">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18346733999</w:t>
            </w:r>
          </w:p>
        </w:tc>
      </w:tr>
      <w:tr w14:paraId="215EF9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80" w:type="dxa"/>
            <w:gridSpan w:val="2"/>
            <w:noWrap w:val="0"/>
            <w:tcMar>
              <w:top w:w="16" w:type="dxa"/>
              <w:left w:w="16" w:type="dxa"/>
              <w:right w:w="16" w:type="dxa"/>
            </w:tcMar>
            <w:vAlign w:val="center"/>
          </w:tcPr>
          <w:p w14:paraId="47FDA582">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建设地点</w:t>
            </w:r>
          </w:p>
        </w:tc>
        <w:tc>
          <w:tcPr>
            <w:tcW w:w="7290" w:type="dxa"/>
            <w:gridSpan w:val="3"/>
            <w:noWrap w:val="0"/>
            <w:vAlign w:val="center"/>
          </w:tcPr>
          <w:p w14:paraId="4E23E631">
            <w:pPr>
              <w:adjustRightInd w:val="0"/>
              <w:snapToGrid w:val="0"/>
              <w:jc w:val="center"/>
              <w:rPr>
                <w:rFonts w:hint="eastAsia" w:ascii="Times New Roman" w:hAnsi="Times New Roman" w:eastAsia="宋体" w:cs="Times New Roman"/>
                <w:color w:val="auto"/>
                <w:sz w:val="24"/>
                <w:szCs w:val="24"/>
                <w:lang w:eastAsia="zh-CN"/>
              </w:rPr>
            </w:pPr>
            <w:r>
              <w:rPr>
                <w:rFonts w:hint="eastAsia" w:cs="Times New Roman"/>
                <w:color w:val="auto"/>
                <w:sz w:val="24"/>
                <w:szCs w:val="24"/>
                <w:lang w:val="en-US" w:eastAsia="zh-CN"/>
              </w:rPr>
              <w:t>鸡西市</w:t>
            </w:r>
            <w:r>
              <w:rPr>
                <w:rFonts w:hint="eastAsia" w:cs="Times New Roman"/>
                <w:color w:val="auto"/>
                <w:sz w:val="24"/>
                <w:szCs w:val="24"/>
                <w:lang w:eastAsia="zh-CN"/>
              </w:rPr>
              <w:t>城子河区正阳街道三号井附近</w:t>
            </w:r>
          </w:p>
        </w:tc>
      </w:tr>
      <w:tr w14:paraId="59F9E8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80" w:type="dxa"/>
            <w:gridSpan w:val="2"/>
            <w:noWrap w:val="0"/>
            <w:tcMar>
              <w:top w:w="16" w:type="dxa"/>
              <w:left w:w="16" w:type="dxa"/>
              <w:right w:w="16" w:type="dxa"/>
            </w:tcMar>
            <w:vAlign w:val="center"/>
          </w:tcPr>
          <w:p w14:paraId="03FDDDBE">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地理坐标</w:t>
            </w:r>
          </w:p>
        </w:tc>
        <w:tc>
          <w:tcPr>
            <w:tcW w:w="7290" w:type="dxa"/>
            <w:gridSpan w:val="3"/>
            <w:noWrap w:val="0"/>
            <w:vAlign w:val="center"/>
          </w:tcPr>
          <w:p w14:paraId="380D541F">
            <w:pPr>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（东经</w:t>
            </w:r>
            <w:r>
              <w:rPr>
                <w:rFonts w:hint="default" w:ascii="Times New Roman" w:hAnsi="Times New Roman" w:eastAsia="宋体" w:cs="Times New Roman"/>
                <w:color w:val="auto"/>
                <w:sz w:val="24"/>
                <w:szCs w:val="24"/>
                <w:u w:val="single"/>
              </w:rPr>
              <w:t>13</w:t>
            </w:r>
            <w:r>
              <w:rPr>
                <w:rFonts w:hint="eastAsia" w:cs="Times New Roman"/>
                <w:color w:val="auto"/>
                <w:sz w:val="24"/>
                <w:szCs w:val="24"/>
                <w:u w:val="single"/>
                <w:lang w:val="en-US" w:eastAsia="zh-CN"/>
              </w:rPr>
              <w:t>1</w:t>
            </w:r>
            <w:r>
              <w:rPr>
                <w:rFonts w:hint="default" w:ascii="Times New Roman" w:hAnsi="Times New Roman" w:eastAsia="宋体" w:cs="Times New Roman"/>
                <w:color w:val="auto"/>
                <w:sz w:val="24"/>
                <w:szCs w:val="24"/>
              </w:rPr>
              <w:t>度</w:t>
            </w:r>
            <w:r>
              <w:rPr>
                <w:rFonts w:hint="eastAsia" w:cs="Times New Roman"/>
                <w:color w:val="auto"/>
                <w:sz w:val="24"/>
                <w:szCs w:val="24"/>
                <w:u w:val="single"/>
                <w:lang w:val="en-US" w:eastAsia="zh-CN"/>
              </w:rPr>
              <w:t>5</w:t>
            </w:r>
            <w:r>
              <w:rPr>
                <w:rFonts w:hint="default" w:ascii="Times New Roman" w:hAnsi="Times New Roman" w:eastAsia="宋体" w:cs="Times New Roman"/>
                <w:color w:val="auto"/>
                <w:sz w:val="24"/>
                <w:szCs w:val="24"/>
              </w:rPr>
              <w:t>分</w:t>
            </w:r>
            <w:r>
              <w:rPr>
                <w:rFonts w:hint="eastAsia" w:cs="Times New Roman"/>
                <w:color w:val="auto"/>
                <w:sz w:val="24"/>
                <w:szCs w:val="24"/>
                <w:u w:val="single"/>
                <w:lang w:val="en-US" w:eastAsia="zh-CN"/>
              </w:rPr>
              <w:t>23.426</w:t>
            </w:r>
            <w:r>
              <w:rPr>
                <w:rFonts w:hint="default" w:ascii="Times New Roman" w:hAnsi="Times New Roman" w:eastAsia="宋体" w:cs="Times New Roman"/>
                <w:color w:val="auto"/>
                <w:sz w:val="24"/>
                <w:szCs w:val="24"/>
              </w:rPr>
              <w:t>秒，北纬</w:t>
            </w:r>
            <w:r>
              <w:rPr>
                <w:rFonts w:hint="default" w:ascii="Times New Roman" w:hAnsi="Times New Roman" w:eastAsia="宋体" w:cs="Times New Roman"/>
                <w:color w:val="auto"/>
                <w:sz w:val="24"/>
                <w:szCs w:val="24"/>
                <w:u w:val="single"/>
              </w:rPr>
              <w:t>45</w:t>
            </w:r>
            <w:r>
              <w:rPr>
                <w:rFonts w:hint="default" w:ascii="Times New Roman" w:hAnsi="Times New Roman" w:eastAsia="宋体" w:cs="Times New Roman"/>
                <w:color w:val="auto"/>
                <w:sz w:val="24"/>
                <w:szCs w:val="24"/>
              </w:rPr>
              <w:t>度</w:t>
            </w:r>
            <w:r>
              <w:rPr>
                <w:rFonts w:hint="eastAsia" w:cs="Times New Roman"/>
                <w:color w:val="auto"/>
                <w:sz w:val="24"/>
                <w:szCs w:val="24"/>
                <w:u w:val="single"/>
                <w:lang w:val="en-US" w:eastAsia="zh-CN"/>
              </w:rPr>
              <w:t>21</w:t>
            </w:r>
            <w:r>
              <w:rPr>
                <w:rFonts w:hint="default" w:ascii="Times New Roman" w:hAnsi="Times New Roman" w:eastAsia="宋体" w:cs="Times New Roman"/>
                <w:color w:val="auto"/>
                <w:sz w:val="24"/>
                <w:szCs w:val="24"/>
              </w:rPr>
              <w:t>分</w:t>
            </w:r>
            <w:r>
              <w:rPr>
                <w:rFonts w:hint="eastAsia" w:cs="Times New Roman"/>
                <w:color w:val="auto"/>
                <w:sz w:val="24"/>
                <w:szCs w:val="24"/>
                <w:u w:val="single"/>
                <w:lang w:val="en-US" w:eastAsia="zh-CN"/>
              </w:rPr>
              <w:t>42.084</w:t>
            </w:r>
            <w:r>
              <w:rPr>
                <w:rFonts w:hint="default" w:ascii="Times New Roman" w:hAnsi="Times New Roman" w:eastAsia="宋体" w:cs="Times New Roman"/>
                <w:color w:val="auto"/>
                <w:sz w:val="24"/>
                <w:szCs w:val="24"/>
              </w:rPr>
              <w:t>秒）</w:t>
            </w:r>
          </w:p>
        </w:tc>
      </w:tr>
      <w:tr w14:paraId="1CA372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580" w:type="dxa"/>
            <w:gridSpan w:val="2"/>
            <w:noWrap w:val="0"/>
            <w:tcMar>
              <w:top w:w="16" w:type="dxa"/>
              <w:left w:w="16" w:type="dxa"/>
              <w:right w:w="16" w:type="dxa"/>
            </w:tcMar>
            <w:vAlign w:val="center"/>
          </w:tcPr>
          <w:p w14:paraId="79D34BA4">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国民经济</w:t>
            </w:r>
          </w:p>
          <w:p w14:paraId="49837318">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p>
        </w:tc>
        <w:tc>
          <w:tcPr>
            <w:tcW w:w="2439" w:type="dxa"/>
            <w:noWrap w:val="0"/>
            <w:vAlign w:val="center"/>
          </w:tcPr>
          <w:p w14:paraId="17FAD7A9">
            <w:pPr>
              <w:adjustRightInd w:val="0"/>
              <w:snapToGrid w:val="0"/>
              <w:jc w:val="center"/>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B0610 烟煤和无烟煤开采</w:t>
            </w:r>
            <w:r>
              <w:rPr>
                <w:rFonts w:hint="eastAsia" w:cs="Times New Roman"/>
                <w:color w:val="auto"/>
                <w:sz w:val="24"/>
                <w:szCs w:val="24"/>
                <w:lang w:eastAsia="zh-CN"/>
              </w:rPr>
              <w:t>洗选</w:t>
            </w:r>
          </w:p>
        </w:tc>
        <w:tc>
          <w:tcPr>
            <w:tcW w:w="2212" w:type="dxa"/>
            <w:noWrap w:val="0"/>
            <w:vAlign w:val="center"/>
          </w:tcPr>
          <w:p w14:paraId="7E675E40">
            <w:pPr>
              <w:adjustRightInd w:val="0"/>
              <w:snapToGrid w:val="0"/>
              <w:jc w:val="center"/>
              <w:rPr>
                <w:rFonts w:hint="default" w:ascii="Times New Roman" w:hAnsi="Times New Roman" w:eastAsia="宋体" w:cs="Times New Roman"/>
                <w:color w:val="auto"/>
                <w:sz w:val="24"/>
                <w:szCs w:val="24"/>
              </w:rPr>
            </w:pPr>
            <w:bookmarkStart w:id="19" w:name="_Hlk49843745"/>
            <w:r>
              <w:rPr>
                <w:rFonts w:hint="default" w:ascii="Times New Roman" w:hAnsi="Times New Roman" w:eastAsia="宋体" w:cs="Times New Roman"/>
                <w:color w:val="auto"/>
                <w:sz w:val="24"/>
                <w:szCs w:val="24"/>
              </w:rPr>
              <w:t>建设项目</w:t>
            </w:r>
          </w:p>
          <w:p w14:paraId="4D7EBEC9">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bookmarkEnd w:id="19"/>
          </w:p>
        </w:tc>
        <w:tc>
          <w:tcPr>
            <w:tcW w:w="2639" w:type="dxa"/>
            <w:noWrap w:val="0"/>
            <w:vAlign w:val="center"/>
          </w:tcPr>
          <w:p w14:paraId="6648B9D9">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四、煤炭开采和洗选业06</w:t>
            </w:r>
          </w:p>
          <w:p w14:paraId="65ACD872">
            <w:pPr>
              <w:adjustRightInd w:val="0"/>
              <w:snapToGrid w:val="0"/>
              <w:jc w:val="center"/>
              <w:rPr>
                <w:rFonts w:hint="default" w:ascii="Times New Roman" w:hAnsi="Times New Roman" w:eastAsia="宋体" w:cs="Times New Roman"/>
                <w:color w:val="auto"/>
                <w:sz w:val="24"/>
                <w:szCs w:val="24"/>
              </w:rPr>
            </w:pP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rPr>
              <w:t>6</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rPr>
              <w:t>061煤炭储存、集运</w:t>
            </w:r>
          </w:p>
        </w:tc>
      </w:tr>
      <w:tr w14:paraId="5F23F1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580" w:type="dxa"/>
            <w:gridSpan w:val="2"/>
            <w:noWrap w:val="0"/>
            <w:tcMar>
              <w:top w:w="16" w:type="dxa"/>
              <w:left w:w="16" w:type="dxa"/>
              <w:right w:w="16" w:type="dxa"/>
            </w:tcMar>
            <w:vAlign w:val="center"/>
          </w:tcPr>
          <w:p w14:paraId="55C793B8">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建设性质</w:t>
            </w:r>
          </w:p>
        </w:tc>
        <w:tc>
          <w:tcPr>
            <w:tcW w:w="2439" w:type="dxa"/>
            <w:noWrap w:val="0"/>
            <w:vAlign w:val="center"/>
          </w:tcPr>
          <w:p w14:paraId="2EE0B6CA">
            <w:pPr>
              <w:keepNext w:val="0"/>
              <w:keepLines w:val="0"/>
              <w:pageBreakBefore w:val="0"/>
              <w:kinsoku/>
              <w:wordWrap/>
              <w:overflowPunct/>
              <w:topLinePunct w:val="0"/>
              <w:bidi w:val="0"/>
              <w:adjustRightInd/>
              <w:snapToGrid/>
              <w:jc w:val="left"/>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新建（迁建）</w:t>
            </w:r>
          </w:p>
          <w:p w14:paraId="54CBF411">
            <w:pPr>
              <w:keepNext w:val="0"/>
              <w:keepLines w:val="0"/>
              <w:pageBreakBefore w:val="0"/>
              <w:kinsoku/>
              <w:wordWrap/>
              <w:overflowPunct/>
              <w:topLinePunct w:val="0"/>
              <w:bidi w:val="0"/>
              <w:adjustRightInd/>
              <w:snapToGrid/>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□改建</w:t>
            </w:r>
          </w:p>
          <w:p w14:paraId="66080431">
            <w:pPr>
              <w:keepNext w:val="0"/>
              <w:keepLines w:val="0"/>
              <w:pageBreakBefore w:val="0"/>
              <w:kinsoku/>
              <w:wordWrap/>
              <w:overflowPunct/>
              <w:topLinePunct w:val="0"/>
              <w:bidi w:val="0"/>
              <w:adjustRightInd/>
              <w:snapToGrid/>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□扩建</w:t>
            </w:r>
          </w:p>
          <w:p w14:paraId="41407278">
            <w:pPr>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□技术改造</w:t>
            </w:r>
          </w:p>
        </w:tc>
        <w:tc>
          <w:tcPr>
            <w:tcW w:w="2212" w:type="dxa"/>
            <w:noWrap w:val="0"/>
            <w:vAlign w:val="center"/>
          </w:tcPr>
          <w:p w14:paraId="2959265E">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w:t>
            </w:r>
          </w:p>
          <w:p w14:paraId="7AF1DC79">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申报情形</w:t>
            </w:r>
          </w:p>
        </w:tc>
        <w:tc>
          <w:tcPr>
            <w:tcW w:w="2639" w:type="dxa"/>
            <w:noWrap w:val="0"/>
            <w:vAlign w:val="center"/>
          </w:tcPr>
          <w:p w14:paraId="0268E8F1">
            <w:pPr>
              <w:keepNext w:val="0"/>
              <w:keepLines w:val="0"/>
              <w:pageBreakBefore w:val="0"/>
              <w:kinsoku/>
              <w:wordWrap/>
              <w:overflowPunct/>
              <w:topLinePunct w:val="0"/>
              <w:bidi w:val="0"/>
              <w:adjustRightInd/>
              <w:snapToGrid/>
              <w:jc w:val="left"/>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首次申报项目</w:t>
            </w:r>
          </w:p>
          <w:p w14:paraId="0EB174D5">
            <w:pPr>
              <w:keepNext w:val="0"/>
              <w:keepLines w:val="0"/>
              <w:pageBreakBefore w:val="0"/>
              <w:kinsoku/>
              <w:wordWrap/>
              <w:overflowPunct/>
              <w:topLinePunct w:val="0"/>
              <w:bidi w:val="0"/>
              <w:adjustRightInd/>
              <w:snapToGrid/>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□不予批准后再次申报项目</w:t>
            </w:r>
          </w:p>
          <w:p w14:paraId="6A1947E6">
            <w:pPr>
              <w:keepNext w:val="0"/>
              <w:keepLines w:val="0"/>
              <w:pageBreakBefore w:val="0"/>
              <w:kinsoku/>
              <w:wordWrap/>
              <w:overflowPunct/>
              <w:topLinePunct w:val="0"/>
              <w:bidi w:val="0"/>
              <w:adjustRightInd/>
              <w:snapToGrid/>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□超五年重新审核项目</w:t>
            </w:r>
          </w:p>
          <w:p w14:paraId="5AF16DB8">
            <w:pPr>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□重大变动重新报批项目</w:t>
            </w:r>
          </w:p>
        </w:tc>
      </w:tr>
      <w:tr w14:paraId="7602A7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580" w:type="dxa"/>
            <w:gridSpan w:val="2"/>
            <w:noWrap w:val="0"/>
            <w:tcMar>
              <w:top w:w="16" w:type="dxa"/>
              <w:left w:w="16" w:type="dxa"/>
              <w:right w:w="16" w:type="dxa"/>
            </w:tcMar>
            <w:vAlign w:val="center"/>
          </w:tcPr>
          <w:p w14:paraId="7AFF5270">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项目审批（核准/备案）部门（选填）</w:t>
            </w:r>
          </w:p>
        </w:tc>
        <w:tc>
          <w:tcPr>
            <w:tcW w:w="2439" w:type="dxa"/>
            <w:noWrap w:val="0"/>
            <w:vAlign w:val="center"/>
          </w:tcPr>
          <w:p w14:paraId="15704DF1">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p>
        </w:tc>
        <w:tc>
          <w:tcPr>
            <w:tcW w:w="2212" w:type="dxa"/>
            <w:noWrap w:val="0"/>
            <w:vAlign w:val="center"/>
          </w:tcPr>
          <w:p w14:paraId="7ABDAB11">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w:t>
            </w:r>
          </w:p>
          <w:p w14:paraId="1AC1B23D">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备案）文号（选填）</w:t>
            </w:r>
          </w:p>
        </w:tc>
        <w:tc>
          <w:tcPr>
            <w:tcW w:w="2639" w:type="dxa"/>
            <w:noWrap w:val="0"/>
            <w:vAlign w:val="center"/>
          </w:tcPr>
          <w:p w14:paraId="695324DC">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p>
        </w:tc>
      </w:tr>
      <w:tr w14:paraId="0E8C1A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80" w:type="dxa"/>
            <w:gridSpan w:val="2"/>
            <w:noWrap w:val="0"/>
            <w:tcMar>
              <w:top w:w="16" w:type="dxa"/>
              <w:left w:w="16" w:type="dxa"/>
              <w:right w:w="16" w:type="dxa"/>
            </w:tcMar>
            <w:vAlign w:val="center"/>
          </w:tcPr>
          <w:p w14:paraId="5D8F8CCC">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总投资（万元）</w:t>
            </w:r>
          </w:p>
        </w:tc>
        <w:tc>
          <w:tcPr>
            <w:tcW w:w="2439" w:type="dxa"/>
            <w:noWrap w:val="0"/>
            <w:vAlign w:val="center"/>
          </w:tcPr>
          <w:p w14:paraId="7BFEAD9D">
            <w:pPr>
              <w:adjustRightInd w:val="0"/>
              <w:snapToGrid w:val="0"/>
              <w:jc w:val="center"/>
              <w:rPr>
                <w:rFonts w:hint="default" w:ascii="Times New Roman" w:hAnsi="Times New Roman" w:eastAsia="宋体" w:cs="Times New Roman"/>
                <w:color w:val="auto"/>
                <w:sz w:val="24"/>
                <w:szCs w:val="24"/>
                <w:highlight w:val="none"/>
                <w:lang w:val="en-US"/>
              </w:rPr>
            </w:pPr>
            <w:r>
              <w:rPr>
                <w:rFonts w:hint="eastAsia" w:cs="Times New Roman"/>
                <w:color w:val="auto"/>
                <w:sz w:val="24"/>
                <w:szCs w:val="24"/>
                <w:highlight w:val="none"/>
                <w:lang w:val="en-US" w:eastAsia="zh-CN"/>
              </w:rPr>
              <w:t>30</w:t>
            </w:r>
          </w:p>
        </w:tc>
        <w:tc>
          <w:tcPr>
            <w:tcW w:w="2212" w:type="dxa"/>
            <w:noWrap w:val="0"/>
            <w:tcMar>
              <w:top w:w="16" w:type="dxa"/>
              <w:left w:w="16" w:type="dxa"/>
              <w:right w:w="16" w:type="dxa"/>
            </w:tcMar>
            <w:vAlign w:val="center"/>
          </w:tcPr>
          <w:p w14:paraId="0659BAAC">
            <w:pPr>
              <w:adjustRightInd w:val="0"/>
              <w:snapToGrid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环保投资（万元）</w:t>
            </w:r>
          </w:p>
        </w:tc>
        <w:tc>
          <w:tcPr>
            <w:tcW w:w="2639" w:type="dxa"/>
            <w:noWrap w:val="0"/>
            <w:vAlign w:val="center"/>
          </w:tcPr>
          <w:p w14:paraId="04823E80">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8</w:t>
            </w:r>
          </w:p>
        </w:tc>
      </w:tr>
      <w:tr w14:paraId="70F495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80" w:type="dxa"/>
            <w:gridSpan w:val="2"/>
            <w:noWrap w:val="0"/>
            <w:tcMar>
              <w:top w:w="16" w:type="dxa"/>
              <w:left w:w="16" w:type="dxa"/>
              <w:right w:w="16" w:type="dxa"/>
            </w:tcMar>
            <w:vAlign w:val="center"/>
          </w:tcPr>
          <w:p w14:paraId="19A393A3">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环保投资占比（%）</w:t>
            </w:r>
          </w:p>
        </w:tc>
        <w:tc>
          <w:tcPr>
            <w:tcW w:w="2439" w:type="dxa"/>
            <w:noWrap w:val="0"/>
            <w:vAlign w:val="center"/>
          </w:tcPr>
          <w:p w14:paraId="0AD4C7FD">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26.6</w:t>
            </w:r>
          </w:p>
        </w:tc>
        <w:tc>
          <w:tcPr>
            <w:tcW w:w="2212" w:type="dxa"/>
            <w:noWrap w:val="0"/>
            <w:tcMar>
              <w:top w:w="16" w:type="dxa"/>
              <w:left w:w="16" w:type="dxa"/>
              <w:right w:w="16" w:type="dxa"/>
            </w:tcMar>
            <w:vAlign w:val="center"/>
          </w:tcPr>
          <w:p w14:paraId="608C9624">
            <w:pPr>
              <w:adjustRightInd w:val="0"/>
              <w:snapToGrid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施工工期</w:t>
            </w:r>
          </w:p>
        </w:tc>
        <w:tc>
          <w:tcPr>
            <w:tcW w:w="2639" w:type="dxa"/>
            <w:noWrap w:val="0"/>
            <w:vAlign w:val="center"/>
          </w:tcPr>
          <w:p w14:paraId="3B0DADA5">
            <w:pPr>
              <w:adjustRightInd w:val="0"/>
              <w:snapToGrid w:val="0"/>
              <w:jc w:val="center"/>
              <w:rPr>
                <w:rFonts w:hint="default" w:ascii="Times New Roman" w:hAnsi="Times New Roman" w:eastAsia="宋体" w:cs="Times New Roman"/>
                <w:color w:val="auto"/>
                <w:sz w:val="24"/>
                <w:szCs w:val="24"/>
                <w:highlight w:val="none"/>
                <w:lang w:val="en-US"/>
              </w:rPr>
            </w:pPr>
            <w:r>
              <w:rPr>
                <w:rFonts w:hint="eastAsia" w:cs="Times New Roman"/>
                <w:color w:val="auto"/>
                <w:sz w:val="24"/>
                <w:szCs w:val="24"/>
                <w:highlight w:val="none"/>
                <w:lang w:val="en-US" w:eastAsia="zh-CN"/>
              </w:rPr>
              <w:t>2026-7至2026-8</w:t>
            </w:r>
          </w:p>
        </w:tc>
      </w:tr>
      <w:tr w14:paraId="2F0888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80" w:type="dxa"/>
            <w:gridSpan w:val="2"/>
            <w:noWrap w:val="0"/>
            <w:tcMar>
              <w:top w:w="16" w:type="dxa"/>
              <w:left w:w="16" w:type="dxa"/>
              <w:right w:w="16" w:type="dxa"/>
            </w:tcMar>
            <w:vAlign w:val="center"/>
          </w:tcPr>
          <w:p w14:paraId="54B9618A">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是否开工建设</w:t>
            </w:r>
          </w:p>
        </w:tc>
        <w:tc>
          <w:tcPr>
            <w:tcW w:w="2439" w:type="dxa"/>
            <w:noWrap w:val="0"/>
            <w:vAlign w:val="center"/>
          </w:tcPr>
          <w:p w14:paraId="1915C042">
            <w:pPr>
              <w:adjustRightInd w:val="0"/>
              <w:snapToGrid w:val="0"/>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default" w:ascii="Times New Roman" w:hAnsi="Times New Roman" w:eastAsia="宋体" w:cs="Times New Roman"/>
                <w:color w:val="auto"/>
                <w:sz w:val="24"/>
                <w:szCs w:val="24"/>
              </w:rPr>
              <w:t>否</w:t>
            </w:r>
          </w:p>
          <w:p w14:paraId="2F78909A">
            <w:pPr>
              <w:adjustRightInd w:val="0"/>
              <w:snapToGrid w:val="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□是：</w:t>
            </w:r>
            <w:r>
              <w:rPr>
                <w:rFonts w:hint="default" w:ascii="Times New Roman" w:hAnsi="Times New Roman" w:eastAsia="宋体" w:cs="Times New Roman"/>
                <w:color w:val="auto"/>
                <w:sz w:val="24"/>
                <w:szCs w:val="24"/>
                <w:u w:val="single"/>
              </w:rPr>
              <w:t xml:space="preserve">             </w:t>
            </w:r>
          </w:p>
        </w:tc>
        <w:tc>
          <w:tcPr>
            <w:tcW w:w="2212" w:type="dxa"/>
            <w:noWrap w:val="0"/>
            <w:tcMar>
              <w:top w:w="16" w:type="dxa"/>
              <w:left w:w="16" w:type="dxa"/>
              <w:right w:w="16" w:type="dxa"/>
            </w:tcMar>
            <w:vAlign w:val="center"/>
          </w:tcPr>
          <w:p w14:paraId="6532B258">
            <w:pPr>
              <w:adjustRightInd w:val="0"/>
              <w:snapToGrid w:val="0"/>
              <w:jc w:val="center"/>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用地（用海）</w:t>
            </w:r>
          </w:p>
          <w:p w14:paraId="4A36533D">
            <w:pPr>
              <w:adjustRightInd w:val="0"/>
              <w:snapToGrid w:val="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面积（m</w:t>
            </w:r>
            <w:r>
              <w:rPr>
                <w:rFonts w:hint="default" w:ascii="Times New Roman" w:hAnsi="Times New Roman" w:eastAsia="宋体" w:cs="Times New Roman"/>
                <w:color w:val="auto"/>
                <w:spacing w:val="-6"/>
                <w:sz w:val="24"/>
                <w:szCs w:val="24"/>
                <w:vertAlign w:val="superscript"/>
              </w:rPr>
              <w:t>2</w:t>
            </w:r>
            <w:r>
              <w:rPr>
                <w:rFonts w:hint="default" w:ascii="Times New Roman" w:hAnsi="Times New Roman" w:eastAsia="宋体" w:cs="Times New Roman"/>
                <w:color w:val="auto"/>
                <w:spacing w:val="-6"/>
                <w:sz w:val="24"/>
                <w:szCs w:val="24"/>
              </w:rPr>
              <w:t>）</w:t>
            </w:r>
          </w:p>
        </w:tc>
        <w:tc>
          <w:tcPr>
            <w:tcW w:w="2639" w:type="dxa"/>
            <w:noWrap w:val="0"/>
            <w:vAlign w:val="center"/>
          </w:tcPr>
          <w:p w14:paraId="11C1865A">
            <w:pPr>
              <w:adjustRightInd w:val="0"/>
              <w:snapToGrid w:val="0"/>
              <w:jc w:val="center"/>
              <w:rPr>
                <w:rFonts w:hint="default" w:ascii="Times New Roman" w:hAnsi="Times New Roman" w:eastAsia="宋体" w:cs="Times New Roman"/>
                <w:color w:val="auto"/>
                <w:sz w:val="24"/>
                <w:szCs w:val="24"/>
                <w:lang w:val="en-US"/>
              </w:rPr>
            </w:pPr>
            <w:r>
              <w:rPr>
                <w:rFonts w:hint="eastAsia" w:cs="Times New Roman"/>
                <w:color w:val="auto"/>
                <w:sz w:val="24"/>
                <w:szCs w:val="24"/>
                <w:lang w:val="en-US" w:eastAsia="zh-CN"/>
              </w:rPr>
              <w:t>10558</w:t>
            </w:r>
          </w:p>
        </w:tc>
      </w:tr>
      <w:tr w14:paraId="5C14BD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1580" w:type="dxa"/>
            <w:gridSpan w:val="2"/>
            <w:noWrap w:val="0"/>
            <w:vAlign w:val="center"/>
          </w:tcPr>
          <w:p w14:paraId="00E4483C">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专项评价设置情况</w:t>
            </w:r>
          </w:p>
        </w:tc>
        <w:tc>
          <w:tcPr>
            <w:tcW w:w="7290" w:type="dxa"/>
            <w:gridSpan w:val="3"/>
            <w:noWrap w:val="0"/>
            <w:vAlign w:val="center"/>
          </w:tcPr>
          <w:p w14:paraId="68AC5D66">
            <w:pPr>
              <w:autoSpaceDE w:val="0"/>
              <w:autoSpaceDN w:val="0"/>
              <w:adjustRightInd w:val="0"/>
              <w:snapToGrid w:val="0"/>
              <w:jc w:val="center"/>
              <w:rPr>
                <w:rFonts w:hint="eastAsia" w:cs="Times New Roman"/>
                <w:b/>
                <w:bCs/>
                <w:color w:val="auto"/>
                <w:kern w:val="0"/>
                <w:szCs w:val="21"/>
                <w:lang w:val="en-US" w:eastAsia="zh-CN"/>
              </w:rPr>
            </w:pPr>
            <w:r>
              <w:rPr>
                <w:rFonts w:hint="eastAsia" w:cs="Times New Roman"/>
                <w:b/>
                <w:bCs/>
                <w:color w:val="auto"/>
                <w:kern w:val="0"/>
                <w:szCs w:val="21"/>
                <w:lang w:val="en-US" w:eastAsia="zh-CN"/>
              </w:rPr>
              <w:t>表1-1专项设置原则表</w:t>
            </w:r>
          </w:p>
          <w:tbl>
            <w:tblPr>
              <w:tblStyle w:val="3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1"/>
              <w:gridCol w:w="3010"/>
              <w:gridCol w:w="2891"/>
            </w:tblGrid>
            <w:tr w14:paraId="35AADF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066145CB">
                  <w:pPr>
                    <w:autoSpaceDE w:val="0"/>
                    <w:autoSpaceDN w:val="0"/>
                    <w:adjustRightInd w:val="0"/>
                    <w:snapToGrid w:val="0"/>
                    <w:jc w:val="center"/>
                    <w:rPr>
                      <w:rFonts w:hint="eastAsia" w:cs="Times New Roman"/>
                      <w:b/>
                      <w:bCs/>
                      <w:color w:val="auto"/>
                      <w:kern w:val="0"/>
                      <w:szCs w:val="21"/>
                      <w:lang w:val="en-US" w:eastAsia="zh-CN"/>
                    </w:rPr>
                  </w:pPr>
                  <w:r>
                    <w:rPr>
                      <w:rFonts w:hint="eastAsia" w:cs="Times New Roman"/>
                      <w:b/>
                      <w:bCs/>
                      <w:color w:val="auto"/>
                      <w:kern w:val="0"/>
                      <w:szCs w:val="21"/>
                      <w:lang w:val="en-US" w:eastAsia="zh-CN"/>
                    </w:rPr>
                    <w:t>专项评价的类别</w:t>
                  </w:r>
                </w:p>
              </w:tc>
              <w:tc>
                <w:tcPr>
                  <w:tcW w:w="2127" w:type="pct"/>
                  <w:noWrap w:val="0"/>
                  <w:vAlign w:val="center"/>
                </w:tcPr>
                <w:p w14:paraId="0125A549">
                  <w:pPr>
                    <w:autoSpaceDE w:val="0"/>
                    <w:autoSpaceDN w:val="0"/>
                    <w:adjustRightInd w:val="0"/>
                    <w:snapToGrid w:val="0"/>
                    <w:jc w:val="center"/>
                    <w:rPr>
                      <w:rFonts w:hint="eastAsia" w:cs="Times New Roman"/>
                      <w:b/>
                      <w:bCs/>
                      <w:color w:val="auto"/>
                      <w:kern w:val="0"/>
                      <w:szCs w:val="21"/>
                      <w:lang w:val="en-US" w:eastAsia="zh-CN"/>
                    </w:rPr>
                  </w:pPr>
                  <w:r>
                    <w:rPr>
                      <w:rFonts w:hint="eastAsia" w:cs="Times New Roman"/>
                      <w:b/>
                      <w:bCs/>
                      <w:color w:val="auto"/>
                      <w:kern w:val="0"/>
                      <w:szCs w:val="21"/>
                      <w:lang w:val="en-US" w:eastAsia="zh-CN"/>
                    </w:rPr>
                    <w:t>设置原则</w:t>
                  </w:r>
                </w:p>
              </w:tc>
              <w:tc>
                <w:tcPr>
                  <w:tcW w:w="2043" w:type="pct"/>
                  <w:noWrap w:val="0"/>
                  <w:vAlign w:val="center"/>
                </w:tcPr>
                <w:p w14:paraId="0D38C5FA">
                  <w:pPr>
                    <w:autoSpaceDE w:val="0"/>
                    <w:autoSpaceDN w:val="0"/>
                    <w:adjustRightInd w:val="0"/>
                    <w:snapToGrid w:val="0"/>
                    <w:jc w:val="center"/>
                    <w:rPr>
                      <w:rFonts w:hint="eastAsia" w:cs="Times New Roman"/>
                      <w:b/>
                      <w:bCs/>
                      <w:color w:val="auto"/>
                      <w:kern w:val="0"/>
                      <w:szCs w:val="21"/>
                      <w:lang w:val="en-US" w:eastAsia="zh-CN"/>
                    </w:rPr>
                  </w:pPr>
                  <w:r>
                    <w:rPr>
                      <w:rFonts w:hint="eastAsia" w:cs="Times New Roman"/>
                      <w:b/>
                      <w:bCs/>
                      <w:color w:val="auto"/>
                      <w:kern w:val="0"/>
                      <w:szCs w:val="21"/>
                      <w:lang w:val="en-US" w:eastAsia="zh-CN"/>
                    </w:rPr>
                    <w:t>本项目情况</w:t>
                  </w:r>
                </w:p>
              </w:tc>
            </w:tr>
            <w:tr w14:paraId="0F1AE0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42078062">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大气</w:t>
                  </w:r>
                </w:p>
              </w:tc>
              <w:tc>
                <w:tcPr>
                  <w:tcW w:w="2127" w:type="pct"/>
                  <w:noWrap w:val="0"/>
                  <w:vAlign w:val="center"/>
                </w:tcPr>
                <w:p w14:paraId="6129AE0C">
                  <w:pPr>
                    <w:tabs>
                      <w:tab w:val="left" w:pos="2310"/>
                      <w:tab w:val="left" w:pos="2520"/>
                    </w:tabs>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排放废气含有毒有害污染物、二噁英、苯并[a]芘、氰化物、氯气且厂界500米范围内有环境空气保护目标的建设项目</w:t>
                  </w:r>
                </w:p>
              </w:tc>
              <w:tc>
                <w:tcPr>
                  <w:tcW w:w="2043" w:type="pct"/>
                  <w:noWrap w:val="0"/>
                  <w:vAlign w:val="center"/>
                </w:tcPr>
                <w:p w14:paraId="587D4667">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本项目不涉及设置原则中提到的大气污染物，因此无需开展大气专项评价</w:t>
                  </w:r>
                </w:p>
              </w:tc>
            </w:tr>
            <w:tr w14:paraId="3AF377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2CCEA867">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地表水</w:t>
                  </w:r>
                </w:p>
              </w:tc>
              <w:tc>
                <w:tcPr>
                  <w:tcW w:w="2127" w:type="pct"/>
                  <w:noWrap w:val="0"/>
                  <w:vAlign w:val="center"/>
                </w:tcPr>
                <w:p w14:paraId="2D7E10A6">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新增工业废水直排建设项目（槽罐车外送污水处理厂的除外）；新增废水直排的污水集中处理厂</w:t>
                  </w:r>
                </w:p>
              </w:tc>
              <w:tc>
                <w:tcPr>
                  <w:tcW w:w="2043" w:type="pct"/>
                  <w:noWrap w:val="0"/>
                  <w:vAlign w:val="center"/>
                </w:tcPr>
                <w:p w14:paraId="0646B4F4">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本项目废水为间接排放，因此无需开展地表水专项评价</w:t>
                  </w:r>
                </w:p>
              </w:tc>
            </w:tr>
            <w:tr w14:paraId="77030C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28" w:type="pct"/>
                  <w:noWrap w:val="0"/>
                  <w:vAlign w:val="center"/>
                </w:tcPr>
                <w:p w14:paraId="5CEF9DE2">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环境风险</w:t>
                  </w:r>
                </w:p>
              </w:tc>
              <w:tc>
                <w:tcPr>
                  <w:tcW w:w="2127" w:type="pct"/>
                  <w:noWrap w:val="0"/>
                  <w:vAlign w:val="center"/>
                </w:tcPr>
                <w:p w14:paraId="5A1AAC77">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有毒有害易燃易爆危险物质存储量超过临界量的建设项目</w:t>
                  </w:r>
                </w:p>
              </w:tc>
              <w:tc>
                <w:tcPr>
                  <w:tcW w:w="2043" w:type="pct"/>
                  <w:noWrap w:val="0"/>
                  <w:vAlign w:val="center"/>
                </w:tcPr>
                <w:p w14:paraId="066E57A2">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本项目不存在《建设项目环境风险评价技术导则》（HJ169-2018）中的有毒有害、易燃易爆危险物质，因此无需开展环境风险专项评价</w:t>
                  </w:r>
                </w:p>
              </w:tc>
            </w:tr>
            <w:tr w14:paraId="66300D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6368AF54">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生态</w:t>
                  </w:r>
                </w:p>
              </w:tc>
              <w:tc>
                <w:tcPr>
                  <w:tcW w:w="2127" w:type="pct"/>
                  <w:noWrap w:val="0"/>
                  <w:vAlign w:val="center"/>
                </w:tcPr>
                <w:p w14:paraId="723A05B8">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取水口下游500米范围内有重要水生生物的自然产卵场、索饵场、越冬场和洄游通道的新增河道取水的污染类建设项目</w:t>
                  </w:r>
                </w:p>
              </w:tc>
              <w:tc>
                <w:tcPr>
                  <w:tcW w:w="2043" w:type="pct"/>
                  <w:noWrap w:val="0"/>
                  <w:vAlign w:val="center"/>
                </w:tcPr>
                <w:p w14:paraId="303EA673">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本项目用水采用厂区自打水井，不涉及河道取水，因此无需开展生态专项评价</w:t>
                  </w:r>
                </w:p>
              </w:tc>
            </w:tr>
            <w:tr w14:paraId="1397D1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46375D67">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辐射</w:t>
                  </w:r>
                </w:p>
              </w:tc>
              <w:tc>
                <w:tcPr>
                  <w:tcW w:w="2127" w:type="pct"/>
                  <w:noWrap w:val="0"/>
                  <w:vAlign w:val="center"/>
                </w:tcPr>
                <w:p w14:paraId="2BE0C1C9">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涉及放射性污染影响的采选项目</w:t>
                  </w:r>
                </w:p>
              </w:tc>
              <w:tc>
                <w:tcPr>
                  <w:tcW w:w="2043" w:type="pct"/>
                  <w:noWrap w:val="0"/>
                  <w:vAlign w:val="center"/>
                </w:tcPr>
                <w:p w14:paraId="10E4C4B1">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本项目所处区域不属于铀（钍）系单个核素活度浓度较高地区，因此无需开展辐射专题评价</w:t>
                  </w:r>
                </w:p>
              </w:tc>
            </w:tr>
            <w:tr w14:paraId="25D7D9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pct"/>
                  <w:noWrap w:val="0"/>
                  <w:vAlign w:val="center"/>
                </w:tcPr>
                <w:p w14:paraId="144AEA6C">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海洋</w:t>
                  </w:r>
                </w:p>
              </w:tc>
              <w:tc>
                <w:tcPr>
                  <w:tcW w:w="2127" w:type="pct"/>
                  <w:noWrap w:val="0"/>
                  <w:vAlign w:val="center"/>
                </w:tcPr>
                <w:p w14:paraId="5731E5B5">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直接向海排放污染物的海洋工程建设项目</w:t>
                  </w:r>
                </w:p>
              </w:tc>
              <w:tc>
                <w:tcPr>
                  <w:tcW w:w="2043" w:type="pct"/>
                  <w:noWrap w:val="0"/>
                  <w:vAlign w:val="center"/>
                </w:tcPr>
                <w:p w14:paraId="74DD3683">
                  <w:pPr>
                    <w:autoSpaceDE w:val="0"/>
                    <w:autoSpaceDN w:val="0"/>
                    <w:adjustRightInd w:val="0"/>
                    <w:snapToGrid w:val="0"/>
                    <w:jc w:val="center"/>
                    <w:rPr>
                      <w:rFonts w:hint="eastAsia" w:cs="Times New Roman"/>
                      <w:color w:val="auto"/>
                      <w:kern w:val="0"/>
                      <w:szCs w:val="21"/>
                      <w:lang w:val="en-US" w:eastAsia="zh-CN"/>
                    </w:rPr>
                  </w:pPr>
                  <w:r>
                    <w:rPr>
                      <w:rFonts w:hint="eastAsia" w:cs="Times New Roman"/>
                      <w:color w:val="auto"/>
                      <w:kern w:val="0"/>
                      <w:szCs w:val="21"/>
                      <w:lang w:val="en-US" w:eastAsia="zh-CN"/>
                    </w:rPr>
                    <w:t>本项目不属于海洋工程建设项目</w:t>
                  </w:r>
                </w:p>
              </w:tc>
            </w:tr>
          </w:tbl>
          <w:p w14:paraId="4E117B2C">
            <w:pPr>
              <w:autoSpaceDE w:val="0"/>
              <w:autoSpaceDN w:val="0"/>
              <w:adjustRightInd w:val="0"/>
              <w:snapToGrid w:val="0"/>
              <w:jc w:val="center"/>
              <w:rPr>
                <w:rFonts w:hint="eastAsia" w:ascii="Times New Roman" w:hAnsi="Times New Roman" w:eastAsia="宋体" w:cs="Times New Roman"/>
                <w:color w:val="auto"/>
                <w:kern w:val="0"/>
                <w:szCs w:val="21"/>
                <w:lang w:eastAsia="zh-CN"/>
              </w:rPr>
            </w:pPr>
          </w:p>
        </w:tc>
      </w:tr>
      <w:tr w14:paraId="68DEB5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1580" w:type="dxa"/>
            <w:gridSpan w:val="2"/>
            <w:noWrap w:val="0"/>
            <w:vAlign w:val="center"/>
          </w:tcPr>
          <w:p w14:paraId="1B3DDA11">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规划情况</w:t>
            </w:r>
          </w:p>
        </w:tc>
        <w:tc>
          <w:tcPr>
            <w:tcW w:w="7290" w:type="dxa"/>
            <w:gridSpan w:val="3"/>
            <w:noWrap w:val="0"/>
            <w:vAlign w:val="center"/>
          </w:tcPr>
          <w:p w14:paraId="24165DBA">
            <w:pPr>
              <w:autoSpaceDE w:val="0"/>
              <w:autoSpaceDN w:val="0"/>
              <w:adjustRightInd w:val="0"/>
              <w:snapToGrid w:val="0"/>
              <w:jc w:val="center"/>
              <w:rPr>
                <w:rFonts w:hint="eastAsia" w:ascii="Times New Roman" w:hAnsi="Times New Roman" w:eastAsia="宋体" w:cs="Times New Roman"/>
                <w:color w:val="auto"/>
                <w:kern w:val="0"/>
                <w:szCs w:val="21"/>
                <w:lang w:eastAsia="zh-CN"/>
              </w:rPr>
            </w:pPr>
            <w:r>
              <w:rPr>
                <w:rFonts w:hint="eastAsia" w:cs="Times New Roman"/>
                <w:color w:val="auto"/>
                <w:kern w:val="0"/>
                <w:szCs w:val="21"/>
                <w:lang w:val="en-US" w:eastAsia="zh-CN"/>
              </w:rPr>
              <w:t>/</w:t>
            </w:r>
          </w:p>
        </w:tc>
      </w:tr>
      <w:tr w14:paraId="77D8F3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1580" w:type="dxa"/>
            <w:gridSpan w:val="2"/>
            <w:noWrap w:val="0"/>
            <w:vAlign w:val="center"/>
          </w:tcPr>
          <w:p w14:paraId="6A6F9835">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Cs w:val="21"/>
              </w:rPr>
              <w:t>规划环境影响评价情况</w:t>
            </w:r>
          </w:p>
        </w:tc>
        <w:tc>
          <w:tcPr>
            <w:tcW w:w="7290" w:type="dxa"/>
            <w:gridSpan w:val="3"/>
            <w:noWrap w:val="0"/>
            <w:vAlign w:val="center"/>
          </w:tcPr>
          <w:p w14:paraId="7EAB418F">
            <w:pPr>
              <w:autoSpaceDE w:val="0"/>
              <w:autoSpaceDN w:val="0"/>
              <w:adjustRightInd w:val="0"/>
              <w:snapToGrid w:val="0"/>
              <w:jc w:val="center"/>
              <w:rPr>
                <w:rFonts w:hint="eastAsia" w:ascii="Times New Roman" w:hAnsi="Times New Roman" w:eastAsia="宋体" w:cs="Times New Roman"/>
                <w:color w:val="auto"/>
                <w:kern w:val="0"/>
                <w:szCs w:val="21"/>
                <w:lang w:eastAsia="zh-CN"/>
              </w:rPr>
            </w:pPr>
            <w:r>
              <w:rPr>
                <w:rFonts w:hint="eastAsia" w:cs="Times New Roman"/>
                <w:color w:val="auto"/>
                <w:kern w:val="0"/>
                <w:szCs w:val="21"/>
                <w:lang w:val="en-US" w:eastAsia="zh-CN"/>
              </w:rPr>
              <w:t>/</w:t>
            </w:r>
          </w:p>
        </w:tc>
      </w:tr>
      <w:tr w14:paraId="6C9DD6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1" w:hRule="atLeast"/>
          <w:jc w:val="center"/>
        </w:trPr>
        <w:tc>
          <w:tcPr>
            <w:tcW w:w="1580" w:type="dxa"/>
            <w:gridSpan w:val="2"/>
            <w:noWrap w:val="0"/>
            <w:vAlign w:val="center"/>
          </w:tcPr>
          <w:p w14:paraId="1B44093F">
            <w:pPr>
              <w:autoSpaceDE w:val="0"/>
              <w:autoSpaceDN w:val="0"/>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规划及规划环境影响评价符合性分析</w:t>
            </w:r>
          </w:p>
        </w:tc>
        <w:tc>
          <w:tcPr>
            <w:tcW w:w="7290" w:type="dxa"/>
            <w:gridSpan w:val="3"/>
            <w:noWrap w:val="0"/>
            <w:vAlign w:val="center"/>
          </w:tcPr>
          <w:p w14:paraId="3CDB2100">
            <w:pPr>
              <w:autoSpaceDE w:val="0"/>
              <w:autoSpaceDN w:val="0"/>
              <w:adjustRightInd w:val="0"/>
              <w:snapToGrid w:val="0"/>
              <w:jc w:val="center"/>
              <w:rPr>
                <w:rFonts w:hint="eastAsia" w:ascii="Times New Roman" w:hAnsi="Times New Roman" w:eastAsia="宋体" w:cs="Times New Roman"/>
                <w:color w:val="auto"/>
                <w:kern w:val="0"/>
                <w:szCs w:val="21"/>
                <w:lang w:eastAsia="zh-CN"/>
              </w:rPr>
            </w:pPr>
            <w:r>
              <w:rPr>
                <w:rFonts w:hint="eastAsia" w:cs="Times New Roman"/>
                <w:color w:val="auto"/>
                <w:kern w:val="0"/>
                <w:szCs w:val="21"/>
                <w:lang w:val="en-US" w:eastAsia="zh-CN"/>
              </w:rPr>
              <w:t>/</w:t>
            </w:r>
          </w:p>
        </w:tc>
      </w:tr>
      <w:tr w14:paraId="0BB6AD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dxa"/>
            <w:noWrap w:val="0"/>
            <w:vAlign w:val="center"/>
          </w:tcPr>
          <w:p w14:paraId="6D45AC79">
            <w:pPr>
              <w:autoSpaceDE w:val="0"/>
              <w:autoSpaceDN w:val="0"/>
              <w:adjustRightInd w:val="0"/>
              <w:snapToGrid w:val="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4"/>
                <w:szCs w:val="24"/>
              </w:rPr>
              <w:t>其他符合性分析</w:t>
            </w:r>
          </w:p>
        </w:tc>
        <w:tc>
          <w:tcPr>
            <w:tcW w:w="8432" w:type="dxa"/>
            <w:gridSpan w:val="4"/>
            <w:noWrap w:val="0"/>
            <w:vAlign w:val="top"/>
          </w:tcPr>
          <w:p w14:paraId="64F20E50">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1、产业政策符合性分析</w:t>
            </w:r>
          </w:p>
          <w:p w14:paraId="12442E2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w:t>
            </w:r>
            <w:r>
              <w:rPr>
                <w:rFonts w:hint="eastAsia" w:cs="Times New Roman"/>
                <w:color w:val="auto"/>
                <w:sz w:val="24"/>
                <w:lang w:eastAsia="zh-CN"/>
              </w:rPr>
              <w:t>为煤炭储存、集运项目</w:t>
            </w:r>
            <w:r>
              <w:rPr>
                <w:rFonts w:hint="default" w:ascii="Times New Roman" w:hAnsi="Times New Roman" w:eastAsia="宋体" w:cs="Times New Roman"/>
                <w:color w:val="auto"/>
                <w:sz w:val="24"/>
              </w:rPr>
              <w:t>，</w:t>
            </w:r>
            <w:r>
              <w:rPr>
                <w:rFonts w:hint="eastAsia" w:cs="Times New Roman"/>
                <w:color w:val="auto"/>
                <w:sz w:val="24"/>
                <w:lang w:eastAsia="zh-CN"/>
              </w:rPr>
              <w:t>根据</w:t>
            </w:r>
            <w:r>
              <w:rPr>
                <w:rFonts w:hint="default" w:ascii="Times New Roman" w:hAnsi="Times New Roman" w:eastAsia="宋体" w:cs="Times New Roman"/>
                <w:color w:val="auto"/>
                <w:sz w:val="24"/>
              </w:rPr>
              <w:t>《产业结构调整指导目录（2024年本）》</w:t>
            </w:r>
            <w:r>
              <w:rPr>
                <w:rFonts w:hint="eastAsia" w:cs="Times New Roman"/>
                <w:color w:val="auto"/>
                <w:sz w:val="24"/>
                <w:lang w:eastAsia="zh-CN"/>
              </w:rPr>
              <w:t>，</w:t>
            </w:r>
            <w:r>
              <w:rPr>
                <w:rFonts w:hint="default" w:ascii="Times New Roman" w:hAnsi="Times New Roman" w:eastAsia="宋体" w:cs="Times New Roman"/>
                <w:color w:val="auto"/>
                <w:sz w:val="24"/>
              </w:rPr>
              <w:t>本项目属于“三煤炭第一条：储煤设施建设”，属于鼓励类项目，项目生产过程中不使用国家明令禁止的淘汰类和限制类的工艺和设备，符合国家的产业政策和环保政策。因此本项目的建设符合国家产业政策要求。</w:t>
            </w:r>
          </w:p>
          <w:p w14:paraId="4483EC73">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2、</w:t>
            </w:r>
            <w:r>
              <w:rPr>
                <w:rFonts w:hint="default" w:ascii="Times New Roman" w:hAnsi="Times New Roman" w:eastAsia="宋体" w:cs="Times New Roman"/>
                <w:b/>
                <w:bCs/>
                <w:color w:val="auto"/>
                <w:sz w:val="24"/>
              </w:rPr>
              <w:t>选址合理性分析</w:t>
            </w:r>
          </w:p>
          <w:p w14:paraId="1F95955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本项目国民经济</w:t>
            </w:r>
            <w:r>
              <w:rPr>
                <w:rFonts w:hint="eastAsia" w:cs="Times New Roman"/>
                <w:color w:val="auto"/>
                <w:sz w:val="24"/>
                <w:szCs w:val="24"/>
                <w:lang w:eastAsia="zh-CN"/>
              </w:rPr>
              <w:t>行业类别</w:t>
            </w:r>
            <w:r>
              <w:rPr>
                <w:rFonts w:hint="default" w:ascii="Times New Roman" w:hAnsi="Times New Roman" w:eastAsia="宋体" w:cs="Times New Roman"/>
                <w:color w:val="auto"/>
                <w:sz w:val="24"/>
                <w:szCs w:val="24"/>
              </w:rPr>
              <w:t>属于B0610烟煤和无烟煤开采洗选，位于城子河区正阳街道三号井</w:t>
            </w:r>
            <w:r>
              <w:rPr>
                <w:rFonts w:hint="eastAsia" w:cs="Times New Roman"/>
                <w:color w:val="auto"/>
                <w:sz w:val="24"/>
                <w:szCs w:val="24"/>
                <w:lang w:eastAsia="zh-CN"/>
              </w:rPr>
              <w:t>附近</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highlight w:val="none"/>
              </w:rPr>
              <w:t>厂界南、西、北均为空地，东侧有一座型煤厂</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w:t>
            </w:r>
            <w:r>
              <w:rPr>
                <w:rFonts w:hint="default" w:ascii="Times New Roman" w:hAnsi="Times New Roman" w:eastAsia="宋体" w:cs="Times New Roman"/>
                <w:color w:val="auto"/>
                <w:sz w:val="24"/>
                <w:szCs w:val="24"/>
              </w:rPr>
              <w:t>项目用地性质为采矿用地，符合土地利用规划要求。厂界外50米无声环境保护目标，厂界外500米无大气环境保护目标，项目区及周围无自然保护区，无风景名胜区，也未发现珍稀保护动植物，属一般区域。本项目所在地地势平坦，厂区地理位置交通便利，基础设施齐全。项目不在风景名胜区、自然保护区、水源保护区及其他需要特别保护的区域内，没有明显的环境制约因素。</w:t>
            </w:r>
          </w:p>
          <w:p w14:paraId="11D3D1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lang w:val="en-US" w:eastAsia="zh-CN" w:bidi="ar-SA"/>
              </w:rPr>
              <w:t>本项目</w:t>
            </w:r>
            <w:r>
              <w:rPr>
                <w:rFonts w:hint="eastAsia" w:ascii="Times New Roman" w:hAnsi="Times New Roman" w:eastAsia="宋体" w:cs="Times New Roman"/>
                <w:color w:val="auto"/>
                <w:kern w:val="0"/>
                <w:sz w:val="24"/>
                <w:szCs w:val="24"/>
                <w:lang w:val="en-US" w:eastAsia="zh-CN" w:bidi="ar-SA"/>
              </w:rPr>
              <w:t>位于</w:t>
            </w:r>
            <w:r>
              <w:rPr>
                <w:rFonts w:hint="eastAsia" w:cs="Times New Roman"/>
                <w:color w:val="auto"/>
                <w:kern w:val="0"/>
                <w:sz w:val="24"/>
                <w:szCs w:val="24"/>
                <w:lang w:val="en-US" w:eastAsia="zh-CN" w:bidi="ar-SA"/>
              </w:rPr>
              <w:t>鸡西市城子河区正阳街道三号井附近</w:t>
            </w:r>
            <w:r>
              <w:rPr>
                <w:rFonts w:hint="eastAsia"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厂界南、西、北均为空地，东侧有一座型煤厂。</w:t>
            </w:r>
            <w:r>
              <w:rPr>
                <w:rFonts w:hint="default" w:ascii="Times New Roman" w:hAnsi="Times New Roman" w:eastAsia="宋体" w:cs="Times New Roman"/>
                <w:color w:val="auto"/>
                <w:kern w:val="0"/>
                <w:sz w:val="24"/>
                <w:szCs w:val="24"/>
                <w:lang w:val="en-US" w:eastAsia="zh-CN" w:bidi="ar-SA"/>
              </w:rPr>
              <w:t>本项目四至情况</w:t>
            </w:r>
            <w:r>
              <w:rPr>
                <w:rFonts w:hint="default" w:ascii="Times New Roman" w:hAnsi="Times New Roman" w:eastAsia="宋体" w:cs="Times New Roman"/>
                <w:color w:val="auto"/>
                <w:kern w:val="0"/>
                <w:sz w:val="24"/>
                <w:szCs w:val="24"/>
                <w:highlight w:val="none"/>
                <w:lang w:val="en-US" w:eastAsia="zh-CN" w:bidi="ar-SA"/>
              </w:rPr>
              <w:t>见附图</w:t>
            </w:r>
            <w:r>
              <w:rPr>
                <w:rFonts w:hint="eastAsia" w:ascii="Times New Roman" w:hAnsi="Times New Roman" w:eastAsia="宋体" w:cs="Times New Roman"/>
                <w:color w:val="auto"/>
                <w:kern w:val="0"/>
                <w:sz w:val="24"/>
                <w:szCs w:val="24"/>
                <w:highlight w:val="none"/>
                <w:lang w:val="en-US" w:eastAsia="zh-CN" w:bidi="ar-SA"/>
              </w:rPr>
              <w:t>2</w:t>
            </w:r>
            <w:r>
              <w:rPr>
                <w:rFonts w:hint="default" w:ascii="Times New Roman" w:hAnsi="Times New Roman" w:eastAsia="宋体" w:cs="Times New Roman"/>
                <w:color w:val="auto"/>
                <w:kern w:val="0"/>
                <w:sz w:val="24"/>
                <w:szCs w:val="24"/>
                <w:highlight w:val="none"/>
                <w:lang w:val="en-US" w:eastAsia="zh-CN" w:bidi="ar-SA"/>
              </w:rPr>
              <w:t>。</w:t>
            </w:r>
          </w:p>
          <w:p w14:paraId="0AAD25BB">
            <w:pPr>
              <w:pStyle w:val="2"/>
              <w:keepNext w:val="0"/>
              <w:keepLines w:val="0"/>
              <w:pageBreakBefore w:val="0"/>
              <w:widowControl w:val="0"/>
              <w:kinsoku/>
              <w:wordWrap/>
              <w:overflowPunct/>
              <w:topLinePunct w:val="0"/>
              <w:bidi w:val="0"/>
              <w:adjustRightInd/>
              <w:snapToGrid/>
              <w:spacing w:before="0" w:after="0" w:line="360" w:lineRule="auto"/>
              <w:ind w:righ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项目用地性质由黑龙江精瑞测绘服务有限公司绘制关于鸡西海霖煤炭销售有限公司地块位置图可知位于采矿用地，相</w:t>
            </w:r>
            <w:r>
              <w:rPr>
                <w:rFonts w:hint="eastAsia" w:cs="Times New Roman"/>
                <w:color w:val="auto"/>
                <w:sz w:val="24"/>
                <w:szCs w:val="24"/>
                <w:highlight w:val="none"/>
                <w:lang w:val="en-US" w:eastAsia="zh-CN"/>
              </w:rPr>
              <w:t>关附件见附件2。</w:t>
            </w:r>
          </w:p>
          <w:p w14:paraId="09791505">
            <w:pPr>
              <w:pStyle w:val="2"/>
              <w:keepNext w:val="0"/>
              <w:keepLines w:val="0"/>
              <w:pageBreakBefore w:val="0"/>
              <w:widowControl w:val="0"/>
              <w:kinsoku/>
              <w:wordWrap/>
              <w:overflowPunct/>
              <w:topLinePunct w:val="0"/>
              <w:bidi w:val="0"/>
              <w:adjustRightInd/>
              <w:snapToGrid/>
              <w:spacing w:before="0" w:after="0"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rPr>
              <w:t>）项目的选址不在自然保护区、风景名胜区及饮用水水源保护区内，且项目的选址</w:t>
            </w:r>
            <w:r>
              <w:rPr>
                <w:rFonts w:hint="default" w:ascii="Times New Roman" w:hAnsi="Times New Roman" w:eastAsia="宋体" w:cs="Times New Roman"/>
                <w:color w:val="auto"/>
                <w:sz w:val="24"/>
                <w:szCs w:val="24"/>
                <w:highlight w:val="none"/>
              </w:rPr>
              <w:t>不在基本农田保护区、重要湿地、野生动物重要栖息地内，评价区域内无国家级、省级保护野生动物、植物及古木名树。</w:t>
            </w:r>
          </w:p>
          <w:p w14:paraId="7B031C7B">
            <w:pPr>
              <w:pStyle w:val="2"/>
              <w:keepNext w:val="0"/>
              <w:keepLines w:val="0"/>
              <w:pageBreakBefore w:val="0"/>
              <w:widowControl w:val="0"/>
              <w:kinsoku/>
              <w:wordWrap/>
              <w:overflowPunct/>
              <w:topLinePunct w:val="0"/>
              <w:bidi w:val="0"/>
              <w:adjustRightInd/>
              <w:snapToGrid/>
              <w:spacing w:before="0" w:after="0" w:line="360" w:lineRule="auto"/>
              <w:ind w:right="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3</w:t>
            </w:r>
            <w:r>
              <w:rPr>
                <w:rFonts w:hint="default" w:ascii="Times New Roman" w:hAnsi="Times New Roman" w:eastAsia="宋体" w:cs="Times New Roman"/>
                <w:color w:val="auto"/>
                <w:sz w:val="24"/>
                <w:szCs w:val="24"/>
              </w:rPr>
              <w:t>）通过工程分析，项目在营运期产生的污染类型主要有废气、</w:t>
            </w:r>
            <w:r>
              <w:rPr>
                <w:rFonts w:hint="eastAsia" w:cs="Times New Roman"/>
                <w:color w:val="auto"/>
                <w:sz w:val="24"/>
                <w:szCs w:val="24"/>
                <w:lang w:val="en-US" w:eastAsia="zh-CN"/>
              </w:rPr>
              <w:t>废水</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噪声以及固废等，所产生的污染物经采取有效措施后能够达标排放，对厂区周围区域的环境影响较小。</w:t>
            </w:r>
          </w:p>
          <w:p w14:paraId="29DF624D">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4</w:t>
            </w:r>
            <w:r>
              <w:rPr>
                <w:rFonts w:hint="eastAsia"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本项目四周不存在声环境保护目标以及大气环境保护目标。</w:t>
            </w:r>
          </w:p>
          <w:p w14:paraId="4A0C459C">
            <w:pPr>
              <w:keepNext w:val="0"/>
              <w:keepLines w:val="0"/>
              <w:pageBreakBefore w:val="0"/>
              <w:widowControl w:val="0"/>
              <w:tabs>
                <w:tab w:val="left" w:pos="6480"/>
              </w:tabs>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综上所述，项目选址符合规划，无明显的环境制约因素，公辅设施配套条件完备，交通便捷，项目选址合理。</w:t>
            </w:r>
          </w:p>
          <w:p w14:paraId="353041E3">
            <w:pPr>
              <w:keepNext w:val="0"/>
              <w:keepLines w:val="0"/>
              <w:pageBreakBefore w:val="0"/>
              <w:widowControl w:val="0"/>
              <w:tabs>
                <w:tab w:val="left" w:pos="6480"/>
              </w:tabs>
              <w:kinsoku/>
              <w:wordWrap/>
              <w:overflowPunct/>
              <w:topLinePunct w:val="0"/>
              <w:autoSpaceDE w:val="0"/>
              <w:autoSpaceDN w:val="0"/>
              <w:bidi w:val="0"/>
              <w:adjustRightInd/>
              <w:snapToGrid/>
              <w:spacing w:line="360" w:lineRule="auto"/>
              <w:ind w:firstLine="0" w:firstLineChars="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3、</w:t>
            </w:r>
            <w:r>
              <w:rPr>
                <w:rFonts w:hint="eastAsia" w:cs="Times New Roman"/>
                <w:b/>
                <w:bCs/>
                <w:color w:val="auto"/>
                <w:sz w:val="24"/>
                <w:lang w:eastAsia="zh-CN"/>
              </w:rPr>
              <w:t>“</w:t>
            </w:r>
            <w:r>
              <w:rPr>
                <w:rFonts w:hint="eastAsia" w:cs="Times New Roman"/>
                <w:b/>
                <w:bCs/>
                <w:color w:val="auto"/>
                <w:sz w:val="24"/>
                <w:lang w:val="en-US" w:eastAsia="zh-CN"/>
              </w:rPr>
              <w:t>生态环境分区管控</w:t>
            </w:r>
            <w:r>
              <w:rPr>
                <w:rFonts w:hint="eastAsia" w:cs="Times New Roman"/>
                <w:b/>
                <w:bCs/>
                <w:color w:val="auto"/>
                <w:sz w:val="24"/>
                <w:lang w:eastAsia="zh-CN"/>
              </w:rPr>
              <w:t>”</w:t>
            </w:r>
            <w:r>
              <w:rPr>
                <w:rFonts w:hint="default" w:ascii="Times New Roman" w:hAnsi="Times New Roman" w:eastAsia="宋体" w:cs="Times New Roman"/>
                <w:b/>
                <w:bCs/>
                <w:color w:val="auto"/>
                <w:sz w:val="24"/>
              </w:rPr>
              <w:t>符合性分析</w:t>
            </w:r>
          </w:p>
          <w:p w14:paraId="27094146">
            <w:pPr>
              <w:tabs>
                <w:tab w:val="left" w:pos="6480"/>
              </w:tabs>
              <w:autoSpaceDE w:val="0"/>
              <w:autoSpaceDN w:val="0"/>
              <w:spacing w:line="360" w:lineRule="auto"/>
              <w:ind w:firstLine="480" w:firstLineChars="200"/>
              <w:rPr>
                <w:rFonts w:hint="default" w:ascii="Times New Roman" w:hAnsi="Times New Roman" w:eastAsia="宋体" w:cs="Times New Roman"/>
                <w:color w:val="auto"/>
                <w:sz w:val="24"/>
                <w:highlight w:val="none"/>
              </w:rPr>
            </w:pPr>
            <w:r>
              <w:rPr>
                <w:rFonts w:hint="eastAsia"/>
                <w:color w:val="auto"/>
                <w:sz w:val="24"/>
                <w:highlight w:val="none"/>
              </w:rPr>
              <w:t>本项目位于</w:t>
            </w:r>
            <w:r>
              <w:rPr>
                <w:rFonts w:hint="eastAsia"/>
                <w:color w:val="auto"/>
                <w:sz w:val="24"/>
                <w:highlight w:val="none"/>
                <w:lang w:eastAsia="zh-CN"/>
              </w:rPr>
              <w:t>鸡西市城子河区正阳街道三号井附近</w:t>
            </w:r>
            <w:r>
              <w:rPr>
                <w:rFonts w:hint="eastAsia"/>
                <w:color w:val="auto"/>
                <w:sz w:val="24"/>
                <w:highlight w:val="none"/>
              </w:rPr>
              <w:t>，</w:t>
            </w:r>
            <w:r>
              <w:rPr>
                <w:rFonts w:hint="default" w:ascii="Times New Roman" w:hAnsi="Times New Roman" w:eastAsia="宋体" w:cs="Times New Roman"/>
                <w:color w:val="auto"/>
                <w:sz w:val="24"/>
                <w:lang w:eastAsia="zh-CN"/>
              </w:rPr>
              <w:t>根据《</w:t>
            </w:r>
            <w:r>
              <w:rPr>
                <w:rFonts w:hint="eastAsia" w:cs="Times New Roman"/>
                <w:color w:val="auto"/>
                <w:sz w:val="24"/>
                <w:szCs w:val="24"/>
                <w:lang w:eastAsia="zh-CN"/>
              </w:rPr>
              <w:t>鸡西海霖煤炭销售有限公司储煤场建设项目</w:t>
            </w:r>
            <w:r>
              <w:rPr>
                <w:rFonts w:hint="default" w:ascii="Times New Roman" w:hAnsi="Times New Roman" w:eastAsia="宋体" w:cs="Times New Roman"/>
                <w:color w:val="auto"/>
                <w:sz w:val="24"/>
                <w:lang w:eastAsia="zh-CN"/>
              </w:rPr>
              <w:t>生态环境分区管控分析报告</w:t>
            </w:r>
            <w:r>
              <w:rPr>
                <w:rFonts w:hint="default" w:ascii="Times New Roman" w:hAnsi="Times New Roman" w:eastAsia="宋体" w:cs="Times New Roman"/>
                <w:color w:val="auto"/>
                <w:sz w:val="24"/>
                <w:highlight w:val="none"/>
                <w:lang w:eastAsia="zh-CN"/>
              </w:rPr>
              <w:t>》见附件</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lang w:eastAsia="zh-CN"/>
              </w:rPr>
              <w:t>《鸡西市人民政府关于实施</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三线一单</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生态环境分区管控的意见》（鸡政发〔202</w:t>
            </w:r>
            <w:r>
              <w:rPr>
                <w:rFonts w:hint="default" w:ascii="Times New Roman" w:hAnsi="Times New Roman" w:eastAsia="宋体" w:cs="Times New Roman"/>
                <w:color w:val="auto"/>
                <w:sz w:val="24"/>
                <w:szCs w:val="24"/>
                <w:lang w:eastAsia="zh-CN"/>
              </w:rPr>
              <w:t>1〕7号）、《鸡西市生态环境准入清单（2023年版）》、《关于发布2023年生态环境分区管控动态更新成果的通知》（黑环发[2024]1号）中要求，结合本项目生产工艺、排污状况和区域环境及环境质量现状进行调查的基础上，本项目与</w:t>
            </w:r>
            <w:r>
              <w:rPr>
                <w:rFonts w:hint="eastAsia" w:cs="Times New Roman"/>
                <w:color w:val="auto"/>
                <w:sz w:val="24"/>
                <w:szCs w:val="24"/>
                <w:lang w:eastAsia="zh-CN"/>
              </w:rPr>
              <w:t>“生态环境分区管控”</w:t>
            </w:r>
            <w:r>
              <w:rPr>
                <w:rFonts w:hint="default" w:ascii="Times New Roman" w:hAnsi="Times New Roman" w:eastAsia="宋体" w:cs="Times New Roman"/>
                <w:color w:val="auto"/>
                <w:sz w:val="24"/>
                <w:szCs w:val="24"/>
                <w:lang w:eastAsia="zh-CN"/>
              </w:rPr>
              <w:t>的符合性如下：</w:t>
            </w:r>
          </w:p>
          <w:p w14:paraId="5770CC0A">
            <w:pPr>
              <w:tabs>
                <w:tab w:val="left" w:pos="6480"/>
              </w:tabs>
              <w:autoSpaceDE w:val="0"/>
              <w:autoSpaceDN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（1）生态保护红线</w:t>
            </w:r>
          </w:p>
          <w:p w14:paraId="743B5CCA">
            <w:pPr>
              <w:tabs>
                <w:tab w:val="left" w:pos="6480"/>
              </w:tabs>
              <w:autoSpaceDE w:val="0"/>
              <w:autoSpaceDN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生态保护红线是生态空间范围内具有特殊重要生态功能必须实行强制性严格保护的区域。黑龙江省内重点生态功能区保护红线范围包括重点水源涵养功能区生态保护红线、水土保持功能区生态保护红线、防风固沙功能区生态保护红线、生物多样性维护区生态保护红线，生态敏感区、脆弱区红线主要包括水土流失敏感区生态保护红线、土地沙化敏感区生态保护红线、江河湖库生态敏感区生态保护红线等，禁止开发区生态保护红线以国家级、省级和市（县）级自然保护区、风景名胜区、森林公园等为重点进行禁止开发区红线划定，其他生态保护红线范围包括具有重要生态功能区，以及生态极敏感极脆弱的地区，包括生态公益林、重要湿地和草原、极小种群生境。</w:t>
            </w:r>
          </w:p>
          <w:p w14:paraId="42B8A19F">
            <w:pPr>
              <w:tabs>
                <w:tab w:val="left" w:pos="6480"/>
              </w:tabs>
              <w:autoSpaceDE w:val="0"/>
              <w:autoSpaceDN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本项目位于</w:t>
            </w:r>
            <w:r>
              <w:rPr>
                <w:rFonts w:hint="eastAsia" w:cs="Times New Roman"/>
                <w:color w:val="auto"/>
                <w:sz w:val="24"/>
                <w:lang w:val="en-US" w:eastAsia="zh-CN"/>
              </w:rPr>
              <w:t>鸡西市城子河区正阳街道三号井附近</w:t>
            </w:r>
            <w:r>
              <w:rPr>
                <w:rFonts w:hint="default" w:ascii="Times New Roman" w:hAnsi="Times New Roman" w:eastAsia="宋体" w:cs="Times New Roman"/>
                <w:color w:val="auto"/>
                <w:sz w:val="24"/>
                <w:highlight w:val="none"/>
              </w:rPr>
              <w:t>，占地性质为</w:t>
            </w:r>
            <w:r>
              <w:rPr>
                <w:rFonts w:hint="eastAsia" w:cs="Times New Roman"/>
                <w:color w:val="auto"/>
                <w:sz w:val="24"/>
                <w:highlight w:val="none"/>
                <w:lang w:eastAsia="zh-CN"/>
              </w:rPr>
              <w:t>采矿用地</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根据《自然资源部办公厅关于依据</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三区三线</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划定成果报批建设项目用地用海有关事宜的函》（自然资办函〔2022〕2072号），本项目所在区域内无自然保护区、风景名胜区、水源地保护区、野生动植物保护区及重要湿地分布，本项目选址不在特殊重要生态功能区域内，因此项目建设符合生态保护红线要求。</w:t>
            </w:r>
          </w:p>
          <w:p w14:paraId="4C8793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bidi="ar"/>
              </w:rPr>
            </w:pPr>
            <w:r>
              <w:rPr>
                <w:rFonts w:hint="default" w:ascii="Times New Roman" w:hAnsi="Times New Roman" w:eastAsia="宋体" w:cs="Times New Roman"/>
                <w:color w:val="auto"/>
                <w:sz w:val="24"/>
              </w:rPr>
              <w:t>（2）环境质量底线SO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、NO</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年均浓度分别为</w:t>
            </w:r>
            <w:r>
              <w:rPr>
                <w:rFonts w:hint="eastAsia" w:cs="Times New Roman"/>
                <w:color w:val="auto"/>
                <w:sz w:val="24"/>
                <w:lang w:val="en-US" w:eastAsia="zh-CN"/>
              </w:rPr>
              <w:t>8</w:t>
            </w:r>
            <w:r>
              <w:rPr>
                <w:rFonts w:hint="default" w:ascii="Times New Roman" w:hAnsi="Times New Roman" w:eastAsia="宋体" w:cs="Times New Roman"/>
                <w:color w:val="auto"/>
                <w:sz w:val="24"/>
              </w:rPr>
              <w:t>μg/m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r>
              <w:rPr>
                <w:rFonts w:hint="eastAsia" w:cs="Times New Roman"/>
                <w:color w:val="auto"/>
                <w:sz w:val="24"/>
                <w:lang w:val="en-US" w:eastAsia="zh-CN"/>
              </w:rPr>
              <w:t>17</w:t>
            </w:r>
            <w:r>
              <w:rPr>
                <w:rFonts w:hint="default" w:ascii="Times New Roman" w:hAnsi="Times New Roman" w:eastAsia="宋体" w:cs="Times New Roman"/>
                <w:color w:val="auto"/>
                <w:sz w:val="24"/>
              </w:rPr>
              <w:t>μg/m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；CO24小时平均第95百分位数为</w:t>
            </w:r>
            <w:r>
              <w:rPr>
                <w:rFonts w:hint="eastAsia" w:cs="Times New Roman"/>
                <w:color w:val="auto"/>
                <w:sz w:val="24"/>
                <w:lang w:val="en-US" w:eastAsia="zh-CN"/>
              </w:rPr>
              <w:t>0.9</w:t>
            </w:r>
            <w:r>
              <w:rPr>
                <w:rFonts w:hint="default" w:ascii="Times New Roman" w:hAnsi="Times New Roman" w:eastAsia="宋体" w:cs="Times New Roman"/>
                <w:color w:val="auto"/>
                <w:sz w:val="24"/>
              </w:rPr>
              <w:t>mg/m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，O</w:t>
            </w:r>
            <w:r>
              <w:rPr>
                <w:rFonts w:hint="default" w:ascii="Times New Roman" w:hAnsi="Times New Roman" w:eastAsia="宋体" w:cs="Times New Roman"/>
                <w:color w:val="auto"/>
                <w:sz w:val="24"/>
                <w:vertAlign w:val="subscript"/>
              </w:rPr>
              <w:t>3</w:t>
            </w:r>
            <w:r>
              <w:rPr>
                <w:rFonts w:hint="default" w:ascii="Times New Roman" w:hAnsi="Times New Roman" w:eastAsia="宋体" w:cs="Times New Roman"/>
                <w:color w:val="auto"/>
                <w:sz w:val="24"/>
              </w:rPr>
              <w:t>日最大8小时平均第90百分位数为</w:t>
            </w:r>
            <w:r>
              <w:rPr>
                <w:rFonts w:hint="eastAsia" w:cs="Times New Roman"/>
                <w:color w:val="auto"/>
                <w:sz w:val="24"/>
                <w:lang w:val="en-US" w:eastAsia="zh-CN"/>
              </w:rPr>
              <w:t>115</w:t>
            </w:r>
            <w:r>
              <w:rPr>
                <w:rFonts w:hint="default" w:ascii="Times New Roman" w:hAnsi="Times New Roman" w:eastAsia="宋体" w:cs="Times New Roman"/>
                <w:color w:val="auto"/>
                <w:sz w:val="24"/>
              </w:rPr>
              <w:t>μg/m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；各污染物平均浓度均优于《环境空气质量标准》（GB3095-2026）中过渡阶段二级标准限值，判定结果为达标区。根据环境质量现状调查，项目所在地的空气、地表水、声环境质量良好。</w:t>
            </w:r>
            <w:r>
              <w:rPr>
                <w:rFonts w:hint="default" w:ascii="Times New Roman" w:hAnsi="Times New Roman" w:eastAsia="宋体" w:cs="Times New Roman"/>
                <w:color w:val="auto"/>
                <w:kern w:val="0"/>
                <w:sz w:val="24"/>
                <w:szCs w:val="24"/>
                <w:highlight w:val="none"/>
                <w:lang w:bidi="ar"/>
              </w:rPr>
              <w:t>根据《</w:t>
            </w:r>
            <w:r>
              <w:rPr>
                <w:rFonts w:hint="eastAsia" w:cs="Times New Roman"/>
                <w:color w:val="auto"/>
                <w:kern w:val="0"/>
                <w:sz w:val="24"/>
                <w:szCs w:val="24"/>
                <w:highlight w:val="none"/>
                <w:lang w:eastAsia="zh-CN" w:bidi="ar"/>
              </w:rPr>
              <w:t>2025年黑龙江省生态环境质量状况</w:t>
            </w:r>
            <w:r>
              <w:rPr>
                <w:rFonts w:hint="default" w:ascii="Times New Roman" w:hAnsi="Times New Roman" w:eastAsia="宋体" w:cs="Times New Roman"/>
                <w:color w:val="auto"/>
                <w:kern w:val="0"/>
                <w:sz w:val="24"/>
                <w:szCs w:val="24"/>
                <w:highlight w:val="none"/>
                <w:lang w:bidi="ar"/>
              </w:rPr>
              <w:t>》（黑龙江省生态环境监测中心），</w:t>
            </w:r>
            <w:r>
              <w:rPr>
                <w:rFonts w:hint="default" w:ascii="Times New Roman" w:hAnsi="Times New Roman" w:eastAsia="宋体" w:cs="Times New Roman"/>
                <w:color w:val="auto"/>
                <w:spacing w:val="9"/>
                <w:sz w:val="24"/>
                <w:szCs w:val="24"/>
              </w:rPr>
              <w:t>202</w:t>
            </w:r>
            <w:r>
              <w:rPr>
                <w:rFonts w:hint="eastAsia" w:cs="Times New Roman"/>
                <w:color w:val="auto"/>
                <w:spacing w:val="9"/>
                <w:sz w:val="24"/>
                <w:szCs w:val="24"/>
                <w:lang w:val="en-US" w:eastAsia="zh-CN"/>
              </w:rPr>
              <w:t>5</w:t>
            </w:r>
            <w:r>
              <w:rPr>
                <w:rFonts w:hint="default" w:ascii="Times New Roman" w:hAnsi="Times New Roman" w:eastAsia="宋体" w:cs="Times New Roman"/>
                <w:color w:val="auto"/>
                <w:spacing w:val="9"/>
                <w:sz w:val="24"/>
                <w:szCs w:val="24"/>
              </w:rPr>
              <w:t>年</w:t>
            </w:r>
            <w:r>
              <w:rPr>
                <w:rFonts w:hint="default" w:ascii="Times New Roman" w:hAnsi="Times New Roman" w:eastAsia="宋体" w:cs="Times New Roman"/>
                <w:color w:val="auto"/>
                <w:spacing w:val="9"/>
                <w:sz w:val="24"/>
                <w:szCs w:val="24"/>
              </w:rPr>
              <w:t>，鸡西市参与国家考核计算的断面共8个，Ⅰ~Ⅲ类水质比例为75.0%，无劣V类水质断面。与上年同期相比，Ⅰ~Ⅲ类水质比例保持不变，均无劣V类水质断面。兴凯湖和小兴凯湖水质状况均为轻度污染。</w:t>
            </w:r>
            <w:r>
              <w:rPr>
                <w:rFonts w:hint="default" w:ascii="Times New Roman" w:hAnsi="Times New Roman" w:eastAsia="宋体" w:cs="Times New Roman"/>
                <w:color w:val="auto"/>
                <w:sz w:val="24"/>
                <w:szCs w:val="24"/>
                <w:highlight w:val="none"/>
              </w:rPr>
              <w:t>根据《</w:t>
            </w:r>
            <w:r>
              <w:rPr>
                <w:rFonts w:hint="eastAsia" w:cs="Times New Roman"/>
                <w:color w:val="auto"/>
                <w:kern w:val="0"/>
                <w:sz w:val="24"/>
                <w:szCs w:val="24"/>
                <w:highlight w:val="none"/>
                <w:lang w:eastAsia="zh-CN" w:bidi="ar"/>
              </w:rPr>
              <w:t>2025年黑龙江省生态环境质量状况</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rPr>
              <w:t>鸡西市区域昼间声环境质量为二级，等效声级为53.2dB</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A</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；道路交通昼间声环境质量为一级，等效声级为64.7dB</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A</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；功能区昼间达标率87.7%，功能区夜间达标率97.6%。</w:t>
            </w:r>
          </w:p>
          <w:p w14:paraId="4CEA72B6">
            <w:pPr>
              <w:keepNext w:val="0"/>
              <w:keepLines w:val="0"/>
              <w:pageBreakBefore w:val="0"/>
              <w:widowControl w:val="0"/>
              <w:tabs>
                <w:tab w:val="left" w:pos="6480"/>
              </w:tabs>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本项目建成后虽然会产生一定的污染物，在采取有效的污染防治措施后，各类污染物的排放对周边环境影响可接受，本项目废水不外排，主要大气污染物为颗粒物，采取相应治理措施后，不会改变区域环境</w:t>
            </w:r>
            <w:r>
              <w:rPr>
                <w:rFonts w:hint="default" w:ascii="Times New Roman" w:hAnsi="Times New Roman" w:eastAsia="宋体" w:cs="Times New Roman"/>
                <w:color w:val="auto"/>
                <w:sz w:val="24"/>
                <w:highlight w:val="none"/>
              </w:rPr>
              <w:t>功能区质量；本项目用地性质为</w:t>
            </w:r>
            <w:r>
              <w:rPr>
                <w:rFonts w:hint="eastAsia" w:cs="Times New Roman"/>
                <w:color w:val="auto"/>
                <w:sz w:val="24"/>
                <w:highlight w:val="none"/>
                <w:lang w:eastAsia="zh-CN"/>
              </w:rPr>
              <w:t>采矿用地</w:t>
            </w:r>
            <w:r>
              <w:rPr>
                <w:rFonts w:hint="default" w:ascii="Times New Roman" w:hAnsi="Times New Roman" w:eastAsia="宋体" w:cs="Times New Roman"/>
                <w:color w:val="auto"/>
                <w:sz w:val="24"/>
                <w:highlight w:val="none"/>
              </w:rPr>
              <w:t>，不属于建设用地污染风险管控区，</w:t>
            </w:r>
            <w:r>
              <w:rPr>
                <w:rFonts w:hint="default" w:ascii="Times New Roman" w:hAnsi="Times New Roman" w:eastAsia="宋体" w:cs="Times New Roman"/>
                <w:color w:val="auto"/>
                <w:sz w:val="24"/>
              </w:rPr>
              <w:t>因此本项目能够满足环境质量底线。</w:t>
            </w:r>
          </w:p>
          <w:p w14:paraId="4342555E">
            <w:pPr>
              <w:keepNext w:val="0"/>
              <w:keepLines w:val="0"/>
              <w:pageBreakBefore w:val="0"/>
              <w:widowControl w:val="0"/>
              <w:tabs>
                <w:tab w:val="left" w:pos="6480"/>
              </w:tabs>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（3）资源利用上线</w:t>
            </w:r>
          </w:p>
          <w:p w14:paraId="4CE1E00A">
            <w:pPr>
              <w:keepNext w:val="0"/>
              <w:keepLines w:val="0"/>
              <w:pageBreakBefore w:val="0"/>
              <w:widowControl w:val="0"/>
              <w:tabs>
                <w:tab w:val="left" w:pos="6480"/>
              </w:tabs>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w:t>
            </w:r>
            <w:r>
              <w:rPr>
                <w:rFonts w:hint="default" w:ascii="Times New Roman" w:hAnsi="Times New Roman" w:eastAsia="宋体" w:cs="Times New Roman"/>
                <w:color w:val="auto"/>
                <w:sz w:val="24"/>
                <w:highlight w:val="none"/>
              </w:rPr>
              <w:t>利用</w:t>
            </w:r>
            <w:r>
              <w:rPr>
                <w:rFonts w:hint="eastAsia" w:cs="Times New Roman"/>
                <w:color w:val="auto"/>
                <w:sz w:val="24"/>
                <w:highlight w:val="none"/>
                <w:lang w:eastAsia="zh-CN"/>
              </w:rPr>
              <w:t>采矿用地</w:t>
            </w:r>
            <w:r>
              <w:rPr>
                <w:rFonts w:hint="default" w:ascii="Times New Roman" w:hAnsi="Times New Roman" w:eastAsia="宋体" w:cs="Times New Roman"/>
                <w:color w:val="auto"/>
                <w:sz w:val="24"/>
                <w:highlight w:val="none"/>
              </w:rPr>
              <w:t>进行建</w:t>
            </w:r>
            <w:r>
              <w:rPr>
                <w:rFonts w:hint="default" w:ascii="Times New Roman" w:hAnsi="Times New Roman" w:eastAsia="宋体" w:cs="Times New Roman"/>
                <w:color w:val="auto"/>
                <w:sz w:val="24"/>
              </w:rPr>
              <w:t>设，满足土地资源要求。</w:t>
            </w:r>
            <w:r>
              <w:rPr>
                <w:rFonts w:hint="default" w:ascii="Times New Roman" w:hAnsi="Times New Roman" w:eastAsia="宋体" w:cs="Times New Roman"/>
                <w:color w:val="auto"/>
                <w:sz w:val="24"/>
                <w:highlight w:val="none"/>
              </w:rPr>
              <w:t>项目不消耗煤炭资源，</w:t>
            </w:r>
            <w:r>
              <w:rPr>
                <w:rFonts w:hint="eastAsia" w:cs="Times New Roman"/>
                <w:color w:val="auto"/>
                <w:sz w:val="24"/>
                <w:highlight w:val="none"/>
                <w:lang w:eastAsia="zh-CN"/>
              </w:rPr>
              <w:t>并且</w:t>
            </w:r>
            <w:r>
              <w:rPr>
                <w:rFonts w:hint="default" w:ascii="Times New Roman" w:hAnsi="Times New Roman" w:eastAsia="宋体" w:cs="Times New Roman"/>
                <w:color w:val="auto"/>
                <w:sz w:val="24"/>
                <w:highlight w:val="none"/>
              </w:rPr>
              <w:t>根据黑区域环评办（2019）4号关于印发《黑龙江省区域空间生态</w:t>
            </w:r>
            <w:r>
              <w:rPr>
                <w:rFonts w:hint="default" w:ascii="Times New Roman" w:hAnsi="Times New Roman" w:eastAsia="宋体" w:cs="Times New Roman"/>
                <w:color w:val="auto"/>
                <w:sz w:val="24"/>
              </w:rPr>
              <w:t>环境评价技术方案》的通知的要求，</w:t>
            </w:r>
            <w:r>
              <w:rPr>
                <w:rFonts w:hint="eastAsia" w:cs="Times New Roman"/>
                <w:color w:val="auto"/>
                <w:sz w:val="24"/>
                <w:lang w:eastAsia="zh-CN"/>
              </w:rPr>
              <w:t>“</w:t>
            </w:r>
            <w:r>
              <w:rPr>
                <w:rFonts w:hint="default" w:ascii="Times New Roman" w:hAnsi="Times New Roman" w:eastAsia="宋体" w:cs="Times New Roman"/>
                <w:color w:val="auto"/>
                <w:sz w:val="24"/>
              </w:rPr>
              <w:t>评价现状水资源承载状况，对水资源承载负荷超过承载能力或接近承载能力的地区，划定为重点管控区，鸡西市的虎林市地下水严重超载，将虎林市划为地下水开采重点管控区，其他市县区为一般管控区。</w:t>
            </w:r>
            <w:r>
              <w:rPr>
                <w:rFonts w:hint="eastAsia" w:cs="Times New Roman"/>
                <w:color w:val="auto"/>
                <w:sz w:val="24"/>
                <w:lang w:eastAsia="zh-CN"/>
              </w:rPr>
              <w:t>”，则本项目所使用的地下水地区为地下水环境一般管控区；且地下水使用</w:t>
            </w:r>
            <w:r>
              <w:rPr>
                <w:rFonts w:hint="default" w:ascii="Times New Roman" w:hAnsi="Times New Roman" w:eastAsia="宋体" w:cs="Times New Roman"/>
                <w:color w:val="auto"/>
                <w:sz w:val="24"/>
              </w:rPr>
              <w:t>满足</w:t>
            </w:r>
            <w:r>
              <w:rPr>
                <w:rFonts w:hint="eastAsia" w:cs="Times New Roman"/>
                <w:color w:val="auto"/>
                <w:sz w:val="24"/>
                <w:lang w:eastAsia="zh-CN"/>
              </w:rPr>
              <w:t>《地下水管理条例》中的管理条例，符合</w:t>
            </w:r>
            <w:r>
              <w:rPr>
                <w:rFonts w:hint="default" w:ascii="Times New Roman" w:hAnsi="Times New Roman" w:eastAsia="宋体" w:cs="Times New Roman"/>
                <w:color w:val="auto"/>
                <w:sz w:val="24"/>
              </w:rPr>
              <w:t>区域资源利用上限要求，故本项目资源在区域承载能力范围内，满足资源利用上限要求。</w:t>
            </w:r>
          </w:p>
          <w:p w14:paraId="76434639">
            <w:pPr>
              <w:keepNext w:val="0"/>
              <w:keepLines w:val="0"/>
              <w:pageBreakBefore w:val="0"/>
              <w:widowControl w:val="0"/>
              <w:tabs>
                <w:tab w:val="left" w:pos="6480"/>
              </w:tabs>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（4）生态环境准入清单</w:t>
            </w:r>
          </w:p>
          <w:p w14:paraId="29DF7708">
            <w:pPr>
              <w:keepNext w:val="0"/>
              <w:keepLines w:val="0"/>
              <w:pageBreakBefore w:val="0"/>
              <w:widowControl w:val="0"/>
              <w:tabs>
                <w:tab w:val="left" w:pos="6480"/>
              </w:tabs>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根据《鸡西市人民政府关于实施</w:t>
            </w:r>
            <w:r>
              <w:rPr>
                <w:rFonts w:hint="eastAsia" w:cs="Times New Roman"/>
                <w:color w:val="auto"/>
                <w:sz w:val="24"/>
                <w:lang w:eastAsia="zh-CN"/>
              </w:rPr>
              <w:t>“</w:t>
            </w:r>
            <w:r>
              <w:rPr>
                <w:rFonts w:hint="default" w:ascii="Times New Roman" w:hAnsi="Times New Roman" w:eastAsia="宋体" w:cs="Times New Roman"/>
                <w:color w:val="auto"/>
                <w:sz w:val="24"/>
              </w:rPr>
              <w:t>三线一单</w:t>
            </w:r>
            <w:r>
              <w:rPr>
                <w:rFonts w:hint="eastAsia" w:cs="Times New Roman"/>
                <w:color w:val="auto"/>
                <w:sz w:val="24"/>
                <w:lang w:eastAsia="zh-CN"/>
              </w:rPr>
              <w:t>”</w:t>
            </w:r>
            <w:r>
              <w:rPr>
                <w:rFonts w:hint="default" w:ascii="Times New Roman" w:hAnsi="Times New Roman" w:eastAsia="宋体" w:cs="Times New Roman"/>
                <w:color w:val="auto"/>
                <w:sz w:val="24"/>
              </w:rPr>
              <w:t>生态环境分区管控的意见》（鸡政发〔2021〕7号）、</w:t>
            </w:r>
            <w:r>
              <w:rPr>
                <w:rFonts w:ascii="Times New Roman" w:hAnsi="Times New Roman" w:eastAsia="宋体" w:cs="Times New Roman"/>
                <w:color w:val="auto"/>
                <w:sz w:val="24"/>
                <w:lang w:eastAsia="zh-CN"/>
              </w:rPr>
              <w:t>《鸡西市</w:t>
            </w:r>
            <w:r>
              <w:rPr>
                <w:rFonts w:hint="eastAsia" w:ascii="Times New Roman" w:hAnsi="Times New Roman" w:eastAsia="宋体" w:cs="Times New Roman"/>
                <w:color w:val="auto"/>
                <w:sz w:val="24"/>
                <w:lang w:eastAsia="zh-CN"/>
              </w:rPr>
              <w:t>生态环境准入清单（2023年版）</w:t>
            </w:r>
            <w:r>
              <w:rPr>
                <w:rFonts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中环境管控单元划分情况，本项目与</w:t>
            </w:r>
            <w:r>
              <w:rPr>
                <w:rFonts w:hint="eastAsia" w:cs="Times New Roman"/>
                <w:color w:val="auto"/>
                <w:sz w:val="24"/>
                <w:lang w:eastAsia="zh-CN"/>
              </w:rPr>
              <w:t>鸡西市城子河区</w:t>
            </w:r>
            <w:r>
              <w:rPr>
                <w:rFonts w:hint="default" w:ascii="Times New Roman" w:hAnsi="Times New Roman" w:eastAsia="宋体" w:cs="Times New Roman"/>
                <w:color w:val="auto"/>
                <w:sz w:val="24"/>
              </w:rPr>
              <w:t>生态环境准入清单符合性分析见表1-</w:t>
            </w:r>
            <w:r>
              <w:rPr>
                <w:rFonts w:hint="eastAsia" w:cs="Times New Roman"/>
                <w:color w:val="auto"/>
                <w:sz w:val="24"/>
                <w:lang w:val="en-US" w:eastAsia="zh-CN"/>
              </w:rPr>
              <w:t>2</w:t>
            </w:r>
            <w:r>
              <w:rPr>
                <w:rFonts w:hint="default" w:ascii="Times New Roman" w:hAnsi="Times New Roman" w:eastAsia="宋体" w:cs="Times New Roman"/>
                <w:color w:val="auto"/>
                <w:sz w:val="24"/>
              </w:rPr>
              <w:t>。</w:t>
            </w:r>
          </w:p>
          <w:p w14:paraId="2B4921BB">
            <w:pPr>
              <w:pStyle w:val="69"/>
              <w:spacing w:line="240" w:lineRule="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eastAsia"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w:t>
            </w:r>
            <w:r>
              <w:rPr>
                <w:rFonts w:hint="eastAsia" w:eastAsia="宋体" w:cs="Times New Roman"/>
                <w:b/>
                <w:bCs/>
                <w:color w:val="auto"/>
                <w:sz w:val="21"/>
                <w:szCs w:val="21"/>
                <w:lang w:eastAsia="zh-CN"/>
              </w:rPr>
              <w:t>鸡西市城子河区</w:t>
            </w:r>
            <w:r>
              <w:rPr>
                <w:rFonts w:hint="default" w:ascii="Times New Roman" w:hAnsi="Times New Roman" w:eastAsia="宋体" w:cs="Times New Roman"/>
                <w:b/>
                <w:bCs/>
                <w:color w:val="auto"/>
                <w:sz w:val="21"/>
                <w:szCs w:val="21"/>
              </w:rPr>
              <w:t>生态环境准入清单符合性分析</w:t>
            </w:r>
          </w:p>
          <w:tbl>
            <w:tblPr>
              <w:tblStyle w:val="30"/>
              <w:tblW w:w="82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1"/>
              <w:gridCol w:w="773"/>
              <w:gridCol w:w="712"/>
              <w:gridCol w:w="409"/>
              <w:gridCol w:w="4091"/>
              <w:gridCol w:w="1464"/>
            </w:tblGrid>
            <w:tr w14:paraId="41CAA1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96" w:type="pct"/>
                  <w:noWrap w:val="0"/>
                  <w:vAlign w:val="center"/>
                </w:tcPr>
                <w:p w14:paraId="033725F9">
                  <w:pPr>
                    <w:pStyle w:val="66"/>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环境管控单元编码</w:t>
                  </w:r>
                </w:p>
              </w:tc>
              <w:tc>
                <w:tcPr>
                  <w:tcW w:w="467" w:type="pct"/>
                  <w:noWrap w:val="0"/>
                  <w:vAlign w:val="center"/>
                </w:tcPr>
                <w:p w14:paraId="018451ED">
                  <w:pPr>
                    <w:pStyle w:val="66"/>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环境管控单元名称</w:t>
                  </w:r>
                </w:p>
              </w:tc>
              <w:tc>
                <w:tcPr>
                  <w:tcW w:w="430" w:type="pct"/>
                  <w:noWrap w:val="0"/>
                  <w:vAlign w:val="center"/>
                </w:tcPr>
                <w:p w14:paraId="179B6EF2">
                  <w:pPr>
                    <w:pStyle w:val="66"/>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管控单元分类</w:t>
                  </w:r>
                </w:p>
              </w:tc>
              <w:tc>
                <w:tcPr>
                  <w:tcW w:w="2720" w:type="pct"/>
                  <w:gridSpan w:val="2"/>
                  <w:noWrap w:val="0"/>
                  <w:vAlign w:val="center"/>
                </w:tcPr>
                <w:p w14:paraId="33A1F35E">
                  <w:pPr>
                    <w:pStyle w:val="66"/>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管控要求</w:t>
                  </w:r>
                </w:p>
              </w:tc>
              <w:tc>
                <w:tcPr>
                  <w:tcW w:w="885" w:type="pct"/>
                  <w:noWrap w:val="0"/>
                  <w:vAlign w:val="center"/>
                </w:tcPr>
                <w:p w14:paraId="1370A544">
                  <w:pPr>
                    <w:pStyle w:val="66"/>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符合性分析</w:t>
                  </w:r>
                </w:p>
              </w:tc>
            </w:tr>
            <w:tr w14:paraId="318D0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7" w:hRule="atLeast"/>
                <w:jc w:val="center"/>
              </w:trPr>
              <w:tc>
                <w:tcPr>
                  <w:tcW w:w="496" w:type="pct"/>
                  <w:vMerge w:val="restart"/>
                  <w:noWrap w:val="0"/>
                  <w:vAlign w:val="center"/>
                </w:tcPr>
                <w:p w14:paraId="6221AE2E">
                  <w:pPr>
                    <w:pStyle w:val="66"/>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ZH2303</w:t>
                  </w:r>
                  <w:r>
                    <w:rPr>
                      <w:rFonts w:hint="eastAsia" w:ascii="Times New Roman" w:hAnsi="Times New Roman" w:cs="Times New Roman"/>
                      <w:color w:val="auto"/>
                      <w:sz w:val="21"/>
                      <w:szCs w:val="21"/>
                      <w:lang w:val="en-US" w:eastAsia="zh-CN"/>
                    </w:rPr>
                    <w:t>620003</w:t>
                  </w:r>
                </w:p>
              </w:tc>
              <w:tc>
                <w:tcPr>
                  <w:tcW w:w="467" w:type="pct"/>
                  <w:vMerge w:val="restart"/>
                  <w:noWrap w:val="0"/>
                  <w:vAlign w:val="center"/>
                </w:tcPr>
                <w:p w14:paraId="376D8694">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城子河区水污染农业污染重点管控区</w:t>
                  </w:r>
                </w:p>
              </w:tc>
              <w:tc>
                <w:tcPr>
                  <w:tcW w:w="430" w:type="pct"/>
                  <w:vMerge w:val="restart"/>
                  <w:noWrap w:val="0"/>
                  <w:vAlign w:val="center"/>
                </w:tcPr>
                <w:p w14:paraId="1BF6C69D">
                  <w:pPr>
                    <w:jc w:val="center"/>
                    <w:rPr>
                      <w:rFonts w:hint="default" w:ascii="Times New Roman" w:hAnsi="Times New Roman" w:eastAsia="宋体" w:cs="Times New Roman"/>
                      <w:color w:val="auto"/>
                      <w:sz w:val="21"/>
                      <w:szCs w:val="21"/>
                    </w:rPr>
                  </w:pPr>
                  <w:r>
                    <w:rPr>
                      <w:rFonts w:hint="eastAsia" w:cs="Times New Roman"/>
                      <w:color w:val="auto"/>
                      <w:sz w:val="21"/>
                      <w:szCs w:val="21"/>
                      <w:lang w:eastAsia="zh-CN"/>
                    </w:rPr>
                    <w:t>重点管控单元</w:t>
                  </w:r>
                </w:p>
              </w:tc>
              <w:tc>
                <w:tcPr>
                  <w:tcW w:w="247" w:type="pct"/>
                  <w:noWrap w:val="0"/>
                  <w:vAlign w:val="center"/>
                </w:tcPr>
                <w:p w14:paraId="33FDFDF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空间布局约束</w:t>
                  </w:r>
                </w:p>
              </w:tc>
              <w:tc>
                <w:tcPr>
                  <w:tcW w:w="2473" w:type="pct"/>
                  <w:noWrap w:val="0"/>
                  <w:vAlign w:val="center"/>
                </w:tcPr>
                <w:p w14:paraId="75B0F1A4">
                  <w:pPr>
                    <w:jc w:val="both"/>
                    <w:rPr>
                      <w:rFonts w:hint="eastAsia" w:cs="Times New Roman"/>
                      <w:color w:val="auto"/>
                      <w:sz w:val="21"/>
                      <w:szCs w:val="21"/>
                      <w:lang w:val="en-US" w:eastAsia="zh-CN"/>
                    </w:rPr>
                  </w:pPr>
                  <w:r>
                    <w:rPr>
                      <w:rFonts w:hint="eastAsia" w:cs="Times New Roman"/>
                      <w:color w:val="auto"/>
                      <w:sz w:val="21"/>
                      <w:szCs w:val="21"/>
                      <w:lang w:val="en-US" w:eastAsia="zh-CN"/>
                    </w:rPr>
                    <w:t>1.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p w14:paraId="6421AFC8">
                  <w:pPr>
                    <w:jc w:val="both"/>
                    <w:rPr>
                      <w:rFonts w:hint="default" w:cs="Times New Roman"/>
                      <w:color w:val="auto"/>
                      <w:sz w:val="21"/>
                      <w:szCs w:val="21"/>
                      <w:lang w:val="en-US" w:eastAsia="zh-CN"/>
                    </w:rPr>
                  </w:pPr>
                  <w:r>
                    <w:rPr>
                      <w:rFonts w:hint="eastAsia" w:cs="Times New Roman"/>
                      <w:color w:val="auto"/>
                      <w:sz w:val="21"/>
                      <w:szCs w:val="21"/>
                      <w:lang w:val="en-US" w:eastAsia="zh-CN"/>
                    </w:rPr>
                    <w:t>2.大气环境布局敏感重点管控区同时执行 （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885" w:type="pct"/>
                  <w:noWrap w:val="0"/>
                  <w:vAlign w:val="center"/>
                </w:tcPr>
                <w:p w14:paraId="2952E79B">
                  <w:pPr>
                    <w:pStyle w:val="66"/>
                    <w:jc w:val="both"/>
                    <w:rPr>
                      <w:rFonts w:hint="eastAsia" w:ascii="Times New Roman" w:hAnsi="Times New Roman" w:eastAsia="宋体" w:cs="Times New Roman"/>
                      <w:color w:val="auto"/>
                      <w:sz w:val="21"/>
                      <w:szCs w:val="21"/>
                      <w:highlight w:val="yellow"/>
                      <w:lang w:eastAsia="zh-CN"/>
                    </w:rPr>
                  </w:pPr>
                  <w:r>
                    <w:rPr>
                      <w:rFonts w:hint="eastAsia" w:ascii="Times New Roman" w:hAnsi="Times New Roman" w:eastAsia="宋体" w:cs="Times New Roman"/>
                      <w:color w:val="auto"/>
                      <w:sz w:val="21"/>
                      <w:szCs w:val="21"/>
                      <w:highlight w:val="none"/>
                      <w:lang w:eastAsia="zh-CN"/>
                    </w:rPr>
                    <w:t>本项目为储煤货场项目，不属于“两高”行业。符合空间约束管控要求。</w:t>
                  </w:r>
                </w:p>
              </w:tc>
            </w:tr>
            <w:tr w14:paraId="3F364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7" w:hRule="atLeast"/>
                <w:jc w:val="center"/>
              </w:trPr>
              <w:tc>
                <w:tcPr>
                  <w:tcW w:w="496" w:type="pct"/>
                  <w:vMerge w:val="continue"/>
                  <w:noWrap w:val="0"/>
                  <w:vAlign w:val="center"/>
                </w:tcPr>
                <w:p w14:paraId="33E67A48">
                  <w:pPr>
                    <w:pStyle w:val="66"/>
                    <w:jc w:val="center"/>
                    <w:rPr>
                      <w:rFonts w:hint="default" w:ascii="Times New Roman" w:hAnsi="Times New Roman" w:eastAsia="宋体" w:cs="Times New Roman"/>
                      <w:color w:val="auto"/>
                      <w:sz w:val="21"/>
                      <w:szCs w:val="21"/>
                    </w:rPr>
                  </w:pPr>
                </w:p>
              </w:tc>
              <w:tc>
                <w:tcPr>
                  <w:tcW w:w="467" w:type="pct"/>
                  <w:vMerge w:val="continue"/>
                  <w:noWrap w:val="0"/>
                  <w:vAlign w:val="center"/>
                </w:tcPr>
                <w:p w14:paraId="377BB895">
                  <w:pPr>
                    <w:jc w:val="center"/>
                    <w:rPr>
                      <w:rFonts w:hint="eastAsia" w:cs="Times New Roman"/>
                      <w:color w:val="auto"/>
                      <w:sz w:val="21"/>
                      <w:szCs w:val="21"/>
                      <w:lang w:eastAsia="zh-CN"/>
                    </w:rPr>
                  </w:pPr>
                </w:p>
              </w:tc>
              <w:tc>
                <w:tcPr>
                  <w:tcW w:w="430" w:type="pct"/>
                  <w:vMerge w:val="continue"/>
                  <w:noWrap w:val="0"/>
                  <w:vAlign w:val="center"/>
                </w:tcPr>
                <w:p w14:paraId="1C063BD2">
                  <w:pPr>
                    <w:jc w:val="center"/>
                    <w:rPr>
                      <w:rFonts w:hint="eastAsia" w:cs="Times New Roman"/>
                      <w:color w:val="auto"/>
                      <w:sz w:val="21"/>
                      <w:szCs w:val="21"/>
                      <w:lang w:eastAsia="zh-CN"/>
                    </w:rPr>
                  </w:pPr>
                </w:p>
              </w:tc>
              <w:tc>
                <w:tcPr>
                  <w:tcW w:w="247" w:type="pct"/>
                  <w:noWrap w:val="0"/>
                  <w:vAlign w:val="center"/>
                </w:tcPr>
                <w:p w14:paraId="71E755B2">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污染物排放管控</w:t>
                  </w:r>
                </w:p>
              </w:tc>
              <w:tc>
                <w:tcPr>
                  <w:tcW w:w="2473" w:type="pct"/>
                  <w:noWrap w:val="0"/>
                  <w:vAlign w:val="center"/>
                </w:tcPr>
                <w:p w14:paraId="67795E5F">
                  <w:pPr>
                    <w:jc w:val="both"/>
                    <w:rPr>
                      <w:rFonts w:hint="eastAsia" w:cs="Times New Roman"/>
                      <w:color w:val="auto"/>
                      <w:sz w:val="21"/>
                      <w:szCs w:val="21"/>
                      <w:lang w:val="en-US" w:eastAsia="zh-CN"/>
                    </w:rPr>
                  </w:pPr>
                  <w:r>
                    <w:rPr>
                      <w:rFonts w:hint="eastAsia" w:cs="Times New Roman"/>
                      <w:color w:val="auto"/>
                      <w:sz w:val="21"/>
                      <w:szCs w:val="21"/>
                      <w:lang w:val="en-US" w:eastAsia="zh-CN"/>
                    </w:rPr>
                    <w:t>1.执行本清单 （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w:t>
                  </w:r>
                </w:p>
                <w:p w14:paraId="0B406B46">
                  <w:pPr>
                    <w:jc w:val="both"/>
                    <w:rPr>
                      <w:rFonts w:hint="default" w:cs="Times New Roman"/>
                      <w:color w:val="auto"/>
                      <w:sz w:val="21"/>
                      <w:szCs w:val="21"/>
                      <w:lang w:val="en-US" w:eastAsia="zh-CN"/>
                    </w:rPr>
                  </w:pPr>
                  <w:r>
                    <w:rPr>
                      <w:rFonts w:hint="eastAsia" w:cs="Times New Roman"/>
                      <w:color w:val="auto"/>
                      <w:sz w:val="21"/>
                      <w:szCs w:val="21"/>
                      <w:lang w:val="en-US" w:eastAsia="zh-CN"/>
                    </w:rPr>
                    <w:t>2.大气环境布局敏感重点管控区同时执行 （1）对以煤、石焦油、渣油、重油等为燃料的锅炉和工业炉窑，加快使用清洁低碳能源以及工厂余热、电力热力等进行替代。（2）到2025年，在用65 蒸吨/小时以上的燃煤锅炉（含电力）实现超低排放，钢铁企业基本实现超低排放。</w:t>
                  </w:r>
                </w:p>
              </w:tc>
              <w:tc>
                <w:tcPr>
                  <w:tcW w:w="885" w:type="pct"/>
                  <w:noWrap w:val="0"/>
                  <w:vAlign w:val="center"/>
                </w:tcPr>
                <w:p w14:paraId="371A25C4">
                  <w:pPr>
                    <w:pStyle w:val="66"/>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本项目为储煤货场项目且冬季供暖采用电取暖，不建设锅炉。符合污染物排放管控要求。</w:t>
                  </w:r>
                </w:p>
              </w:tc>
            </w:tr>
            <w:tr w14:paraId="44EFAD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7" w:hRule="atLeast"/>
                <w:jc w:val="center"/>
              </w:trPr>
              <w:tc>
                <w:tcPr>
                  <w:tcW w:w="496" w:type="pct"/>
                  <w:vMerge w:val="continue"/>
                  <w:noWrap w:val="0"/>
                  <w:vAlign w:val="center"/>
                </w:tcPr>
                <w:p w14:paraId="17D4EC3F">
                  <w:pPr>
                    <w:pStyle w:val="66"/>
                    <w:jc w:val="center"/>
                    <w:rPr>
                      <w:rFonts w:hint="default" w:ascii="Times New Roman" w:hAnsi="Times New Roman" w:eastAsia="宋体" w:cs="Times New Roman"/>
                      <w:color w:val="auto"/>
                      <w:sz w:val="21"/>
                      <w:szCs w:val="21"/>
                    </w:rPr>
                  </w:pPr>
                </w:p>
              </w:tc>
              <w:tc>
                <w:tcPr>
                  <w:tcW w:w="467" w:type="pct"/>
                  <w:vMerge w:val="continue"/>
                  <w:noWrap w:val="0"/>
                  <w:vAlign w:val="center"/>
                </w:tcPr>
                <w:p w14:paraId="61EE52D7">
                  <w:pPr>
                    <w:jc w:val="center"/>
                    <w:rPr>
                      <w:rFonts w:hint="eastAsia" w:cs="Times New Roman"/>
                      <w:color w:val="auto"/>
                      <w:sz w:val="21"/>
                      <w:szCs w:val="21"/>
                      <w:lang w:eastAsia="zh-CN"/>
                    </w:rPr>
                  </w:pPr>
                </w:p>
              </w:tc>
              <w:tc>
                <w:tcPr>
                  <w:tcW w:w="430" w:type="pct"/>
                  <w:vMerge w:val="continue"/>
                  <w:noWrap w:val="0"/>
                  <w:vAlign w:val="center"/>
                </w:tcPr>
                <w:p w14:paraId="694AB925">
                  <w:pPr>
                    <w:jc w:val="center"/>
                    <w:rPr>
                      <w:rFonts w:hint="eastAsia" w:cs="Times New Roman"/>
                      <w:color w:val="auto"/>
                      <w:sz w:val="21"/>
                      <w:szCs w:val="21"/>
                      <w:lang w:eastAsia="zh-CN"/>
                    </w:rPr>
                  </w:pPr>
                </w:p>
              </w:tc>
              <w:tc>
                <w:tcPr>
                  <w:tcW w:w="247" w:type="pct"/>
                  <w:noWrap w:val="0"/>
                  <w:vAlign w:val="center"/>
                </w:tcPr>
                <w:p w14:paraId="7B9C9C64">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环境风险防控</w:t>
                  </w:r>
                </w:p>
              </w:tc>
              <w:tc>
                <w:tcPr>
                  <w:tcW w:w="2473" w:type="pct"/>
                  <w:noWrap w:val="0"/>
                  <w:vAlign w:val="center"/>
                </w:tcPr>
                <w:p w14:paraId="10E2F33D">
                  <w:pPr>
                    <w:jc w:val="both"/>
                    <w:rPr>
                      <w:rFonts w:hint="eastAsia" w:cs="Times New Roman"/>
                      <w:color w:val="auto"/>
                      <w:sz w:val="21"/>
                      <w:szCs w:val="21"/>
                      <w:lang w:eastAsia="zh-CN"/>
                    </w:rPr>
                  </w:pPr>
                  <w:r>
                    <w:rPr>
                      <w:rFonts w:hint="eastAsia" w:cs="Times New Roman"/>
                      <w:color w:val="auto"/>
                      <w:sz w:val="21"/>
                      <w:szCs w:val="21"/>
                      <w:lang w:eastAsia="zh-CN"/>
                    </w:rPr>
                    <w:t>大气环境布局敏感重点管控区同时执行本清单禁止在居民区、学校、医疗和养老机构等周边新建有色金属冶炼、焦化等行业企业。</w:t>
                  </w:r>
                </w:p>
              </w:tc>
              <w:tc>
                <w:tcPr>
                  <w:tcW w:w="885" w:type="pct"/>
                  <w:noWrap w:val="0"/>
                  <w:vAlign w:val="center"/>
                </w:tcPr>
                <w:p w14:paraId="3C55246A">
                  <w:pPr>
                    <w:pStyle w:val="66"/>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本项目不属于有色金属冶炼、焦化行业企业，用地属于采矿用地。符合环境风险防控要求。</w:t>
                  </w:r>
                </w:p>
              </w:tc>
            </w:tr>
          </w:tbl>
          <w:p w14:paraId="6CADB2D1">
            <w:pPr>
              <w:pStyle w:val="2"/>
              <w:keepNext w:val="0"/>
              <w:keepLines w:val="0"/>
              <w:pageBreakBefore w:val="0"/>
              <w:widowControl w:val="0"/>
              <w:kinsoku/>
              <w:wordWrap/>
              <w:overflowPunct/>
              <w:topLinePunct w:val="0"/>
              <w:autoSpaceDE/>
              <w:autoSpaceDN/>
              <w:bidi w:val="0"/>
              <w:adjustRightInd/>
              <w:snapToGrid/>
              <w:spacing w:before="157" w:beforeLines="50" w:after="0" w:line="360" w:lineRule="auto"/>
              <w:ind w:right="0"/>
              <w:textAlignment w:val="auto"/>
              <w:rPr>
                <w:rFonts w:hint="eastAsia" w:cs="Times New Roman"/>
                <w:b/>
                <w:bCs/>
                <w:color w:val="auto"/>
                <w:sz w:val="24"/>
                <w:lang w:val="en-US" w:eastAsia="zh-CN"/>
              </w:rPr>
            </w:pPr>
            <w:r>
              <w:rPr>
                <w:rFonts w:hint="eastAsia" w:cs="Times New Roman"/>
                <w:b/>
                <w:bCs/>
                <w:color w:val="auto"/>
                <w:sz w:val="24"/>
                <w:lang w:val="en-US" w:eastAsia="zh-CN"/>
              </w:rPr>
              <w:t>4、鸡西市国土空间总体规划成果符合性分析</w:t>
            </w:r>
          </w:p>
          <w:p w14:paraId="7002D731">
            <w:pPr>
              <w:tabs>
                <w:tab w:val="left" w:pos="6480"/>
              </w:tabs>
              <w:autoSpaceDE w:val="0"/>
              <w:autoSpaceDN w:val="0"/>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szCs w:val="24"/>
                <w:lang w:eastAsia="zh-CN"/>
              </w:rPr>
              <w:t>根据《自然资源部办公厅关于依据“三区三线”划定成果报批建设项目用地用海有关事宜的函》（自然资办函〔2022〕2072号）和《鸡西市国土空间总体规划（2021-2035年）》中“三区三线”划定成果可知，本项目所在区域内无自然保护区、风景名胜区、水源地保护区、野生动植物保护区及重要湿地分布，本项目不涉及生态保护红线，</w:t>
            </w:r>
            <w:r>
              <w:rPr>
                <w:rFonts w:hint="eastAsia" w:ascii="Times New Roman" w:hAnsi="Times New Roman" w:eastAsia="宋体" w:cs="Times New Roman"/>
                <w:color w:val="auto"/>
                <w:sz w:val="24"/>
                <w:szCs w:val="24"/>
                <w:highlight w:val="none"/>
                <w:lang w:eastAsia="zh-CN"/>
              </w:rPr>
              <w:t>项目占地为</w:t>
            </w:r>
            <w:r>
              <w:rPr>
                <w:rFonts w:hint="eastAsia" w:cs="Times New Roman"/>
                <w:color w:val="auto"/>
                <w:sz w:val="24"/>
                <w:szCs w:val="24"/>
                <w:highlight w:val="none"/>
                <w:lang w:val="en-US" w:eastAsia="zh-CN"/>
              </w:rPr>
              <w:t>采矿用地</w:t>
            </w:r>
            <w:r>
              <w:rPr>
                <w:rFonts w:hint="eastAsia" w:ascii="Times New Roman" w:hAnsi="Times New Roman" w:eastAsia="宋体" w:cs="Times New Roman"/>
                <w:color w:val="auto"/>
                <w:sz w:val="24"/>
                <w:szCs w:val="24"/>
                <w:highlight w:val="none"/>
                <w:lang w:eastAsia="zh-CN"/>
              </w:rPr>
              <w:t>不涉及永久基本农田，项目所在地位于城镇开发边界范围外。</w:t>
            </w:r>
          </w:p>
          <w:p w14:paraId="14F79B98">
            <w:pPr>
              <w:autoSpaceDE w:val="0"/>
              <w:autoSpaceDN w:val="0"/>
              <w:adjustRightInd w:val="0"/>
              <w:snapToGrid w:val="0"/>
              <w:spacing w:line="360" w:lineRule="auto"/>
              <w:rPr>
                <w:rFonts w:hint="default" w:ascii="Times New Roman" w:hAnsi="Times New Roman" w:eastAsia="宋体" w:cs="Times New Roman"/>
                <w:b/>
                <w:bCs/>
                <w:color w:val="auto"/>
                <w:sz w:val="24"/>
              </w:rPr>
            </w:pPr>
            <w:r>
              <w:rPr>
                <w:rFonts w:hint="eastAsia" w:cs="Times New Roman"/>
                <w:b/>
                <w:bCs/>
                <w:color w:val="auto"/>
                <w:sz w:val="24"/>
                <w:lang w:val="en-US" w:eastAsia="zh-CN"/>
              </w:rPr>
              <w:t>5</w:t>
            </w:r>
            <w:r>
              <w:rPr>
                <w:rFonts w:hint="default" w:ascii="Times New Roman" w:hAnsi="Times New Roman" w:eastAsia="宋体" w:cs="Times New Roman"/>
                <w:b/>
                <w:bCs/>
                <w:color w:val="auto"/>
                <w:sz w:val="24"/>
              </w:rPr>
              <w:t>、与其他相关政策符合性分析</w:t>
            </w:r>
          </w:p>
          <w:p w14:paraId="07620283">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（1）与</w:t>
            </w:r>
            <w:r>
              <w:rPr>
                <w:rFonts w:hint="eastAsia" w:cs="Times New Roman"/>
                <w:color w:val="auto"/>
                <w:sz w:val="24"/>
                <w:lang w:eastAsia="zh-CN"/>
              </w:rPr>
              <w:t>“</w:t>
            </w:r>
            <w:r>
              <w:rPr>
                <w:rFonts w:hint="default" w:ascii="Times New Roman" w:hAnsi="Times New Roman" w:eastAsia="宋体" w:cs="Times New Roman"/>
                <w:color w:val="auto"/>
                <w:sz w:val="24"/>
              </w:rPr>
              <w:t>大气污染防治行动计划</w:t>
            </w:r>
            <w:r>
              <w:rPr>
                <w:rFonts w:hint="eastAsia" w:cs="Times New Roman"/>
                <w:color w:val="auto"/>
                <w:sz w:val="24"/>
                <w:lang w:eastAsia="zh-CN"/>
              </w:rPr>
              <w:t>”</w:t>
            </w:r>
            <w:r>
              <w:rPr>
                <w:rFonts w:hint="default" w:ascii="Times New Roman" w:hAnsi="Times New Roman" w:eastAsia="宋体" w:cs="Times New Roman"/>
                <w:color w:val="auto"/>
                <w:sz w:val="24"/>
              </w:rPr>
              <w:t>符合性分析</w:t>
            </w:r>
          </w:p>
          <w:p w14:paraId="5D07B771">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根据《大气污染防治行动计划》（国发〔2013〕37号）、《黑龙江省大气污染防治条例》（2019年）</w:t>
            </w:r>
            <w:r>
              <w:rPr>
                <w:rFonts w:hint="eastAsia" w:cs="Times New Roman"/>
                <w:color w:val="auto"/>
                <w:sz w:val="24"/>
                <w:lang w:eastAsia="zh-CN"/>
              </w:rPr>
              <w:t>、《鸡西市空气质量持续改善行动计划贯彻落实方案》、《关于进一步加强煤炭资源开发环境影响评价管理的通知》、《清洁生产标准 煤炭采选业》（HJ446－2008)</w:t>
            </w:r>
            <w:r>
              <w:rPr>
                <w:rFonts w:hint="default" w:ascii="Times New Roman" w:hAnsi="Times New Roman" w:eastAsia="宋体" w:cs="Times New Roman"/>
                <w:color w:val="auto"/>
                <w:sz w:val="24"/>
              </w:rPr>
              <w:t>，符合性分析见下表。</w:t>
            </w:r>
          </w:p>
          <w:p w14:paraId="2706FB2B">
            <w:pPr>
              <w:pStyle w:val="69"/>
              <w:spacing w:line="240" w:lineRule="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eastAsia"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本项目与大气污染防治计划符合性分析</w:t>
            </w:r>
          </w:p>
          <w:tbl>
            <w:tblPr>
              <w:tblStyle w:val="30"/>
              <w:tblW w:w="821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3"/>
              <w:gridCol w:w="4225"/>
              <w:gridCol w:w="2007"/>
              <w:gridCol w:w="941"/>
            </w:tblGrid>
            <w:tr w14:paraId="5E380B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noWrap w:val="0"/>
                  <w:vAlign w:val="center"/>
                </w:tcPr>
                <w:p w14:paraId="7E2F1968">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文号</w:t>
                  </w:r>
                </w:p>
              </w:tc>
              <w:tc>
                <w:tcPr>
                  <w:tcW w:w="4225" w:type="dxa"/>
                  <w:noWrap w:val="0"/>
                  <w:vAlign w:val="center"/>
                </w:tcPr>
                <w:p w14:paraId="456B4C84">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文件要求</w:t>
                  </w:r>
                </w:p>
              </w:tc>
              <w:tc>
                <w:tcPr>
                  <w:tcW w:w="2007" w:type="dxa"/>
                  <w:noWrap w:val="0"/>
                  <w:vAlign w:val="center"/>
                </w:tcPr>
                <w:p w14:paraId="18F1AC54">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本项目情况</w:t>
                  </w:r>
                </w:p>
              </w:tc>
              <w:tc>
                <w:tcPr>
                  <w:tcW w:w="941" w:type="dxa"/>
                  <w:noWrap w:val="0"/>
                  <w:vAlign w:val="center"/>
                </w:tcPr>
                <w:p w14:paraId="35BDA78F">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符合性</w:t>
                  </w:r>
                </w:p>
              </w:tc>
            </w:tr>
            <w:tr w14:paraId="74FFC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vMerge w:val="restart"/>
                  <w:noWrap w:val="0"/>
                  <w:vAlign w:val="center"/>
                </w:tcPr>
                <w:p w14:paraId="19140949">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《大气污染防治行动计》（国发〔2013〕37号）</w:t>
                  </w:r>
                </w:p>
              </w:tc>
              <w:tc>
                <w:tcPr>
                  <w:tcW w:w="4225" w:type="dxa"/>
                  <w:noWrap w:val="0"/>
                  <w:vAlign w:val="center"/>
                </w:tcPr>
                <w:p w14:paraId="50BA23F3">
                  <w:pPr>
                    <w:autoSpaceDE w:val="0"/>
                    <w:autoSpaceDN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加大综合治理力度，减少多污染物排放（二）深化面源污染治理。综合整治城市扬尘。加强施工扬尘监管，积极推进绿色施工，建设工程施工现场应全封闭设置围挡墙，严禁敞开式作业，施工现场道路应进行地面硬化。渣土运输车辆应采取密闭措施，并逐步安装卫星定位系统。推行道路机械化清扫等低尘作业方式。大型煤堆、料堆要实现封闭储存或建设防风抑尘设施。</w:t>
                  </w:r>
                </w:p>
              </w:tc>
              <w:tc>
                <w:tcPr>
                  <w:tcW w:w="2007" w:type="dxa"/>
                  <w:noWrap w:val="0"/>
                  <w:vAlign w:val="center"/>
                </w:tcPr>
                <w:p w14:paraId="3F4E28DA">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施工的主要工程内容为地面硬化和防风抑尘网设置，施工现场设置围挡，堆场设置防风抑尘网并在堆场顶部苫盖苫布。</w:t>
                  </w:r>
                </w:p>
              </w:tc>
              <w:tc>
                <w:tcPr>
                  <w:tcW w:w="941" w:type="dxa"/>
                  <w:noWrap w:val="0"/>
                  <w:vAlign w:val="center"/>
                </w:tcPr>
                <w:p w14:paraId="358F6111">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B2CAA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vMerge w:val="continue"/>
                  <w:noWrap w:val="0"/>
                  <w:vAlign w:val="center"/>
                </w:tcPr>
                <w:p w14:paraId="4AC8BE98">
                  <w:pPr>
                    <w:autoSpaceDE w:val="0"/>
                    <w:autoSpaceDN w:val="0"/>
                    <w:jc w:val="center"/>
                    <w:rPr>
                      <w:rFonts w:hint="default" w:ascii="Times New Roman" w:hAnsi="Times New Roman" w:eastAsia="宋体" w:cs="Times New Roman"/>
                      <w:color w:val="auto"/>
                      <w:sz w:val="21"/>
                      <w:szCs w:val="21"/>
                    </w:rPr>
                  </w:pPr>
                </w:p>
              </w:tc>
              <w:tc>
                <w:tcPr>
                  <w:tcW w:w="4225" w:type="dxa"/>
                  <w:noWrap w:val="0"/>
                  <w:vAlign w:val="center"/>
                </w:tcPr>
                <w:p w14:paraId="7DCCFEB8">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五、严格节能环保准入，优化产业空间布局（十六）调整产业布局。按照主体功能区规划要求，合理确定重点产业发展布局、结构和规模，重大项目原则上布局在优化开发区和重点开发区。所有新、改、扩建项目，必须全部进行环境影响评价；未通过环境影响评价审批的，一律不准开工建设；违规建设的，要依法进行处罚。加强产业政策在产业转移过程中的引导与约束作用，严格限制在生态脆弱或环境敏感地区建设</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两高</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行业项目。加强对各类产业发展规划的环境影响评价。</w:t>
                  </w:r>
                </w:p>
              </w:tc>
              <w:tc>
                <w:tcPr>
                  <w:tcW w:w="2007" w:type="dxa"/>
                  <w:noWrap w:val="0"/>
                  <w:vAlign w:val="center"/>
                </w:tcPr>
                <w:p w14:paraId="6AF1B649">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本项目正在进行环境影响评价报告编制，尚未开始施工，获批后，项目进行开工建设。</w:t>
                  </w:r>
                </w:p>
              </w:tc>
              <w:tc>
                <w:tcPr>
                  <w:tcW w:w="941" w:type="dxa"/>
                  <w:noWrap w:val="0"/>
                  <w:vAlign w:val="center"/>
                </w:tcPr>
                <w:p w14:paraId="36B02802">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3486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vMerge w:val="restart"/>
                  <w:noWrap w:val="0"/>
                  <w:vAlign w:val="center"/>
                </w:tcPr>
                <w:p w14:paraId="66B49ACB">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《黑龙江省大气污染防治条例》（2019年）</w:t>
                  </w:r>
                </w:p>
              </w:tc>
              <w:tc>
                <w:tcPr>
                  <w:tcW w:w="4225" w:type="dxa"/>
                  <w:noWrap w:val="0"/>
                  <w:vAlign w:val="center"/>
                </w:tcPr>
                <w:p w14:paraId="4178E56B">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第十条 企业事业单位和其他生产经营者建设对大气环境有影响的项目，应当依法进行环境影响评价、公开环境影响评价文件；向大气排放污染物的，应当符合大气污染物排放标准，遵守重点大气污染物排放总控制要求。</w:t>
                  </w:r>
                </w:p>
              </w:tc>
              <w:tc>
                <w:tcPr>
                  <w:tcW w:w="2007" w:type="dxa"/>
                  <w:noWrap w:val="0"/>
                  <w:vAlign w:val="center"/>
                </w:tcPr>
                <w:p w14:paraId="284D7A65">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本项目依法进行环境影响评价、公开环境影响评价文件，项目产生的颗粒物经处理后排放，能够满足大气污染物排放标准。</w:t>
                  </w:r>
                </w:p>
              </w:tc>
              <w:tc>
                <w:tcPr>
                  <w:tcW w:w="941" w:type="dxa"/>
                  <w:noWrap w:val="0"/>
                  <w:vAlign w:val="center"/>
                </w:tcPr>
                <w:p w14:paraId="25845C6A">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E6D6E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vMerge w:val="continue"/>
                  <w:noWrap w:val="0"/>
                  <w:vAlign w:val="center"/>
                </w:tcPr>
                <w:p w14:paraId="5F7CEFE1">
                  <w:pPr>
                    <w:autoSpaceDE w:val="0"/>
                    <w:autoSpaceDN w:val="0"/>
                    <w:jc w:val="center"/>
                    <w:rPr>
                      <w:rFonts w:hint="default" w:ascii="Times New Roman" w:hAnsi="Times New Roman" w:eastAsia="宋体" w:cs="Times New Roman"/>
                      <w:color w:val="auto"/>
                      <w:sz w:val="21"/>
                      <w:szCs w:val="21"/>
                    </w:rPr>
                  </w:pPr>
                </w:p>
              </w:tc>
              <w:tc>
                <w:tcPr>
                  <w:tcW w:w="4225" w:type="dxa"/>
                  <w:noWrap w:val="0"/>
                  <w:vAlign w:val="center"/>
                </w:tcPr>
                <w:p w14:paraId="71B9B6EF">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第十一条 向大气排放污染物的企业事业单位和其他生产经营者，应当配套建设大气污染防治设施。配套建设的大气污染防治设施，应当与主体工程同时设计、同时施工、同时投产使用，不得擅自拆除或者闲置。</w:t>
                  </w:r>
                </w:p>
              </w:tc>
              <w:tc>
                <w:tcPr>
                  <w:tcW w:w="2007" w:type="dxa"/>
                  <w:noWrap w:val="0"/>
                  <w:vAlign w:val="center"/>
                </w:tcPr>
                <w:p w14:paraId="69BE0668">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本项目在储煤场四周建设防风抑尘网并在堆场顶部苫盖苫布，装卸时尽可能缩小高差；储煤场地面全部硬化防渗，采用洒水车定期洒水降尘，不会产生大量扬尘。</w:t>
                  </w:r>
                </w:p>
              </w:tc>
              <w:tc>
                <w:tcPr>
                  <w:tcW w:w="941" w:type="dxa"/>
                  <w:noWrap w:val="0"/>
                  <w:vAlign w:val="center"/>
                </w:tcPr>
                <w:p w14:paraId="46924FCF">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62025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vMerge w:val="restart"/>
                  <w:noWrap w:val="0"/>
                  <w:vAlign w:val="center"/>
                </w:tcPr>
                <w:p w14:paraId="1E0BA45C">
                  <w:pPr>
                    <w:autoSpaceDE w:val="0"/>
                    <w:autoSpaceDN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w:t>
                  </w:r>
                  <w:r>
                    <w:rPr>
                      <w:rFonts w:hint="default" w:ascii="Times New Roman" w:hAnsi="Times New Roman" w:eastAsia="宋体" w:cs="Times New Roman"/>
                      <w:color w:val="auto"/>
                      <w:sz w:val="21"/>
                      <w:szCs w:val="21"/>
                    </w:rPr>
                    <w:t>鸡西市空气质量持续改善行动计划贯彻落实方案</w:t>
                  </w:r>
                  <w:r>
                    <w:rPr>
                      <w:rFonts w:hint="eastAsia" w:cs="Times New Roman"/>
                      <w:color w:val="auto"/>
                      <w:sz w:val="21"/>
                      <w:szCs w:val="21"/>
                      <w:lang w:eastAsia="zh-CN"/>
                    </w:rPr>
                    <w:t>》鸡政发</w:t>
                  </w:r>
                  <w:r>
                    <w:rPr>
                      <w:rFonts w:hint="eastAsia" w:cs="Times New Roman"/>
                      <w:color w:val="auto"/>
                      <w:sz w:val="21"/>
                      <w:szCs w:val="21"/>
                      <w:lang w:val="en-US" w:eastAsia="zh-CN"/>
                    </w:rPr>
                    <w:t>[2024]6号</w:t>
                  </w:r>
                </w:p>
              </w:tc>
              <w:tc>
                <w:tcPr>
                  <w:tcW w:w="4225" w:type="dxa"/>
                  <w:noWrap w:val="0"/>
                  <w:vAlign w:val="center"/>
                </w:tcPr>
                <w:p w14:paraId="21148B4D">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坚决遏制“两高一低”项目盲目上马。严格环境准入要求。新建、改扩建“两高一低”项目应符合产业政策和相关法定规划，满足总量控制、碳达峰目标、生态环境准入清单、生态环境分区管控、相关规划环评等要求，原则上采用清洁运输方式。涉及产能置换的项目，被置换产能及其配套设施同步关停后，新建项目方能投产。</w:t>
                  </w:r>
                </w:p>
                <w:p w14:paraId="5DB7DB30">
                  <w:pPr>
                    <w:widowControl/>
                    <w:jc w:val="both"/>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 xml:space="preserve">严禁新增钢铁产能。如需新增钢铁行业，必须严格按照钢铁产能置换办法，实施钢铁、焦化、烧结布局一体化，采用电炉短流程炼钢，减少独立焦化、烧结、球团和热轧企业及工序，有序淘汰落后煤炭洗选产能。 </w:t>
                  </w:r>
                </w:p>
              </w:tc>
              <w:tc>
                <w:tcPr>
                  <w:tcW w:w="2007" w:type="dxa"/>
                  <w:noWrap w:val="0"/>
                  <w:vAlign w:val="center"/>
                </w:tcPr>
                <w:p w14:paraId="1AB3BA87">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highlight w:val="none"/>
                      <w:lang w:val="en-US" w:eastAsia="zh-CN" w:bidi="ar-SA"/>
                    </w:rPr>
                    <w:t>本项目为</w:t>
                  </w:r>
                  <w:r>
                    <w:rPr>
                      <w:rFonts w:hint="eastAsia" w:cs="Times New Roman"/>
                      <w:color w:val="auto"/>
                      <w:kern w:val="0"/>
                      <w:sz w:val="21"/>
                      <w:szCs w:val="21"/>
                      <w:highlight w:val="none"/>
                      <w:lang w:val="en-US" w:eastAsia="zh-CN" w:bidi="ar-SA"/>
                    </w:rPr>
                    <w:t>储煤场</w:t>
                  </w:r>
                  <w:r>
                    <w:rPr>
                      <w:rFonts w:hint="eastAsia" w:ascii="Times New Roman" w:hAnsi="Times New Roman" w:cs="Times New Roman"/>
                      <w:color w:val="auto"/>
                      <w:kern w:val="0"/>
                      <w:sz w:val="21"/>
                      <w:szCs w:val="21"/>
                      <w:highlight w:val="none"/>
                      <w:lang w:val="en-US" w:eastAsia="zh-CN" w:bidi="ar-SA"/>
                    </w:rPr>
                    <w:t>项目，</w:t>
                  </w:r>
                  <w:r>
                    <w:rPr>
                      <w:rFonts w:hint="eastAsia" w:cs="Times New Roman"/>
                      <w:color w:val="auto"/>
                      <w:kern w:val="0"/>
                      <w:sz w:val="21"/>
                      <w:szCs w:val="21"/>
                      <w:highlight w:val="none"/>
                      <w:lang w:val="en-US" w:eastAsia="zh-CN" w:bidi="ar-SA"/>
                    </w:rPr>
                    <w:t>不属于</w:t>
                  </w:r>
                  <w:r>
                    <w:rPr>
                      <w:rFonts w:hint="default" w:ascii="Times New Roman" w:hAnsi="Times New Roman" w:eastAsia="宋体" w:cs="Times New Roman"/>
                      <w:color w:val="auto"/>
                      <w:sz w:val="21"/>
                      <w:szCs w:val="21"/>
                    </w:rPr>
                    <w:t>“两高一低”项目</w:t>
                  </w:r>
                  <w:r>
                    <w:rPr>
                      <w:rFonts w:hint="eastAsia" w:cs="Times New Roman"/>
                      <w:color w:val="auto"/>
                      <w:kern w:val="0"/>
                      <w:sz w:val="21"/>
                      <w:szCs w:val="21"/>
                      <w:highlight w:val="none"/>
                      <w:lang w:val="en-US" w:eastAsia="zh-CN" w:bidi="ar-SA"/>
                    </w:rPr>
                    <w:t>。</w:t>
                  </w:r>
                </w:p>
              </w:tc>
              <w:tc>
                <w:tcPr>
                  <w:tcW w:w="941" w:type="dxa"/>
                  <w:noWrap w:val="0"/>
                  <w:vAlign w:val="center"/>
                </w:tcPr>
                <w:p w14:paraId="159B16DD">
                  <w:pPr>
                    <w:autoSpaceDE w:val="0"/>
                    <w:autoSpaceDN w:val="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符合</w:t>
                  </w:r>
                </w:p>
              </w:tc>
            </w:tr>
            <w:tr w14:paraId="402881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vMerge w:val="continue"/>
                  <w:noWrap w:val="0"/>
                  <w:vAlign w:val="center"/>
                </w:tcPr>
                <w:p w14:paraId="61008E56">
                  <w:pPr>
                    <w:autoSpaceDE w:val="0"/>
                    <w:autoSpaceDN w:val="0"/>
                    <w:jc w:val="center"/>
                    <w:rPr>
                      <w:rFonts w:hint="default" w:ascii="Times New Roman" w:hAnsi="Times New Roman" w:eastAsia="宋体" w:cs="Times New Roman"/>
                      <w:color w:val="auto"/>
                      <w:sz w:val="21"/>
                      <w:szCs w:val="21"/>
                    </w:rPr>
                  </w:pPr>
                </w:p>
              </w:tc>
              <w:tc>
                <w:tcPr>
                  <w:tcW w:w="4225" w:type="dxa"/>
                  <w:noWrap w:val="0"/>
                  <w:vAlign w:val="center"/>
                </w:tcPr>
                <w:p w14:paraId="4EDB88F1">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加快退出重点行业落后产能。严格执行《产业结构调整指导目录》要求，加快退出淘汰类产能、工艺、装备，提高限制类产能、工艺、装备淘汰改造引导力度。</w:t>
                  </w:r>
                </w:p>
              </w:tc>
              <w:tc>
                <w:tcPr>
                  <w:tcW w:w="2007" w:type="dxa"/>
                  <w:noWrap w:val="0"/>
                  <w:vAlign w:val="center"/>
                </w:tcPr>
                <w:p w14:paraId="1FFBC5A1">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产业结构调整指导目录（2024年本）》，本项目属于“三煤炭第一条：储煤设施建设”，属于鼓励类项目，项目生产过程中不使用国家明令禁止的淘汰类和限制类的工艺和设备，符合国家的产业政策和环保政策。因此本项目的建设符合国家产业政策要求。</w:t>
                  </w:r>
                </w:p>
              </w:tc>
              <w:tc>
                <w:tcPr>
                  <w:tcW w:w="941" w:type="dxa"/>
                  <w:noWrap w:val="0"/>
                  <w:vAlign w:val="center"/>
                </w:tcPr>
                <w:p w14:paraId="07A226AF">
                  <w:pPr>
                    <w:autoSpaceDE w:val="0"/>
                    <w:autoSpaceDN w:val="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符合</w:t>
                  </w:r>
                </w:p>
              </w:tc>
            </w:tr>
            <w:tr w14:paraId="0887EC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vMerge w:val="continue"/>
                  <w:noWrap w:val="0"/>
                  <w:vAlign w:val="center"/>
                </w:tcPr>
                <w:p w14:paraId="445C2BDB">
                  <w:pPr>
                    <w:autoSpaceDE w:val="0"/>
                    <w:autoSpaceDN w:val="0"/>
                    <w:jc w:val="center"/>
                    <w:rPr>
                      <w:rFonts w:hint="default" w:ascii="Times New Roman" w:hAnsi="Times New Roman" w:eastAsia="宋体" w:cs="Times New Roman"/>
                      <w:color w:val="auto"/>
                      <w:sz w:val="21"/>
                      <w:szCs w:val="21"/>
                    </w:rPr>
                  </w:pPr>
                </w:p>
              </w:tc>
              <w:tc>
                <w:tcPr>
                  <w:tcW w:w="4225" w:type="dxa"/>
                  <w:noWrap w:val="0"/>
                  <w:vAlign w:val="center"/>
                </w:tcPr>
                <w:p w14:paraId="7C2C9A03">
                  <w:pPr>
                    <w:widowControl/>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施工业炉窑清洁能源替代。有序推进以电代煤，积极稳妥推进以气代煤。安全稳妥推进使用高污染燃料的工业炉窑改用工业余热、电能、天然气等。支持企业实施工业炉窑节能改造、余热余压利用、集中供热替代等项目。</w:t>
                  </w:r>
                </w:p>
              </w:tc>
              <w:tc>
                <w:tcPr>
                  <w:tcW w:w="2007" w:type="dxa"/>
                  <w:noWrap w:val="0"/>
                  <w:vAlign w:val="center"/>
                </w:tcPr>
                <w:p w14:paraId="1ABDE84A">
                  <w:pPr>
                    <w:widowControl/>
                    <w:jc w:val="both"/>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本项目生产、生活采用电供暖，符合相关要求。</w:t>
                  </w:r>
                </w:p>
              </w:tc>
              <w:tc>
                <w:tcPr>
                  <w:tcW w:w="941" w:type="dxa"/>
                  <w:noWrap w:val="0"/>
                  <w:vAlign w:val="center"/>
                </w:tcPr>
                <w:p w14:paraId="5BFDEDB3">
                  <w:pPr>
                    <w:autoSpaceDE w:val="0"/>
                    <w:autoSpaceDN w:val="0"/>
                    <w:jc w:val="center"/>
                    <w:rPr>
                      <w:rFonts w:hint="default" w:ascii="Times New Roman" w:hAnsi="Times New Roman" w:eastAsia="宋体" w:cs="Times New Roman"/>
                      <w:color w:val="auto"/>
                      <w:sz w:val="21"/>
                      <w:szCs w:val="21"/>
                    </w:rPr>
                  </w:pPr>
                  <w:r>
                    <w:rPr>
                      <w:rFonts w:hint="eastAsia" w:cs="Times New Roman"/>
                      <w:color w:val="auto"/>
                      <w:sz w:val="21"/>
                      <w:szCs w:val="21"/>
                      <w:lang w:eastAsia="zh-CN"/>
                    </w:rPr>
                    <w:t>符合</w:t>
                  </w:r>
                </w:p>
              </w:tc>
            </w:tr>
            <w:tr w14:paraId="248F2C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noWrap w:val="0"/>
                  <w:vAlign w:val="center"/>
                </w:tcPr>
                <w:p w14:paraId="38EF7326">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《关于进一步加强煤炭资源开发环境影响评价管理的通知》</w:t>
                  </w:r>
                </w:p>
              </w:tc>
              <w:tc>
                <w:tcPr>
                  <w:tcW w:w="4225" w:type="dxa"/>
                  <w:noWrap w:val="0"/>
                  <w:vAlign w:val="center"/>
                </w:tcPr>
                <w:p w14:paraId="13DDE238">
                  <w:pPr>
                    <w:widowControl/>
                    <w:jc w:val="both"/>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十三）煤炭、矸石的储存、装卸、输送以及破碎、筛选等产尘环节，应采取有效措施控制扬尘污染，优先采取封闭措施，厂界无组织排放应符合国家和地方相关标准要求；涉及环境敏感区或区域颗粒物超标的，依法采取封闭措施。煤炭企业应针对煤炭运输的扬尘污染提出封闭运输、车辆清洗等防治要求，减少对道路沿线的影响；相关企业应规划建设铁路专用线、码头等，优先采用铁路、水路等方式运输煤炭。</w:t>
                  </w:r>
                </w:p>
              </w:tc>
              <w:tc>
                <w:tcPr>
                  <w:tcW w:w="2007" w:type="dxa"/>
                  <w:noWrap w:val="0"/>
                  <w:vAlign w:val="center"/>
                </w:tcPr>
                <w:p w14:paraId="417B0C1F">
                  <w:pPr>
                    <w:widowControl/>
                    <w:jc w:val="both"/>
                    <w:rPr>
                      <w:rFonts w:hint="eastAsia" w:cs="Times New Roman"/>
                      <w:color w:val="auto"/>
                      <w:sz w:val="21"/>
                      <w:szCs w:val="21"/>
                      <w:lang w:eastAsia="zh-CN"/>
                    </w:rPr>
                  </w:pPr>
                  <w:r>
                    <w:rPr>
                      <w:rFonts w:hint="eastAsia" w:cs="Times New Roman"/>
                      <w:color w:val="auto"/>
                      <w:sz w:val="21"/>
                      <w:szCs w:val="21"/>
                      <w:lang w:eastAsia="zh-CN"/>
                    </w:rPr>
                    <w:t>本项目通过建设防风抑尘网配合苫布覆盖可有效降低风速，减少起尘量，同时搭配洒水车用于现场的洒水降尘，预测部分无组织排放满足相关标准要求；本项目车辆封闭运输且定期清洗。</w:t>
                  </w:r>
                </w:p>
              </w:tc>
              <w:tc>
                <w:tcPr>
                  <w:tcW w:w="941" w:type="dxa"/>
                  <w:noWrap w:val="0"/>
                  <w:vAlign w:val="center"/>
                </w:tcPr>
                <w:p w14:paraId="402EE321">
                  <w:pPr>
                    <w:autoSpaceDE w:val="0"/>
                    <w:autoSpaceDN w:val="0"/>
                    <w:jc w:val="center"/>
                    <w:rPr>
                      <w:rFonts w:hint="eastAsia" w:cs="Times New Roman"/>
                      <w:color w:val="auto"/>
                      <w:sz w:val="21"/>
                      <w:szCs w:val="21"/>
                      <w:lang w:eastAsia="zh-CN"/>
                    </w:rPr>
                  </w:pPr>
                  <w:r>
                    <w:rPr>
                      <w:rFonts w:hint="eastAsia" w:cs="Times New Roman"/>
                      <w:color w:val="auto"/>
                      <w:sz w:val="21"/>
                      <w:szCs w:val="21"/>
                      <w:lang w:eastAsia="zh-CN"/>
                    </w:rPr>
                    <w:t>符合</w:t>
                  </w:r>
                </w:p>
              </w:tc>
            </w:tr>
            <w:tr w14:paraId="2CED88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3" w:type="dxa"/>
                  <w:noWrap w:val="0"/>
                  <w:vAlign w:val="center"/>
                </w:tcPr>
                <w:p w14:paraId="75460BAF">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《清洁生产标准 煤炭采选业》（HJ446－2008)</w:t>
                  </w:r>
                </w:p>
              </w:tc>
              <w:tc>
                <w:tcPr>
                  <w:tcW w:w="4225" w:type="dxa"/>
                  <w:noWrap w:val="0"/>
                  <w:vAlign w:val="center"/>
                </w:tcPr>
                <w:p w14:paraId="00D476A9">
                  <w:pPr>
                    <w:widowControl/>
                    <w:jc w:val="both"/>
                    <w:rPr>
                      <w:rFonts w:hint="eastAsia" w:cs="Times New Roman"/>
                      <w:color w:val="auto"/>
                      <w:sz w:val="21"/>
                      <w:szCs w:val="21"/>
                      <w:lang w:eastAsia="zh-CN"/>
                    </w:rPr>
                  </w:pPr>
                  <w:r>
                    <w:rPr>
                      <w:rFonts w:hint="eastAsia" w:cs="Times New Roman"/>
                      <w:color w:val="auto"/>
                      <w:sz w:val="21"/>
                      <w:szCs w:val="21"/>
                      <w:lang w:eastAsia="zh-CN"/>
                    </w:rPr>
                    <w:t>储煤设施工艺及装备：三级要求筒仓或全封闭的储煤场及挡风抑尘措施和洒水喷淋装置的储煤场</w:t>
                  </w:r>
                </w:p>
              </w:tc>
              <w:tc>
                <w:tcPr>
                  <w:tcW w:w="2007" w:type="dxa"/>
                  <w:noWrap w:val="0"/>
                  <w:vAlign w:val="center"/>
                </w:tcPr>
                <w:p w14:paraId="7F6D0507">
                  <w:pPr>
                    <w:widowControl/>
                    <w:jc w:val="both"/>
                    <w:rPr>
                      <w:rFonts w:hint="eastAsia" w:cs="Times New Roman"/>
                      <w:color w:val="auto"/>
                      <w:sz w:val="21"/>
                      <w:szCs w:val="21"/>
                      <w:lang w:eastAsia="zh-CN"/>
                    </w:rPr>
                  </w:pPr>
                  <w:r>
                    <w:rPr>
                      <w:rFonts w:hint="eastAsia" w:cs="Times New Roman"/>
                      <w:color w:val="auto"/>
                      <w:sz w:val="21"/>
                      <w:szCs w:val="21"/>
                      <w:lang w:eastAsia="zh-CN"/>
                    </w:rPr>
                    <w:t>本项目建设防风抑尘网搭配洒水车用于现场的洒水降尘的储煤场实现出煤设施工艺。</w:t>
                  </w:r>
                </w:p>
              </w:tc>
              <w:tc>
                <w:tcPr>
                  <w:tcW w:w="941" w:type="dxa"/>
                  <w:noWrap w:val="0"/>
                  <w:vAlign w:val="center"/>
                </w:tcPr>
                <w:p w14:paraId="3B7FD199">
                  <w:pPr>
                    <w:autoSpaceDE w:val="0"/>
                    <w:autoSpaceDN w:val="0"/>
                    <w:jc w:val="center"/>
                    <w:rPr>
                      <w:rFonts w:hint="eastAsia" w:cs="Times New Roman"/>
                      <w:color w:val="auto"/>
                      <w:sz w:val="21"/>
                      <w:szCs w:val="21"/>
                      <w:lang w:eastAsia="zh-CN"/>
                    </w:rPr>
                  </w:pPr>
                  <w:r>
                    <w:rPr>
                      <w:rFonts w:hint="eastAsia" w:cs="Times New Roman"/>
                      <w:color w:val="auto"/>
                      <w:sz w:val="21"/>
                      <w:szCs w:val="21"/>
                      <w:lang w:eastAsia="zh-CN"/>
                    </w:rPr>
                    <w:t>符合</w:t>
                  </w:r>
                </w:p>
              </w:tc>
            </w:tr>
          </w:tbl>
          <w:p w14:paraId="15491F8C">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综上所述，本项目建设符合《大气污染防治行动计划》（国发〔2013〕37号）、《黑龙江省大气污染防治条例》</w:t>
            </w:r>
            <w:r>
              <w:rPr>
                <w:rFonts w:hint="eastAsia" w:cs="Times New Roman"/>
                <w:color w:val="auto"/>
                <w:sz w:val="24"/>
                <w:lang w:eastAsia="zh-CN"/>
              </w:rPr>
              <w:t>、《鸡西市空气质量持续改善行动计划贯彻落实方案》（鸡政发[2024]6号）、《关于进一步加强煤炭资源开发环境影响评价管理的通知》、《清洁生产标准 煤炭采选业》（HJ446－2008</w:t>
            </w:r>
            <w:r>
              <w:rPr>
                <w:rFonts w:hint="eastAsia" w:cs="Times New Roman"/>
                <w:color w:val="auto"/>
                <w:sz w:val="24"/>
                <w:lang w:val="en-US" w:eastAsia="zh-CN"/>
              </w:rPr>
              <w:t>）</w:t>
            </w:r>
            <w:r>
              <w:rPr>
                <w:rFonts w:hint="default" w:ascii="Times New Roman" w:hAnsi="Times New Roman" w:eastAsia="宋体" w:cs="Times New Roman"/>
                <w:color w:val="auto"/>
                <w:sz w:val="24"/>
              </w:rPr>
              <w:t>中的相关政策要求。</w:t>
            </w:r>
          </w:p>
          <w:p w14:paraId="4CFB3819">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w:t>
            </w:r>
            <w:r>
              <w:rPr>
                <w:rFonts w:hint="eastAsia" w:cs="Times New Roman"/>
                <w:color w:val="auto"/>
                <w:sz w:val="24"/>
                <w:lang w:val="en-US" w:eastAsia="zh-CN"/>
              </w:rPr>
              <w:t>2</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与《黑龙江省人民政府关于印发黑龙江省大气污染防治行动计划实施细则的通知》（黑政发〔2014〕1号）“高污染燃料禁燃区”符合性分析</w:t>
            </w:r>
          </w:p>
          <w:p w14:paraId="3EA19BFB">
            <w:pPr>
              <w:pStyle w:val="69"/>
              <w:spacing w:line="240" w:lineRule="auto"/>
              <w:rPr>
                <w:rFonts w:hint="default" w:ascii="Times New Roman" w:hAnsi="Times New Roman" w:eastAsia="宋体" w:cs="Times New Roman"/>
                <w:color w:val="auto"/>
                <w:sz w:val="24"/>
                <w:lang w:val="en-US"/>
              </w:rPr>
            </w:pPr>
            <w:r>
              <w:rPr>
                <w:rFonts w:eastAsia="宋体" w:cs="Times New Roman"/>
                <w:b/>
                <w:bCs/>
                <w:color w:val="auto"/>
                <w:sz w:val="21"/>
                <w:szCs w:val="21"/>
                <w:lang w:eastAsia="zh-CN"/>
              </w:rPr>
              <w:t>表1-</w:t>
            </w:r>
            <w:r>
              <w:rPr>
                <w:rFonts w:hint="eastAsia" w:eastAsia="宋体" w:cs="Times New Roman"/>
                <w:b/>
                <w:bCs/>
                <w:color w:val="auto"/>
                <w:sz w:val="21"/>
                <w:szCs w:val="21"/>
                <w:lang w:val="en-US" w:eastAsia="zh-CN"/>
              </w:rPr>
              <w:t>4</w:t>
            </w:r>
            <w:r>
              <w:rPr>
                <w:rFonts w:eastAsia="宋体" w:cs="Times New Roman"/>
                <w:b/>
                <w:bCs/>
                <w:color w:val="auto"/>
                <w:sz w:val="21"/>
                <w:szCs w:val="21"/>
                <w:lang w:eastAsia="zh-CN"/>
              </w:rPr>
              <w:t xml:space="preserve"> </w:t>
            </w:r>
            <w:r>
              <w:rPr>
                <w:rFonts w:hint="eastAsia" w:eastAsia="宋体" w:cs="Times New Roman"/>
                <w:b/>
                <w:bCs/>
                <w:color w:val="auto"/>
                <w:sz w:val="21"/>
                <w:szCs w:val="21"/>
                <w:lang w:eastAsia="zh-CN"/>
              </w:rPr>
              <w:t>与《黑龙江省人民政府关于印发黑龙江省大气污染防治行动计划实施细则的通知》符合性分析一览表</w:t>
            </w:r>
          </w:p>
          <w:tbl>
            <w:tblPr>
              <w:tblStyle w:val="30"/>
              <w:tblW w:w="49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42"/>
              <w:gridCol w:w="3747"/>
              <w:gridCol w:w="3101"/>
              <w:gridCol w:w="544"/>
            </w:tblGrid>
            <w:tr w14:paraId="6A52FE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38" w:hRule="atLeast"/>
                <w:jc w:val="center"/>
              </w:trPr>
              <w:tc>
                <w:tcPr>
                  <w:tcW w:w="456" w:type="pct"/>
                  <w:tcBorders>
                    <w:tl2br w:val="nil"/>
                    <w:tr2bl w:val="nil"/>
                  </w:tcBorders>
                  <w:noWrap w:val="0"/>
                  <w:vAlign w:val="center"/>
                </w:tcPr>
                <w:p w14:paraId="4BB11CBA">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政策名称</w:t>
                  </w:r>
                </w:p>
              </w:tc>
              <w:tc>
                <w:tcPr>
                  <w:tcW w:w="2303" w:type="pct"/>
                  <w:tcBorders>
                    <w:tl2br w:val="nil"/>
                    <w:tr2bl w:val="nil"/>
                  </w:tcBorders>
                  <w:noWrap w:val="0"/>
                  <w:vAlign w:val="center"/>
                </w:tcPr>
                <w:p w14:paraId="71436E50">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政策要求</w:t>
                  </w:r>
                </w:p>
              </w:tc>
              <w:tc>
                <w:tcPr>
                  <w:tcW w:w="1906" w:type="pct"/>
                  <w:tcBorders>
                    <w:tl2br w:val="nil"/>
                    <w:tr2bl w:val="nil"/>
                  </w:tcBorders>
                  <w:noWrap w:val="0"/>
                  <w:vAlign w:val="center"/>
                </w:tcPr>
                <w:p w14:paraId="5BA2E638">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本项目</w:t>
                  </w:r>
                </w:p>
              </w:tc>
              <w:tc>
                <w:tcPr>
                  <w:tcW w:w="334" w:type="pct"/>
                  <w:tcBorders>
                    <w:tl2br w:val="nil"/>
                    <w:tr2bl w:val="nil"/>
                  </w:tcBorders>
                  <w:noWrap w:val="0"/>
                  <w:vAlign w:val="center"/>
                </w:tcPr>
                <w:p w14:paraId="092E6800">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符合</w:t>
                  </w:r>
                  <w:r>
                    <w:rPr>
                      <w:rFonts w:hint="default" w:ascii="Times New Roman" w:hAnsi="Times New Roman" w:eastAsia="宋体" w:cs="Times New Roman"/>
                      <w:b/>
                      <w:bCs/>
                      <w:color w:val="auto"/>
                      <w:sz w:val="21"/>
                      <w:szCs w:val="21"/>
                      <w:highlight w:val="none"/>
                    </w:rPr>
                    <w:t>性</w:t>
                  </w:r>
                </w:p>
              </w:tc>
            </w:tr>
            <w:tr w14:paraId="49CDEC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07" w:hRule="atLeast"/>
                <w:jc w:val="center"/>
              </w:trPr>
              <w:tc>
                <w:tcPr>
                  <w:tcW w:w="456" w:type="pct"/>
                  <w:tcBorders>
                    <w:tl2br w:val="nil"/>
                    <w:tr2bl w:val="nil"/>
                  </w:tcBorders>
                  <w:noWrap w:val="0"/>
                  <w:vAlign w:val="center"/>
                </w:tcPr>
                <w:p w14:paraId="2772B140">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《黑龙江省人民政府关于印发黑龙江省大气污染防治行动计划实施细则的通知》</w:t>
                  </w:r>
                </w:p>
              </w:tc>
              <w:tc>
                <w:tcPr>
                  <w:tcW w:w="2303" w:type="pct"/>
                  <w:tcBorders>
                    <w:tl2br w:val="nil"/>
                    <w:tr2bl w:val="nil"/>
                  </w:tcBorders>
                  <w:noWrap w:val="0"/>
                  <w:vAlign w:val="center"/>
                </w:tcPr>
                <w:p w14:paraId="68E32A5B">
                  <w:pPr>
                    <w:adjustRightInd w:val="0"/>
                    <w:snapToGrid w:val="0"/>
                    <w:jc w:val="both"/>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snapToGrid w:val="0"/>
                      <w:color w:val="auto"/>
                      <w:kern w:val="0"/>
                      <w:sz w:val="21"/>
                      <w:szCs w:val="21"/>
                      <w:highlight w:val="none"/>
                    </w:rPr>
                    <w:t>（一）加大城市综合治理力度，全面推进大气污染物减排</w:t>
                  </w:r>
                </w:p>
                <w:p w14:paraId="10B427F3">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2</w:t>
                  </w:r>
                  <w:r>
                    <w:rPr>
                      <w:rFonts w:hint="eastAsia" w:cs="Times New Roman"/>
                      <w:snapToGrid w:val="0"/>
                      <w:color w:val="auto"/>
                      <w:kern w:val="0"/>
                      <w:sz w:val="21"/>
                      <w:szCs w:val="21"/>
                      <w:highlight w:val="none"/>
                      <w:lang w:eastAsia="zh-CN"/>
                    </w:rPr>
                    <w:t>、</w:t>
                  </w:r>
                  <w:r>
                    <w:rPr>
                      <w:rFonts w:hint="default" w:ascii="Times New Roman" w:hAnsi="Times New Roman" w:eastAsia="宋体" w:cs="Times New Roman"/>
                      <w:snapToGrid w:val="0"/>
                      <w:color w:val="auto"/>
                      <w:kern w:val="0"/>
                      <w:sz w:val="21"/>
                      <w:szCs w:val="21"/>
                      <w:highlight w:val="none"/>
                    </w:rPr>
                    <w:t>加强扬尘控制，深化面源污染治理。各地要大力推进园林城市建设，提高街道两侧硬化率、绿化率，减少市区、城乡结合部街路裸露地面。运输渣土、沙石等车辆必须采取密闭措施，并逐步安装卫星定位系统。推行道路机械化清扫等高效、低尘作业方式。建设工程施工现场必须设置全封闭围挡墙，严禁敞开式作业。大力推广预拌砂浆，减少施工现场污染。建筑施工场地出口道路必须硬化并设置车辆清洗平台，对出场车辆逐台进行清洗。大型堆场应建立密闭料仓与传送装置，露天堆放的应建设防风抑尘网等；长期堆放的废弃物，应采取覆绿、铺装、硬化、定期喷洒抑尘剂或稳定剂等措施，控制扬尘污染。</w:t>
                  </w:r>
                </w:p>
              </w:tc>
              <w:tc>
                <w:tcPr>
                  <w:tcW w:w="1906" w:type="pct"/>
                  <w:tcBorders>
                    <w:tl2br w:val="nil"/>
                    <w:tr2bl w:val="nil"/>
                  </w:tcBorders>
                  <w:noWrap w:val="0"/>
                  <w:vAlign w:val="center"/>
                </w:tcPr>
                <w:p w14:paraId="6BD49584">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eastAsia="zh-CN"/>
                    </w:rPr>
                    <w:t>本项目</w:t>
                  </w:r>
                  <w:r>
                    <w:rPr>
                      <w:rFonts w:hint="eastAsia" w:cs="Times New Roman"/>
                      <w:snapToGrid w:val="0"/>
                      <w:color w:val="auto"/>
                      <w:kern w:val="0"/>
                      <w:sz w:val="21"/>
                      <w:szCs w:val="21"/>
                      <w:highlight w:val="none"/>
                      <w:lang w:eastAsia="zh-CN"/>
                    </w:rPr>
                    <w:t>厂区全面硬化处理，道路采用水泥硬化，加强扬尘控制；运输车辆采用苫布苫盖、洒水降尘措施；施工现场进行围挡，严禁敞开作业；堆场四周设置防风抑尘网并进行洒水降尘措施进一步控制扬尘污染，符合《黑龙江省人民政府关于印发黑龙江省大气污染防治行动计划实施细则的通知》中的要求。</w:t>
                  </w:r>
                </w:p>
              </w:tc>
              <w:tc>
                <w:tcPr>
                  <w:tcW w:w="334" w:type="pct"/>
                  <w:tcBorders>
                    <w:tl2br w:val="nil"/>
                    <w:tr2bl w:val="nil"/>
                  </w:tcBorders>
                  <w:noWrap w:val="0"/>
                  <w:vAlign w:val="center"/>
                </w:tcPr>
                <w:p w14:paraId="22B56323">
                  <w:pPr>
                    <w:adjustRightInd w:val="0"/>
                    <w:snapToGrid w:val="0"/>
                    <w:spacing w:line="36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bl>
          <w:p w14:paraId="09DDCFFD">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cs="Times New Roman"/>
                <w:color w:val="auto"/>
                <w:sz w:val="24"/>
                <w:lang w:val="en-US" w:eastAsia="zh-CN"/>
              </w:rPr>
              <w:t>3</w:t>
            </w:r>
            <w:r>
              <w:rPr>
                <w:rFonts w:hint="default" w:ascii="Times New Roman" w:hAnsi="Times New Roman" w:eastAsia="宋体" w:cs="Times New Roman"/>
                <w:color w:val="auto"/>
                <w:sz w:val="24"/>
              </w:rPr>
              <w:t>）</w:t>
            </w:r>
            <w:r>
              <w:rPr>
                <w:rFonts w:hint="eastAsia" w:cs="Times New Roman"/>
                <w:color w:val="auto"/>
                <w:sz w:val="24"/>
                <w:lang w:eastAsia="zh-CN"/>
              </w:rPr>
              <w:t>《</w:t>
            </w:r>
            <w:r>
              <w:rPr>
                <w:rFonts w:hint="eastAsia" w:ascii="Times New Roman" w:hAnsi="Times New Roman" w:eastAsia="宋体" w:cs="Times New Roman"/>
                <w:color w:val="auto"/>
                <w:sz w:val="24"/>
                <w:lang w:eastAsia="zh-CN"/>
              </w:rPr>
              <w:t>鸡西市国民经济和社会发展第十五个五年规划纲要</w:t>
            </w:r>
            <w:r>
              <w:rPr>
                <w:rFonts w:hint="eastAsia" w:cs="Times New Roman"/>
                <w:color w:val="auto"/>
                <w:sz w:val="24"/>
                <w:lang w:eastAsia="zh-CN"/>
              </w:rPr>
              <w:t>》</w:t>
            </w:r>
            <w:r>
              <w:rPr>
                <w:rFonts w:ascii="Times New Roman" w:hAnsi="Times New Roman" w:eastAsia="宋体" w:cs="Times New Roman"/>
                <w:color w:val="auto"/>
                <w:sz w:val="24"/>
                <w:lang w:eastAsia="zh-CN"/>
              </w:rPr>
              <w:t>符合性分析</w:t>
            </w:r>
          </w:p>
          <w:p w14:paraId="2CCE1C94">
            <w:pPr>
              <w:spacing w:line="360" w:lineRule="auto"/>
              <w:ind w:firstLine="480" w:firstLineChars="200"/>
              <w:jc w:val="both"/>
              <w:rPr>
                <w:rFonts w:ascii="Times New Roman" w:hAnsi="Times New Roman" w:eastAsia="宋体" w:cs="Times New Roman"/>
                <w:color w:val="auto"/>
                <w:sz w:val="30"/>
                <w:szCs w:val="30"/>
                <w:lang w:eastAsia="zh-CN"/>
              </w:rPr>
            </w:pPr>
            <w:r>
              <w:rPr>
                <w:rFonts w:ascii="Times New Roman" w:hAnsi="Times New Roman" w:eastAsia="宋体" w:cs="Times New Roman"/>
                <w:color w:val="auto"/>
                <w:sz w:val="24"/>
                <w:lang w:eastAsia="zh-CN"/>
              </w:rPr>
              <w:t>对照</w:t>
            </w:r>
            <w:r>
              <w:rPr>
                <w:rFonts w:hint="eastAsia" w:cs="Times New Roman"/>
                <w:color w:val="auto"/>
                <w:sz w:val="24"/>
                <w:lang w:eastAsia="zh-CN"/>
              </w:rPr>
              <w:t>《</w:t>
            </w:r>
            <w:r>
              <w:rPr>
                <w:rFonts w:hint="eastAsia" w:ascii="Times New Roman" w:hAnsi="Times New Roman" w:eastAsia="宋体" w:cs="Times New Roman"/>
                <w:color w:val="auto"/>
                <w:sz w:val="24"/>
                <w:lang w:eastAsia="zh-CN"/>
              </w:rPr>
              <w:t>鸡西市国民经济和社会发展第十五个五年规划纲要</w:t>
            </w:r>
            <w:r>
              <w:rPr>
                <w:rFonts w:hint="eastAsia" w:cs="Times New Roman"/>
                <w:color w:val="auto"/>
                <w:sz w:val="24"/>
                <w:lang w:eastAsia="zh-CN"/>
              </w:rPr>
              <w:t>》的通知</w:t>
            </w:r>
            <w:r>
              <w:rPr>
                <w:rFonts w:ascii="Times New Roman" w:hAnsi="Times New Roman" w:eastAsia="宋体" w:cs="Times New Roman"/>
                <w:color w:val="auto"/>
                <w:sz w:val="24"/>
                <w:lang w:eastAsia="zh-CN"/>
              </w:rPr>
              <w:t>（鸡政</w:t>
            </w:r>
            <w:r>
              <w:rPr>
                <w:rFonts w:hint="eastAsia" w:cs="Times New Roman"/>
                <w:color w:val="auto"/>
                <w:sz w:val="24"/>
                <w:lang w:eastAsia="zh-CN"/>
              </w:rPr>
              <w:t>发</w:t>
            </w:r>
            <w:r>
              <w:rPr>
                <w:rFonts w:ascii="Times New Roman" w:hAnsi="Times New Roman" w:eastAsia="宋体" w:cs="Times New Roman"/>
                <w:color w:val="auto"/>
                <w:sz w:val="24"/>
                <w:lang w:eastAsia="zh-CN"/>
              </w:rPr>
              <w:t>【202</w:t>
            </w:r>
            <w:r>
              <w:rPr>
                <w:rFonts w:hint="eastAsia" w:cs="Times New Roman"/>
                <w:color w:val="auto"/>
                <w:sz w:val="24"/>
                <w:lang w:val="en-US" w:eastAsia="zh-CN"/>
              </w:rPr>
              <w:t>6</w:t>
            </w:r>
            <w:r>
              <w:rPr>
                <w:rFonts w:ascii="Times New Roman" w:hAnsi="Times New Roman" w:eastAsia="宋体" w:cs="Times New Roman"/>
                <w:color w:val="auto"/>
                <w:sz w:val="24"/>
                <w:lang w:eastAsia="zh-CN"/>
              </w:rPr>
              <w:t>】</w:t>
            </w:r>
            <w:r>
              <w:rPr>
                <w:rFonts w:hint="eastAsia" w:cs="Times New Roman"/>
                <w:color w:val="auto"/>
                <w:sz w:val="24"/>
                <w:lang w:val="en-US" w:eastAsia="zh-CN"/>
              </w:rPr>
              <w:t>5</w:t>
            </w:r>
            <w:r>
              <w:rPr>
                <w:rFonts w:ascii="Times New Roman" w:hAnsi="Times New Roman" w:eastAsia="宋体" w:cs="Times New Roman"/>
                <w:color w:val="auto"/>
                <w:sz w:val="24"/>
                <w:lang w:eastAsia="zh-CN"/>
              </w:rPr>
              <w:t>号）的相关内容，对与本项目有关的内容进行对比分析，见表1-</w:t>
            </w:r>
            <w:r>
              <w:rPr>
                <w:rFonts w:hint="eastAsia" w:cs="Times New Roman"/>
                <w:color w:val="auto"/>
                <w:sz w:val="24"/>
                <w:lang w:val="en-US" w:eastAsia="zh-CN"/>
              </w:rPr>
              <w:t>5</w:t>
            </w:r>
            <w:r>
              <w:rPr>
                <w:rFonts w:ascii="Times New Roman" w:hAnsi="Times New Roman" w:eastAsia="宋体" w:cs="Times New Roman"/>
                <w:color w:val="auto"/>
                <w:sz w:val="24"/>
                <w:lang w:eastAsia="zh-CN"/>
              </w:rPr>
              <w:t>。</w:t>
            </w:r>
          </w:p>
          <w:p w14:paraId="7A2B1508">
            <w:pPr>
              <w:pStyle w:val="69"/>
              <w:spacing w:line="240" w:lineRule="auto"/>
              <w:rPr>
                <w:rFonts w:eastAsia="宋体" w:cs="Times New Roman"/>
                <w:b/>
                <w:bCs/>
                <w:color w:val="auto"/>
                <w:sz w:val="21"/>
                <w:szCs w:val="21"/>
                <w:lang w:eastAsia="zh-CN"/>
              </w:rPr>
            </w:pPr>
            <w:r>
              <w:rPr>
                <w:rFonts w:eastAsia="宋体" w:cs="Times New Roman"/>
                <w:b/>
                <w:bCs/>
                <w:color w:val="auto"/>
                <w:sz w:val="21"/>
                <w:szCs w:val="21"/>
                <w:lang w:eastAsia="zh-CN"/>
              </w:rPr>
              <w:t>表1-</w:t>
            </w:r>
            <w:r>
              <w:rPr>
                <w:rFonts w:hint="eastAsia" w:eastAsia="宋体" w:cs="Times New Roman"/>
                <w:b/>
                <w:bCs/>
                <w:color w:val="auto"/>
                <w:sz w:val="21"/>
                <w:szCs w:val="21"/>
                <w:lang w:val="en-US" w:eastAsia="zh-CN"/>
              </w:rPr>
              <w:t>5</w:t>
            </w:r>
            <w:r>
              <w:rPr>
                <w:rFonts w:eastAsia="宋体" w:cs="Times New Roman"/>
                <w:b/>
                <w:bCs/>
                <w:color w:val="auto"/>
                <w:sz w:val="21"/>
                <w:szCs w:val="21"/>
                <w:lang w:eastAsia="zh-CN"/>
              </w:rPr>
              <w:t xml:space="preserve"> 与</w:t>
            </w:r>
            <w:r>
              <w:rPr>
                <w:rFonts w:hint="eastAsia" w:eastAsia="宋体" w:cs="Times New Roman"/>
                <w:b/>
                <w:bCs/>
                <w:color w:val="auto"/>
                <w:sz w:val="21"/>
                <w:szCs w:val="21"/>
                <w:lang w:eastAsia="zh-CN"/>
              </w:rPr>
              <w:t>《鸡西市国民经济和社会发展第十五个五年规划纲要》</w:t>
            </w:r>
            <w:r>
              <w:rPr>
                <w:rFonts w:eastAsia="宋体" w:cs="Times New Roman"/>
                <w:b/>
                <w:bCs/>
                <w:color w:val="auto"/>
                <w:sz w:val="21"/>
                <w:szCs w:val="21"/>
                <w:lang w:eastAsia="zh-CN"/>
              </w:rPr>
              <w:t>相符性一览表</w:t>
            </w:r>
          </w:p>
          <w:tbl>
            <w:tblPr>
              <w:tblStyle w:val="3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89"/>
              <w:gridCol w:w="2185"/>
              <w:gridCol w:w="651"/>
            </w:tblGrid>
            <w:tr w14:paraId="547262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89" w:type="dxa"/>
                  <w:tcBorders>
                    <w:tl2br w:val="nil"/>
                    <w:tr2bl w:val="nil"/>
                  </w:tcBorders>
                  <w:vAlign w:val="center"/>
                </w:tcPr>
                <w:p w14:paraId="61D2C7BE">
                  <w:pPr>
                    <w:pStyle w:val="72"/>
                    <w:widowControl/>
                    <w:adjustRightInd/>
                    <w:snapToGrid/>
                    <w:spacing w:line="240" w:lineRule="auto"/>
                    <w:ind w:firstLine="0" w:firstLineChars="0"/>
                    <w:jc w:val="center"/>
                    <w:rPr>
                      <w:rFonts w:ascii="Times New Roman" w:hAnsi="Times New Roman" w:eastAsia="宋体" w:cs="Times New Roman"/>
                      <w:b/>
                      <w:bCs/>
                      <w:color w:val="auto"/>
                      <w:sz w:val="21"/>
                      <w:szCs w:val="21"/>
                      <w:lang w:eastAsia="zh-CN"/>
                    </w:rPr>
                  </w:pPr>
                  <w:r>
                    <w:rPr>
                      <w:rFonts w:ascii="Times New Roman" w:hAnsi="Times New Roman" w:eastAsia="宋体" w:cs="Times New Roman"/>
                      <w:b/>
                      <w:bCs/>
                      <w:color w:val="auto"/>
                      <w:sz w:val="21"/>
                      <w:szCs w:val="21"/>
                      <w:lang w:eastAsia="zh-CN"/>
                    </w:rPr>
                    <w:t>相关规定</w:t>
                  </w:r>
                </w:p>
              </w:tc>
              <w:tc>
                <w:tcPr>
                  <w:tcW w:w="2185" w:type="dxa"/>
                  <w:tcBorders>
                    <w:tl2br w:val="nil"/>
                    <w:tr2bl w:val="nil"/>
                  </w:tcBorders>
                  <w:vAlign w:val="center"/>
                </w:tcPr>
                <w:p w14:paraId="6E45BD54">
                  <w:pPr>
                    <w:pStyle w:val="72"/>
                    <w:widowControl/>
                    <w:adjustRightInd/>
                    <w:snapToGrid/>
                    <w:spacing w:line="240" w:lineRule="auto"/>
                    <w:ind w:firstLine="0" w:firstLineChars="0"/>
                    <w:jc w:val="center"/>
                    <w:rPr>
                      <w:rFonts w:ascii="Times New Roman" w:hAnsi="Times New Roman" w:eastAsia="宋体" w:cs="Times New Roman"/>
                      <w:b/>
                      <w:bCs/>
                      <w:color w:val="auto"/>
                      <w:sz w:val="21"/>
                      <w:szCs w:val="21"/>
                      <w:lang w:eastAsia="zh-CN"/>
                    </w:rPr>
                  </w:pPr>
                  <w:r>
                    <w:rPr>
                      <w:rFonts w:ascii="Times New Roman" w:hAnsi="Times New Roman" w:eastAsia="宋体" w:cs="Times New Roman"/>
                      <w:b/>
                      <w:bCs/>
                      <w:color w:val="auto"/>
                      <w:sz w:val="21"/>
                      <w:szCs w:val="21"/>
                      <w:lang w:eastAsia="zh-CN"/>
                    </w:rPr>
                    <w:t>本项目情况</w:t>
                  </w:r>
                </w:p>
              </w:tc>
              <w:tc>
                <w:tcPr>
                  <w:tcW w:w="651" w:type="dxa"/>
                  <w:tcBorders>
                    <w:tl2br w:val="nil"/>
                    <w:tr2bl w:val="nil"/>
                  </w:tcBorders>
                  <w:vAlign w:val="center"/>
                </w:tcPr>
                <w:p w14:paraId="047D42A5">
                  <w:pPr>
                    <w:pStyle w:val="72"/>
                    <w:widowControl/>
                    <w:adjustRightInd/>
                    <w:snapToGrid/>
                    <w:spacing w:line="240" w:lineRule="auto"/>
                    <w:ind w:firstLine="0" w:firstLineChars="0"/>
                    <w:jc w:val="center"/>
                    <w:rPr>
                      <w:rFonts w:ascii="Times New Roman" w:hAnsi="Times New Roman" w:eastAsia="宋体" w:cs="Times New Roman"/>
                      <w:b/>
                      <w:bCs/>
                      <w:color w:val="auto"/>
                      <w:sz w:val="21"/>
                      <w:szCs w:val="21"/>
                      <w:lang w:eastAsia="zh-CN"/>
                    </w:rPr>
                  </w:pPr>
                  <w:r>
                    <w:rPr>
                      <w:rFonts w:ascii="Times New Roman" w:hAnsi="Times New Roman" w:eastAsia="宋体" w:cs="Times New Roman"/>
                      <w:b/>
                      <w:bCs/>
                      <w:color w:val="auto"/>
                      <w:sz w:val="21"/>
                      <w:szCs w:val="21"/>
                      <w:lang w:eastAsia="zh-CN"/>
                    </w:rPr>
                    <w:t>分析结果</w:t>
                  </w:r>
                </w:p>
              </w:tc>
            </w:tr>
            <w:tr w14:paraId="186D0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89" w:type="dxa"/>
                  <w:tcBorders>
                    <w:tl2br w:val="nil"/>
                    <w:tr2bl w:val="nil"/>
                  </w:tcBorders>
                  <w:vAlign w:val="center"/>
                </w:tcPr>
                <w:p w14:paraId="4B51CBB6">
                  <w:pPr>
                    <w:adjustRightInd w:val="0"/>
                    <w:snapToGrid w:val="0"/>
                    <w:rPr>
                      <w:rFonts w:ascii="Times New Roman" w:hAnsi="Times New Roman" w:eastAsia="宋体" w:cs="Times New Roman"/>
                      <w:color w:val="auto"/>
                      <w:lang w:eastAsia="zh-CN"/>
                    </w:rPr>
                  </w:pPr>
                  <w:r>
                    <w:rPr>
                      <w:rFonts w:hint="default" w:ascii="Times New Roman" w:hAnsi="Times New Roman" w:eastAsia="宋体" w:cs="Times New Roman"/>
                      <w:b/>
                      <w:bCs/>
                      <w:snapToGrid w:val="0"/>
                      <w:color w:val="auto"/>
                      <w:kern w:val="0"/>
                      <w:sz w:val="21"/>
                      <w:szCs w:val="21"/>
                      <w:highlight w:val="none"/>
                      <w:lang w:val="en-US" w:eastAsia="zh-CN"/>
                    </w:rPr>
                    <w:t>全面改善空气质量。</w:t>
                  </w:r>
                  <w:r>
                    <w:rPr>
                      <w:rFonts w:hint="default" w:ascii="Times New Roman" w:hAnsi="Times New Roman" w:eastAsia="宋体" w:cs="Times New Roman"/>
                      <w:snapToGrid w:val="0"/>
                      <w:color w:val="auto"/>
                      <w:kern w:val="0"/>
                      <w:sz w:val="21"/>
                      <w:szCs w:val="21"/>
                      <w:highlight w:val="none"/>
                      <w:lang w:val="en-US" w:eastAsia="zh-CN"/>
                    </w:rPr>
                    <w:t>加强散煤污染治理，推进散煤削减替代和清洁利用。积极应对重污染天气，动态完善重污染天气应急减排清单，开展空气质量保障行动。加强秸秆综合利用和禁烧分区分类管控，完善秸秆收储运体系，探索建立政府、企业与农民三方合作共赢机制。推进焦化、水泥等重点行业超低排放改造，提升脱硫、脱硝、除尘效率，实现烟气污染物稳定达标排放。强化重污染天气部门联动，确保“十五五”期间空气质量优良天数比率达到省定目标；加强工业噪声、建筑施工噪声、交通运输噪声和社会生活噪声监督管理，确保功能区声环境质量夜间达标率达到省定目标。</w:t>
                  </w:r>
                </w:p>
              </w:tc>
              <w:tc>
                <w:tcPr>
                  <w:tcW w:w="2185" w:type="dxa"/>
                  <w:tcBorders>
                    <w:tl2br w:val="nil"/>
                    <w:tr2bl w:val="nil"/>
                  </w:tcBorders>
                  <w:vAlign w:val="center"/>
                </w:tcPr>
                <w:p w14:paraId="1C00F271">
                  <w:pPr>
                    <w:widowControl/>
                    <w:adjustRightInd w:val="0"/>
                    <w:snapToGrid w:val="0"/>
                    <w:jc w:val="both"/>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 w:val="21"/>
                      <w:szCs w:val="21"/>
                      <w:highlight w:val="none"/>
                    </w:rPr>
                    <w:t>本项目为</w:t>
                  </w:r>
                  <w:r>
                    <w:rPr>
                      <w:rFonts w:hint="eastAsia" w:cs="Times New Roman"/>
                      <w:color w:val="auto"/>
                      <w:kern w:val="0"/>
                      <w:sz w:val="21"/>
                      <w:szCs w:val="21"/>
                      <w:highlight w:val="none"/>
                      <w:lang w:eastAsia="zh-CN"/>
                    </w:rPr>
                    <w:t>储煤场建设项目</w:t>
                  </w:r>
                  <w:r>
                    <w:rPr>
                      <w:rFonts w:hint="default" w:ascii="Times New Roman" w:hAnsi="Times New Roman" w:eastAsia="宋体" w:cs="Times New Roman"/>
                      <w:color w:val="auto"/>
                      <w:kern w:val="0"/>
                      <w:sz w:val="21"/>
                      <w:szCs w:val="21"/>
                      <w:highlight w:val="none"/>
                    </w:rPr>
                    <w:t>，</w:t>
                  </w:r>
                  <w:r>
                    <w:rPr>
                      <w:rFonts w:hint="eastAsia" w:cs="Times New Roman"/>
                      <w:color w:val="auto"/>
                      <w:kern w:val="0"/>
                      <w:sz w:val="21"/>
                      <w:szCs w:val="21"/>
                      <w:highlight w:val="none"/>
                      <w:lang w:eastAsia="zh-CN"/>
                    </w:rPr>
                    <w:t>面对重污染天气情况下暂停作业，减少空气污染；本项目不属于</w:t>
                  </w:r>
                  <w:r>
                    <w:rPr>
                      <w:rFonts w:hint="default" w:ascii="Times New Roman" w:hAnsi="Times New Roman" w:eastAsia="宋体" w:cs="Times New Roman"/>
                      <w:snapToGrid w:val="0"/>
                      <w:color w:val="auto"/>
                      <w:kern w:val="0"/>
                      <w:sz w:val="21"/>
                      <w:szCs w:val="21"/>
                      <w:highlight w:val="none"/>
                      <w:lang w:val="en-US" w:eastAsia="zh-CN"/>
                    </w:rPr>
                    <w:t>焦化、水泥等重点行业</w:t>
                  </w:r>
                  <w:r>
                    <w:rPr>
                      <w:rFonts w:hint="eastAsia" w:cs="Times New Roman"/>
                      <w:snapToGrid w:val="0"/>
                      <w:color w:val="auto"/>
                      <w:kern w:val="0"/>
                      <w:sz w:val="21"/>
                      <w:szCs w:val="21"/>
                      <w:highlight w:val="none"/>
                      <w:lang w:val="en-US" w:eastAsia="zh-CN"/>
                    </w:rPr>
                    <w:t>；采用低噪声设备、减振设施，场内运输车辆低速、禁鸣措施，</w:t>
                  </w:r>
                  <w:r>
                    <w:rPr>
                      <w:rFonts w:hint="default" w:ascii="Times New Roman" w:hAnsi="Times New Roman" w:eastAsia="宋体" w:cs="Times New Roman"/>
                      <w:snapToGrid w:val="0"/>
                      <w:color w:val="auto"/>
                      <w:kern w:val="0"/>
                      <w:sz w:val="21"/>
                      <w:szCs w:val="21"/>
                      <w:highlight w:val="none"/>
                      <w:lang w:val="en-US" w:eastAsia="zh-CN"/>
                    </w:rPr>
                    <w:t>确保功能区声环境质量夜间达标率达到省定目标</w:t>
                  </w:r>
                </w:p>
              </w:tc>
              <w:tc>
                <w:tcPr>
                  <w:tcW w:w="651" w:type="dxa"/>
                  <w:tcBorders>
                    <w:tl2br w:val="nil"/>
                    <w:tr2bl w:val="nil"/>
                  </w:tcBorders>
                  <w:vAlign w:val="center"/>
                </w:tcPr>
                <w:p w14:paraId="6B618D0C">
                  <w:pPr>
                    <w:pStyle w:val="72"/>
                    <w:widowControl/>
                    <w:adjustRightInd/>
                    <w:snapToGrid/>
                    <w:spacing w:line="240" w:lineRule="auto"/>
                    <w:ind w:firstLine="0" w:firstLineChars="0"/>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符合</w:t>
                  </w:r>
                </w:p>
              </w:tc>
            </w:tr>
            <w:tr w14:paraId="4C4F5E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89" w:type="dxa"/>
                  <w:tcBorders>
                    <w:tl2br w:val="nil"/>
                    <w:tr2bl w:val="nil"/>
                  </w:tcBorders>
                  <w:vAlign w:val="center"/>
                </w:tcPr>
                <w:p w14:paraId="32B85689">
                  <w:pPr>
                    <w:adjustRightInd w:val="0"/>
                    <w:snapToGrid w:val="0"/>
                    <w:rPr>
                      <w:rFonts w:ascii="Times New Roman" w:hAnsi="Times New Roman" w:eastAsia="宋体" w:cs="Times New Roman"/>
                      <w:color w:val="auto"/>
                      <w:lang w:eastAsia="zh-CN"/>
                    </w:rPr>
                  </w:pPr>
                  <w:r>
                    <w:rPr>
                      <w:rFonts w:hint="default" w:ascii="Times New Roman" w:hAnsi="Times New Roman" w:eastAsia="宋体" w:cs="Times New Roman"/>
                      <w:b/>
                      <w:bCs/>
                      <w:snapToGrid w:val="0"/>
                      <w:color w:val="auto"/>
                      <w:kern w:val="0"/>
                      <w:sz w:val="21"/>
                      <w:szCs w:val="21"/>
                      <w:highlight w:val="none"/>
                      <w:lang w:val="en-US" w:eastAsia="zh-CN"/>
                    </w:rPr>
                    <w:t>持续提升水环境质量。</w:t>
                  </w:r>
                  <w:r>
                    <w:rPr>
                      <w:rFonts w:hint="default" w:ascii="Times New Roman" w:hAnsi="Times New Roman" w:eastAsia="宋体" w:cs="Times New Roman"/>
                      <w:snapToGrid w:val="0"/>
                      <w:color w:val="auto"/>
                      <w:kern w:val="0"/>
                      <w:sz w:val="21"/>
                      <w:szCs w:val="21"/>
                      <w:highlight w:val="none"/>
                      <w:lang w:val="en-US" w:eastAsia="zh-CN"/>
                    </w:rPr>
                    <w:t>统筹水资源、水环境、水生态治理，实施河湖生态流量保障和母亲河复苏行动，推进河湖水生态保护修复和美丽河湖建设，确保全市达到或好于Ⅲ类水体比例达到省定目标。强化地表水环境管理，加强排污口排查整治，定期开展“回头看”暗访检查。推进地下水污染防控和保护管理，强化地下水用量和水位指标“双控”。健全城市水源地管理评估机制，开展城市集中式饮用水水源地排查整治工作。推进工业污染防治，持续提升园区污水收集处理效能。到2030年，完成省级美丽河湖创建指标，入河湖排污口溯源整治率达到100%，地表水国控断面优良水质比例达到省定目标。</w:t>
                  </w:r>
                </w:p>
              </w:tc>
              <w:tc>
                <w:tcPr>
                  <w:tcW w:w="2185" w:type="dxa"/>
                  <w:tcBorders>
                    <w:tl2br w:val="nil"/>
                    <w:tr2bl w:val="nil"/>
                  </w:tcBorders>
                  <w:vAlign w:val="center"/>
                </w:tcPr>
                <w:p w14:paraId="7BA25AD8">
                  <w:pPr>
                    <w:widowControl/>
                    <w:adjustRightInd w:val="0"/>
                    <w:snapToGrid w:val="0"/>
                    <w:jc w:val="both"/>
                    <w:rPr>
                      <w:rFonts w:ascii="Times New Roman" w:hAnsi="Times New Roman" w:eastAsia="宋体" w:cs="Times New Roman"/>
                      <w:color w:val="auto"/>
                      <w:sz w:val="21"/>
                      <w:szCs w:val="21"/>
                      <w:lang w:eastAsia="zh-CN"/>
                    </w:rPr>
                  </w:pPr>
                  <w:r>
                    <w:rPr>
                      <w:rFonts w:hint="eastAsia" w:cs="Times New Roman"/>
                      <w:color w:val="auto"/>
                      <w:sz w:val="21"/>
                      <w:szCs w:val="21"/>
                      <w:lang w:eastAsia="zh-CN"/>
                    </w:rPr>
                    <w:t>本项目无无生产废水，生活污水排入防渗早厕，设置初期雨水收集池1座，位于厂区西北侧（厂区地势最低处），收集整体厂区雨水，收集的雨水沉淀后用于场区洒水降尘，有利于提升水环境质量。</w:t>
                  </w:r>
                </w:p>
              </w:tc>
              <w:tc>
                <w:tcPr>
                  <w:tcW w:w="651" w:type="dxa"/>
                  <w:tcBorders>
                    <w:tl2br w:val="nil"/>
                    <w:tr2bl w:val="nil"/>
                  </w:tcBorders>
                  <w:vAlign w:val="center"/>
                </w:tcPr>
                <w:p w14:paraId="1E841611">
                  <w:pPr>
                    <w:pStyle w:val="72"/>
                    <w:widowControl/>
                    <w:adjustRightInd/>
                    <w:snapToGrid/>
                    <w:spacing w:line="240" w:lineRule="auto"/>
                    <w:ind w:firstLine="0" w:firstLineChars="0"/>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符合</w:t>
                  </w:r>
                </w:p>
              </w:tc>
            </w:tr>
            <w:tr w14:paraId="13DCB7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89" w:type="dxa"/>
                  <w:tcBorders>
                    <w:tl2br w:val="nil"/>
                    <w:tr2bl w:val="nil"/>
                  </w:tcBorders>
                  <w:vAlign w:val="center"/>
                </w:tcPr>
                <w:p w14:paraId="4548E773">
                  <w:pPr>
                    <w:adjustRightInd w:val="0"/>
                    <w:snapToGrid w:val="0"/>
                    <w:rPr>
                      <w:rFonts w:ascii="Times New Roman" w:hAnsi="Times New Roman" w:eastAsia="宋体" w:cs="Times New Roman"/>
                      <w:color w:val="auto"/>
                      <w:sz w:val="21"/>
                      <w:szCs w:val="21"/>
                      <w:lang w:eastAsia="zh-CN"/>
                    </w:rPr>
                  </w:pPr>
                  <w:r>
                    <w:rPr>
                      <w:rFonts w:hint="default" w:ascii="Times New Roman" w:hAnsi="Times New Roman" w:eastAsia="宋体" w:cs="Times New Roman"/>
                      <w:b/>
                      <w:bCs/>
                      <w:snapToGrid w:val="0"/>
                      <w:color w:val="auto"/>
                      <w:kern w:val="0"/>
                      <w:sz w:val="21"/>
                      <w:szCs w:val="21"/>
                      <w:highlight w:val="none"/>
                      <w:lang w:val="en-US" w:eastAsia="zh-CN"/>
                    </w:rPr>
                    <w:t>加强土壤污染管控。</w:t>
                  </w:r>
                  <w:r>
                    <w:rPr>
                      <w:rFonts w:hint="default" w:ascii="Times New Roman" w:hAnsi="Times New Roman" w:eastAsia="宋体" w:cs="Times New Roman"/>
                      <w:snapToGrid w:val="0"/>
                      <w:color w:val="auto"/>
                      <w:kern w:val="0"/>
                      <w:sz w:val="21"/>
                      <w:szCs w:val="21"/>
                      <w:highlight w:val="none"/>
                      <w:lang w:val="en-US" w:eastAsia="zh-CN"/>
                    </w:rPr>
                    <w:t>实施土壤污染源头防控行动，强化建设用地、工矿企业用地等重点领域污染源头防控和治理，加强农用地生态环境保护和农业面源污染防治，保障黑土地资源可持续利用。推进“一住两公”建设用地土壤污染状况调查，有效保障重点建设用地安全利用。开展涉镉等重金属重点行业企业和矿区历史遗留固体废物排查整治，引导土壤污染重点监管单位采用新技术、新工艺，加快实施提标改造。推进安全利用类、严格管控类受污染耕地落实安全利用各项技术措施。到2030年，全市受污染耕地安全利用率达到95%以上。</w:t>
                  </w:r>
                </w:p>
              </w:tc>
              <w:tc>
                <w:tcPr>
                  <w:tcW w:w="2185" w:type="dxa"/>
                  <w:tcBorders>
                    <w:tl2br w:val="nil"/>
                    <w:tr2bl w:val="nil"/>
                  </w:tcBorders>
                  <w:vAlign w:val="center"/>
                </w:tcPr>
                <w:p w14:paraId="18E401E5">
                  <w:pPr>
                    <w:widowControl/>
                    <w:adjustRightInd w:val="0"/>
                    <w:snapToGrid w:val="0"/>
                    <w:jc w:val="both"/>
                    <w:rPr>
                      <w:rFonts w:ascii="Times New Roman" w:hAnsi="Times New Roman" w:eastAsia="宋体" w:cs="Times New Roman"/>
                      <w:color w:val="auto"/>
                      <w:sz w:val="21"/>
                      <w:szCs w:val="21"/>
                      <w:lang w:eastAsia="zh-CN"/>
                    </w:rPr>
                  </w:pPr>
                  <w:r>
                    <w:rPr>
                      <w:rFonts w:hint="eastAsia" w:cs="Times New Roman"/>
                      <w:color w:val="auto"/>
                      <w:sz w:val="21"/>
                      <w:szCs w:val="21"/>
                      <w:lang w:eastAsia="zh-CN"/>
                    </w:rPr>
                    <w:t>本项目储煤场地进行硬化处理，使其防渗功能满足Mb≥1.5m，K值小于1.0x10</w:t>
                  </w:r>
                  <w:r>
                    <w:rPr>
                      <w:rFonts w:hint="eastAsia" w:cs="Times New Roman"/>
                      <w:color w:val="auto"/>
                      <w:sz w:val="21"/>
                      <w:szCs w:val="21"/>
                      <w:vertAlign w:val="superscript"/>
                      <w:lang w:val="en-US" w:eastAsia="zh-CN"/>
                    </w:rPr>
                    <w:t>-7</w:t>
                  </w:r>
                  <w:r>
                    <w:rPr>
                      <w:rFonts w:hint="eastAsia" w:cs="Times New Roman"/>
                      <w:color w:val="auto"/>
                      <w:sz w:val="21"/>
                      <w:szCs w:val="21"/>
                      <w:lang w:eastAsia="zh-CN"/>
                    </w:rPr>
                    <w:t>cm/s；雨水收集池、防渗早厕进行防渗处理，防渗功能应满足K值小于1.0x10</w:t>
                  </w:r>
                  <w:r>
                    <w:rPr>
                      <w:rFonts w:hint="eastAsia" w:cs="Times New Roman"/>
                      <w:color w:val="auto"/>
                      <w:sz w:val="21"/>
                      <w:szCs w:val="21"/>
                      <w:vertAlign w:val="superscript"/>
                      <w:lang w:eastAsia="zh-CN"/>
                    </w:rPr>
                    <w:t>-7</w:t>
                  </w:r>
                  <w:r>
                    <w:rPr>
                      <w:rFonts w:hint="eastAsia" w:cs="Times New Roman"/>
                      <w:color w:val="auto"/>
                      <w:sz w:val="21"/>
                      <w:szCs w:val="21"/>
                      <w:lang w:eastAsia="zh-CN"/>
                    </w:rPr>
                    <w:t>cm/s，符合从源头上控制</w:t>
                  </w:r>
                  <w:r>
                    <w:rPr>
                      <w:rFonts w:hint="default" w:ascii="Times New Roman" w:hAnsi="Times New Roman" w:eastAsia="宋体" w:cs="Times New Roman"/>
                      <w:snapToGrid w:val="0"/>
                      <w:color w:val="auto"/>
                      <w:kern w:val="0"/>
                      <w:sz w:val="21"/>
                      <w:szCs w:val="21"/>
                      <w:highlight w:val="none"/>
                      <w:lang w:val="en-US" w:eastAsia="zh-CN"/>
                    </w:rPr>
                    <w:t>土壤污染</w:t>
                  </w:r>
                  <w:r>
                    <w:rPr>
                      <w:rFonts w:hint="eastAsia" w:cs="Times New Roman"/>
                      <w:snapToGrid w:val="0"/>
                      <w:color w:val="auto"/>
                      <w:kern w:val="0"/>
                      <w:sz w:val="21"/>
                      <w:szCs w:val="21"/>
                      <w:highlight w:val="none"/>
                      <w:lang w:val="en-US" w:eastAsia="zh-CN"/>
                    </w:rPr>
                    <w:t>。</w:t>
                  </w:r>
                </w:p>
              </w:tc>
              <w:tc>
                <w:tcPr>
                  <w:tcW w:w="651" w:type="dxa"/>
                  <w:tcBorders>
                    <w:tl2br w:val="nil"/>
                    <w:tr2bl w:val="nil"/>
                  </w:tcBorders>
                  <w:vAlign w:val="center"/>
                </w:tcPr>
                <w:p w14:paraId="7E295CDE">
                  <w:pPr>
                    <w:pStyle w:val="72"/>
                    <w:widowControl/>
                    <w:adjustRightInd/>
                    <w:snapToGrid/>
                    <w:spacing w:line="240" w:lineRule="auto"/>
                    <w:ind w:firstLine="0" w:firstLineChars="0"/>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符合</w:t>
                  </w:r>
                </w:p>
              </w:tc>
            </w:tr>
            <w:tr w14:paraId="672126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89" w:type="dxa"/>
                  <w:tcBorders>
                    <w:tl2br w:val="nil"/>
                    <w:tr2bl w:val="nil"/>
                  </w:tcBorders>
                  <w:vAlign w:val="center"/>
                </w:tcPr>
                <w:p w14:paraId="522C6EB4">
                  <w:pPr>
                    <w:adjustRightInd w:val="0"/>
                    <w:snapToGrid w:val="0"/>
                    <w:rPr>
                      <w:rFonts w:ascii="Times New Roman" w:hAnsi="Times New Roman" w:eastAsia="宋体" w:cs="Times New Roman"/>
                      <w:color w:val="auto"/>
                      <w:sz w:val="21"/>
                      <w:szCs w:val="21"/>
                      <w:lang w:eastAsia="zh-CN"/>
                    </w:rPr>
                  </w:pPr>
                  <w:r>
                    <w:rPr>
                      <w:rFonts w:hint="default" w:ascii="Times New Roman" w:hAnsi="Times New Roman" w:eastAsia="宋体" w:cs="Times New Roman"/>
                      <w:b/>
                      <w:bCs/>
                      <w:snapToGrid w:val="0"/>
                      <w:color w:val="auto"/>
                      <w:kern w:val="0"/>
                      <w:sz w:val="21"/>
                      <w:szCs w:val="21"/>
                      <w:highlight w:val="none"/>
                      <w:lang w:val="en-US" w:eastAsia="zh-CN"/>
                    </w:rPr>
                    <w:t>深入推进“无废城市”建设。</w:t>
                  </w:r>
                  <w:r>
                    <w:rPr>
                      <w:rFonts w:hint="default" w:ascii="Times New Roman" w:hAnsi="Times New Roman" w:eastAsia="宋体" w:cs="Times New Roman"/>
                      <w:snapToGrid w:val="0"/>
                      <w:color w:val="auto"/>
                      <w:kern w:val="0"/>
                      <w:sz w:val="21"/>
                      <w:szCs w:val="21"/>
                      <w:highlight w:val="none"/>
                      <w:lang w:val="en-US" w:eastAsia="zh-CN"/>
                    </w:rPr>
                    <w:t>统筹推进固体废物综合治理，提高固废无害化、减量化和资源化水平，积极争创“无废城市”。开展危险废物规范化环境管理评估和涉尾矿库企业环境风险隐患排查整治。畅通固废综合利用渠道，完善工业固体废物收贮运体系，加强大宗工业固废堆存场所安全建设，健全大宗工业固废资源循环利用链条。完善废旧物资回收网络，推进垃圾分类和资源化利用，强化建筑垃圾管理和规范处置。到2030年，全市生活垃圾资源化利用率达到80%以上，完成省定目标。</w:t>
                  </w:r>
                </w:p>
              </w:tc>
              <w:tc>
                <w:tcPr>
                  <w:tcW w:w="2185" w:type="dxa"/>
                  <w:tcBorders>
                    <w:tl2br w:val="nil"/>
                    <w:tr2bl w:val="nil"/>
                  </w:tcBorders>
                  <w:vAlign w:val="center"/>
                </w:tcPr>
                <w:p w14:paraId="0D9FD479">
                  <w:pPr>
                    <w:widowControl/>
                    <w:adjustRightInd w:val="0"/>
                    <w:snapToGrid w:val="0"/>
                    <w:jc w:val="both"/>
                    <w:rPr>
                      <w:rFonts w:ascii="Times New Roman" w:hAnsi="Times New Roman" w:eastAsia="宋体" w:cs="Times New Roman"/>
                      <w:color w:val="auto"/>
                      <w:sz w:val="21"/>
                      <w:szCs w:val="21"/>
                      <w:lang w:eastAsia="zh-CN"/>
                    </w:rPr>
                  </w:pPr>
                  <w:r>
                    <w:rPr>
                      <w:rFonts w:hint="eastAsia" w:cs="Times New Roman"/>
                      <w:color w:val="auto"/>
                      <w:sz w:val="21"/>
                      <w:szCs w:val="21"/>
                      <w:lang w:eastAsia="zh-CN"/>
                    </w:rPr>
                    <w:t>本项目生活垃圾统一收集后由环卫部门清运处理；雨水收集池沉渣暂存于煤炭堆场，与煤炭一同外售。</w:t>
                  </w:r>
                </w:p>
              </w:tc>
              <w:tc>
                <w:tcPr>
                  <w:tcW w:w="651" w:type="dxa"/>
                  <w:tcBorders>
                    <w:tl2br w:val="nil"/>
                    <w:tr2bl w:val="nil"/>
                  </w:tcBorders>
                  <w:vAlign w:val="center"/>
                </w:tcPr>
                <w:p w14:paraId="47A6DAB5">
                  <w:pPr>
                    <w:pStyle w:val="72"/>
                    <w:widowControl/>
                    <w:adjustRightInd/>
                    <w:snapToGrid/>
                    <w:spacing w:line="240" w:lineRule="auto"/>
                    <w:ind w:firstLine="0" w:firstLineChars="0"/>
                    <w:jc w:val="center"/>
                    <w:rPr>
                      <w:rFonts w:ascii="Times New Roman" w:hAnsi="Times New Roman" w:eastAsia="宋体" w:cs="Times New Roman"/>
                      <w:color w:val="auto"/>
                      <w:sz w:val="21"/>
                      <w:szCs w:val="21"/>
                      <w:lang w:eastAsia="zh-CN"/>
                    </w:rPr>
                  </w:pPr>
                  <w:r>
                    <w:rPr>
                      <w:rFonts w:ascii="Times New Roman" w:hAnsi="Times New Roman" w:eastAsia="宋体" w:cs="Times New Roman"/>
                      <w:color w:val="auto"/>
                      <w:sz w:val="21"/>
                      <w:szCs w:val="21"/>
                      <w:lang w:eastAsia="zh-CN"/>
                    </w:rPr>
                    <w:t>符合</w:t>
                  </w:r>
                </w:p>
              </w:tc>
            </w:tr>
          </w:tbl>
          <w:p w14:paraId="6083D0E6">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w:t>
            </w:r>
            <w:r>
              <w:rPr>
                <w:rFonts w:hint="eastAsia" w:cs="Times New Roman"/>
                <w:color w:val="auto"/>
                <w:sz w:val="24"/>
                <w:lang w:val="en-US" w:eastAsia="zh-CN"/>
              </w:rPr>
              <w:t>4</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与《鸡西市储煤厂环境综合整治验收标准（暂行）》符合性分析</w:t>
            </w:r>
          </w:p>
          <w:p w14:paraId="5EBF665F">
            <w:pPr>
              <w:pStyle w:val="69"/>
              <w:spacing w:line="240" w:lineRule="auto"/>
              <w:rPr>
                <w:rFonts w:hint="default" w:ascii="Times New Roman" w:hAnsi="Times New Roman" w:eastAsia="宋体" w:cs="Times New Roman"/>
                <w:color w:val="auto"/>
                <w:sz w:val="24"/>
                <w:lang w:val="en-US"/>
              </w:rPr>
            </w:pPr>
            <w:r>
              <w:rPr>
                <w:rFonts w:eastAsia="宋体" w:cs="Times New Roman"/>
                <w:b/>
                <w:bCs/>
                <w:color w:val="auto"/>
                <w:sz w:val="21"/>
                <w:szCs w:val="21"/>
                <w:lang w:eastAsia="zh-CN"/>
              </w:rPr>
              <w:t>表1-</w:t>
            </w:r>
            <w:r>
              <w:rPr>
                <w:rFonts w:hint="eastAsia" w:eastAsia="宋体" w:cs="Times New Roman"/>
                <w:b/>
                <w:bCs/>
                <w:color w:val="auto"/>
                <w:sz w:val="21"/>
                <w:szCs w:val="21"/>
                <w:lang w:val="en-US" w:eastAsia="zh-CN"/>
              </w:rPr>
              <w:t>6</w:t>
            </w:r>
            <w:r>
              <w:rPr>
                <w:rFonts w:eastAsia="宋体" w:cs="Times New Roman"/>
                <w:b/>
                <w:bCs/>
                <w:color w:val="auto"/>
                <w:sz w:val="21"/>
                <w:szCs w:val="21"/>
                <w:lang w:eastAsia="zh-CN"/>
              </w:rPr>
              <w:t xml:space="preserve"> 与</w:t>
            </w:r>
            <w:r>
              <w:rPr>
                <w:rFonts w:hint="eastAsia" w:eastAsia="宋体" w:cs="Times New Roman"/>
                <w:b/>
                <w:bCs/>
                <w:color w:val="auto"/>
                <w:sz w:val="21"/>
                <w:szCs w:val="21"/>
                <w:lang w:eastAsia="zh-CN"/>
              </w:rPr>
              <w:t>《鸡西市储煤厂环境综合整治验收标准（暂行）》</w:t>
            </w:r>
            <w:r>
              <w:rPr>
                <w:rFonts w:eastAsia="宋体" w:cs="Times New Roman"/>
                <w:b/>
                <w:bCs/>
                <w:color w:val="auto"/>
                <w:sz w:val="21"/>
                <w:szCs w:val="21"/>
                <w:lang w:eastAsia="zh-CN"/>
              </w:rPr>
              <w:t>相符性一览表</w:t>
            </w:r>
          </w:p>
          <w:tbl>
            <w:tblPr>
              <w:tblStyle w:val="30"/>
              <w:tblW w:w="49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76"/>
              <w:gridCol w:w="3663"/>
              <w:gridCol w:w="2844"/>
              <w:gridCol w:w="651"/>
            </w:tblGrid>
            <w:tr w14:paraId="623DA0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99" w:type="pct"/>
                  <w:tcBorders>
                    <w:tl2br w:val="nil"/>
                    <w:tr2bl w:val="nil"/>
                  </w:tcBorders>
                  <w:noWrap w:val="0"/>
                  <w:vAlign w:val="center"/>
                </w:tcPr>
                <w:p w14:paraId="1AD79716">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政策名称</w:t>
                  </w:r>
                </w:p>
              </w:tc>
              <w:tc>
                <w:tcPr>
                  <w:tcW w:w="2251" w:type="pct"/>
                  <w:tcBorders>
                    <w:tl2br w:val="nil"/>
                    <w:tr2bl w:val="nil"/>
                  </w:tcBorders>
                  <w:noWrap w:val="0"/>
                  <w:vAlign w:val="center"/>
                </w:tcPr>
                <w:p w14:paraId="44FD19FD">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政策要求</w:t>
                  </w:r>
                </w:p>
              </w:tc>
              <w:tc>
                <w:tcPr>
                  <w:tcW w:w="1748" w:type="pct"/>
                  <w:tcBorders>
                    <w:tl2br w:val="nil"/>
                    <w:tr2bl w:val="nil"/>
                  </w:tcBorders>
                  <w:noWrap w:val="0"/>
                  <w:vAlign w:val="center"/>
                </w:tcPr>
                <w:p w14:paraId="40C119A4">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本项目</w:t>
                  </w:r>
                </w:p>
              </w:tc>
              <w:tc>
                <w:tcPr>
                  <w:tcW w:w="400" w:type="pct"/>
                  <w:tcBorders>
                    <w:tl2br w:val="nil"/>
                    <w:tr2bl w:val="nil"/>
                  </w:tcBorders>
                  <w:noWrap w:val="0"/>
                  <w:vAlign w:val="center"/>
                </w:tcPr>
                <w:p w14:paraId="030EECF8">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符合</w:t>
                  </w:r>
                  <w:r>
                    <w:rPr>
                      <w:rFonts w:hint="default" w:ascii="Times New Roman" w:hAnsi="Times New Roman" w:eastAsia="宋体" w:cs="Times New Roman"/>
                      <w:b/>
                      <w:bCs/>
                      <w:color w:val="auto"/>
                      <w:sz w:val="21"/>
                      <w:szCs w:val="21"/>
                      <w:highlight w:val="none"/>
                    </w:rPr>
                    <w:t>性</w:t>
                  </w:r>
                </w:p>
              </w:tc>
            </w:tr>
            <w:tr w14:paraId="45A4B1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599" w:type="pct"/>
                  <w:vMerge w:val="restart"/>
                  <w:tcBorders>
                    <w:tl2br w:val="nil"/>
                    <w:tr2bl w:val="nil"/>
                  </w:tcBorders>
                  <w:noWrap w:val="0"/>
                  <w:vAlign w:val="center"/>
                </w:tcPr>
                <w:p w14:paraId="72EBEEBA">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鸡西市储煤厂环境综合整治验收标准（暂行）》</w:t>
                  </w:r>
                </w:p>
              </w:tc>
              <w:tc>
                <w:tcPr>
                  <w:tcW w:w="2251" w:type="pct"/>
                  <w:tcBorders>
                    <w:tl2br w:val="nil"/>
                    <w:tr2bl w:val="nil"/>
                  </w:tcBorders>
                  <w:noWrap w:val="0"/>
                  <w:vAlign w:val="center"/>
                </w:tcPr>
                <w:p w14:paraId="5B0C21A3">
                  <w:pPr>
                    <w:keepNext w:val="0"/>
                    <w:keepLines w:val="0"/>
                    <w:pageBreakBefore w:val="0"/>
                    <w:widowControl w:val="0"/>
                    <w:kinsoku/>
                    <w:wordWrap/>
                    <w:overflowPunct/>
                    <w:topLinePunct w:val="0"/>
                    <w:autoSpaceDE/>
                    <w:autoSpaceDN/>
                    <w:bidi w:val="0"/>
                    <w:adjustRightInd w:val="0"/>
                    <w:snapToGrid w:val="0"/>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二、大气污染防治措施</w:t>
                  </w:r>
                </w:p>
                <w:p w14:paraId="78FED315">
                  <w:pPr>
                    <w:keepNext w:val="0"/>
                    <w:keepLines w:val="0"/>
                    <w:pageBreakBefore w:val="0"/>
                    <w:widowControl w:val="0"/>
                    <w:kinsoku/>
                    <w:wordWrap/>
                    <w:overflowPunct/>
                    <w:topLinePunct w:val="0"/>
                    <w:autoSpaceDE/>
                    <w:autoSpaceDN/>
                    <w:bidi w:val="0"/>
                    <w:adjustRightInd w:val="0"/>
                    <w:snapToGrid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4、储煤厂四周应当建设闭合的防风抑尘网。防风抑尘网高度不得低于物料堆高度，遇到高压线等高空障碍物可适当调整高度。储煤厂堆存物应当使用</w:t>
                  </w:r>
                  <w:r>
                    <w:rPr>
                      <w:rFonts w:hint="default" w:ascii="Times New Roman" w:hAnsi="Times New Roman" w:cs="Times New Roman"/>
                      <w:color w:val="auto"/>
                      <w:sz w:val="21"/>
                      <w:szCs w:val="21"/>
                      <w:highlight w:val="none"/>
                      <w:lang w:val="en-US" w:eastAsia="zh-CN"/>
                    </w:rPr>
                    <w:t>苫布</w:t>
                  </w:r>
                  <w:r>
                    <w:rPr>
                      <w:rFonts w:hint="default" w:ascii="Times New Roman" w:hAnsi="Times New Roman" w:eastAsia="宋体" w:cs="Times New Roman"/>
                      <w:color w:val="auto"/>
                      <w:sz w:val="21"/>
                      <w:szCs w:val="21"/>
                      <w:highlight w:val="none"/>
                      <w:lang w:val="en-US" w:eastAsia="zh-CN"/>
                    </w:rPr>
                    <w:t xml:space="preserve">进行苫盖。 </w:t>
                  </w:r>
                </w:p>
                <w:p w14:paraId="3D882EC2">
                  <w:pPr>
                    <w:keepNext w:val="0"/>
                    <w:keepLines w:val="0"/>
                    <w:pageBreakBefore w:val="0"/>
                    <w:widowControl w:val="0"/>
                    <w:kinsoku/>
                    <w:wordWrap/>
                    <w:overflowPunct/>
                    <w:topLinePunct w:val="0"/>
                    <w:autoSpaceDE/>
                    <w:autoSpaceDN/>
                    <w:bidi w:val="0"/>
                    <w:adjustRightInd w:val="0"/>
                    <w:snapToGrid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5、储煤厂在日常作业中应当采取喷淋、洒水等方式进行降尘，并且严禁在重污染天气期间、大风天气时生产作业，以避免造成扬尘污染。</w:t>
                  </w:r>
                </w:p>
                <w:p w14:paraId="7010EC89">
                  <w:pPr>
                    <w:keepNext w:val="0"/>
                    <w:keepLines w:val="0"/>
                    <w:pageBreakBefore w:val="0"/>
                    <w:widowControl w:val="0"/>
                    <w:kinsoku/>
                    <w:wordWrap/>
                    <w:overflowPunct/>
                    <w:topLinePunct w:val="0"/>
                    <w:autoSpaceDE/>
                    <w:autoSpaceDN/>
                    <w:bidi w:val="0"/>
                    <w:adjustRightInd w:val="0"/>
                    <w:snapToGrid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 xml:space="preserve">6、储煤厂使用的运输车辆应当按照当地城市执法部门的要求进行全面苫盖，并确保车辆清洁。 </w:t>
                  </w:r>
                </w:p>
                <w:p w14:paraId="18311E5F">
                  <w:pPr>
                    <w:keepNext w:val="0"/>
                    <w:keepLines w:val="0"/>
                    <w:pageBreakBefore w:val="0"/>
                    <w:widowControl w:val="0"/>
                    <w:kinsoku/>
                    <w:wordWrap/>
                    <w:overflowPunct/>
                    <w:topLinePunct w:val="0"/>
                    <w:autoSpaceDE/>
                    <w:autoSpaceDN/>
                    <w:bidi w:val="0"/>
                    <w:adjustRightInd w:val="0"/>
                    <w:snapToGrid w:val="0"/>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7、储煤厂原则上不得使用燃煤锅炉，应当使用电、天然气等清洁</w:t>
                  </w:r>
                  <w:r>
                    <w:rPr>
                      <w:rFonts w:hint="default" w:ascii="Times New Roman" w:hAnsi="Times New Roman" w:cs="Times New Roman"/>
                      <w:color w:val="auto"/>
                      <w:sz w:val="21"/>
                      <w:szCs w:val="21"/>
                      <w:highlight w:val="none"/>
                      <w:lang w:val="en-US" w:eastAsia="zh-CN"/>
                    </w:rPr>
                    <w:t>能源</w:t>
                  </w:r>
                  <w:r>
                    <w:rPr>
                      <w:rFonts w:hint="default" w:ascii="Times New Roman" w:hAnsi="Times New Roman" w:eastAsia="宋体" w:cs="Times New Roman"/>
                      <w:color w:val="auto"/>
                      <w:sz w:val="21"/>
                      <w:szCs w:val="21"/>
                      <w:highlight w:val="none"/>
                      <w:lang w:val="en-US" w:eastAsia="zh-CN"/>
                    </w:rPr>
                    <w:t>取暖。若因条件限制使用燃煤、生物质锅炉的应当配套建设高效除尘设施，并定期检测</w:t>
                  </w:r>
                  <w:r>
                    <w:rPr>
                      <w:rFonts w:hint="default" w:ascii="Times New Roman" w:hAnsi="Times New Roman" w:cs="Times New Roman"/>
                      <w:color w:val="auto"/>
                      <w:sz w:val="21"/>
                      <w:szCs w:val="21"/>
                      <w:highlight w:val="none"/>
                      <w:lang w:val="en-US" w:eastAsia="zh-CN"/>
                    </w:rPr>
                    <w:t>。</w:t>
                  </w:r>
                </w:p>
              </w:tc>
              <w:tc>
                <w:tcPr>
                  <w:tcW w:w="1748" w:type="pct"/>
                  <w:tcBorders>
                    <w:tl2br w:val="nil"/>
                    <w:tr2bl w:val="nil"/>
                  </w:tcBorders>
                  <w:noWrap w:val="0"/>
                  <w:vAlign w:val="center"/>
                </w:tcPr>
                <w:p w14:paraId="57E96CA0">
                  <w:pPr>
                    <w:keepNext w:val="0"/>
                    <w:keepLines w:val="0"/>
                    <w:pageBreakBefore w:val="0"/>
                    <w:widowControl w:val="0"/>
                    <w:kinsoku/>
                    <w:wordWrap/>
                    <w:overflowPunct/>
                    <w:topLinePunct w:val="0"/>
                    <w:autoSpaceDE/>
                    <w:autoSpaceDN/>
                    <w:bidi w:val="0"/>
                    <w:adjustRightInd w:val="0"/>
                    <w:snapToGrid w:val="0"/>
                    <w:spacing w:line="240" w:lineRule="auto"/>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4、本项目储煤场</w:t>
                  </w:r>
                  <w:r>
                    <w:rPr>
                      <w:rFonts w:hint="default" w:ascii="Times New Roman" w:hAnsi="Times New Roman" w:eastAsia="宋体" w:cs="Times New Roman"/>
                      <w:color w:val="auto"/>
                      <w:sz w:val="21"/>
                      <w:szCs w:val="21"/>
                      <w:highlight w:val="none"/>
                      <w:lang w:val="en-US" w:eastAsia="zh-CN"/>
                    </w:rPr>
                    <w:t>四周建设闭合的防风抑尘网</w:t>
                  </w:r>
                  <w:r>
                    <w:rPr>
                      <w:rFonts w:hint="default"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堆场</w:t>
                  </w:r>
                  <w:r>
                    <w:rPr>
                      <w:rFonts w:hint="eastAsia" w:cs="Times New Roman"/>
                      <w:color w:val="auto"/>
                      <w:sz w:val="21"/>
                      <w:szCs w:val="21"/>
                      <w:highlight w:val="none"/>
                      <w:lang w:eastAsia="zh-CN"/>
                    </w:rPr>
                    <w:t>煤炭</w:t>
                  </w:r>
                  <w:r>
                    <w:rPr>
                      <w:rFonts w:hint="default" w:ascii="Times New Roman" w:hAnsi="Times New Roman" w:eastAsia="宋体" w:cs="Times New Roman"/>
                      <w:color w:val="auto"/>
                      <w:sz w:val="21"/>
                      <w:szCs w:val="21"/>
                      <w:highlight w:val="none"/>
                    </w:rPr>
                    <w:t>堆</w:t>
                  </w:r>
                  <w:r>
                    <w:rPr>
                      <w:rFonts w:hint="default" w:ascii="Times New Roman" w:hAnsi="Times New Roman" w:cs="Times New Roman"/>
                      <w:color w:val="auto"/>
                      <w:sz w:val="21"/>
                      <w:szCs w:val="21"/>
                      <w:highlight w:val="none"/>
                      <w:lang w:eastAsia="zh-CN"/>
                    </w:rPr>
                    <w:t>高</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rPr>
                    <w:t>，设置</w:t>
                  </w:r>
                  <w:r>
                    <w:rPr>
                      <w:rFonts w:hint="eastAsia" w:cs="Times New Roman"/>
                      <w:color w:val="auto"/>
                      <w:sz w:val="21"/>
                      <w:szCs w:val="21"/>
                      <w:highlight w:val="none"/>
                      <w:lang w:val="en-US" w:eastAsia="zh-CN"/>
                    </w:rPr>
                    <w:t>4.5</w:t>
                  </w:r>
                  <w:r>
                    <w:rPr>
                      <w:rFonts w:hint="default" w:ascii="Times New Roman" w:hAnsi="Times New Roman" w:cs="Times New Roman"/>
                      <w:color w:val="auto"/>
                      <w:sz w:val="21"/>
                      <w:szCs w:val="21"/>
                      <w:highlight w:val="none"/>
                      <w:lang w:val="en-US" w:eastAsia="zh-CN"/>
                    </w:rPr>
                    <w:t>m高</w:t>
                  </w:r>
                  <w:r>
                    <w:rPr>
                      <w:rFonts w:hint="default" w:ascii="Times New Roman" w:hAnsi="Times New Roman" w:eastAsia="宋体" w:cs="Times New Roman"/>
                      <w:color w:val="auto"/>
                      <w:sz w:val="21"/>
                      <w:szCs w:val="21"/>
                      <w:highlight w:val="none"/>
                    </w:rPr>
                    <w:t>的防风抑尘网</w:t>
                  </w:r>
                  <w:r>
                    <w:rPr>
                      <w:rFonts w:hint="default" w:ascii="Times New Roman" w:hAnsi="Times New Roman" w:eastAsia="宋体" w:cs="Times New Roman"/>
                      <w:color w:val="auto"/>
                      <w:sz w:val="21"/>
                      <w:szCs w:val="21"/>
                      <w:highlight w:val="none"/>
                      <w:lang w:val="en-US" w:eastAsia="zh-CN"/>
                    </w:rPr>
                    <w:t>并在堆场顶部</w:t>
                  </w:r>
                  <w:r>
                    <w:rPr>
                      <w:rFonts w:hint="default" w:ascii="Times New Roman" w:hAnsi="Times New Roman" w:cs="Times New Roman"/>
                      <w:color w:val="auto"/>
                      <w:sz w:val="21"/>
                      <w:szCs w:val="21"/>
                      <w:highlight w:val="none"/>
                      <w:lang w:val="en-US" w:eastAsia="zh-CN"/>
                    </w:rPr>
                    <w:t>苫盖苫布。</w:t>
                  </w:r>
                </w:p>
                <w:p w14:paraId="72212473">
                  <w:pPr>
                    <w:keepNext w:val="0"/>
                    <w:keepLines w:val="0"/>
                    <w:pageBreakBefore w:val="0"/>
                    <w:widowControl w:val="0"/>
                    <w:kinsoku/>
                    <w:wordWrap/>
                    <w:overflowPunct/>
                    <w:topLinePunct w:val="0"/>
                    <w:autoSpaceDE/>
                    <w:autoSpaceDN/>
                    <w:bidi w:val="0"/>
                    <w:adjustRightInd w:val="0"/>
                    <w:snapToGrid w:val="0"/>
                    <w:spacing w:line="240" w:lineRule="auto"/>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5、储煤场日常</w:t>
                  </w:r>
                  <w:r>
                    <w:rPr>
                      <w:rFonts w:hint="default" w:ascii="Times New Roman" w:hAnsi="Times New Roman" w:eastAsia="宋体" w:cs="Times New Roman"/>
                      <w:color w:val="auto"/>
                      <w:sz w:val="21"/>
                      <w:szCs w:val="21"/>
                      <w:highlight w:val="none"/>
                    </w:rPr>
                    <w:t>作业时</w:t>
                  </w:r>
                  <w:r>
                    <w:rPr>
                      <w:rFonts w:hint="default" w:ascii="Times New Roman" w:hAnsi="Times New Roman" w:cs="Times New Roman"/>
                      <w:color w:val="auto"/>
                      <w:sz w:val="21"/>
                      <w:szCs w:val="21"/>
                      <w:highlight w:val="none"/>
                      <w:lang w:eastAsia="zh-CN"/>
                    </w:rPr>
                    <w:t>采用</w:t>
                  </w:r>
                  <w:r>
                    <w:rPr>
                      <w:rFonts w:hint="eastAsia" w:cs="Times New Roman"/>
                      <w:color w:val="auto"/>
                      <w:sz w:val="21"/>
                      <w:szCs w:val="21"/>
                      <w:highlight w:val="none"/>
                      <w:lang w:eastAsia="zh-CN"/>
                    </w:rPr>
                    <w:t>洒水车进行</w:t>
                  </w:r>
                  <w:r>
                    <w:rPr>
                      <w:rFonts w:hint="default" w:ascii="Times New Roman" w:hAnsi="Times New Roman" w:eastAsia="宋体" w:cs="Times New Roman"/>
                      <w:color w:val="auto"/>
                      <w:sz w:val="21"/>
                      <w:szCs w:val="21"/>
                      <w:highlight w:val="none"/>
                    </w:rPr>
                    <w:t>洒水降尘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在</w:t>
                  </w:r>
                  <w:r>
                    <w:rPr>
                      <w:rFonts w:hint="default" w:ascii="Times New Roman" w:hAnsi="Times New Roman" w:cs="Times New Roman"/>
                      <w:color w:val="auto"/>
                      <w:sz w:val="21"/>
                      <w:szCs w:val="21"/>
                      <w:highlight w:val="none"/>
                      <w:lang w:val="en-US" w:eastAsia="zh-CN"/>
                    </w:rPr>
                    <w:t>重污染天气期间、大风天气时不进行作业。</w:t>
                  </w:r>
                </w:p>
                <w:p w14:paraId="491F4CF2">
                  <w:pPr>
                    <w:pStyle w:val="40"/>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6、本项目储煤场使用的运输车辆已经</w:t>
                  </w:r>
                  <w:r>
                    <w:rPr>
                      <w:rFonts w:hint="default" w:ascii="Times New Roman" w:hAnsi="Times New Roman" w:eastAsia="宋体" w:cs="Times New Roman"/>
                      <w:color w:val="auto"/>
                      <w:sz w:val="21"/>
                      <w:szCs w:val="21"/>
                      <w:highlight w:val="none"/>
                      <w:lang w:val="en-US" w:eastAsia="zh-CN"/>
                    </w:rPr>
                    <w:t>按照当地城市执法部门的要求进行全面苫盖，并保证车辆清洁。</w:t>
                  </w:r>
                </w:p>
                <w:p w14:paraId="7B781841">
                  <w:pPr>
                    <w:pStyle w:val="40"/>
                    <w:keepNext w:val="0"/>
                    <w:keepLines w:val="0"/>
                    <w:pageBreakBefore w:val="0"/>
                    <w:widowControl w:val="0"/>
                    <w:kinsoku/>
                    <w:wordWrap/>
                    <w:overflowPunct/>
                    <w:topLinePunct w:val="0"/>
                    <w:autoSpaceDE/>
                    <w:autoSpaceDN/>
                    <w:bidi w:val="0"/>
                    <w:adjustRightInd w:val="0"/>
                    <w:snapToGrid w:val="0"/>
                    <w:spacing w:before="0" w:line="240" w:lineRule="auto"/>
                    <w:ind w:left="0" w:leftChars="0"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7、本项目冬季采用电取暖。</w:t>
                  </w:r>
                </w:p>
              </w:tc>
              <w:tc>
                <w:tcPr>
                  <w:tcW w:w="400" w:type="pct"/>
                  <w:tcBorders>
                    <w:tl2br w:val="nil"/>
                    <w:tr2bl w:val="nil"/>
                  </w:tcBorders>
                  <w:noWrap w:val="0"/>
                  <w:vAlign w:val="center"/>
                </w:tcPr>
                <w:p w14:paraId="2F67BF81">
                  <w:pPr>
                    <w:adjustRightInd w:val="0"/>
                    <w:snapToGrid w:val="0"/>
                    <w:spacing w:line="36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r w14:paraId="087075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30" w:hRule="atLeast"/>
                <w:jc w:val="center"/>
              </w:trPr>
              <w:tc>
                <w:tcPr>
                  <w:tcW w:w="599" w:type="pct"/>
                  <w:vMerge w:val="continue"/>
                  <w:tcBorders>
                    <w:tl2br w:val="nil"/>
                    <w:tr2bl w:val="nil"/>
                  </w:tcBorders>
                  <w:noWrap w:val="0"/>
                  <w:vAlign w:val="center"/>
                </w:tcPr>
                <w:p w14:paraId="6D2D3625">
                  <w:pPr>
                    <w:adjustRightInd w:val="0"/>
                    <w:snapToGrid w:val="0"/>
                    <w:jc w:val="center"/>
                    <w:rPr>
                      <w:rFonts w:hint="default" w:ascii="Times New Roman" w:hAnsi="Times New Roman" w:eastAsia="宋体" w:cs="Times New Roman"/>
                      <w:color w:val="auto"/>
                      <w:sz w:val="21"/>
                      <w:szCs w:val="21"/>
                      <w:highlight w:val="none"/>
                      <w:lang w:eastAsia="zh-CN"/>
                    </w:rPr>
                  </w:pPr>
                </w:p>
              </w:tc>
              <w:tc>
                <w:tcPr>
                  <w:tcW w:w="2251" w:type="pct"/>
                  <w:tcBorders>
                    <w:tl2br w:val="nil"/>
                    <w:tr2bl w:val="nil"/>
                  </w:tcBorders>
                  <w:noWrap w:val="0"/>
                  <w:vAlign w:val="center"/>
                </w:tcPr>
                <w:p w14:paraId="5EBAD19E">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三、水污染防治措施 </w:t>
                  </w:r>
                </w:p>
                <w:p w14:paraId="1BAACF86">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9、储煤厂所应当配套建设雨水导流槽、雨水收集池（雨水收集池应建在厂区地势最低处），收集的雨水沉淀后用于场区洒水降尘和绿化。 </w:t>
                  </w:r>
                </w:p>
                <w:p w14:paraId="6226D9DB">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10、无法接入污水管网的储煤厂应当建设防渗旱厕或防渗化粪池，定期转运至当地生活污水处理厂进行处理或作为肥料进行综合利用，并建立管理台账。 </w:t>
                  </w:r>
                </w:p>
              </w:tc>
              <w:tc>
                <w:tcPr>
                  <w:tcW w:w="1748" w:type="pct"/>
                  <w:tcBorders>
                    <w:tl2br w:val="nil"/>
                    <w:tr2bl w:val="nil"/>
                  </w:tcBorders>
                  <w:noWrap w:val="0"/>
                  <w:vAlign w:val="center"/>
                </w:tcPr>
                <w:p w14:paraId="4494F072">
                  <w:pPr>
                    <w:adjustRightInd w:val="0"/>
                    <w:snapToGrid w:val="0"/>
                    <w:jc w:val="left"/>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9、厂区四周设置雨水收集渠，雨水经厂区雨水收集渠进入雨水收集池沉淀后用于洒水降尘，不外排。</w:t>
                  </w:r>
                </w:p>
                <w:p w14:paraId="27655E3C">
                  <w:pPr>
                    <w:adjustRightInd w:val="0"/>
                    <w:snapToGrid w:val="0"/>
                    <w:jc w:val="left"/>
                    <w:rPr>
                      <w:rFonts w:hint="default" w:ascii="Times New Roman" w:hAnsi="Times New Roman" w:cs="Times New Roman"/>
                      <w:color w:val="auto"/>
                      <w:highlight w:val="none"/>
                      <w:lang w:val="en-US" w:eastAsia="zh-CN"/>
                    </w:rPr>
                  </w:pPr>
                  <w:r>
                    <w:rPr>
                      <w:rFonts w:hint="default" w:ascii="Times New Roman" w:hAnsi="Times New Roman" w:cs="Times New Roman"/>
                      <w:snapToGrid w:val="0"/>
                      <w:color w:val="auto"/>
                      <w:kern w:val="0"/>
                      <w:sz w:val="21"/>
                      <w:szCs w:val="21"/>
                      <w:highlight w:val="none"/>
                      <w:lang w:val="en-US" w:eastAsia="zh-CN"/>
                    </w:rPr>
                    <w:t>10、本项目生活污水排入防渗</w:t>
                  </w:r>
                  <w:r>
                    <w:rPr>
                      <w:rFonts w:hint="eastAsia" w:cs="Times New Roman"/>
                      <w:snapToGrid w:val="0"/>
                      <w:color w:val="auto"/>
                      <w:kern w:val="0"/>
                      <w:sz w:val="21"/>
                      <w:szCs w:val="21"/>
                      <w:highlight w:val="none"/>
                      <w:lang w:val="en-US" w:eastAsia="zh-CN"/>
                    </w:rPr>
                    <w:t>旱厕</w:t>
                  </w:r>
                  <w:r>
                    <w:rPr>
                      <w:rFonts w:hint="default" w:ascii="Times New Roman" w:hAnsi="Times New Roman" w:cs="Times New Roman"/>
                      <w:snapToGrid w:val="0"/>
                      <w:color w:val="auto"/>
                      <w:kern w:val="0"/>
                      <w:sz w:val="21"/>
                      <w:szCs w:val="21"/>
                      <w:highlight w:val="none"/>
                      <w:lang w:val="en-US" w:eastAsia="zh-CN"/>
                    </w:rPr>
                    <w:t>，</w:t>
                  </w:r>
                  <w:r>
                    <w:rPr>
                      <w:rFonts w:hint="eastAsia" w:cs="Times New Roman"/>
                      <w:snapToGrid w:val="0"/>
                      <w:color w:val="auto"/>
                      <w:kern w:val="0"/>
                      <w:sz w:val="21"/>
                      <w:szCs w:val="21"/>
                      <w:highlight w:val="none"/>
                      <w:lang w:val="en-US" w:eastAsia="zh-CN"/>
                    </w:rPr>
                    <w:t>定期清掏，外运堆肥</w:t>
                  </w:r>
                  <w:r>
                    <w:rPr>
                      <w:rFonts w:hint="default" w:ascii="Times New Roman" w:hAnsi="Times New Roman" w:cs="Times New Roman"/>
                      <w:snapToGrid w:val="0"/>
                      <w:color w:val="auto"/>
                      <w:kern w:val="0"/>
                      <w:sz w:val="21"/>
                      <w:szCs w:val="21"/>
                      <w:highlight w:val="none"/>
                      <w:lang w:val="en-US" w:eastAsia="zh-CN"/>
                    </w:rPr>
                    <w:t>。</w:t>
                  </w:r>
                </w:p>
              </w:tc>
              <w:tc>
                <w:tcPr>
                  <w:tcW w:w="400" w:type="pct"/>
                  <w:tcBorders>
                    <w:tl2br w:val="nil"/>
                    <w:tr2bl w:val="nil"/>
                  </w:tcBorders>
                  <w:noWrap w:val="0"/>
                  <w:vAlign w:val="center"/>
                </w:tcPr>
                <w:p w14:paraId="10AC2180">
                  <w:pPr>
                    <w:adjustRightInd w:val="0"/>
                    <w:snapToGrid w:val="0"/>
                    <w:spacing w:line="36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r w14:paraId="0192F9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20" w:hRule="atLeast"/>
                <w:jc w:val="center"/>
              </w:trPr>
              <w:tc>
                <w:tcPr>
                  <w:tcW w:w="599" w:type="pct"/>
                  <w:vMerge w:val="continue"/>
                  <w:tcBorders>
                    <w:tl2br w:val="nil"/>
                    <w:tr2bl w:val="nil"/>
                  </w:tcBorders>
                  <w:noWrap w:val="0"/>
                  <w:vAlign w:val="center"/>
                </w:tcPr>
                <w:p w14:paraId="26FBC37A">
                  <w:pPr>
                    <w:adjustRightInd w:val="0"/>
                    <w:snapToGrid w:val="0"/>
                    <w:jc w:val="center"/>
                    <w:rPr>
                      <w:rFonts w:hint="default" w:ascii="Times New Roman" w:hAnsi="Times New Roman" w:eastAsia="宋体" w:cs="Times New Roman"/>
                      <w:color w:val="auto"/>
                      <w:sz w:val="21"/>
                      <w:szCs w:val="21"/>
                      <w:highlight w:val="none"/>
                      <w:lang w:eastAsia="zh-CN"/>
                    </w:rPr>
                  </w:pPr>
                </w:p>
              </w:tc>
              <w:tc>
                <w:tcPr>
                  <w:tcW w:w="2251" w:type="pct"/>
                  <w:tcBorders>
                    <w:tl2br w:val="nil"/>
                    <w:tr2bl w:val="nil"/>
                  </w:tcBorders>
                  <w:noWrap w:val="0"/>
                  <w:vAlign w:val="center"/>
                </w:tcPr>
                <w:p w14:paraId="78BE01AB">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四、土壤污染防治措施</w:t>
                  </w:r>
                </w:p>
                <w:p w14:paraId="211F6104">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11、储煤厂场区地面必须全部硬化，其中车辆进出口及主要运输通道必须使用水泥或柏油进行硬化。</w:t>
                  </w:r>
                </w:p>
              </w:tc>
              <w:tc>
                <w:tcPr>
                  <w:tcW w:w="1748" w:type="pct"/>
                  <w:tcBorders>
                    <w:tl2br w:val="nil"/>
                    <w:tr2bl w:val="nil"/>
                  </w:tcBorders>
                  <w:noWrap w:val="0"/>
                  <w:vAlign w:val="center"/>
                </w:tcPr>
                <w:p w14:paraId="6DECA0CC">
                  <w:pPr>
                    <w:adjustRightInd w:val="0"/>
                    <w:snapToGrid w:val="0"/>
                    <w:jc w:val="left"/>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11、本项目厂区</w:t>
                  </w:r>
                  <w:r>
                    <w:rPr>
                      <w:rFonts w:hint="eastAsia" w:cs="Times New Roman"/>
                      <w:snapToGrid w:val="0"/>
                      <w:color w:val="auto"/>
                      <w:kern w:val="0"/>
                      <w:sz w:val="21"/>
                      <w:szCs w:val="21"/>
                      <w:highlight w:val="none"/>
                      <w:lang w:val="en-US" w:eastAsia="zh-CN"/>
                    </w:rPr>
                    <w:t>地面</w:t>
                  </w:r>
                  <w:r>
                    <w:rPr>
                      <w:rFonts w:hint="default" w:ascii="Times New Roman" w:hAnsi="Times New Roman" w:cs="Times New Roman"/>
                      <w:snapToGrid w:val="0"/>
                      <w:color w:val="auto"/>
                      <w:kern w:val="0"/>
                      <w:sz w:val="21"/>
                      <w:szCs w:val="21"/>
                      <w:highlight w:val="none"/>
                      <w:lang w:val="en-US" w:eastAsia="zh-CN"/>
                    </w:rPr>
                    <w:t>全部硬化，</w:t>
                  </w:r>
                  <w:r>
                    <w:rPr>
                      <w:rFonts w:hint="eastAsia" w:cs="Times New Roman"/>
                      <w:snapToGrid w:val="0"/>
                      <w:color w:val="auto"/>
                      <w:kern w:val="0"/>
                      <w:sz w:val="21"/>
                      <w:szCs w:val="21"/>
                      <w:highlight w:val="none"/>
                      <w:lang w:val="en-US" w:eastAsia="zh-CN"/>
                    </w:rPr>
                    <w:t>其中</w:t>
                  </w:r>
                  <w:r>
                    <w:rPr>
                      <w:rFonts w:hint="default" w:ascii="Times New Roman" w:hAnsi="Times New Roman" w:cs="Times New Roman"/>
                      <w:snapToGrid w:val="0"/>
                      <w:color w:val="auto"/>
                      <w:kern w:val="0"/>
                      <w:sz w:val="21"/>
                      <w:szCs w:val="21"/>
                      <w:highlight w:val="none"/>
                      <w:lang w:val="en-US" w:eastAsia="zh-CN"/>
                    </w:rPr>
                    <w:t>厂区路面采取水泥地面</w:t>
                  </w:r>
                  <w:r>
                    <w:rPr>
                      <w:rFonts w:hint="eastAsia" w:cs="Times New Roman"/>
                      <w:snapToGrid w:val="0"/>
                      <w:color w:val="auto"/>
                      <w:kern w:val="0"/>
                      <w:sz w:val="21"/>
                      <w:szCs w:val="21"/>
                      <w:highlight w:val="none"/>
                      <w:lang w:val="en-US" w:eastAsia="zh-CN"/>
                    </w:rPr>
                    <w:t>进行</w:t>
                  </w:r>
                  <w:r>
                    <w:rPr>
                      <w:rFonts w:hint="default" w:ascii="Times New Roman" w:hAnsi="Times New Roman" w:cs="Times New Roman"/>
                      <w:snapToGrid w:val="0"/>
                      <w:color w:val="auto"/>
                      <w:kern w:val="0"/>
                      <w:sz w:val="21"/>
                      <w:szCs w:val="21"/>
                      <w:highlight w:val="none"/>
                      <w:lang w:val="en-US" w:eastAsia="zh-CN"/>
                    </w:rPr>
                    <w:t>硬化。</w:t>
                  </w:r>
                </w:p>
              </w:tc>
              <w:tc>
                <w:tcPr>
                  <w:tcW w:w="400" w:type="pct"/>
                  <w:tcBorders>
                    <w:tl2br w:val="nil"/>
                    <w:tr2bl w:val="nil"/>
                  </w:tcBorders>
                  <w:noWrap w:val="0"/>
                  <w:vAlign w:val="center"/>
                </w:tcPr>
                <w:p w14:paraId="3AFA771D">
                  <w:pPr>
                    <w:adjustRightInd w:val="0"/>
                    <w:snapToGrid w:val="0"/>
                    <w:spacing w:line="36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r w14:paraId="419C3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495" w:hRule="atLeast"/>
                <w:jc w:val="center"/>
              </w:trPr>
              <w:tc>
                <w:tcPr>
                  <w:tcW w:w="599" w:type="pct"/>
                  <w:vMerge w:val="continue"/>
                  <w:tcBorders>
                    <w:tl2br w:val="nil"/>
                    <w:tr2bl w:val="nil"/>
                  </w:tcBorders>
                  <w:noWrap w:val="0"/>
                  <w:vAlign w:val="center"/>
                </w:tcPr>
                <w:p w14:paraId="42C37A2F">
                  <w:pPr>
                    <w:adjustRightInd w:val="0"/>
                    <w:snapToGrid w:val="0"/>
                    <w:jc w:val="center"/>
                    <w:rPr>
                      <w:rFonts w:hint="default" w:ascii="Times New Roman" w:hAnsi="Times New Roman" w:eastAsia="宋体" w:cs="Times New Roman"/>
                      <w:color w:val="auto"/>
                      <w:sz w:val="21"/>
                      <w:szCs w:val="21"/>
                      <w:highlight w:val="none"/>
                      <w:lang w:eastAsia="zh-CN"/>
                    </w:rPr>
                  </w:pPr>
                </w:p>
              </w:tc>
              <w:tc>
                <w:tcPr>
                  <w:tcW w:w="2251" w:type="pct"/>
                  <w:tcBorders>
                    <w:tl2br w:val="nil"/>
                    <w:tr2bl w:val="nil"/>
                  </w:tcBorders>
                  <w:noWrap w:val="0"/>
                  <w:vAlign w:val="center"/>
                </w:tcPr>
                <w:p w14:paraId="4B6656EF">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五、噪声污染防治措施 </w:t>
                  </w:r>
                </w:p>
                <w:p w14:paraId="7CFAA5F2">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12、储煤厂应当选取低噪声的设备、设施，并严格遵守 《中华人民共和国噪声污染防治法》的相关规定，合理规划生产作业时限。 </w:t>
                  </w:r>
                </w:p>
              </w:tc>
              <w:tc>
                <w:tcPr>
                  <w:tcW w:w="1748" w:type="pct"/>
                  <w:tcBorders>
                    <w:tl2br w:val="nil"/>
                    <w:tr2bl w:val="nil"/>
                  </w:tcBorders>
                  <w:noWrap w:val="0"/>
                  <w:vAlign w:val="center"/>
                </w:tcPr>
                <w:p w14:paraId="50DBCC09">
                  <w:pPr>
                    <w:adjustRightInd w:val="0"/>
                    <w:snapToGrid w:val="0"/>
                    <w:jc w:val="left"/>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12、本项目</w:t>
                  </w:r>
                  <w:r>
                    <w:rPr>
                      <w:rFonts w:hint="default" w:ascii="Times New Roman" w:hAnsi="Times New Roman" w:eastAsia="宋体" w:cs="Times New Roman"/>
                      <w:color w:val="auto"/>
                      <w:sz w:val="21"/>
                      <w:szCs w:val="21"/>
                      <w:highlight w:val="none"/>
                      <w:lang w:val="en-US" w:eastAsia="zh-CN"/>
                    </w:rPr>
                    <w:t>选取低噪声的</w:t>
                  </w:r>
                  <w:r>
                    <w:rPr>
                      <w:rFonts w:hint="default" w:ascii="Times New Roman" w:hAnsi="Times New Roman" w:cs="Times New Roman"/>
                      <w:color w:val="auto"/>
                      <w:sz w:val="21"/>
                      <w:szCs w:val="21"/>
                      <w:highlight w:val="none"/>
                      <w:lang w:val="en-US" w:eastAsia="zh-CN"/>
                    </w:rPr>
                    <w:t>设施，</w:t>
                  </w:r>
                  <w:r>
                    <w:rPr>
                      <w:rFonts w:hint="default" w:ascii="Times New Roman" w:hAnsi="Times New Roman" w:eastAsia="宋体" w:cs="Times New Roman"/>
                      <w:color w:val="auto"/>
                      <w:sz w:val="21"/>
                      <w:szCs w:val="21"/>
                      <w:highlight w:val="none"/>
                      <w:lang w:val="en-US" w:eastAsia="zh-CN"/>
                    </w:rPr>
                    <w:t>严格遵守 《中华人民共和国噪声污染防治法》的相关规定，合理规划生产作业时限</w:t>
                  </w:r>
                  <w:r>
                    <w:rPr>
                      <w:rFonts w:hint="default" w:ascii="Times New Roman" w:hAnsi="Times New Roman" w:cs="Times New Roman"/>
                      <w:color w:val="auto"/>
                      <w:sz w:val="21"/>
                      <w:szCs w:val="21"/>
                      <w:highlight w:val="none"/>
                      <w:lang w:val="en-US" w:eastAsia="zh-CN"/>
                    </w:rPr>
                    <w:t>。</w:t>
                  </w:r>
                </w:p>
              </w:tc>
              <w:tc>
                <w:tcPr>
                  <w:tcW w:w="400" w:type="pct"/>
                  <w:tcBorders>
                    <w:tl2br w:val="nil"/>
                    <w:tr2bl w:val="nil"/>
                  </w:tcBorders>
                  <w:noWrap w:val="0"/>
                  <w:vAlign w:val="center"/>
                </w:tcPr>
                <w:p w14:paraId="57C7E680">
                  <w:pPr>
                    <w:adjustRightInd w:val="0"/>
                    <w:snapToGrid w:val="0"/>
                    <w:spacing w:line="36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r w14:paraId="13D3C6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88" w:hRule="atLeast"/>
                <w:jc w:val="center"/>
              </w:trPr>
              <w:tc>
                <w:tcPr>
                  <w:tcW w:w="599" w:type="pct"/>
                  <w:vMerge w:val="continue"/>
                  <w:tcBorders>
                    <w:tl2br w:val="nil"/>
                    <w:tr2bl w:val="nil"/>
                  </w:tcBorders>
                  <w:noWrap w:val="0"/>
                  <w:vAlign w:val="center"/>
                </w:tcPr>
                <w:p w14:paraId="2DD782DA">
                  <w:pPr>
                    <w:adjustRightInd w:val="0"/>
                    <w:snapToGrid w:val="0"/>
                    <w:jc w:val="center"/>
                    <w:rPr>
                      <w:rFonts w:hint="default" w:ascii="Times New Roman" w:hAnsi="Times New Roman" w:eastAsia="宋体" w:cs="Times New Roman"/>
                      <w:color w:val="auto"/>
                      <w:sz w:val="21"/>
                      <w:szCs w:val="21"/>
                      <w:highlight w:val="none"/>
                      <w:lang w:eastAsia="zh-CN"/>
                    </w:rPr>
                  </w:pPr>
                </w:p>
              </w:tc>
              <w:tc>
                <w:tcPr>
                  <w:tcW w:w="2251" w:type="pct"/>
                  <w:tcBorders>
                    <w:tl2br w:val="nil"/>
                    <w:tr2bl w:val="nil"/>
                  </w:tcBorders>
                  <w:noWrap w:val="0"/>
                  <w:vAlign w:val="center"/>
                </w:tcPr>
                <w:p w14:paraId="5780A9E1">
                  <w:pPr>
                    <w:adjustRightInd w:val="0"/>
                    <w:snapToGrid w:val="0"/>
                    <w:jc w:val="left"/>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 xml:space="preserve">六、危险废物污染防治措施 </w:t>
                  </w:r>
                </w:p>
                <w:p w14:paraId="72A7AA4B">
                  <w:pPr>
                    <w:adjustRightInd w:val="0"/>
                    <w:snapToGrid w:val="0"/>
                    <w:jc w:val="left"/>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 xml:space="preserve">13、储煤厂应当建设危险废物贮存间，并按照《危险废物识别标志设置技术规范》设置危险废物标识，将产生的废机油等危险废物进行收集贮存，定期由有资质的处置单位转移、处置，执行危险废物转移联单管理制度并做好台账记录。 </w:t>
                  </w:r>
                </w:p>
              </w:tc>
              <w:tc>
                <w:tcPr>
                  <w:tcW w:w="1748" w:type="pct"/>
                  <w:tcBorders>
                    <w:tl2br w:val="nil"/>
                    <w:tr2bl w:val="nil"/>
                  </w:tcBorders>
                  <w:noWrap w:val="0"/>
                  <w:vAlign w:val="center"/>
                </w:tcPr>
                <w:p w14:paraId="23C2D10C">
                  <w:pPr>
                    <w:adjustRightInd w:val="0"/>
                    <w:snapToGrid w:val="0"/>
                    <w:jc w:val="left"/>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13、本项目运营过程中不产生危险废物，因此不设置危险废物贮存间。项目车辆损坏等不在厂内维修，不涉及废矿物油等危险废物。</w:t>
                  </w:r>
                </w:p>
              </w:tc>
              <w:tc>
                <w:tcPr>
                  <w:tcW w:w="400" w:type="pct"/>
                  <w:tcBorders>
                    <w:tl2br w:val="nil"/>
                    <w:tr2bl w:val="nil"/>
                  </w:tcBorders>
                  <w:noWrap w:val="0"/>
                  <w:vAlign w:val="center"/>
                </w:tcPr>
                <w:p w14:paraId="34A3FACF">
                  <w:pPr>
                    <w:adjustRightInd w:val="0"/>
                    <w:snapToGrid w:val="0"/>
                    <w:spacing w:line="36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r w14:paraId="6D3425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52" w:hRule="atLeast"/>
                <w:jc w:val="center"/>
              </w:trPr>
              <w:tc>
                <w:tcPr>
                  <w:tcW w:w="599" w:type="pct"/>
                  <w:vMerge w:val="continue"/>
                  <w:tcBorders>
                    <w:tl2br w:val="nil"/>
                    <w:tr2bl w:val="nil"/>
                  </w:tcBorders>
                  <w:noWrap w:val="0"/>
                  <w:vAlign w:val="center"/>
                </w:tcPr>
                <w:p w14:paraId="79383D76">
                  <w:pPr>
                    <w:adjustRightInd w:val="0"/>
                    <w:snapToGrid w:val="0"/>
                    <w:jc w:val="center"/>
                    <w:rPr>
                      <w:rFonts w:hint="default" w:ascii="Times New Roman" w:hAnsi="Times New Roman" w:eastAsia="宋体" w:cs="Times New Roman"/>
                      <w:color w:val="auto"/>
                      <w:sz w:val="21"/>
                      <w:szCs w:val="21"/>
                      <w:highlight w:val="none"/>
                      <w:lang w:eastAsia="zh-CN"/>
                    </w:rPr>
                  </w:pPr>
                </w:p>
              </w:tc>
              <w:tc>
                <w:tcPr>
                  <w:tcW w:w="2251" w:type="pct"/>
                  <w:tcBorders>
                    <w:tl2br w:val="nil"/>
                    <w:tr2bl w:val="nil"/>
                  </w:tcBorders>
                  <w:noWrap w:val="0"/>
                  <w:vAlign w:val="center"/>
                </w:tcPr>
                <w:p w14:paraId="78C6ABA7">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七、其它污染防治措施 </w:t>
                  </w:r>
                </w:p>
                <w:p w14:paraId="57DC386E">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14、储煤厂应当在厂区四周（防风抑尘网外侧）植树绿化，改善周边生态环境质量。 </w:t>
                  </w:r>
                </w:p>
                <w:p w14:paraId="5C835CC9">
                  <w:pPr>
                    <w:adjustRightInd w:val="0"/>
                    <w:snapToGrid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15、储煤厂应当定期对厂区及周边进行清理保洁，保持良好的环境卫生面貌，防止出现</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脏、乱、差</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 xml:space="preserve">现象。并设置生活垃圾收集箱，定期转运。 </w:t>
                  </w:r>
                </w:p>
              </w:tc>
              <w:tc>
                <w:tcPr>
                  <w:tcW w:w="1748" w:type="pct"/>
                  <w:tcBorders>
                    <w:tl2br w:val="nil"/>
                    <w:tr2bl w:val="nil"/>
                  </w:tcBorders>
                  <w:noWrap w:val="0"/>
                  <w:vAlign w:val="center"/>
                </w:tcPr>
                <w:p w14:paraId="4447F6A6">
                  <w:pPr>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14、本项目在</w:t>
                  </w:r>
                  <w:r>
                    <w:rPr>
                      <w:rFonts w:hint="default" w:ascii="Times New Roman" w:hAnsi="Times New Roman" w:eastAsia="宋体" w:cs="Times New Roman"/>
                      <w:color w:val="auto"/>
                      <w:sz w:val="21"/>
                      <w:szCs w:val="21"/>
                      <w:highlight w:val="none"/>
                      <w:lang w:val="en-US" w:eastAsia="zh-CN"/>
                    </w:rPr>
                    <w:t>厂区四周（防风抑尘网外侧）</w:t>
                  </w:r>
                  <w:r>
                    <w:rPr>
                      <w:rFonts w:hint="default" w:ascii="Times New Roman" w:hAnsi="Times New Roman" w:cs="Times New Roman"/>
                      <w:color w:val="auto"/>
                      <w:sz w:val="21"/>
                      <w:szCs w:val="21"/>
                      <w:highlight w:val="none"/>
                      <w:lang w:val="en-US" w:eastAsia="zh-CN"/>
                    </w:rPr>
                    <w:t>栽种</w:t>
                  </w:r>
                  <w:r>
                    <w:rPr>
                      <w:rFonts w:hint="default" w:ascii="Times New Roman" w:hAnsi="Times New Roman" w:eastAsia="宋体" w:cs="Times New Roman"/>
                      <w:color w:val="auto"/>
                      <w:sz w:val="21"/>
                      <w:szCs w:val="21"/>
                      <w:highlight w:val="none"/>
                      <w:lang w:val="en-US" w:eastAsia="zh-CN"/>
                    </w:rPr>
                    <w:t>植树</w:t>
                  </w:r>
                  <w:r>
                    <w:rPr>
                      <w:rFonts w:hint="default" w:ascii="Times New Roman" w:hAnsi="Times New Roman" w:cs="Times New Roman"/>
                      <w:color w:val="auto"/>
                      <w:sz w:val="21"/>
                      <w:szCs w:val="21"/>
                      <w:highlight w:val="none"/>
                      <w:lang w:val="en-US" w:eastAsia="zh-CN"/>
                    </w:rPr>
                    <w:t>加强</w:t>
                  </w:r>
                  <w:r>
                    <w:rPr>
                      <w:rFonts w:hint="default" w:ascii="Times New Roman" w:hAnsi="Times New Roman" w:eastAsia="宋体" w:cs="Times New Roman"/>
                      <w:color w:val="auto"/>
                      <w:sz w:val="21"/>
                      <w:szCs w:val="21"/>
                      <w:highlight w:val="none"/>
                      <w:lang w:val="en-US" w:eastAsia="zh-CN"/>
                    </w:rPr>
                    <w:t>绿化</w:t>
                  </w:r>
                  <w:r>
                    <w:rPr>
                      <w:rFonts w:hint="default" w:ascii="Times New Roman" w:hAnsi="Times New Roman" w:cs="Times New Roman"/>
                      <w:color w:val="auto"/>
                      <w:sz w:val="21"/>
                      <w:szCs w:val="21"/>
                      <w:highlight w:val="none"/>
                      <w:lang w:val="en-US" w:eastAsia="zh-CN"/>
                    </w:rPr>
                    <w:t>。</w:t>
                  </w:r>
                </w:p>
                <w:p w14:paraId="775C022E">
                  <w:pPr>
                    <w:adjustRightInd w:val="0"/>
                    <w:snapToGrid w:val="0"/>
                    <w:jc w:val="left"/>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15、本项目</w:t>
                  </w:r>
                  <w:r>
                    <w:rPr>
                      <w:rFonts w:hint="default" w:ascii="Times New Roman" w:hAnsi="Times New Roman" w:eastAsia="宋体" w:cs="Times New Roman"/>
                      <w:color w:val="auto"/>
                      <w:sz w:val="21"/>
                      <w:szCs w:val="21"/>
                      <w:highlight w:val="none"/>
                      <w:lang w:val="en-US" w:eastAsia="zh-CN"/>
                    </w:rPr>
                    <w:t>定期对厂区及周边进行清理保洁，保持良好的环境卫生面貌，防止出现</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脏、乱、差</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现象。并设置生活垃圾桶，员工生活垃圾暂存垃圾桶</w:t>
                  </w:r>
                  <w:r>
                    <w:rPr>
                      <w:rFonts w:hint="default" w:ascii="Times New Roman" w:hAnsi="Times New Roman" w:cs="Times New Roman"/>
                      <w:color w:val="auto"/>
                      <w:sz w:val="21"/>
                      <w:szCs w:val="21"/>
                      <w:highlight w:val="none"/>
                      <w:lang w:val="en-US" w:eastAsia="zh-CN"/>
                    </w:rPr>
                    <w:t>后</w:t>
                  </w:r>
                  <w:r>
                    <w:rPr>
                      <w:rFonts w:hint="default" w:ascii="Times New Roman" w:hAnsi="Times New Roman" w:eastAsia="宋体" w:cs="Times New Roman"/>
                      <w:color w:val="auto"/>
                      <w:sz w:val="21"/>
                      <w:szCs w:val="21"/>
                      <w:highlight w:val="none"/>
                      <w:lang w:val="en-US" w:eastAsia="zh-CN"/>
                    </w:rPr>
                    <w:t>委托环卫部门</w:t>
                  </w:r>
                  <w:r>
                    <w:rPr>
                      <w:rFonts w:hint="default" w:ascii="Times New Roman" w:hAnsi="Times New Roman" w:cs="Times New Roman"/>
                      <w:color w:val="auto"/>
                      <w:sz w:val="21"/>
                      <w:szCs w:val="21"/>
                      <w:highlight w:val="none"/>
                      <w:lang w:val="en-US" w:eastAsia="zh-CN"/>
                    </w:rPr>
                    <w:t>定期</w:t>
                  </w:r>
                  <w:r>
                    <w:rPr>
                      <w:rFonts w:hint="default" w:ascii="Times New Roman" w:hAnsi="Times New Roman" w:eastAsia="宋体" w:cs="Times New Roman"/>
                      <w:color w:val="auto"/>
                      <w:sz w:val="21"/>
                      <w:szCs w:val="21"/>
                      <w:highlight w:val="none"/>
                      <w:lang w:val="en-US" w:eastAsia="zh-CN"/>
                    </w:rPr>
                    <w:t xml:space="preserve">处理 </w:t>
                  </w:r>
                  <w:r>
                    <w:rPr>
                      <w:rFonts w:hint="default" w:ascii="Times New Roman" w:hAnsi="Times New Roman" w:cs="Times New Roman"/>
                      <w:color w:val="auto"/>
                      <w:sz w:val="21"/>
                      <w:szCs w:val="21"/>
                      <w:highlight w:val="none"/>
                      <w:lang w:val="en-US" w:eastAsia="zh-CN"/>
                    </w:rPr>
                    <w:t>。</w:t>
                  </w:r>
                </w:p>
              </w:tc>
              <w:tc>
                <w:tcPr>
                  <w:tcW w:w="400" w:type="pct"/>
                  <w:tcBorders>
                    <w:tl2br w:val="nil"/>
                    <w:tr2bl w:val="nil"/>
                  </w:tcBorders>
                  <w:noWrap w:val="0"/>
                  <w:vAlign w:val="center"/>
                </w:tcPr>
                <w:p w14:paraId="26405A72">
                  <w:pPr>
                    <w:adjustRightInd w:val="0"/>
                    <w:snapToGrid w:val="0"/>
                    <w:spacing w:line="36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bl>
          <w:p w14:paraId="4E35EB2C">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sz w:val="24"/>
              </w:rPr>
            </w:pPr>
          </w:p>
          <w:p w14:paraId="3492E82D">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sz w:val="24"/>
              </w:rPr>
            </w:pPr>
          </w:p>
          <w:p w14:paraId="6CB25C82">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sz w:val="24"/>
              </w:rPr>
            </w:pPr>
          </w:p>
          <w:p w14:paraId="40226316">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sz w:val="24"/>
              </w:rPr>
            </w:pPr>
          </w:p>
          <w:p w14:paraId="5BE16FC7">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default" w:ascii="Times New Roman" w:hAnsi="Times New Roman" w:eastAsia="宋体" w:cs="Times New Roman"/>
                <w:color w:val="auto"/>
                <w:sz w:val="24"/>
              </w:rPr>
            </w:pPr>
          </w:p>
          <w:p w14:paraId="48F62314">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w:t>
            </w:r>
            <w:r>
              <w:rPr>
                <w:rFonts w:hint="eastAsia" w:cs="Times New Roman"/>
                <w:color w:val="auto"/>
                <w:sz w:val="24"/>
                <w:lang w:val="en-US" w:eastAsia="zh-CN"/>
              </w:rPr>
              <w:t>5</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与《鸡西市洗煤厂、储煤厂排查整治工作方案》符合性分析</w:t>
            </w:r>
          </w:p>
          <w:p w14:paraId="0048EE29">
            <w:pPr>
              <w:pStyle w:val="69"/>
              <w:spacing w:line="240" w:lineRule="auto"/>
              <w:rPr>
                <w:rFonts w:hint="default" w:ascii="Times New Roman" w:hAnsi="Times New Roman" w:eastAsia="宋体" w:cs="Times New Roman"/>
                <w:color w:val="auto"/>
                <w:sz w:val="24"/>
                <w:lang w:val="en-US"/>
              </w:rPr>
            </w:pPr>
            <w:r>
              <w:rPr>
                <w:rFonts w:eastAsia="宋体" w:cs="Times New Roman"/>
                <w:b/>
                <w:bCs/>
                <w:color w:val="auto"/>
                <w:sz w:val="21"/>
                <w:szCs w:val="21"/>
                <w:lang w:eastAsia="zh-CN"/>
              </w:rPr>
              <w:t>表1-</w:t>
            </w:r>
            <w:r>
              <w:rPr>
                <w:rFonts w:hint="eastAsia" w:eastAsia="宋体" w:cs="Times New Roman"/>
                <w:b/>
                <w:bCs/>
                <w:color w:val="auto"/>
                <w:sz w:val="21"/>
                <w:szCs w:val="21"/>
                <w:lang w:val="en-US" w:eastAsia="zh-CN"/>
              </w:rPr>
              <w:t>7</w:t>
            </w:r>
            <w:r>
              <w:rPr>
                <w:rFonts w:eastAsia="宋体" w:cs="Times New Roman"/>
                <w:b/>
                <w:bCs/>
                <w:color w:val="auto"/>
                <w:sz w:val="21"/>
                <w:szCs w:val="21"/>
                <w:lang w:eastAsia="zh-CN"/>
              </w:rPr>
              <w:t xml:space="preserve"> </w:t>
            </w:r>
            <w:r>
              <w:rPr>
                <w:rFonts w:hint="eastAsia" w:eastAsia="宋体" w:cs="Times New Roman"/>
                <w:b/>
                <w:bCs/>
                <w:color w:val="auto"/>
                <w:sz w:val="21"/>
                <w:szCs w:val="21"/>
                <w:lang w:eastAsia="zh-CN"/>
              </w:rPr>
              <w:t>与《鸡西市洗煤厂、储煤厂排查整治工作方案》符合性分析一览表</w:t>
            </w:r>
          </w:p>
          <w:tbl>
            <w:tblPr>
              <w:tblStyle w:val="30"/>
              <w:tblW w:w="49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76"/>
              <w:gridCol w:w="3663"/>
              <w:gridCol w:w="2973"/>
              <w:gridCol w:w="522"/>
            </w:tblGrid>
            <w:tr w14:paraId="64282F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01" w:hRule="atLeast"/>
                <w:jc w:val="center"/>
              </w:trPr>
              <w:tc>
                <w:tcPr>
                  <w:tcW w:w="600" w:type="pct"/>
                  <w:tcBorders>
                    <w:tl2br w:val="nil"/>
                    <w:tr2bl w:val="nil"/>
                  </w:tcBorders>
                  <w:noWrap w:val="0"/>
                  <w:vAlign w:val="center"/>
                </w:tcPr>
                <w:p w14:paraId="53F54A14">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政策名称</w:t>
                  </w:r>
                </w:p>
              </w:tc>
              <w:tc>
                <w:tcPr>
                  <w:tcW w:w="2251" w:type="pct"/>
                  <w:tcBorders>
                    <w:tl2br w:val="nil"/>
                    <w:tr2bl w:val="nil"/>
                  </w:tcBorders>
                  <w:noWrap w:val="0"/>
                  <w:vAlign w:val="center"/>
                </w:tcPr>
                <w:p w14:paraId="16B762CC">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政策要求</w:t>
                  </w:r>
                </w:p>
              </w:tc>
              <w:tc>
                <w:tcPr>
                  <w:tcW w:w="1827" w:type="pct"/>
                  <w:tcBorders>
                    <w:tl2br w:val="nil"/>
                    <w:tr2bl w:val="nil"/>
                  </w:tcBorders>
                  <w:noWrap w:val="0"/>
                  <w:vAlign w:val="center"/>
                </w:tcPr>
                <w:p w14:paraId="13F94309">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本项目</w:t>
                  </w:r>
                </w:p>
              </w:tc>
              <w:tc>
                <w:tcPr>
                  <w:tcW w:w="320" w:type="pct"/>
                  <w:tcBorders>
                    <w:tl2br w:val="nil"/>
                    <w:tr2bl w:val="nil"/>
                  </w:tcBorders>
                  <w:noWrap w:val="0"/>
                  <w:vAlign w:val="center"/>
                </w:tcPr>
                <w:p w14:paraId="23FB3CAE">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符合</w:t>
                  </w:r>
                  <w:r>
                    <w:rPr>
                      <w:rFonts w:hint="default" w:ascii="Times New Roman" w:hAnsi="Times New Roman" w:eastAsia="宋体" w:cs="Times New Roman"/>
                      <w:b/>
                      <w:bCs/>
                      <w:color w:val="auto"/>
                      <w:sz w:val="21"/>
                      <w:szCs w:val="21"/>
                      <w:highlight w:val="none"/>
                    </w:rPr>
                    <w:t>性</w:t>
                  </w:r>
                </w:p>
              </w:tc>
            </w:tr>
            <w:tr w14:paraId="62BD7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87" w:hRule="atLeast"/>
                <w:jc w:val="center"/>
              </w:trPr>
              <w:tc>
                <w:tcPr>
                  <w:tcW w:w="600" w:type="pct"/>
                  <w:tcBorders>
                    <w:tl2br w:val="nil"/>
                    <w:tr2bl w:val="nil"/>
                  </w:tcBorders>
                  <w:noWrap w:val="0"/>
                  <w:vAlign w:val="center"/>
                </w:tcPr>
                <w:p w14:paraId="6AE3E227">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鸡西市洗煤厂、储煤厂排查整治工作方案</w:t>
                  </w:r>
                  <w:r>
                    <w:rPr>
                      <w:rFonts w:hint="default" w:ascii="Times New Roman" w:hAnsi="Times New Roman" w:eastAsia="宋体" w:cs="Times New Roman"/>
                      <w:color w:val="auto"/>
                      <w:sz w:val="21"/>
                      <w:szCs w:val="21"/>
                      <w:highlight w:val="none"/>
                      <w:lang w:eastAsia="zh-CN"/>
                    </w:rPr>
                    <w:t>》</w:t>
                  </w:r>
                </w:p>
              </w:tc>
              <w:tc>
                <w:tcPr>
                  <w:tcW w:w="2251" w:type="pct"/>
                  <w:tcBorders>
                    <w:tl2br w:val="nil"/>
                    <w:tr2bl w:val="nil"/>
                  </w:tcBorders>
                  <w:noWrap w:val="0"/>
                  <w:vAlign w:val="center"/>
                </w:tcPr>
                <w:p w14:paraId="52A15DFA">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 xml:space="preserve">按照《储煤厂综合整治验收标准》《洗煤厂环境整治验收标准》，督促企业办理环保、土地规划手续，按整治内容和标准开展环境综合整治工作，针对无法办理合规手续、无法实施环境综合整治的储煤厂，要向属地县（市）区政府 </w:t>
                  </w:r>
                </w:p>
                <w:p w14:paraId="0D727BF2">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及时报告，采取联合执法方式，依法予以取缔。</w:t>
                  </w:r>
                </w:p>
              </w:tc>
              <w:tc>
                <w:tcPr>
                  <w:tcW w:w="1827" w:type="pct"/>
                  <w:tcBorders>
                    <w:tl2br w:val="nil"/>
                    <w:tr2bl w:val="nil"/>
                  </w:tcBorders>
                  <w:noWrap w:val="0"/>
                  <w:vAlign w:val="center"/>
                </w:tcPr>
                <w:p w14:paraId="263B213F">
                  <w:pPr>
                    <w:adjustRightInd w:val="0"/>
                    <w:snapToGrid w:val="0"/>
                    <w:jc w:val="left"/>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eastAsia="zh-CN"/>
                    </w:rPr>
                    <w:t>本项目按照《整治工作方案》办理</w:t>
                  </w:r>
                  <w:r>
                    <w:rPr>
                      <w:rFonts w:hint="default" w:ascii="Times New Roman" w:hAnsi="Times New Roman" w:eastAsia="宋体" w:cs="Times New Roman"/>
                      <w:color w:val="auto"/>
                      <w:sz w:val="21"/>
                      <w:szCs w:val="21"/>
                      <w:highlight w:val="none"/>
                      <w:lang w:val="en-US" w:eastAsia="zh-CN"/>
                    </w:rPr>
                    <w:t>环保、土地规划手续</w:t>
                  </w:r>
                  <w:r>
                    <w:rPr>
                      <w:rFonts w:hint="default" w:ascii="Times New Roman" w:hAnsi="Times New Roman" w:cs="Times New Roman"/>
                      <w:color w:val="auto"/>
                      <w:sz w:val="21"/>
                      <w:szCs w:val="21"/>
                      <w:highlight w:val="none"/>
                      <w:lang w:val="en-US" w:eastAsia="zh-CN"/>
                    </w:rPr>
                    <w:t>，按照</w:t>
                  </w:r>
                  <w:r>
                    <w:rPr>
                      <w:rFonts w:hint="default" w:ascii="Times New Roman" w:hAnsi="Times New Roman" w:eastAsia="宋体" w:cs="Times New Roman"/>
                      <w:color w:val="auto"/>
                      <w:sz w:val="21"/>
                      <w:szCs w:val="21"/>
                      <w:highlight w:val="none"/>
                      <w:lang w:val="en-US" w:eastAsia="zh-CN"/>
                    </w:rPr>
                    <w:t>整治内容和标准</w:t>
                  </w:r>
                  <w:r>
                    <w:rPr>
                      <w:rFonts w:hint="default" w:ascii="Times New Roman" w:hAnsi="Times New Roman" w:cs="Times New Roman"/>
                      <w:color w:val="auto"/>
                      <w:sz w:val="21"/>
                      <w:szCs w:val="21"/>
                      <w:highlight w:val="none"/>
                      <w:lang w:val="en-US" w:eastAsia="zh-CN"/>
                    </w:rPr>
                    <w:t>进行</w:t>
                  </w:r>
                  <w:r>
                    <w:rPr>
                      <w:rFonts w:hint="default" w:ascii="Times New Roman" w:hAnsi="Times New Roman" w:eastAsia="宋体" w:cs="Times New Roman"/>
                      <w:color w:val="auto"/>
                      <w:sz w:val="21"/>
                      <w:szCs w:val="21"/>
                      <w:highlight w:val="none"/>
                      <w:lang w:val="en-US" w:eastAsia="zh-CN"/>
                    </w:rPr>
                    <w:t>环境综合整治</w:t>
                  </w:r>
                  <w:r>
                    <w:rPr>
                      <w:rFonts w:hint="default" w:ascii="Times New Roman" w:hAnsi="Times New Roman" w:cs="Times New Roman"/>
                      <w:color w:val="auto"/>
                      <w:sz w:val="21"/>
                      <w:szCs w:val="21"/>
                      <w:highlight w:val="none"/>
                      <w:lang w:val="en-US" w:eastAsia="zh-CN"/>
                    </w:rPr>
                    <w:t>。</w:t>
                  </w:r>
                </w:p>
              </w:tc>
              <w:tc>
                <w:tcPr>
                  <w:tcW w:w="320" w:type="pct"/>
                  <w:tcBorders>
                    <w:tl2br w:val="nil"/>
                    <w:tr2bl w:val="nil"/>
                  </w:tcBorders>
                  <w:noWrap w:val="0"/>
                  <w:vAlign w:val="center"/>
                </w:tcPr>
                <w:p w14:paraId="43159BE2">
                  <w:pPr>
                    <w:adjustRightInd w:val="0"/>
                    <w:snapToGrid w:val="0"/>
                    <w:spacing w:line="36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bl>
          <w:p w14:paraId="5DC94CA7">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textAlignment w:val="auto"/>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w:t>
            </w:r>
            <w:r>
              <w:rPr>
                <w:rFonts w:hint="eastAsia" w:cs="Times New Roman"/>
                <w:color w:val="auto"/>
                <w:sz w:val="24"/>
                <w:lang w:val="en-US" w:eastAsia="zh-CN"/>
              </w:rPr>
              <w:t>6</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eastAsia="zh-CN"/>
              </w:rPr>
              <w:t>与《环境空气细颗粒物污染防治技术政策》符合性分析</w:t>
            </w:r>
          </w:p>
          <w:p w14:paraId="233889F1">
            <w:pPr>
              <w:pStyle w:val="69"/>
              <w:spacing w:line="240" w:lineRule="auto"/>
              <w:rPr>
                <w:rFonts w:hint="default" w:ascii="Times New Roman" w:hAnsi="Times New Roman" w:eastAsia="宋体" w:cs="Times New Roman"/>
                <w:color w:val="auto"/>
                <w:sz w:val="24"/>
                <w:lang w:val="en-US"/>
              </w:rPr>
            </w:pPr>
            <w:r>
              <w:rPr>
                <w:rFonts w:eastAsia="宋体" w:cs="Times New Roman"/>
                <w:b/>
                <w:bCs/>
                <w:color w:val="auto"/>
                <w:sz w:val="21"/>
                <w:szCs w:val="21"/>
                <w:lang w:eastAsia="zh-CN"/>
              </w:rPr>
              <w:t>表1-</w:t>
            </w:r>
            <w:r>
              <w:rPr>
                <w:rFonts w:hint="eastAsia" w:eastAsia="宋体" w:cs="Times New Roman"/>
                <w:b/>
                <w:bCs/>
                <w:color w:val="auto"/>
                <w:sz w:val="21"/>
                <w:szCs w:val="21"/>
                <w:lang w:val="en-US" w:eastAsia="zh-CN"/>
              </w:rPr>
              <w:t>8</w:t>
            </w:r>
            <w:r>
              <w:rPr>
                <w:rFonts w:eastAsia="宋体" w:cs="Times New Roman"/>
                <w:b/>
                <w:bCs/>
                <w:color w:val="auto"/>
                <w:sz w:val="21"/>
                <w:szCs w:val="21"/>
                <w:lang w:eastAsia="zh-CN"/>
              </w:rPr>
              <w:t xml:space="preserve"> </w:t>
            </w:r>
            <w:r>
              <w:rPr>
                <w:rFonts w:hint="eastAsia" w:eastAsia="宋体" w:cs="Times New Roman"/>
                <w:b/>
                <w:bCs/>
                <w:color w:val="auto"/>
                <w:sz w:val="21"/>
                <w:szCs w:val="21"/>
                <w:lang w:eastAsia="zh-CN"/>
              </w:rPr>
              <w:t>与《环境空气细颗粒物污染防治技术政策》符合性分析一览表</w:t>
            </w:r>
          </w:p>
          <w:tbl>
            <w:tblPr>
              <w:tblStyle w:val="30"/>
              <w:tblW w:w="49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42"/>
              <w:gridCol w:w="3747"/>
              <w:gridCol w:w="3101"/>
              <w:gridCol w:w="544"/>
            </w:tblGrid>
            <w:tr w14:paraId="3C7F3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38" w:hRule="atLeast"/>
                <w:jc w:val="center"/>
              </w:trPr>
              <w:tc>
                <w:tcPr>
                  <w:tcW w:w="456" w:type="pct"/>
                  <w:tcBorders>
                    <w:tl2br w:val="nil"/>
                    <w:tr2bl w:val="nil"/>
                  </w:tcBorders>
                  <w:noWrap w:val="0"/>
                  <w:vAlign w:val="center"/>
                </w:tcPr>
                <w:p w14:paraId="3F22E593">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政策名称</w:t>
                  </w:r>
                </w:p>
              </w:tc>
              <w:tc>
                <w:tcPr>
                  <w:tcW w:w="2303" w:type="pct"/>
                  <w:tcBorders>
                    <w:tl2br w:val="nil"/>
                    <w:tr2bl w:val="nil"/>
                  </w:tcBorders>
                  <w:noWrap w:val="0"/>
                  <w:vAlign w:val="center"/>
                </w:tcPr>
                <w:p w14:paraId="2246DD3F">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政策要求</w:t>
                  </w:r>
                </w:p>
              </w:tc>
              <w:tc>
                <w:tcPr>
                  <w:tcW w:w="1906" w:type="pct"/>
                  <w:tcBorders>
                    <w:tl2br w:val="nil"/>
                    <w:tr2bl w:val="nil"/>
                  </w:tcBorders>
                  <w:noWrap w:val="0"/>
                  <w:vAlign w:val="center"/>
                </w:tcPr>
                <w:p w14:paraId="0AEA69DC">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本项目</w:t>
                  </w:r>
                </w:p>
              </w:tc>
              <w:tc>
                <w:tcPr>
                  <w:tcW w:w="334" w:type="pct"/>
                  <w:tcBorders>
                    <w:tl2br w:val="nil"/>
                    <w:tr2bl w:val="nil"/>
                  </w:tcBorders>
                  <w:noWrap w:val="0"/>
                  <w:vAlign w:val="center"/>
                </w:tcPr>
                <w:p w14:paraId="003F5057">
                  <w:pPr>
                    <w:adjustRightInd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符合</w:t>
                  </w:r>
                  <w:r>
                    <w:rPr>
                      <w:rFonts w:hint="default" w:ascii="Times New Roman" w:hAnsi="Times New Roman" w:eastAsia="宋体" w:cs="Times New Roman"/>
                      <w:b/>
                      <w:bCs/>
                      <w:color w:val="auto"/>
                      <w:sz w:val="21"/>
                      <w:szCs w:val="21"/>
                      <w:highlight w:val="none"/>
                    </w:rPr>
                    <w:t>性</w:t>
                  </w:r>
                </w:p>
              </w:tc>
            </w:tr>
            <w:tr w14:paraId="0C4E3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307" w:hRule="atLeast"/>
                <w:jc w:val="center"/>
              </w:trPr>
              <w:tc>
                <w:tcPr>
                  <w:tcW w:w="456" w:type="pct"/>
                  <w:vMerge w:val="restart"/>
                  <w:tcBorders>
                    <w:tl2br w:val="nil"/>
                    <w:tr2bl w:val="nil"/>
                  </w:tcBorders>
                  <w:noWrap w:val="0"/>
                  <w:vAlign w:val="center"/>
                </w:tcPr>
                <w:p w14:paraId="523F93AA">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《环境空气细颗粒物污染防治技术政策》</w:t>
                  </w:r>
                </w:p>
              </w:tc>
              <w:tc>
                <w:tcPr>
                  <w:tcW w:w="2303" w:type="pct"/>
                  <w:tcBorders>
                    <w:tl2br w:val="nil"/>
                    <w:tr2bl w:val="nil"/>
                  </w:tcBorders>
                  <w:noWrap w:val="0"/>
                  <w:vAlign w:val="center"/>
                </w:tcPr>
                <w:p w14:paraId="3C58BF97">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《技术政策》指出：实行细颗粒物排放总量控制制度，将细颗粒物纳入污染物减排统计、监测考核体系，不断削减排放总量，严格控制新增排放量，实施清洁清产，从源头上减少细颗粒物的产生和排放。</w:t>
                  </w:r>
                </w:p>
              </w:tc>
              <w:tc>
                <w:tcPr>
                  <w:tcW w:w="1906" w:type="pct"/>
                  <w:tcBorders>
                    <w:tl2br w:val="nil"/>
                    <w:tr2bl w:val="nil"/>
                  </w:tcBorders>
                  <w:noWrap w:val="0"/>
                  <w:vAlign w:val="center"/>
                </w:tcPr>
                <w:p w14:paraId="28025A40">
                  <w:pPr>
                    <w:adjustRightInd w:val="0"/>
                    <w:snapToGrid w:val="0"/>
                    <w:jc w:val="both"/>
                    <w:rPr>
                      <w:rFonts w:hint="default" w:ascii="Times New Roman" w:hAnsi="Times New Roman" w:eastAsia="宋体" w:cs="Times New Roman"/>
                      <w:color w:val="auto"/>
                      <w:sz w:val="21"/>
                      <w:szCs w:val="21"/>
                      <w:highlight w:val="none"/>
                    </w:rPr>
                  </w:pPr>
                  <w:r>
                    <w:rPr>
                      <w:rFonts w:hint="default" w:ascii="Times New Roman" w:hAnsi="Times New Roman" w:cs="Times New Roman"/>
                      <w:snapToGrid w:val="0"/>
                      <w:color w:val="auto"/>
                      <w:kern w:val="0"/>
                      <w:sz w:val="21"/>
                      <w:szCs w:val="21"/>
                      <w:highlight w:val="none"/>
                      <w:lang w:eastAsia="zh-CN"/>
                    </w:rPr>
                    <w:t>本项目在储煤场四周建设防风抑尘网</w:t>
                  </w:r>
                  <w:r>
                    <w:rPr>
                      <w:rFonts w:hint="default" w:ascii="Times New Roman" w:hAnsi="Times New Roman" w:cs="Times New Roman"/>
                      <w:snapToGrid w:val="0"/>
                      <w:color w:val="auto"/>
                      <w:kern w:val="0"/>
                      <w:sz w:val="21"/>
                      <w:szCs w:val="21"/>
                      <w:highlight w:val="none"/>
                      <w:lang w:val="en-US" w:eastAsia="zh-CN"/>
                    </w:rPr>
                    <w:t>并在堆场顶部苫盖苫布</w:t>
                  </w:r>
                  <w:r>
                    <w:rPr>
                      <w:rFonts w:hint="default" w:ascii="Times New Roman" w:hAnsi="Times New Roman" w:cs="Times New Roman"/>
                      <w:snapToGrid w:val="0"/>
                      <w:color w:val="auto"/>
                      <w:kern w:val="0"/>
                      <w:sz w:val="21"/>
                      <w:szCs w:val="21"/>
                      <w:highlight w:val="none"/>
                      <w:lang w:eastAsia="zh-CN"/>
                    </w:rPr>
                    <w:t>，装卸时尽可能缩小装卸时的高差；储煤场采用洒水车定期洒水降尘</w:t>
                  </w:r>
                  <w:r>
                    <w:rPr>
                      <w:rFonts w:hint="default" w:ascii="Times New Roman" w:hAnsi="Times New Roman" w:eastAsia="宋体" w:cs="Times New Roman"/>
                      <w:snapToGrid w:val="0"/>
                      <w:color w:val="auto"/>
                      <w:kern w:val="0"/>
                      <w:sz w:val="21"/>
                      <w:szCs w:val="21"/>
                      <w:highlight w:val="none"/>
                    </w:rPr>
                    <w:t>，可从源头上有效减少细颗粒物的产生和排放，符合《环境空气细颗粒物污染防治技术政策》中的要求。</w:t>
                  </w:r>
                </w:p>
              </w:tc>
              <w:tc>
                <w:tcPr>
                  <w:tcW w:w="334" w:type="pct"/>
                  <w:tcBorders>
                    <w:tl2br w:val="nil"/>
                    <w:tr2bl w:val="nil"/>
                  </w:tcBorders>
                  <w:noWrap w:val="0"/>
                  <w:vAlign w:val="center"/>
                </w:tcPr>
                <w:p w14:paraId="208B61EA">
                  <w:pPr>
                    <w:adjustRightInd w:val="0"/>
                    <w:snapToGrid w:val="0"/>
                    <w:spacing w:line="36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r w14:paraId="657A1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56" w:type="pct"/>
                  <w:vMerge w:val="continue"/>
                  <w:tcBorders>
                    <w:tl2br w:val="nil"/>
                    <w:tr2bl w:val="nil"/>
                  </w:tcBorders>
                  <w:noWrap w:val="0"/>
                  <w:vAlign w:val="center"/>
                </w:tcPr>
                <w:p w14:paraId="53252FB5">
                  <w:pPr>
                    <w:adjustRightInd w:val="0"/>
                    <w:snapToGrid w:val="0"/>
                    <w:jc w:val="center"/>
                    <w:rPr>
                      <w:rFonts w:hint="default" w:ascii="Times New Roman" w:hAnsi="Times New Roman" w:eastAsia="宋体" w:cs="Times New Roman"/>
                      <w:snapToGrid w:val="0"/>
                      <w:color w:val="auto"/>
                      <w:kern w:val="0"/>
                      <w:sz w:val="21"/>
                      <w:szCs w:val="21"/>
                      <w:highlight w:val="none"/>
                    </w:rPr>
                  </w:pPr>
                </w:p>
              </w:tc>
              <w:tc>
                <w:tcPr>
                  <w:tcW w:w="2303" w:type="pct"/>
                  <w:tcBorders>
                    <w:tl2br w:val="nil"/>
                    <w:tr2bl w:val="nil"/>
                  </w:tcBorders>
                  <w:noWrap w:val="0"/>
                  <w:vAlign w:val="center"/>
                </w:tcPr>
                <w:p w14:paraId="6DBB9858">
                  <w:pPr>
                    <w:jc w:val="both"/>
                    <w:rPr>
                      <w:rFonts w:hint="default" w:ascii="Times New Roman" w:hAnsi="Times New Roman" w:eastAsia="宋体" w:cs="Times New Roman"/>
                      <w:snapToGrid w:val="0"/>
                      <w:color w:val="auto"/>
                      <w:kern w:val="0"/>
                      <w:sz w:val="21"/>
                      <w:szCs w:val="21"/>
                      <w:highlight w:val="none"/>
                    </w:rPr>
                  </w:pPr>
                  <w:r>
                    <w:rPr>
                      <w:rFonts w:hint="default" w:ascii="Times New Roman" w:hAnsi="Times New Roman" w:eastAsia="宋体" w:cs="Times New Roman"/>
                      <w:color w:val="auto"/>
                      <w:sz w:val="21"/>
                      <w:szCs w:val="21"/>
                      <w:highlight w:val="none"/>
                    </w:rPr>
                    <w:t>产生大气颗粒物及其前体物污染物的生产活动应尽量采用密闭装置，避免无组织排放；无法完全密闭的，应安装集气装置收集逸散的污染物，经净化后排放。应调整产业结构，强化规划环评和项目环评，严格实施准入制度，必要时对重点区域和重点行业采取限批措施；淘汰落后产能，形成合理的产业分布空间格局。</w:t>
                  </w:r>
                </w:p>
              </w:tc>
              <w:tc>
                <w:tcPr>
                  <w:tcW w:w="1906" w:type="pct"/>
                  <w:tcBorders>
                    <w:tl2br w:val="nil"/>
                    <w:tr2bl w:val="nil"/>
                  </w:tcBorders>
                  <w:noWrap w:val="0"/>
                  <w:vAlign w:val="center"/>
                </w:tcPr>
                <w:p w14:paraId="442C19CD">
                  <w:pPr>
                    <w:widowControl/>
                    <w:adjustRightInd w:val="0"/>
                    <w:snapToGrid w:val="0"/>
                    <w:jc w:val="both"/>
                    <w:rPr>
                      <w:rFonts w:hint="default" w:ascii="Times New Roman" w:hAnsi="Times New Roman" w:eastAsia="宋体" w:cs="Times New Roman"/>
                      <w:snapToGrid w:val="0"/>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本项目不属于落后产能。项目</w:t>
                  </w:r>
                  <w:r>
                    <w:rPr>
                      <w:rFonts w:hint="default" w:ascii="Times New Roman" w:hAnsi="Times New Roman" w:eastAsia="宋体" w:cs="Times New Roman"/>
                      <w:color w:val="auto"/>
                      <w:kern w:val="0"/>
                      <w:sz w:val="21"/>
                      <w:szCs w:val="21"/>
                      <w:highlight w:val="none"/>
                      <w:lang w:val="en-US" w:eastAsia="zh-CN"/>
                    </w:rPr>
                    <w:t>产生的废气主要为煤尘颗粒物，</w:t>
                  </w:r>
                  <w:r>
                    <w:rPr>
                      <w:rFonts w:hint="default" w:ascii="Times New Roman" w:hAnsi="Times New Roman" w:cs="Times New Roman"/>
                      <w:bCs/>
                      <w:color w:val="auto"/>
                      <w:sz w:val="21"/>
                      <w:szCs w:val="21"/>
                      <w:highlight w:val="none"/>
                      <w:lang w:val="en-US" w:eastAsia="zh-CN"/>
                    </w:rPr>
                    <w:t>采取在储煤场四周建设防风抑尘网并在堆场顶部苫盖苫布，装卸时尽可能缩小装卸时的高差；储煤场采用洒水车定期洒水降尘等措施进行处理</w:t>
                  </w:r>
                  <w:r>
                    <w:rPr>
                      <w:rFonts w:hint="default" w:ascii="Times New Roman" w:hAnsi="Times New Roman" w:eastAsia="宋体" w:cs="Times New Roman"/>
                      <w:color w:val="auto"/>
                      <w:sz w:val="21"/>
                      <w:szCs w:val="21"/>
                      <w:highlight w:val="none"/>
                      <w:lang w:val="en-US" w:eastAsia="zh-CN"/>
                    </w:rPr>
                    <w:t>，可以</w:t>
                  </w:r>
                  <w:r>
                    <w:rPr>
                      <w:rFonts w:hint="default" w:ascii="Times New Roman" w:hAnsi="Times New Roman" w:eastAsia="宋体" w:cs="Times New Roman"/>
                      <w:color w:val="auto"/>
                      <w:kern w:val="0"/>
                      <w:sz w:val="21"/>
                      <w:szCs w:val="21"/>
                      <w:highlight w:val="none"/>
                      <w:lang w:val="en-US" w:eastAsia="zh-CN"/>
                    </w:rPr>
                    <w:t>得到有效处置</w:t>
                  </w:r>
                  <w:r>
                    <w:rPr>
                      <w:rFonts w:hint="default" w:ascii="Times New Roman" w:hAnsi="Times New Roman" w:eastAsia="宋体" w:cs="Times New Roman"/>
                      <w:color w:val="auto"/>
                      <w:kern w:val="0"/>
                      <w:sz w:val="21"/>
                      <w:szCs w:val="21"/>
                      <w:highlight w:val="none"/>
                    </w:rPr>
                    <w:t>，对环境影响较小，不会改变现有环境空气质量</w:t>
                  </w:r>
                  <w:r>
                    <w:rPr>
                      <w:rFonts w:hint="default" w:ascii="Times New Roman" w:hAnsi="Times New Roman" w:cs="Times New Roman"/>
                      <w:color w:val="auto"/>
                      <w:kern w:val="0"/>
                      <w:sz w:val="21"/>
                      <w:szCs w:val="21"/>
                      <w:highlight w:val="none"/>
                      <w:lang w:eastAsia="zh-CN"/>
                    </w:rPr>
                    <w:t>。</w:t>
                  </w:r>
                </w:p>
              </w:tc>
              <w:tc>
                <w:tcPr>
                  <w:tcW w:w="334" w:type="pct"/>
                  <w:tcBorders>
                    <w:tl2br w:val="nil"/>
                    <w:tr2bl w:val="nil"/>
                  </w:tcBorders>
                  <w:noWrap w:val="0"/>
                  <w:vAlign w:val="center"/>
                </w:tcPr>
                <w:p w14:paraId="3220AFA0">
                  <w:pPr>
                    <w:adjustRightInd w:val="0"/>
                    <w:snapToGrid w:val="0"/>
                    <w:spacing w:line="36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bl>
          <w:p w14:paraId="652BE0B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color w:val="auto"/>
                <w:lang w:val="en-US" w:eastAsia="zh-CN"/>
              </w:rPr>
            </w:pPr>
          </w:p>
          <w:p w14:paraId="5CE1D51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color w:val="auto"/>
                <w:lang w:val="en-US" w:eastAsia="zh-CN"/>
              </w:rPr>
            </w:pPr>
          </w:p>
          <w:p w14:paraId="021B351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color w:val="auto"/>
                <w:lang w:val="en-US" w:eastAsia="zh-CN"/>
              </w:rPr>
            </w:pPr>
          </w:p>
          <w:p w14:paraId="20D9983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color w:val="auto"/>
                <w:lang w:val="en-US" w:eastAsia="zh-CN"/>
              </w:rPr>
            </w:pPr>
          </w:p>
          <w:p w14:paraId="7297DF9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color w:val="auto"/>
                <w:lang w:val="en-US" w:eastAsia="zh-CN"/>
              </w:rPr>
            </w:pPr>
          </w:p>
          <w:p w14:paraId="38FEE43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 xml:space="preserve"> </w:t>
            </w:r>
          </w:p>
        </w:tc>
      </w:tr>
    </w:tbl>
    <w:p w14:paraId="4B4A870E">
      <w:pPr>
        <w:rPr>
          <w:rFonts w:hint="default" w:ascii="Times New Roman" w:hAnsi="Times New Roman" w:eastAsia="宋体" w:cs="Times New Roman"/>
          <w:snapToGrid w:val="0"/>
          <w:color w:val="auto"/>
          <w:sz w:val="30"/>
          <w:szCs w:val="30"/>
        </w:rPr>
      </w:pPr>
      <w:bookmarkStart w:id="20" w:name="_Toc23770"/>
      <w:r>
        <w:rPr>
          <w:rFonts w:hint="default" w:ascii="Times New Roman" w:hAnsi="Times New Roman" w:eastAsia="宋体" w:cs="Times New Roman"/>
          <w:snapToGrid w:val="0"/>
          <w:color w:val="auto"/>
          <w:sz w:val="30"/>
          <w:szCs w:val="30"/>
        </w:rPr>
        <w:br w:type="page"/>
      </w:r>
    </w:p>
    <w:p w14:paraId="0B541F09">
      <w:pPr>
        <w:pStyle w:val="26"/>
        <w:keepNext w:val="0"/>
        <w:keepLines w:val="0"/>
        <w:pageBreakBefore w:val="0"/>
        <w:widowControl/>
        <w:kinsoku/>
        <w:wordWrap/>
        <w:overflowPunct/>
        <w:topLinePunct w:val="0"/>
        <w:autoSpaceDE/>
        <w:autoSpaceDN/>
        <w:bidi w:val="0"/>
        <w:adjustRightInd/>
        <w:snapToGrid/>
        <w:spacing w:before="260" w:beforeAutospacing="0" w:after="260" w:afterAutospacing="0"/>
        <w:jc w:val="center"/>
        <w:textAlignment w:val="auto"/>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0"/>
          <w:szCs w:val="30"/>
        </w:rPr>
        <w:t>二、建设项目工程分析</w:t>
      </w:r>
      <w:bookmarkEnd w:id="20"/>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04"/>
        <w:gridCol w:w="8456"/>
      </w:tblGrid>
      <w:tr w14:paraId="4AC363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5" w:hRule="atLeast"/>
          <w:jc w:val="center"/>
        </w:trPr>
        <w:tc>
          <w:tcPr>
            <w:tcW w:w="823" w:type="dxa"/>
            <w:noWrap w:val="0"/>
            <w:vAlign w:val="center"/>
          </w:tcPr>
          <w:p w14:paraId="2904418E">
            <w:pPr>
              <w:pStyle w:val="26"/>
              <w:adjustRightInd w:val="0"/>
              <w:snapToGrid w:val="0"/>
              <w:spacing w:before="0" w:beforeAutospacing="0" w:after="0" w:afterAutospacing="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4"/>
                <w:szCs w:val="24"/>
              </w:rPr>
              <w:t>建设内容</w:t>
            </w:r>
          </w:p>
        </w:tc>
        <w:tc>
          <w:tcPr>
            <w:tcW w:w="8161" w:type="dxa"/>
            <w:noWrap w:val="0"/>
            <w:vAlign w:val="top"/>
          </w:tcPr>
          <w:p w14:paraId="7EE30DD2">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b/>
                <w:bCs/>
                <w:color w:val="auto"/>
                <w:sz w:val="24"/>
                <w:highlight w:val="none"/>
              </w:rPr>
            </w:pPr>
            <w:r>
              <w:rPr>
                <w:b/>
                <w:bCs/>
                <w:color w:val="auto"/>
                <w:sz w:val="24"/>
                <w:highlight w:val="none"/>
              </w:rPr>
              <w:t>1、项目基本信息</w:t>
            </w:r>
          </w:p>
          <w:p w14:paraId="3F5A47F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color w:val="auto"/>
                <w:sz w:val="24"/>
                <w:highlight w:val="none"/>
              </w:rPr>
              <w:t>（1）项目名称：</w:t>
            </w:r>
            <w:r>
              <w:rPr>
                <w:rFonts w:hint="eastAsia"/>
                <w:color w:val="auto"/>
                <w:sz w:val="24"/>
                <w:highlight w:val="none"/>
                <w:lang w:eastAsia="zh-CN"/>
              </w:rPr>
              <w:t>鸡西海霖煤炭销售有限公司储煤场建设项目</w:t>
            </w:r>
          </w:p>
          <w:p w14:paraId="655C880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highlight w:val="none"/>
                <w:lang w:eastAsia="zh-CN"/>
              </w:rPr>
            </w:pPr>
            <w:r>
              <w:rPr>
                <w:color w:val="auto"/>
                <w:sz w:val="24"/>
                <w:highlight w:val="none"/>
              </w:rPr>
              <w:t>（2）建设单位：</w:t>
            </w:r>
            <w:r>
              <w:rPr>
                <w:rFonts w:hint="eastAsia"/>
                <w:color w:val="auto"/>
                <w:sz w:val="24"/>
                <w:highlight w:val="none"/>
                <w:lang w:eastAsia="zh-CN"/>
              </w:rPr>
              <w:t>鸡西海霖煤炭销售有限公司</w:t>
            </w:r>
          </w:p>
          <w:p w14:paraId="05432A4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color w:val="auto"/>
                <w:sz w:val="24"/>
                <w:highlight w:val="none"/>
              </w:rPr>
              <w:t>（3）建设性质：新建</w:t>
            </w:r>
          </w:p>
          <w:p w14:paraId="76338B2F">
            <w:pPr>
              <w:pStyle w:val="2"/>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default" w:eastAsia="宋体"/>
                <w:color w:val="auto"/>
                <w:sz w:val="24"/>
                <w:szCs w:val="24"/>
                <w:highlight w:val="none"/>
                <w:lang w:val="en-US" w:eastAsia="zh-CN"/>
              </w:rPr>
            </w:pPr>
            <w:r>
              <w:rPr>
                <w:rFonts w:hint="eastAsia"/>
                <w:color w:val="auto"/>
                <w:sz w:val="24"/>
                <w:szCs w:val="24"/>
                <w:highlight w:val="none"/>
              </w:rPr>
              <w:t>（4）项目规模：</w:t>
            </w:r>
            <w:r>
              <w:rPr>
                <w:rFonts w:hint="eastAsia"/>
                <w:color w:val="auto"/>
                <w:sz w:val="24"/>
                <w:szCs w:val="24"/>
                <w:highlight w:val="none"/>
                <w:lang w:eastAsia="zh-CN"/>
              </w:rPr>
              <w:t>购买</w:t>
            </w:r>
            <w:r>
              <w:rPr>
                <w:rFonts w:hint="eastAsia"/>
                <w:color w:val="auto"/>
                <w:sz w:val="24"/>
                <w:szCs w:val="24"/>
                <w:highlight w:val="none"/>
                <w:lang w:eastAsia="zh-CN"/>
              </w:rPr>
              <w:t>原属于正阳煤矿使用部分地块，现</w:t>
            </w:r>
            <w:r>
              <w:rPr>
                <w:rFonts w:hint="eastAsia"/>
                <w:color w:val="auto"/>
                <w:sz w:val="24"/>
                <w:szCs w:val="24"/>
                <w:highlight w:val="none"/>
                <w:lang w:eastAsia="zh-CN"/>
              </w:rPr>
              <w:t>该用地近十年荒废，仅存部分老建筑（拆除重建）以及基础水电设施，项目购买该地用于储煤场的建设，最大储煤量</w:t>
            </w:r>
            <w:r>
              <w:rPr>
                <w:rFonts w:hint="eastAsia"/>
                <w:color w:val="auto"/>
                <w:sz w:val="24"/>
                <w:szCs w:val="24"/>
                <w:highlight w:val="none"/>
                <w:lang w:val="en-US" w:eastAsia="zh-CN"/>
              </w:rPr>
              <w:t>12000t，年周转煤炭60000t</w:t>
            </w:r>
          </w:p>
          <w:p w14:paraId="7903C1C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eastAsia="宋体"/>
                <w:color w:val="auto"/>
                <w:sz w:val="24"/>
                <w:highlight w:val="none"/>
                <w:lang w:eastAsia="zh-CN"/>
              </w:rPr>
            </w:pPr>
            <w:r>
              <w:rPr>
                <w:color w:val="auto"/>
                <w:sz w:val="24"/>
                <w:highlight w:val="none"/>
              </w:rPr>
              <w:t>（</w:t>
            </w:r>
            <w:r>
              <w:rPr>
                <w:rFonts w:hint="eastAsia"/>
                <w:color w:val="auto"/>
                <w:sz w:val="24"/>
                <w:highlight w:val="none"/>
              </w:rPr>
              <w:t>5</w:t>
            </w:r>
            <w:r>
              <w:rPr>
                <w:color w:val="auto"/>
                <w:sz w:val="24"/>
                <w:highlight w:val="none"/>
              </w:rPr>
              <w:t>）建设地点：</w:t>
            </w:r>
            <w:r>
              <w:rPr>
                <w:rFonts w:hint="eastAsia"/>
                <w:color w:val="auto"/>
                <w:sz w:val="24"/>
                <w:highlight w:val="none"/>
                <w:lang w:eastAsia="zh-CN"/>
              </w:rPr>
              <w:t>鸡西市城子河区正阳街道三号井附近</w:t>
            </w:r>
          </w:p>
          <w:p w14:paraId="583569F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color w:val="auto"/>
                <w:sz w:val="24"/>
                <w:highlight w:val="none"/>
              </w:rPr>
              <w:t>（</w:t>
            </w:r>
            <w:r>
              <w:rPr>
                <w:rFonts w:hint="eastAsia"/>
                <w:color w:val="auto"/>
                <w:sz w:val="24"/>
                <w:highlight w:val="none"/>
              </w:rPr>
              <w:t>6</w:t>
            </w:r>
            <w:r>
              <w:rPr>
                <w:color w:val="auto"/>
                <w:sz w:val="24"/>
                <w:highlight w:val="none"/>
              </w:rPr>
              <w:t>）占地面积：</w:t>
            </w:r>
            <w:r>
              <w:rPr>
                <w:rFonts w:hint="eastAsia"/>
                <w:color w:val="auto"/>
                <w:sz w:val="24"/>
                <w:highlight w:val="none"/>
                <w:lang w:val="en-US" w:eastAsia="zh-CN"/>
              </w:rPr>
              <w:t>10558</w:t>
            </w:r>
            <w:r>
              <w:rPr>
                <w:color w:val="auto"/>
                <w:sz w:val="24"/>
                <w:highlight w:val="none"/>
              </w:rPr>
              <w:t>平方米</w:t>
            </w:r>
          </w:p>
          <w:p w14:paraId="0B1193C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rFonts w:hint="eastAsia"/>
                <w:color w:val="auto"/>
                <w:sz w:val="24"/>
                <w:highlight w:val="none"/>
              </w:rPr>
              <w:t>（7）用地性质：</w:t>
            </w:r>
            <w:r>
              <w:rPr>
                <w:rFonts w:hint="eastAsia"/>
                <w:color w:val="auto"/>
                <w:sz w:val="24"/>
                <w:highlight w:val="none"/>
                <w:lang w:eastAsia="zh-CN"/>
              </w:rPr>
              <w:t>采矿用地</w:t>
            </w:r>
          </w:p>
          <w:p w14:paraId="0713064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color w:val="auto"/>
                <w:sz w:val="24"/>
                <w:highlight w:val="none"/>
              </w:rPr>
              <w:t>对照《建设项目环境影响评价分类管理名录（2021版）》，本项目环评类别详见表2-1。</w:t>
            </w:r>
          </w:p>
          <w:p w14:paraId="2DFD5D4A">
            <w:pPr>
              <w:spacing w:line="240" w:lineRule="auto"/>
              <w:jc w:val="center"/>
              <w:rPr>
                <w:b/>
                <w:bCs/>
                <w:color w:val="auto"/>
                <w:sz w:val="21"/>
                <w:szCs w:val="21"/>
                <w:highlight w:val="none"/>
              </w:rPr>
            </w:pPr>
            <w:r>
              <w:rPr>
                <w:b/>
                <w:bCs/>
                <w:color w:val="auto"/>
                <w:sz w:val="21"/>
                <w:szCs w:val="21"/>
                <w:highlight w:val="none"/>
              </w:rPr>
              <w:t>表2-1 项目主要建设内容及工程组成一览表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57"/>
              <w:gridCol w:w="4263"/>
              <w:gridCol w:w="1220"/>
            </w:tblGrid>
            <w:tr w14:paraId="2E024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5" w:type="dxa"/>
                  <w:tcBorders>
                    <w:tl2br w:val="nil"/>
                    <w:tr2bl w:val="nil"/>
                  </w:tcBorders>
                  <w:vAlign w:val="center"/>
                </w:tcPr>
                <w:p w14:paraId="56F580DE">
                  <w:pPr>
                    <w:spacing w:line="240" w:lineRule="auto"/>
                    <w:jc w:val="center"/>
                    <w:rPr>
                      <w:b/>
                      <w:bCs/>
                      <w:color w:val="auto"/>
                      <w:sz w:val="21"/>
                      <w:szCs w:val="21"/>
                      <w:highlight w:val="none"/>
                    </w:rPr>
                  </w:pPr>
                  <w:r>
                    <w:rPr>
                      <w:b/>
                      <w:bCs/>
                      <w:color w:val="auto"/>
                      <w:sz w:val="21"/>
                      <w:szCs w:val="21"/>
                      <w:highlight w:val="none"/>
                    </w:rPr>
                    <w:t>项目类别</w:t>
                  </w:r>
                </w:p>
              </w:tc>
              <w:tc>
                <w:tcPr>
                  <w:tcW w:w="4105" w:type="dxa"/>
                  <w:tcBorders>
                    <w:tl2br w:val="nil"/>
                    <w:tr2bl w:val="nil"/>
                  </w:tcBorders>
                  <w:vAlign w:val="center"/>
                </w:tcPr>
                <w:p w14:paraId="6382D95A">
                  <w:pPr>
                    <w:spacing w:line="240" w:lineRule="auto"/>
                    <w:jc w:val="center"/>
                    <w:rPr>
                      <w:b/>
                      <w:bCs/>
                      <w:color w:val="auto"/>
                      <w:sz w:val="21"/>
                      <w:szCs w:val="21"/>
                      <w:highlight w:val="none"/>
                    </w:rPr>
                  </w:pPr>
                  <w:r>
                    <w:rPr>
                      <w:b/>
                      <w:bCs/>
                      <w:color w:val="auto"/>
                      <w:sz w:val="21"/>
                      <w:szCs w:val="21"/>
                      <w:highlight w:val="none"/>
                    </w:rPr>
                    <w:t>本项目环评类别判定依据</w:t>
                  </w:r>
                </w:p>
              </w:tc>
              <w:tc>
                <w:tcPr>
                  <w:tcW w:w="1175" w:type="dxa"/>
                  <w:tcBorders>
                    <w:tl2br w:val="nil"/>
                    <w:tr2bl w:val="nil"/>
                  </w:tcBorders>
                  <w:vAlign w:val="center"/>
                </w:tcPr>
                <w:p w14:paraId="755729DD">
                  <w:pPr>
                    <w:spacing w:line="240" w:lineRule="auto"/>
                    <w:jc w:val="center"/>
                    <w:rPr>
                      <w:b/>
                      <w:bCs/>
                      <w:color w:val="auto"/>
                      <w:sz w:val="21"/>
                      <w:szCs w:val="21"/>
                      <w:highlight w:val="none"/>
                    </w:rPr>
                  </w:pPr>
                  <w:r>
                    <w:rPr>
                      <w:b/>
                      <w:bCs/>
                      <w:color w:val="auto"/>
                      <w:sz w:val="21"/>
                      <w:szCs w:val="21"/>
                      <w:highlight w:val="none"/>
                    </w:rPr>
                    <w:t>环评类别</w:t>
                  </w:r>
                </w:p>
              </w:tc>
            </w:tr>
            <w:tr w14:paraId="789CE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55" w:type="dxa"/>
                  <w:tcBorders>
                    <w:tl2br w:val="nil"/>
                    <w:tr2bl w:val="nil"/>
                  </w:tcBorders>
                  <w:vAlign w:val="center"/>
                </w:tcPr>
                <w:p w14:paraId="2BCCBFC7">
                  <w:pPr>
                    <w:spacing w:line="240" w:lineRule="auto"/>
                    <w:jc w:val="center"/>
                    <w:rPr>
                      <w:color w:val="auto"/>
                      <w:sz w:val="21"/>
                      <w:szCs w:val="21"/>
                      <w:highlight w:val="none"/>
                    </w:rPr>
                  </w:pPr>
                  <w:r>
                    <w:rPr>
                      <w:color w:val="auto"/>
                      <w:sz w:val="21"/>
                      <w:szCs w:val="21"/>
                      <w:highlight w:val="none"/>
                    </w:rPr>
                    <w:t>四、煤炭开采和洗选业06</w:t>
                  </w:r>
                </w:p>
                <w:p w14:paraId="6BDBBBAA">
                  <w:pPr>
                    <w:spacing w:line="240" w:lineRule="auto"/>
                    <w:jc w:val="center"/>
                    <w:rPr>
                      <w:color w:val="auto"/>
                      <w:sz w:val="21"/>
                      <w:szCs w:val="21"/>
                      <w:highlight w:val="none"/>
                    </w:rPr>
                  </w:pPr>
                  <w:r>
                    <w:rPr>
                      <w:color w:val="auto"/>
                      <w:sz w:val="21"/>
                      <w:szCs w:val="21"/>
                      <w:highlight w:val="none"/>
                    </w:rPr>
                    <w:t>烟煤和无烟煤开采洗选061</w:t>
                  </w:r>
                </w:p>
              </w:tc>
              <w:tc>
                <w:tcPr>
                  <w:tcW w:w="4105" w:type="dxa"/>
                  <w:tcBorders>
                    <w:tl2br w:val="nil"/>
                    <w:tr2bl w:val="nil"/>
                  </w:tcBorders>
                  <w:vAlign w:val="center"/>
                </w:tcPr>
                <w:p w14:paraId="2FD2597A">
                  <w:pPr>
                    <w:spacing w:line="240" w:lineRule="auto"/>
                    <w:rPr>
                      <w:color w:val="auto"/>
                      <w:sz w:val="21"/>
                      <w:szCs w:val="21"/>
                      <w:highlight w:val="none"/>
                    </w:rPr>
                  </w:pPr>
                  <w:r>
                    <w:rPr>
                      <w:color w:val="auto"/>
                      <w:sz w:val="21"/>
                      <w:szCs w:val="21"/>
                      <w:highlight w:val="none"/>
                    </w:rPr>
                    <w:t>煤炭洗选、配煤；煤炭储存、集运；风井场地、瓦斯抽放站；矿区修复治理工程（含煤矿火烧区治理工程</w:t>
                  </w:r>
                  <w:r>
                    <w:rPr>
                      <w:rFonts w:hint="eastAsia"/>
                      <w:color w:val="auto"/>
                      <w:sz w:val="21"/>
                      <w:szCs w:val="21"/>
                      <w:highlight w:val="none"/>
                      <w:lang w:eastAsia="zh-CN"/>
                    </w:rPr>
                    <w:t>）</w:t>
                  </w:r>
                  <w:r>
                    <w:rPr>
                      <w:rFonts w:hint="eastAsia"/>
                      <w:color w:val="auto"/>
                      <w:sz w:val="21"/>
                      <w:szCs w:val="21"/>
                      <w:highlight w:val="none"/>
                    </w:rPr>
                    <w:t>，本项目属于煤炭</w:t>
                  </w:r>
                  <w:r>
                    <w:rPr>
                      <w:rFonts w:hint="eastAsia"/>
                      <w:color w:val="auto"/>
                      <w:sz w:val="21"/>
                      <w:szCs w:val="21"/>
                      <w:highlight w:val="none"/>
                      <w:lang w:eastAsia="zh-CN"/>
                    </w:rPr>
                    <w:t>储存、集运</w:t>
                  </w:r>
                  <w:r>
                    <w:rPr>
                      <w:rFonts w:hint="eastAsia"/>
                      <w:color w:val="auto"/>
                      <w:sz w:val="21"/>
                      <w:szCs w:val="21"/>
                      <w:highlight w:val="none"/>
                    </w:rPr>
                    <w:t>项目</w:t>
                  </w:r>
                </w:p>
              </w:tc>
              <w:tc>
                <w:tcPr>
                  <w:tcW w:w="1175" w:type="dxa"/>
                  <w:tcBorders>
                    <w:tl2br w:val="nil"/>
                    <w:tr2bl w:val="nil"/>
                  </w:tcBorders>
                  <w:vAlign w:val="center"/>
                </w:tcPr>
                <w:p w14:paraId="2230A72E">
                  <w:pPr>
                    <w:spacing w:line="240" w:lineRule="auto"/>
                    <w:jc w:val="center"/>
                    <w:rPr>
                      <w:color w:val="auto"/>
                      <w:sz w:val="21"/>
                      <w:szCs w:val="21"/>
                      <w:highlight w:val="none"/>
                    </w:rPr>
                  </w:pPr>
                  <w:r>
                    <w:rPr>
                      <w:color w:val="auto"/>
                      <w:sz w:val="21"/>
                      <w:szCs w:val="21"/>
                      <w:highlight w:val="none"/>
                    </w:rPr>
                    <w:t>报告表</w:t>
                  </w:r>
                </w:p>
              </w:tc>
            </w:tr>
          </w:tbl>
          <w:p w14:paraId="392356A5">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b/>
                <w:bCs/>
                <w:color w:val="auto"/>
                <w:sz w:val="24"/>
                <w:highlight w:val="none"/>
              </w:rPr>
            </w:pPr>
            <w:r>
              <w:rPr>
                <w:b/>
                <w:bCs/>
                <w:color w:val="auto"/>
                <w:sz w:val="24"/>
                <w:highlight w:val="none"/>
              </w:rPr>
              <w:t>2、建设地点四</w:t>
            </w:r>
            <w:r>
              <w:rPr>
                <w:rFonts w:hint="eastAsia"/>
                <w:b/>
                <w:bCs/>
                <w:color w:val="auto"/>
                <w:sz w:val="24"/>
                <w:highlight w:val="none"/>
                <w:lang w:eastAsia="zh-CN"/>
              </w:rPr>
              <w:t>周</w:t>
            </w:r>
            <w:r>
              <w:rPr>
                <w:b/>
                <w:bCs/>
                <w:color w:val="auto"/>
                <w:sz w:val="24"/>
                <w:highlight w:val="none"/>
              </w:rPr>
              <w:t>情况</w:t>
            </w:r>
          </w:p>
          <w:p w14:paraId="038FD8B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b/>
                <w:bCs/>
                <w:color w:val="auto"/>
                <w:sz w:val="24"/>
                <w:highlight w:val="none"/>
              </w:rPr>
            </w:pPr>
            <w:r>
              <w:rPr>
                <w:color w:val="auto"/>
                <w:sz w:val="24"/>
                <w:highlight w:val="none"/>
              </w:rPr>
              <w:t>本项目</w:t>
            </w:r>
            <w:r>
              <w:rPr>
                <w:rFonts w:hint="eastAsia"/>
                <w:color w:val="auto"/>
                <w:sz w:val="24"/>
                <w:highlight w:val="none"/>
              </w:rPr>
              <w:t>位于</w:t>
            </w:r>
            <w:r>
              <w:rPr>
                <w:rFonts w:hint="eastAsia"/>
                <w:color w:val="auto"/>
                <w:sz w:val="24"/>
                <w:highlight w:val="none"/>
                <w:lang w:eastAsia="zh-CN"/>
              </w:rPr>
              <w:t>鸡西市城子河区正阳街道三号井附近</w:t>
            </w:r>
            <w:r>
              <w:rPr>
                <w:rFonts w:hint="eastAsia"/>
                <w:color w:val="auto"/>
                <w:sz w:val="24"/>
                <w:highlight w:val="none"/>
              </w:rPr>
              <w:t>，</w:t>
            </w:r>
            <w:r>
              <w:rPr>
                <w:rFonts w:hint="eastAsia"/>
                <w:color w:val="auto"/>
                <w:sz w:val="24"/>
                <w:highlight w:val="none"/>
                <w:lang w:eastAsia="zh-CN"/>
              </w:rPr>
              <w:t>厂界内无植被，厂界南、西、北均为空地，东侧有一座型煤厂</w:t>
            </w:r>
            <w:r>
              <w:rPr>
                <w:color w:val="auto"/>
                <w:sz w:val="24"/>
                <w:highlight w:val="none"/>
              </w:rPr>
              <w:t>。本项目四至情况见附图</w:t>
            </w:r>
            <w:r>
              <w:rPr>
                <w:rFonts w:hint="eastAsia"/>
                <w:color w:val="auto"/>
                <w:sz w:val="24"/>
                <w:highlight w:val="none"/>
                <w:lang w:val="en-US" w:eastAsia="zh-CN"/>
              </w:rPr>
              <w:t>2</w:t>
            </w:r>
            <w:r>
              <w:rPr>
                <w:color w:val="auto"/>
                <w:sz w:val="24"/>
                <w:highlight w:val="none"/>
              </w:rPr>
              <w:t>。</w:t>
            </w:r>
          </w:p>
          <w:p w14:paraId="5D746898">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rPr>
            </w:pPr>
            <w:r>
              <w:rPr>
                <w:rFonts w:hint="eastAsia" w:cs="Times New Roman"/>
                <w:b/>
                <w:bCs/>
                <w:color w:val="auto"/>
                <w:sz w:val="24"/>
                <w:lang w:val="en-US" w:eastAsia="zh-CN"/>
              </w:rPr>
              <w:t>3</w:t>
            </w:r>
            <w:r>
              <w:rPr>
                <w:rFonts w:hint="default" w:ascii="Times New Roman" w:hAnsi="Times New Roman" w:eastAsia="宋体" w:cs="Times New Roman"/>
                <w:b/>
                <w:bCs/>
                <w:color w:val="auto"/>
                <w:sz w:val="24"/>
                <w:lang w:val="en-US" w:eastAsia="zh-CN"/>
              </w:rPr>
              <w:t>、</w:t>
            </w:r>
            <w:r>
              <w:rPr>
                <w:rFonts w:hint="default" w:ascii="Times New Roman" w:hAnsi="Times New Roman" w:eastAsia="宋体" w:cs="Times New Roman"/>
                <w:b/>
                <w:bCs/>
                <w:color w:val="auto"/>
                <w:sz w:val="24"/>
              </w:rPr>
              <w:t>主要建设内容及规模</w:t>
            </w:r>
          </w:p>
          <w:p w14:paraId="51833B68">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0"/>
                <w:sz w:val="24"/>
                <w:lang w:eastAsia="zh-CN" w:bidi="ar"/>
              </w:rPr>
            </w:pPr>
            <w:r>
              <w:rPr>
                <w:rFonts w:hint="default" w:ascii="Times New Roman" w:hAnsi="Times New Roman" w:eastAsia="宋体" w:cs="Times New Roman"/>
                <w:color w:val="auto"/>
                <w:kern w:val="0"/>
                <w:sz w:val="24"/>
                <w:lang w:bidi="ar"/>
              </w:rPr>
              <w:t>本项目位于</w:t>
            </w:r>
            <w:r>
              <w:rPr>
                <w:rFonts w:hint="eastAsia"/>
                <w:color w:val="auto"/>
                <w:sz w:val="24"/>
                <w:highlight w:val="none"/>
                <w:lang w:eastAsia="zh-CN"/>
              </w:rPr>
              <w:t>鸡西市城子河区正阳街道三号井附近</w:t>
            </w:r>
            <w:r>
              <w:rPr>
                <w:rFonts w:hint="default" w:ascii="Times New Roman" w:hAnsi="Times New Roman" w:eastAsia="宋体" w:cs="Times New Roman"/>
                <w:color w:val="auto"/>
                <w:kern w:val="0"/>
                <w:sz w:val="24"/>
                <w:highlight w:val="none"/>
                <w:lang w:bidi="ar"/>
              </w:rPr>
              <w:t>，</w:t>
            </w:r>
            <w:r>
              <w:rPr>
                <w:rFonts w:hint="default" w:ascii="Times New Roman" w:hAnsi="Times New Roman" w:eastAsia="宋体" w:cs="Times New Roman"/>
                <w:color w:val="auto"/>
                <w:sz w:val="24"/>
                <w:highlight w:val="none"/>
              </w:rPr>
              <w:t>项目中心坐标为东经131°5′23.426″，北纬45°21′42.084″，本项目拟建厂区所在位置为</w:t>
            </w:r>
            <w:r>
              <w:rPr>
                <w:rFonts w:hint="eastAsia" w:cs="Times New Roman"/>
                <w:color w:val="auto"/>
                <w:sz w:val="24"/>
                <w:highlight w:val="none"/>
                <w:lang w:val="en-US" w:eastAsia="zh-CN"/>
              </w:rPr>
              <w:t>采矿用地</w:t>
            </w:r>
            <w:r>
              <w:rPr>
                <w:rFonts w:hint="default" w:ascii="Times New Roman" w:hAnsi="Times New Roman" w:eastAsia="宋体" w:cs="Times New Roman"/>
                <w:color w:val="auto"/>
                <w:sz w:val="24"/>
              </w:rPr>
              <w:t>，厂界内无植被，厂界南、西、北均为空地，东侧有一座型煤厂。</w:t>
            </w:r>
            <w:r>
              <w:rPr>
                <w:rFonts w:hint="default" w:ascii="Times New Roman" w:hAnsi="Times New Roman" w:eastAsia="宋体" w:cs="Times New Roman"/>
                <w:color w:val="auto"/>
                <w:kern w:val="0"/>
                <w:sz w:val="24"/>
                <w:lang w:bidi="ar"/>
              </w:rPr>
              <w:t>厂区占地面积</w:t>
            </w:r>
            <w:r>
              <w:rPr>
                <w:rFonts w:hint="eastAsia" w:cs="Times New Roman"/>
                <w:color w:val="auto"/>
                <w:kern w:val="0"/>
                <w:sz w:val="24"/>
                <w:lang w:val="en-US" w:eastAsia="zh-CN" w:bidi="ar"/>
              </w:rPr>
              <w:t>10558</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kern w:val="0"/>
                <w:sz w:val="24"/>
                <w:lang w:bidi="ar"/>
              </w:rPr>
              <w:t>，</w:t>
            </w:r>
            <w:r>
              <w:rPr>
                <w:rFonts w:hint="default" w:ascii="Times New Roman" w:hAnsi="Times New Roman" w:eastAsia="宋体" w:cs="Times New Roman"/>
                <w:color w:val="auto"/>
                <w:sz w:val="24"/>
              </w:rPr>
              <w:t>建筑</w:t>
            </w:r>
            <w:r>
              <w:rPr>
                <w:rFonts w:hint="default" w:ascii="Times New Roman" w:hAnsi="Times New Roman" w:eastAsia="宋体" w:cs="Times New Roman"/>
                <w:color w:val="auto"/>
                <w:sz w:val="24"/>
                <w:highlight w:val="none"/>
              </w:rPr>
              <w:t>面积为</w:t>
            </w:r>
            <w:r>
              <w:rPr>
                <w:rFonts w:hint="eastAsia" w:cs="Times New Roman"/>
                <w:color w:val="auto"/>
                <w:sz w:val="24"/>
                <w:highlight w:val="none"/>
                <w:lang w:val="en-US" w:eastAsia="zh-CN"/>
              </w:rPr>
              <w:t>5480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kern w:val="0"/>
                <w:sz w:val="24"/>
                <w:highlight w:val="none"/>
                <w:lang w:bidi="ar"/>
              </w:rPr>
              <w:t>。主要</w:t>
            </w:r>
            <w:r>
              <w:rPr>
                <w:rFonts w:hint="default" w:ascii="Times New Roman" w:hAnsi="Times New Roman" w:eastAsia="宋体" w:cs="Times New Roman"/>
                <w:color w:val="auto"/>
                <w:kern w:val="0"/>
                <w:sz w:val="24"/>
                <w:lang w:bidi="ar"/>
              </w:rPr>
              <w:t>建设内容为办公室</w:t>
            </w:r>
            <w:r>
              <w:rPr>
                <w:rFonts w:hint="eastAsia" w:cs="Times New Roman"/>
                <w:color w:val="auto"/>
                <w:kern w:val="0"/>
                <w:sz w:val="24"/>
                <w:lang w:eastAsia="zh-CN" w:bidi="ar"/>
              </w:rPr>
              <w:t>、车库、防渗旱厕、雨水收集池以及</w:t>
            </w:r>
            <w:r>
              <w:rPr>
                <w:rFonts w:hint="default" w:ascii="Times New Roman" w:hAnsi="Times New Roman" w:eastAsia="宋体" w:cs="Times New Roman"/>
                <w:color w:val="auto"/>
                <w:kern w:val="0"/>
                <w:sz w:val="24"/>
                <w:lang w:bidi="ar"/>
              </w:rPr>
              <w:t>储煤场</w:t>
            </w:r>
            <w:r>
              <w:rPr>
                <w:rFonts w:hint="eastAsia" w:cs="Times New Roman"/>
                <w:color w:val="auto"/>
                <w:kern w:val="0"/>
                <w:sz w:val="24"/>
                <w:lang w:eastAsia="zh-CN" w:bidi="ar"/>
              </w:rPr>
              <w:t>。</w:t>
            </w:r>
          </w:p>
          <w:p w14:paraId="21C41D7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color w:val="auto"/>
                <w:szCs w:val="21"/>
              </w:rPr>
            </w:pPr>
            <w:r>
              <w:rPr>
                <w:rFonts w:hint="default" w:ascii="Times New Roman" w:hAnsi="Times New Roman" w:eastAsia="宋体" w:cs="Times New Roman"/>
                <w:color w:val="auto"/>
                <w:sz w:val="24"/>
              </w:rPr>
              <w:t>具体项目组成见下表。</w:t>
            </w:r>
          </w:p>
          <w:p w14:paraId="39F59EF3">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b/>
                <w:color w:val="auto"/>
                <w:sz w:val="21"/>
                <w:szCs w:val="21"/>
              </w:rPr>
            </w:pPr>
          </w:p>
          <w:p w14:paraId="41CD79BA">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b/>
                <w:color w:val="auto"/>
                <w:sz w:val="21"/>
                <w:szCs w:val="21"/>
              </w:rPr>
            </w:pPr>
          </w:p>
          <w:p w14:paraId="02FEF3CE">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w:t>
            </w:r>
            <w:r>
              <w:rPr>
                <w:rFonts w:hint="eastAsia" w:cs="Times New Roman"/>
                <w:b/>
                <w:color w:val="auto"/>
                <w:sz w:val="21"/>
                <w:szCs w:val="21"/>
                <w:lang w:val="en-US" w:eastAsia="zh-CN"/>
              </w:rPr>
              <w:t>2</w:t>
            </w:r>
            <w:r>
              <w:rPr>
                <w:rFonts w:hint="default" w:ascii="Times New Roman" w:hAnsi="Times New Roman" w:eastAsia="宋体" w:cs="Times New Roman"/>
                <w:b/>
                <w:color w:val="auto"/>
                <w:sz w:val="21"/>
                <w:szCs w:val="21"/>
              </w:rPr>
              <w:t xml:space="preserve"> 本项目主要建设内容</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427"/>
              <w:gridCol w:w="1162"/>
              <w:gridCol w:w="5259"/>
              <w:gridCol w:w="680"/>
            </w:tblGrid>
            <w:tr w14:paraId="6CE94E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noWrap w:val="0"/>
                  <w:vAlign w:val="center"/>
                </w:tcPr>
                <w:p w14:paraId="1E613328">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工程分类</w:t>
                  </w:r>
                </w:p>
              </w:tc>
              <w:tc>
                <w:tcPr>
                  <w:tcW w:w="964" w:type="pct"/>
                  <w:gridSpan w:val="2"/>
                  <w:noWrap w:val="0"/>
                  <w:vAlign w:val="center"/>
                </w:tcPr>
                <w:p w14:paraId="1652E3F5">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项目名称</w:t>
                  </w:r>
                </w:p>
              </w:tc>
              <w:tc>
                <w:tcPr>
                  <w:tcW w:w="3190" w:type="pct"/>
                  <w:noWrap w:val="0"/>
                  <w:vAlign w:val="center"/>
                </w:tcPr>
                <w:p w14:paraId="0B76267C">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工程内容</w:t>
                  </w:r>
                </w:p>
              </w:tc>
              <w:tc>
                <w:tcPr>
                  <w:tcW w:w="412" w:type="pct"/>
                  <w:noWrap w:val="0"/>
                  <w:vAlign w:val="center"/>
                </w:tcPr>
                <w:p w14:paraId="0C9625A8">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备注</w:t>
                  </w:r>
                </w:p>
              </w:tc>
            </w:tr>
            <w:tr w14:paraId="6777F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noWrap w:val="0"/>
                  <w:vAlign w:val="center"/>
                </w:tcPr>
                <w:p w14:paraId="688D2121">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主体工程</w:t>
                  </w:r>
                </w:p>
              </w:tc>
              <w:tc>
                <w:tcPr>
                  <w:tcW w:w="964" w:type="pct"/>
                  <w:gridSpan w:val="2"/>
                  <w:noWrap w:val="0"/>
                  <w:vAlign w:val="center"/>
                </w:tcPr>
                <w:p w14:paraId="66A3C2C4">
                  <w:pPr>
                    <w:keepNext w:val="0"/>
                    <w:keepLines w:val="0"/>
                    <w:pageBreakBefore w:val="0"/>
                    <w:kinsoku/>
                    <w:wordWrap/>
                    <w:overflowPunct/>
                    <w:topLinePunct w:val="0"/>
                    <w:bidi w:val="0"/>
                    <w:adjustRightInd/>
                    <w:snapToGrid/>
                    <w:spacing w:line="240" w:lineRule="auto"/>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煤炭堆场</w:t>
                  </w:r>
                </w:p>
              </w:tc>
              <w:tc>
                <w:tcPr>
                  <w:tcW w:w="3190" w:type="pct"/>
                  <w:noWrap w:val="0"/>
                  <w:vAlign w:val="center"/>
                </w:tcPr>
                <w:p w14:paraId="345010A7">
                  <w:pPr>
                    <w:keepNext w:val="0"/>
                    <w:keepLines w:val="0"/>
                    <w:pageBreakBefore w:val="0"/>
                    <w:kinsoku/>
                    <w:wordWrap/>
                    <w:overflowPunct/>
                    <w:topLinePunct w:val="0"/>
                    <w:bidi w:val="0"/>
                    <w:adjustRightInd/>
                    <w:snapToGrid/>
                    <w:spacing w:line="240" w:lineRule="auto"/>
                    <w:rPr>
                      <w:rFonts w:hint="default" w:ascii="Times New Roman" w:hAnsi="Times New Roman" w:eastAsia="宋体" w:cs="Times New Roman"/>
                      <w:color w:val="auto"/>
                      <w:sz w:val="21"/>
                      <w:szCs w:val="21"/>
                    </w:rPr>
                  </w:pPr>
                  <w:r>
                    <w:rPr>
                      <w:rFonts w:hint="eastAsia" w:cs="Times New Roman"/>
                      <w:color w:val="auto"/>
                      <w:sz w:val="21"/>
                      <w:szCs w:val="21"/>
                      <w:u w:val="none" w:color="000000"/>
                      <w:lang w:val="en-US" w:eastAsia="zh-CN"/>
                    </w:rPr>
                    <w:t>煤炭堆场</w:t>
                  </w:r>
                  <w:r>
                    <w:rPr>
                      <w:rFonts w:hint="eastAsia" w:cs="Times New Roman"/>
                      <w:color w:val="auto"/>
                      <w:sz w:val="21"/>
                      <w:szCs w:val="21"/>
                      <w:highlight w:val="none"/>
                      <w:u w:val="none" w:color="000000"/>
                      <w:lang w:val="en-US" w:eastAsia="zh-CN"/>
                    </w:rPr>
                    <w:t>面积5000m</w:t>
                  </w:r>
                  <w:r>
                    <w:rPr>
                      <w:rFonts w:hint="eastAsia" w:cs="Times New Roman"/>
                      <w:color w:val="auto"/>
                      <w:sz w:val="21"/>
                      <w:szCs w:val="21"/>
                      <w:highlight w:val="none"/>
                      <w:u w:val="none" w:color="000000"/>
                      <w:vertAlign w:val="superscript"/>
                      <w:lang w:val="en-US" w:eastAsia="zh-CN"/>
                    </w:rPr>
                    <w:t>2</w:t>
                  </w:r>
                  <w:r>
                    <w:rPr>
                      <w:rFonts w:hint="eastAsia" w:cs="Times New Roman"/>
                      <w:color w:val="auto"/>
                      <w:sz w:val="21"/>
                      <w:szCs w:val="21"/>
                      <w:highlight w:val="none"/>
                      <w:u w:val="none" w:color="000000"/>
                      <w:lang w:val="en-US" w:eastAsia="zh-CN"/>
                    </w:rPr>
                    <w:t>，地面硬化处理，最大堆高3m，可容纳12000t煤炭，储存周期为73天，周转5次，本项目年周转量为6万吨。</w:t>
                  </w:r>
                </w:p>
              </w:tc>
              <w:tc>
                <w:tcPr>
                  <w:tcW w:w="412" w:type="pct"/>
                  <w:noWrap w:val="0"/>
                  <w:vAlign w:val="center"/>
                </w:tcPr>
                <w:p w14:paraId="0FC12B35">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14:paraId="59D0C7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2" w:type="pct"/>
                  <w:vMerge w:val="restart"/>
                  <w:noWrap w:val="0"/>
                  <w:vAlign w:val="center"/>
                </w:tcPr>
                <w:p w14:paraId="4DC554FB">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辅助工程</w:t>
                  </w:r>
                </w:p>
              </w:tc>
              <w:tc>
                <w:tcPr>
                  <w:tcW w:w="964" w:type="pct"/>
                  <w:gridSpan w:val="2"/>
                  <w:noWrap w:val="0"/>
                  <w:vAlign w:val="center"/>
                </w:tcPr>
                <w:p w14:paraId="28C4D1DA">
                  <w:pPr>
                    <w:keepNext w:val="0"/>
                    <w:keepLines w:val="0"/>
                    <w:pageBreakBefore w:val="0"/>
                    <w:kinsoku/>
                    <w:wordWrap/>
                    <w:overflowPunct/>
                    <w:topLinePunct w:val="0"/>
                    <w:bidi w:val="0"/>
                    <w:adjustRightInd/>
                    <w:snapToGrid/>
                    <w:spacing w:line="240" w:lineRule="auto"/>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办公室</w:t>
                  </w:r>
                </w:p>
              </w:tc>
              <w:tc>
                <w:tcPr>
                  <w:tcW w:w="3190" w:type="pct"/>
                  <w:noWrap w:val="0"/>
                  <w:vAlign w:val="center"/>
                </w:tcPr>
                <w:p w14:paraId="204FCCD8">
                  <w:pPr>
                    <w:keepNext w:val="0"/>
                    <w:keepLines w:val="0"/>
                    <w:pageBreakBefore w:val="0"/>
                    <w:kinsoku/>
                    <w:wordWrap/>
                    <w:overflowPunct/>
                    <w:topLinePunct w:val="0"/>
                    <w:bidi w:val="0"/>
                    <w:adjustRightInd/>
                    <w:snapToGrid/>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1座单层砖混结构，建筑面积</w:t>
                  </w:r>
                  <w:r>
                    <w:rPr>
                      <w:rFonts w:hint="eastAsia" w:cs="Times New Roman"/>
                      <w:color w:val="auto"/>
                      <w:sz w:val="21"/>
                      <w:szCs w:val="21"/>
                      <w:lang w:val="en-US" w:eastAsia="zh-CN"/>
                    </w:rPr>
                    <w:t>100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eastAsia" w:cs="Times New Roman"/>
                      <w:color w:val="auto"/>
                      <w:sz w:val="21"/>
                      <w:szCs w:val="21"/>
                      <w:lang w:eastAsia="zh-CN"/>
                    </w:rPr>
                    <w:t>位于厂区东北侧，</w:t>
                  </w:r>
                  <w:r>
                    <w:rPr>
                      <w:rFonts w:hint="default" w:ascii="Times New Roman" w:hAnsi="Times New Roman" w:eastAsia="宋体" w:cs="Times New Roman"/>
                      <w:color w:val="auto"/>
                      <w:sz w:val="21"/>
                      <w:szCs w:val="21"/>
                    </w:rPr>
                    <w:t>用于企业办公。</w:t>
                  </w:r>
                </w:p>
              </w:tc>
              <w:tc>
                <w:tcPr>
                  <w:tcW w:w="412" w:type="pct"/>
                  <w:noWrap w:val="0"/>
                  <w:vAlign w:val="center"/>
                </w:tcPr>
                <w:p w14:paraId="583DCCF7">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新建</w:t>
                  </w:r>
                </w:p>
              </w:tc>
            </w:tr>
            <w:tr w14:paraId="47C4AC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2" w:type="pct"/>
                  <w:vMerge w:val="continue"/>
                  <w:noWrap w:val="0"/>
                  <w:vAlign w:val="center"/>
                </w:tcPr>
                <w:p w14:paraId="1C754223">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964" w:type="pct"/>
                  <w:gridSpan w:val="2"/>
                  <w:noWrap w:val="0"/>
                  <w:vAlign w:val="center"/>
                </w:tcPr>
                <w:p w14:paraId="716D6BC1">
                  <w:pPr>
                    <w:keepNext w:val="0"/>
                    <w:keepLines w:val="0"/>
                    <w:pageBreakBefore w:val="0"/>
                    <w:kinsoku/>
                    <w:wordWrap/>
                    <w:overflowPunct/>
                    <w:topLinePunct w:val="0"/>
                    <w:bidi w:val="0"/>
                    <w:adjustRightInd/>
                    <w:snapToGrid/>
                    <w:spacing w:line="240" w:lineRule="auto"/>
                    <w:jc w:val="center"/>
                    <w:rPr>
                      <w:rFonts w:hint="eastAsia" w:cs="Times New Roman"/>
                      <w:color w:val="auto"/>
                      <w:sz w:val="21"/>
                      <w:szCs w:val="21"/>
                      <w:lang w:eastAsia="zh-CN"/>
                    </w:rPr>
                  </w:pPr>
                  <w:r>
                    <w:rPr>
                      <w:rFonts w:hint="eastAsia" w:cs="Times New Roman"/>
                      <w:color w:val="auto"/>
                      <w:sz w:val="21"/>
                      <w:szCs w:val="21"/>
                      <w:lang w:eastAsia="zh-CN"/>
                    </w:rPr>
                    <w:t>车库</w:t>
                  </w:r>
                </w:p>
              </w:tc>
              <w:tc>
                <w:tcPr>
                  <w:tcW w:w="3190" w:type="pct"/>
                  <w:noWrap w:val="0"/>
                  <w:vAlign w:val="center"/>
                </w:tcPr>
                <w:p w14:paraId="3CC786C5">
                  <w:pPr>
                    <w:keepNext w:val="0"/>
                    <w:keepLines w:val="0"/>
                    <w:pageBreakBefore w:val="0"/>
                    <w:kinsoku/>
                    <w:wordWrap/>
                    <w:overflowPunct/>
                    <w:topLinePunct w:val="0"/>
                    <w:bidi w:val="0"/>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1座单层砖混结构，建筑面积</w:t>
                  </w:r>
                  <w:r>
                    <w:rPr>
                      <w:rFonts w:hint="eastAsia" w:cs="Times New Roman"/>
                      <w:color w:val="auto"/>
                      <w:sz w:val="21"/>
                      <w:szCs w:val="21"/>
                      <w:lang w:val="en-US" w:eastAsia="zh-CN"/>
                    </w:rPr>
                    <w:t>200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r>
                    <w:rPr>
                      <w:rFonts w:hint="eastAsia" w:cs="Times New Roman"/>
                      <w:color w:val="auto"/>
                      <w:sz w:val="21"/>
                      <w:szCs w:val="21"/>
                      <w:lang w:eastAsia="zh-CN"/>
                    </w:rPr>
                    <w:t>位于厂区东侧，用于厂区内运输车辆停放</w:t>
                  </w:r>
                  <w:r>
                    <w:rPr>
                      <w:rFonts w:hint="default" w:ascii="Times New Roman" w:hAnsi="Times New Roman" w:eastAsia="宋体" w:cs="Times New Roman"/>
                      <w:color w:val="auto"/>
                      <w:sz w:val="21"/>
                      <w:szCs w:val="21"/>
                    </w:rPr>
                    <w:t>。</w:t>
                  </w:r>
                </w:p>
              </w:tc>
              <w:tc>
                <w:tcPr>
                  <w:tcW w:w="412" w:type="pct"/>
                  <w:noWrap w:val="0"/>
                  <w:vAlign w:val="center"/>
                </w:tcPr>
                <w:p w14:paraId="7111589B">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14:paraId="155F21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2" w:type="pct"/>
                  <w:vMerge w:val="continue"/>
                  <w:noWrap w:val="0"/>
                  <w:vAlign w:val="center"/>
                </w:tcPr>
                <w:p w14:paraId="0949179F">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964" w:type="pct"/>
                  <w:gridSpan w:val="2"/>
                  <w:noWrap w:val="0"/>
                  <w:vAlign w:val="center"/>
                </w:tcPr>
                <w:p w14:paraId="3E614196">
                  <w:pPr>
                    <w:keepNext w:val="0"/>
                    <w:keepLines w:val="0"/>
                    <w:pageBreakBefore w:val="0"/>
                    <w:kinsoku/>
                    <w:wordWrap/>
                    <w:overflowPunct/>
                    <w:topLinePunct w:val="0"/>
                    <w:bidi w:val="0"/>
                    <w:adjustRightInd/>
                    <w:snapToGrid/>
                    <w:spacing w:line="240" w:lineRule="auto"/>
                    <w:jc w:val="center"/>
                    <w:rPr>
                      <w:rFonts w:hint="eastAsia" w:cs="Times New Roman"/>
                      <w:color w:val="auto"/>
                      <w:sz w:val="21"/>
                      <w:szCs w:val="21"/>
                      <w:lang w:eastAsia="zh-CN"/>
                    </w:rPr>
                  </w:pPr>
                  <w:r>
                    <w:rPr>
                      <w:rFonts w:hint="eastAsia" w:cs="Times New Roman"/>
                      <w:color w:val="auto"/>
                      <w:sz w:val="21"/>
                      <w:szCs w:val="21"/>
                      <w:lang w:eastAsia="zh-CN"/>
                    </w:rPr>
                    <w:t>防渗旱厕</w:t>
                  </w:r>
                </w:p>
              </w:tc>
              <w:tc>
                <w:tcPr>
                  <w:tcW w:w="3190" w:type="pct"/>
                  <w:noWrap w:val="0"/>
                  <w:vAlign w:val="center"/>
                </w:tcPr>
                <w:p w14:paraId="5EEFDC33">
                  <w:pPr>
                    <w:keepNext w:val="0"/>
                    <w:keepLines w:val="0"/>
                    <w:pageBreakBefore w:val="0"/>
                    <w:kinsoku/>
                    <w:wordWrap/>
                    <w:overflowPunct/>
                    <w:topLinePunct w:val="0"/>
                    <w:bidi w:val="0"/>
                    <w:adjustRightInd/>
                    <w:snapToGrid/>
                    <w:spacing w:line="240" w:lineRule="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建设一个</w:t>
                  </w:r>
                  <w:r>
                    <w:rPr>
                      <w:rFonts w:hint="eastAsia" w:cs="Times New Roman"/>
                      <w:color w:val="auto"/>
                      <w:sz w:val="21"/>
                      <w:szCs w:val="21"/>
                      <w:lang w:eastAsia="zh-CN"/>
                    </w:rPr>
                    <w:t>旱厕</w:t>
                  </w:r>
                  <w:r>
                    <w:rPr>
                      <w:rFonts w:hint="default" w:ascii="Times New Roman" w:hAnsi="Times New Roman" w:eastAsia="宋体" w:cs="Times New Roman"/>
                      <w:color w:val="auto"/>
                      <w:sz w:val="21"/>
                      <w:szCs w:val="21"/>
                    </w:rPr>
                    <w:t>，位于</w:t>
                  </w:r>
                  <w:r>
                    <w:rPr>
                      <w:rFonts w:hint="eastAsia" w:cs="Times New Roman"/>
                      <w:color w:val="auto"/>
                      <w:sz w:val="21"/>
                      <w:szCs w:val="21"/>
                      <w:lang w:eastAsia="zh-CN"/>
                    </w:rPr>
                    <w:t>厂区南侧</w:t>
                  </w:r>
                  <w:r>
                    <w:rPr>
                      <w:rFonts w:hint="default" w:ascii="Times New Roman" w:hAnsi="Times New Roman" w:eastAsia="宋体" w:cs="Times New Roman"/>
                      <w:color w:val="auto"/>
                      <w:sz w:val="21"/>
                      <w:szCs w:val="21"/>
                    </w:rPr>
                    <w:t>，占地</w:t>
                  </w:r>
                  <w:r>
                    <w:rPr>
                      <w:rFonts w:hint="eastAsia" w:cs="Times New Roman"/>
                      <w:color w:val="auto"/>
                      <w:sz w:val="21"/>
                      <w:szCs w:val="21"/>
                      <w:lang w:val="en-US" w:eastAsia="zh-CN"/>
                    </w:rPr>
                    <w:t>2</w:t>
                  </w:r>
                  <w:r>
                    <w:rPr>
                      <w:rFonts w:hint="default" w:ascii="Times New Roman" w:hAnsi="Times New Roman" w:eastAsia="宋体" w:cs="Times New Roman"/>
                      <w:color w:val="auto"/>
                      <w:sz w:val="21"/>
                      <w:szCs w:val="21"/>
                    </w:rPr>
                    <w:t>0平方米，用于收集生活污水</w:t>
                  </w:r>
                  <w:r>
                    <w:rPr>
                      <w:rFonts w:hint="eastAsia" w:cs="Times New Roman"/>
                      <w:color w:val="auto"/>
                      <w:sz w:val="21"/>
                      <w:szCs w:val="21"/>
                      <w:lang w:eastAsia="zh-CN"/>
                    </w:rPr>
                    <w:t>。</w:t>
                  </w:r>
                </w:p>
              </w:tc>
              <w:tc>
                <w:tcPr>
                  <w:tcW w:w="412" w:type="pct"/>
                  <w:noWrap w:val="0"/>
                  <w:vAlign w:val="center"/>
                </w:tcPr>
                <w:p w14:paraId="534DA6AA">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14:paraId="1B9F7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2" w:type="pct"/>
                  <w:vMerge w:val="continue"/>
                  <w:noWrap w:val="0"/>
                  <w:vAlign w:val="center"/>
                </w:tcPr>
                <w:p w14:paraId="4066B5F0">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964" w:type="pct"/>
                  <w:gridSpan w:val="2"/>
                  <w:noWrap w:val="0"/>
                  <w:vAlign w:val="center"/>
                </w:tcPr>
                <w:p w14:paraId="186FE857">
                  <w:pPr>
                    <w:keepNext w:val="0"/>
                    <w:keepLines w:val="0"/>
                    <w:pageBreakBefore w:val="0"/>
                    <w:kinsoku/>
                    <w:wordWrap/>
                    <w:overflowPunct/>
                    <w:topLinePunct w:val="0"/>
                    <w:bidi w:val="0"/>
                    <w:adjustRightInd/>
                    <w:snapToGrid/>
                    <w:spacing w:line="240" w:lineRule="auto"/>
                    <w:jc w:val="center"/>
                    <w:rPr>
                      <w:rFonts w:hint="eastAsia" w:cs="Times New Roman"/>
                      <w:color w:val="auto"/>
                      <w:sz w:val="21"/>
                      <w:szCs w:val="21"/>
                      <w:lang w:eastAsia="zh-CN"/>
                    </w:rPr>
                  </w:pPr>
                  <w:r>
                    <w:rPr>
                      <w:rFonts w:hint="eastAsia" w:cs="Times New Roman"/>
                      <w:color w:val="auto"/>
                      <w:sz w:val="21"/>
                      <w:szCs w:val="21"/>
                      <w:lang w:eastAsia="zh-CN"/>
                    </w:rPr>
                    <w:t>雨水收集池</w:t>
                  </w:r>
                </w:p>
              </w:tc>
              <w:tc>
                <w:tcPr>
                  <w:tcW w:w="3190" w:type="pct"/>
                  <w:noWrap w:val="0"/>
                  <w:vAlign w:val="center"/>
                </w:tcPr>
                <w:p w14:paraId="690279F6">
                  <w:pPr>
                    <w:keepNext w:val="0"/>
                    <w:keepLines w:val="0"/>
                    <w:pageBreakBefore w:val="0"/>
                    <w:kinsoku/>
                    <w:wordWrap/>
                    <w:overflowPunct/>
                    <w:topLinePunct w:val="0"/>
                    <w:bidi w:val="0"/>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建设一个雨水收集池，</w:t>
                  </w:r>
                  <w:r>
                    <w:rPr>
                      <w:rFonts w:hint="default" w:ascii="Times New Roman" w:hAnsi="Times New Roman" w:eastAsia="宋体" w:cs="Times New Roman"/>
                      <w:color w:val="auto"/>
                      <w:sz w:val="21"/>
                      <w:szCs w:val="21"/>
                      <w:highlight w:val="none"/>
                    </w:rPr>
                    <w:t>位置选择地势低洼处，位于厂区</w:t>
                  </w:r>
                  <w:r>
                    <w:rPr>
                      <w:rFonts w:hint="eastAsia" w:cs="Times New Roman"/>
                      <w:color w:val="auto"/>
                      <w:sz w:val="21"/>
                      <w:szCs w:val="21"/>
                      <w:highlight w:val="none"/>
                      <w:lang w:eastAsia="zh-CN"/>
                    </w:rPr>
                    <w:t>西</w:t>
                  </w:r>
                  <w:r>
                    <w:rPr>
                      <w:rFonts w:hint="default" w:ascii="Times New Roman" w:hAnsi="Times New Roman" w:eastAsia="宋体" w:cs="Times New Roman"/>
                      <w:color w:val="auto"/>
                      <w:sz w:val="21"/>
                      <w:szCs w:val="21"/>
                      <w:highlight w:val="none"/>
                    </w:rPr>
                    <w:t>北侧，</w:t>
                  </w:r>
                  <w:r>
                    <w:rPr>
                      <w:rFonts w:hint="eastAsia" w:cs="Times New Roman"/>
                      <w:color w:val="auto"/>
                      <w:sz w:val="21"/>
                      <w:szCs w:val="21"/>
                      <w:highlight w:val="none"/>
                      <w:lang w:eastAsia="zh-CN"/>
                    </w:rPr>
                    <w:t>长</w:t>
                  </w:r>
                  <w:r>
                    <w:rPr>
                      <w:rFonts w:hint="eastAsia" w:cs="Times New Roman"/>
                      <w:color w:val="auto"/>
                      <w:sz w:val="21"/>
                      <w:szCs w:val="21"/>
                      <w:highlight w:val="none"/>
                      <w:lang w:val="en-US" w:eastAsia="zh-CN"/>
                    </w:rPr>
                    <w:t>10m，宽6m，深3m，</w:t>
                  </w:r>
                  <w:r>
                    <w:rPr>
                      <w:rFonts w:hint="default" w:ascii="Times New Roman" w:hAnsi="Times New Roman" w:eastAsia="宋体" w:cs="Times New Roman"/>
                      <w:color w:val="auto"/>
                      <w:sz w:val="21"/>
                      <w:szCs w:val="21"/>
                      <w:highlight w:val="none"/>
                    </w:rPr>
                    <w:t>容积</w:t>
                  </w:r>
                  <w:r>
                    <w:rPr>
                      <w:rFonts w:hint="eastAsia" w:cs="Times New Roman"/>
                      <w:color w:val="auto"/>
                      <w:sz w:val="21"/>
                      <w:szCs w:val="21"/>
                      <w:highlight w:val="none"/>
                      <w:lang w:val="en-US" w:eastAsia="zh-CN"/>
                    </w:rPr>
                    <w:t>180</w:t>
                  </w:r>
                  <w:r>
                    <w:rPr>
                      <w:rFonts w:hint="default" w:ascii="Times New Roman" w:hAnsi="Times New Roman" w:eastAsia="宋体" w:cs="Times New Roman"/>
                      <w:color w:val="auto"/>
                      <w:sz w:val="21"/>
                      <w:szCs w:val="21"/>
                      <w:highlight w:val="none"/>
                    </w:rPr>
                    <w:t>m</w:t>
                  </w:r>
                  <w:r>
                    <w:rPr>
                      <w:rFonts w:hint="eastAsia"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，用于收集雨水，在厂区四周设置</w:t>
                  </w:r>
                  <w:r>
                    <w:rPr>
                      <w:rFonts w:hint="eastAsia" w:cs="Times New Roman"/>
                      <w:color w:val="auto"/>
                      <w:sz w:val="21"/>
                      <w:szCs w:val="21"/>
                      <w:highlight w:val="none"/>
                      <w:lang w:val="en-US" w:eastAsia="zh-CN"/>
                    </w:rPr>
                    <w:t>300</w:t>
                  </w:r>
                  <w:r>
                    <w:rPr>
                      <w:rFonts w:hint="default" w:ascii="Times New Roman" w:hAnsi="Times New Roman" w:eastAsia="宋体" w:cs="Times New Roman"/>
                      <w:color w:val="auto"/>
                      <w:sz w:val="21"/>
                      <w:szCs w:val="21"/>
                      <w:highlight w:val="none"/>
                    </w:rPr>
                    <w:t>m雨水收集渠</w:t>
                  </w:r>
                </w:p>
              </w:tc>
              <w:tc>
                <w:tcPr>
                  <w:tcW w:w="412" w:type="pct"/>
                  <w:noWrap w:val="0"/>
                  <w:vAlign w:val="center"/>
                </w:tcPr>
                <w:p w14:paraId="4A750EAD">
                  <w:pPr>
                    <w:keepNext w:val="0"/>
                    <w:keepLines w:val="0"/>
                    <w:pageBreakBefore w:val="0"/>
                    <w:kinsoku/>
                    <w:wordWrap/>
                    <w:overflowPunct/>
                    <w:topLinePunct w:val="0"/>
                    <w:bidi w:val="0"/>
                    <w:adjustRightInd/>
                    <w:snapToGrid/>
                    <w:spacing w:line="240" w:lineRule="auto"/>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新建</w:t>
                  </w:r>
                </w:p>
              </w:tc>
            </w:tr>
            <w:tr w14:paraId="6997F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restart"/>
                  <w:noWrap w:val="0"/>
                  <w:vAlign w:val="center"/>
                </w:tcPr>
                <w:p w14:paraId="6950DDA1">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公用工程</w:t>
                  </w:r>
                </w:p>
              </w:tc>
              <w:tc>
                <w:tcPr>
                  <w:tcW w:w="964" w:type="pct"/>
                  <w:gridSpan w:val="2"/>
                  <w:noWrap w:val="0"/>
                  <w:vAlign w:val="center"/>
                </w:tcPr>
                <w:p w14:paraId="0FA0DC82">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给水</w:t>
                  </w:r>
                </w:p>
              </w:tc>
              <w:tc>
                <w:tcPr>
                  <w:tcW w:w="3190" w:type="pct"/>
                  <w:noWrap w:val="0"/>
                  <w:vAlign w:val="center"/>
                </w:tcPr>
                <w:p w14:paraId="5D5335C3">
                  <w:pPr>
                    <w:pStyle w:val="80"/>
                    <w:keepNext w:val="0"/>
                    <w:keepLines w:val="0"/>
                    <w:pageBreakBefore w:val="0"/>
                    <w:kinsoku/>
                    <w:wordWrap/>
                    <w:overflowPunct/>
                    <w:topLinePunct w:val="0"/>
                    <w:bidi w:val="0"/>
                    <w:adjustRightInd/>
                    <w:snapToGrid/>
                    <w:spacing w:line="240" w:lineRule="auto"/>
                    <w:ind w:firstLine="0" w:firstLineChars="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项目生活</w:t>
                  </w:r>
                  <w:r>
                    <w:rPr>
                      <w:rFonts w:hint="eastAsia" w:hAnsi="Times New Roman" w:cs="Times New Roman"/>
                      <w:color w:val="auto"/>
                      <w:sz w:val="21"/>
                      <w:szCs w:val="21"/>
                      <w:lang w:eastAsia="zh-CN"/>
                    </w:rPr>
                    <w:t>、生产</w:t>
                  </w:r>
                  <w:r>
                    <w:rPr>
                      <w:rFonts w:hint="default" w:ascii="Times New Roman" w:hAnsi="Times New Roman" w:eastAsia="宋体" w:cs="Times New Roman"/>
                      <w:color w:val="auto"/>
                      <w:sz w:val="21"/>
                      <w:szCs w:val="21"/>
                    </w:rPr>
                    <w:t>用水来源为</w:t>
                  </w:r>
                  <w:r>
                    <w:rPr>
                      <w:rFonts w:hint="eastAsia" w:hAnsi="Times New Roman" w:cs="Times New Roman"/>
                      <w:color w:val="auto"/>
                      <w:sz w:val="21"/>
                      <w:szCs w:val="21"/>
                      <w:lang w:eastAsia="zh-CN"/>
                    </w:rPr>
                    <w:t>市政用水管网。</w:t>
                  </w:r>
                </w:p>
              </w:tc>
              <w:tc>
                <w:tcPr>
                  <w:tcW w:w="412" w:type="pct"/>
                  <w:noWrap w:val="0"/>
                  <w:vAlign w:val="center"/>
                </w:tcPr>
                <w:p w14:paraId="30D0FE7C">
                  <w:pPr>
                    <w:keepNext w:val="0"/>
                    <w:keepLines w:val="0"/>
                    <w:pageBreakBefore w:val="0"/>
                    <w:kinsoku/>
                    <w:wordWrap/>
                    <w:overflowPunct/>
                    <w:topLinePunct w:val="0"/>
                    <w:bidi w:val="0"/>
                    <w:adjustRightInd/>
                    <w:snapToGrid/>
                    <w:spacing w:line="240" w:lineRule="auto"/>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依托</w:t>
                  </w:r>
                </w:p>
              </w:tc>
            </w:tr>
            <w:tr w14:paraId="3F3E2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continue"/>
                  <w:noWrap w:val="0"/>
                  <w:vAlign w:val="center"/>
                </w:tcPr>
                <w:p w14:paraId="551EE3C4">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964" w:type="pct"/>
                  <w:gridSpan w:val="2"/>
                  <w:noWrap w:val="0"/>
                  <w:vAlign w:val="center"/>
                </w:tcPr>
                <w:p w14:paraId="2FE1B080">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排水</w:t>
                  </w:r>
                </w:p>
              </w:tc>
              <w:tc>
                <w:tcPr>
                  <w:tcW w:w="3190" w:type="pct"/>
                  <w:noWrap w:val="0"/>
                  <w:vAlign w:val="center"/>
                </w:tcPr>
                <w:p w14:paraId="085B2F46">
                  <w:pPr>
                    <w:keepNext w:val="0"/>
                    <w:keepLines w:val="0"/>
                    <w:pageBreakBefore w:val="0"/>
                    <w:kinsoku/>
                    <w:wordWrap/>
                    <w:overflowPunct/>
                    <w:topLinePunct w:val="0"/>
                    <w:bidi w:val="0"/>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项目无生产废水，生活污水排入防渗旱厕。</w:t>
                  </w:r>
                </w:p>
              </w:tc>
              <w:tc>
                <w:tcPr>
                  <w:tcW w:w="412" w:type="pct"/>
                  <w:noWrap w:val="0"/>
                  <w:vAlign w:val="center"/>
                </w:tcPr>
                <w:p w14:paraId="6391B7B3">
                  <w:pPr>
                    <w:keepNext w:val="0"/>
                    <w:keepLines w:val="0"/>
                    <w:pageBreakBefore w:val="0"/>
                    <w:kinsoku/>
                    <w:wordWrap/>
                    <w:overflowPunct/>
                    <w:topLinePunct w:val="0"/>
                    <w:bidi w:val="0"/>
                    <w:adjustRightInd/>
                    <w:snapToGrid/>
                    <w:spacing w:line="240" w:lineRule="auto"/>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新建</w:t>
                  </w:r>
                </w:p>
              </w:tc>
            </w:tr>
            <w:tr w14:paraId="742424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continue"/>
                  <w:noWrap w:val="0"/>
                  <w:vAlign w:val="center"/>
                </w:tcPr>
                <w:p w14:paraId="4E0432F6">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964" w:type="pct"/>
                  <w:gridSpan w:val="2"/>
                  <w:noWrap w:val="0"/>
                  <w:vAlign w:val="center"/>
                </w:tcPr>
                <w:p w14:paraId="14ED02F0">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供热</w:t>
                  </w:r>
                </w:p>
              </w:tc>
              <w:tc>
                <w:tcPr>
                  <w:tcW w:w="3190" w:type="pct"/>
                  <w:noWrap w:val="0"/>
                  <w:vAlign w:val="center"/>
                </w:tcPr>
                <w:p w14:paraId="27117880">
                  <w:pPr>
                    <w:keepNext w:val="0"/>
                    <w:keepLines w:val="0"/>
                    <w:pageBreakBefore w:val="0"/>
                    <w:kinsoku/>
                    <w:wordWrap/>
                    <w:overflowPunct/>
                    <w:topLinePunct w:val="0"/>
                    <w:bidi w:val="0"/>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本项目生产区无需供暖，办公区冬季采暖采用电采暖。</w:t>
                  </w:r>
                </w:p>
              </w:tc>
              <w:tc>
                <w:tcPr>
                  <w:tcW w:w="412" w:type="pct"/>
                  <w:noWrap w:val="0"/>
                  <w:vAlign w:val="center"/>
                </w:tcPr>
                <w:p w14:paraId="63215381">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14:paraId="6ABED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2" w:type="pct"/>
                  <w:vMerge w:val="continue"/>
                  <w:noWrap w:val="0"/>
                  <w:vAlign w:val="center"/>
                </w:tcPr>
                <w:p w14:paraId="34FD75A5">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964" w:type="pct"/>
                  <w:gridSpan w:val="2"/>
                  <w:noWrap w:val="0"/>
                  <w:vAlign w:val="center"/>
                </w:tcPr>
                <w:p w14:paraId="23775BE5">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w:t>
                  </w:r>
                </w:p>
              </w:tc>
              <w:tc>
                <w:tcPr>
                  <w:tcW w:w="3190" w:type="pct"/>
                  <w:noWrap w:val="0"/>
                  <w:vAlign w:val="center"/>
                </w:tcPr>
                <w:p w14:paraId="05584BD7">
                  <w:pPr>
                    <w:keepNext w:val="0"/>
                    <w:keepLines w:val="0"/>
                    <w:pageBreakBefore w:val="0"/>
                    <w:tabs>
                      <w:tab w:val="center" w:pos="2304"/>
                    </w:tabs>
                    <w:kinsoku/>
                    <w:wordWrap/>
                    <w:overflowPunct/>
                    <w:topLinePunct w:val="0"/>
                    <w:bidi w:val="0"/>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本项目用电</w:t>
                  </w:r>
                  <w:r>
                    <w:rPr>
                      <w:rFonts w:hint="default" w:ascii="Times New Roman" w:hAnsi="Times New Roman" w:eastAsia="宋体" w:cs="Times New Roman"/>
                      <w:color w:val="auto"/>
                      <w:sz w:val="21"/>
                      <w:szCs w:val="21"/>
                      <w:highlight w:val="none"/>
                    </w:rPr>
                    <w:t>由鸡西矿业集团</w:t>
                  </w:r>
                  <w:r>
                    <w:rPr>
                      <w:rFonts w:hint="eastAsia" w:cs="Times New Roman"/>
                      <w:color w:val="auto"/>
                      <w:sz w:val="21"/>
                      <w:szCs w:val="21"/>
                      <w:highlight w:val="none"/>
                      <w:lang w:eastAsia="zh-CN"/>
                    </w:rPr>
                    <w:t>正阳</w:t>
                  </w:r>
                  <w:r>
                    <w:rPr>
                      <w:rFonts w:hint="default" w:ascii="Times New Roman" w:hAnsi="Times New Roman" w:eastAsia="宋体" w:cs="Times New Roman"/>
                      <w:color w:val="auto"/>
                      <w:sz w:val="21"/>
                      <w:szCs w:val="21"/>
                      <w:highlight w:val="none"/>
                    </w:rPr>
                    <w:t>煤矿电力公司提供，可满足项目需求。</w:t>
                  </w:r>
                </w:p>
              </w:tc>
              <w:tc>
                <w:tcPr>
                  <w:tcW w:w="412" w:type="pct"/>
                  <w:noWrap w:val="0"/>
                  <w:vAlign w:val="center"/>
                </w:tcPr>
                <w:p w14:paraId="1BB44FDC">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w:t>
                  </w:r>
                </w:p>
              </w:tc>
            </w:tr>
            <w:tr w14:paraId="62EE72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restart"/>
                  <w:noWrap w:val="0"/>
                  <w:vAlign w:val="center"/>
                </w:tcPr>
                <w:p w14:paraId="1BDE32E1">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964" w:type="pct"/>
                  <w:gridSpan w:val="2"/>
                  <w:noWrap w:val="0"/>
                  <w:vAlign w:val="center"/>
                </w:tcPr>
                <w:p w14:paraId="7AD07B7D">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3190" w:type="pct"/>
                  <w:noWrap w:val="0"/>
                  <w:vAlign w:val="center"/>
                </w:tcPr>
                <w:p w14:paraId="3A6D2EA2">
                  <w:pPr>
                    <w:keepNext w:val="0"/>
                    <w:keepLines w:val="0"/>
                    <w:pageBreakBefore w:val="0"/>
                    <w:kinsoku/>
                    <w:wordWrap/>
                    <w:overflowPunct/>
                    <w:topLinePunct w:val="0"/>
                    <w:bidi w:val="0"/>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项目无生产废水，生活污水排入防渗旱厕。储煤厂建设雨水导流沟</w:t>
                  </w:r>
                  <w:r>
                    <w:rPr>
                      <w:rFonts w:hint="eastAsia" w:cs="Times New Roman"/>
                      <w:color w:val="auto"/>
                      <w:kern w:val="0"/>
                      <w:sz w:val="21"/>
                      <w:szCs w:val="21"/>
                      <w:lang w:eastAsia="zh-CN" w:bidi="ar"/>
                    </w:rPr>
                    <w:t>长</w:t>
                  </w:r>
                  <w:r>
                    <w:rPr>
                      <w:rFonts w:hint="eastAsia" w:cs="Times New Roman"/>
                      <w:color w:val="auto"/>
                      <w:kern w:val="0"/>
                      <w:sz w:val="21"/>
                      <w:szCs w:val="21"/>
                      <w:lang w:val="en-US" w:eastAsia="zh-CN" w:bidi="ar"/>
                    </w:rPr>
                    <w:t>×</w:t>
                  </w:r>
                  <w:r>
                    <w:rPr>
                      <w:rFonts w:hint="eastAsia" w:cs="Times New Roman"/>
                      <w:color w:val="auto"/>
                      <w:kern w:val="0"/>
                      <w:sz w:val="21"/>
                      <w:szCs w:val="21"/>
                      <w:lang w:eastAsia="zh-CN" w:bidi="ar"/>
                    </w:rPr>
                    <w:t>宽</w:t>
                  </w:r>
                  <w:r>
                    <w:rPr>
                      <w:rFonts w:hint="eastAsia" w:cs="Times New Roman"/>
                      <w:color w:val="auto"/>
                      <w:kern w:val="0"/>
                      <w:sz w:val="21"/>
                      <w:szCs w:val="21"/>
                      <w:lang w:val="en-US" w:eastAsia="zh-CN" w:bidi="ar"/>
                    </w:rPr>
                    <w:t>×</w:t>
                  </w:r>
                  <w:r>
                    <w:rPr>
                      <w:rFonts w:hint="eastAsia" w:cs="Times New Roman"/>
                      <w:color w:val="auto"/>
                      <w:kern w:val="0"/>
                      <w:sz w:val="21"/>
                      <w:szCs w:val="21"/>
                      <w:lang w:eastAsia="zh-CN" w:bidi="ar"/>
                    </w:rPr>
                    <w:t>深分别为</w:t>
                  </w:r>
                  <w:r>
                    <w:rPr>
                      <w:rFonts w:hint="eastAsia" w:cs="Times New Roman"/>
                      <w:color w:val="auto"/>
                      <w:kern w:val="0"/>
                      <w:sz w:val="21"/>
                      <w:szCs w:val="21"/>
                      <w:lang w:val="en-US" w:eastAsia="zh-CN" w:bidi="ar"/>
                    </w:rPr>
                    <w:t>300m×0.1m×0.1m</w:t>
                  </w:r>
                  <w:r>
                    <w:rPr>
                      <w:rFonts w:hint="default" w:ascii="Times New Roman" w:hAnsi="Times New Roman" w:eastAsia="宋体" w:cs="Times New Roman"/>
                      <w:color w:val="auto"/>
                      <w:kern w:val="0"/>
                      <w:sz w:val="21"/>
                      <w:szCs w:val="21"/>
                      <w:lang w:bidi="ar"/>
                    </w:rPr>
                    <w:t>。设置初期雨水收集池1座，位于</w:t>
                  </w:r>
                  <w:r>
                    <w:rPr>
                      <w:rFonts w:hint="default" w:ascii="Times New Roman" w:hAnsi="Times New Roman" w:eastAsia="宋体" w:cs="Times New Roman"/>
                      <w:color w:val="auto"/>
                      <w:kern w:val="0"/>
                      <w:sz w:val="21"/>
                      <w:szCs w:val="21"/>
                      <w:highlight w:val="none"/>
                      <w:lang w:bidi="ar"/>
                    </w:rPr>
                    <w:t>厂区</w:t>
                  </w:r>
                  <w:r>
                    <w:rPr>
                      <w:rFonts w:hint="eastAsia" w:cs="Times New Roman"/>
                      <w:color w:val="auto"/>
                      <w:kern w:val="0"/>
                      <w:sz w:val="21"/>
                      <w:szCs w:val="21"/>
                      <w:highlight w:val="none"/>
                      <w:lang w:eastAsia="zh-CN" w:bidi="ar"/>
                    </w:rPr>
                    <w:t>西北</w:t>
                  </w:r>
                  <w:r>
                    <w:rPr>
                      <w:rFonts w:hint="default" w:ascii="Times New Roman" w:hAnsi="Times New Roman" w:eastAsia="宋体" w:cs="Times New Roman"/>
                      <w:color w:val="auto"/>
                      <w:kern w:val="0"/>
                      <w:sz w:val="21"/>
                      <w:szCs w:val="21"/>
                      <w:highlight w:val="none"/>
                      <w:lang w:bidi="ar"/>
                    </w:rPr>
                    <w:t>侧（厂区地势最低处），收集整体厂区雨水。收集的雨水沉淀后用于场区洒水降尘，储煤场初期雨水收集池体积</w:t>
                  </w:r>
                  <w:r>
                    <w:rPr>
                      <w:rFonts w:hint="eastAsia" w:cs="Times New Roman"/>
                      <w:color w:val="auto"/>
                      <w:kern w:val="0"/>
                      <w:sz w:val="21"/>
                      <w:szCs w:val="21"/>
                      <w:highlight w:val="none"/>
                      <w:lang w:val="en-US" w:eastAsia="zh-CN" w:bidi="ar"/>
                    </w:rPr>
                    <w:t>180</w:t>
                  </w:r>
                  <w:r>
                    <w:rPr>
                      <w:rFonts w:hint="default" w:ascii="Times New Roman" w:hAnsi="Times New Roman" w:eastAsia="宋体" w:cs="Times New Roman"/>
                      <w:color w:val="auto"/>
                      <w:kern w:val="0"/>
                      <w:sz w:val="21"/>
                      <w:szCs w:val="21"/>
                      <w:highlight w:val="none"/>
                      <w:lang w:bidi="ar"/>
                    </w:rPr>
                    <w:t>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lang w:bidi="ar"/>
                    </w:rPr>
                    <w:t>。</w:t>
                  </w:r>
                </w:p>
              </w:tc>
              <w:tc>
                <w:tcPr>
                  <w:tcW w:w="412" w:type="pct"/>
                  <w:noWrap w:val="0"/>
                  <w:vAlign w:val="center"/>
                </w:tcPr>
                <w:p w14:paraId="002EC281">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14:paraId="3F5806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continue"/>
                  <w:noWrap w:val="0"/>
                  <w:vAlign w:val="center"/>
                </w:tcPr>
                <w:p w14:paraId="40FF2440">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964" w:type="pct"/>
                  <w:gridSpan w:val="2"/>
                  <w:noWrap w:val="0"/>
                  <w:vAlign w:val="center"/>
                </w:tcPr>
                <w:p w14:paraId="5BE7C4B3">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3190" w:type="pct"/>
                  <w:noWrap w:val="0"/>
                  <w:vAlign w:val="center"/>
                </w:tcPr>
                <w:p w14:paraId="4F428E10">
                  <w:pPr>
                    <w:keepNext w:val="0"/>
                    <w:keepLines w:val="0"/>
                    <w:pageBreakBefore w:val="0"/>
                    <w:kinsoku/>
                    <w:wordWrap/>
                    <w:overflowPunct/>
                    <w:topLinePunct w:val="0"/>
                    <w:bidi w:val="0"/>
                    <w:adjustRightInd/>
                    <w:snapToGrid/>
                    <w:spacing w:line="240" w:lineRule="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采用低噪声设备、减振设施，场内运输车辆低速、禁鸣措施</w:t>
                  </w:r>
                  <w:r>
                    <w:rPr>
                      <w:rFonts w:hint="eastAsia" w:cs="Times New Roman"/>
                      <w:color w:val="auto"/>
                      <w:sz w:val="21"/>
                      <w:szCs w:val="21"/>
                      <w:lang w:eastAsia="zh-CN"/>
                    </w:rPr>
                    <w:t>。</w:t>
                  </w:r>
                </w:p>
              </w:tc>
              <w:tc>
                <w:tcPr>
                  <w:tcW w:w="412" w:type="pct"/>
                  <w:noWrap w:val="0"/>
                  <w:vAlign w:val="center"/>
                </w:tcPr>
                <w:p w14:paraId="012CDC1D">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14:paraId="1DDEC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432" w:type="pct"/>
                  <w:vMerge w:val="continue"/>
                  <w:noWrap w:val="0"/>
                  <w:vAlign w:val="center"/>
                </w:tcPr>
                <w:p w14:paraId="21DFA117">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259" w:type="pct"/>
                  <w:vMerge w:val="restart"/>
                  <w:noWrap w:val="0"/>
                  <w:vAlign w:val="center"/>
                </w:tcPr>
                <w:p w14:paraId="78857CC8">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705" w:type="pct"/>
                  <w:noWrap w:val="0"/>
                  <w:vAlign w:val="center"/>
                </w:tcPr>
                <w:p w14:paraId="539ECB43">
                  <w:pPr>
                    <w:keepNext w:val="0"/>
                    <w:keepLines w:val="0"/>
                    <w:pageBreakBefore w:val="0"/>
                    <w:kinsoku/>
                    <w:wordWrap/>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运输扬尘</w:t>
                  </w:r>
                </w:p>
              </w:tc>
              <w:tc>
                <w:tcPr>
                  <w:tcW w:w="3190" w:type="pct"/>
                  <w:noWrap w:val="0"/>
                  <w:vAlign w:val="center"/>
                </w:tcPr>
                <w:p w14:paraId="114112F6">
                  <w:pPr>
                    <w:keepNext w:val="0"/>
                    <w:keepLines w:val="0"/>
                    <w:pageBreakBefore w:val="0"/>
                    <w:kinsoku/>
                    <w:wordWrap/>
                    <w:overflowPunct/>
                    <w:topLinePunct w:val="0"/>
                    <w:bidi w:val="0"/>
                    <w:adjustRightInd/>
                    <w:snapToGrid/>
                    <w:spacing w:line="240" w:lineRule="auto"/>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本项目对运输车辆车身加盖苫布，防止物料的洒落，运输道路进行洒水降尘措施</w:t>
                  </w:r>
                  <w:r>
                    <w:rPr>
                      <w:rFonts w:hint="eastAsia" w:cs="Times New Roman"/>
                      <w:color w:val="auto"/>
                      <w:sz w:val="21"/>
                      <w:szCs w:val="21"/>
                      <w:lang w:eastAsia="zh-CN"/>
                    </w:rPr>
                    <w:t>，禁止在重污染天气、大风天气进行作业</w:t>
                  </w:r>
                  <w:r>
                    <w:rPr>
                      <w:rFonts w:hint="default" w:ascii="Times New Roman" w:hAnsi="Times New Roman" w:eastAsia="宋体" w:cs="Times New Roman"/>
                      <w:color w:val="auto"/>
                      <w:sz w:val="21"/>
                      <w:szCs w:val="21"/>
                    </w:rPr>
                    <w:t>。</w:t>
                  </w:r>
                </w:p>
              </w:tc>
              <w:tc>
                <w:tcPr>
                  <w:tcW w:w="412" w:type="pct"/>
                  <w:vMerge w:val="restart"/>
                  <w:noWrap w:val="0"/>
                  <w:vAlign w:val="center"/>
                </w:tcPr>
                <w:p w14:paraId="13A4423B">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14:paraId="3B0044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432" w:type="pct"/>
                  <w:vMerge w:val="continue"/>
                  <w:noWrap w:val="0"/>
                  <w:vAlign w:val="center"/>
                </w:tcPr>
                <w:p w14:paraId="30F22F36">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259" w:type="pct"/>
                  <w:vMerge w:val="continue"/>
                  <w:noWrap w:val="0"/>
                  <w:vAlign w:val="center"/>
                </w:tcPr>
                <w:p w14:paraId="61C6281C">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705" w:type="pct"/>
                  <w:shd w:val="clear" w:color="auto" w:fill="auto"/>
                  <w:noWrap w:val="0"/>
                  <w:vAlign w:val="center"/>
                </w:tcPr>
                <w:p w14:paraId="47BA0454">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堆场扬尘</w:t>
                  </w:r>
                </w:p>
              </w:tc>
              <w:tc>
                <w:tcPr>
                  <w:tcW w:w="3190" w:type="pct"/>
                  <w:shd w:val="clear" w:color="auto" w:fill="auto"/>
                  <w:noWrap w:val="0"/>
                  <w:vAlign w:val="center"/>
                </w:tcPr>
                <w:p w14:paraId="11E185A4">
                  <w:pPr>
                    <w:keepNext w:val="0"/>
                    <w:keepLines w:val="0"/>
                    <w:pageBreakBefore w:val="0"/>
                    <w:kinsoku/>
                    <w:wordWrap/>
                    <w:overflowPunct/>
                    <w:topLinePunct w:val="0"/>
                    <w:bidi w:val="0"/>
                    <w:adjustRightInd/>
                    <w:snapToGrid/>
                    <w:spacing w:line="240" w:lineRule="auto"/>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highlight w:val="none"/>
                    </w:rPr>
                    <w:t>本项目</w:t>
                  </w:r>
                  <w:r>
                    <w:rPr>
                      <w:rFonts w:hint="eastAsia" w:cs="Times New Roman"/>
                      <w:color w:val="auto"/>
                      <w:sz w:val="21"/>
                      <w:szCs w:val="21"/>
                      <w:highlight w:val="none"/>
                      <w:lang w:eastAsia="zh-CN"/>
                    </w:rPr>
                    <w:t>储煤场</w:t>
                  </w:r>
                  <w:r>
                    <w:rPr>
                      <w:rFonts w:hint="default" w:ascii="Times New Roman" w:hAnsi="Times New Roman" w:eastAsia="宋体" w:cs="Times New Roman"/>
                      <w:color w:val="auto"/>
                      <w:sz w:val="21"/>
                      <w:szCs w:val="21"/>
                      <w:highlight w:val="none"/>
                    </w:rPr>
                    <w:t>设置</w:t>
                  </w:r>
                  <w:r>
                    <w:rPr>
                      <w:rFonts w:hint="eastAsia" w:cs="Times New Roman"/>
                      <w:color w:val="auto"/>
                      <w:sz w:val="21"/>
                      <w:szCs w:val="21"/>
                      <w:highlight w:val="none"/>
                      <w:lang w:eastAsia="zh-CN"/>
                    </w:rPr>
                    <w:t>闭合</w:t>
                  </w:r>
                  <w:r>
                    <w:rPr>
                      <w:rFonts w:hint="default" w:ascii="Times New Roman" w:hAnsi="Times New Roman" w:eastAsia="宋体" w:cs="Times New Roman"/>
                      <w:color w:val="auto"/>
                      <w:sz w:val="21"/>
                      <w:szCs w:val="21"/>
                      <w:highlight w:val="none"/>
                    </w:rPr>
                    <w:t>防风抑尘网</w:t>
                  </w:r>
                  <w:r>
                    <w:rPr>
                      <w:rFonts w:hint="eastAsia" w:cs="Times New Roman"/>
                      <w:color w:val="auto"/>
                      <w:sz w:val="21"/>
                      <w:szCs w:val="21"/>
                      <w:highlight w:val="none"/>
                      <w:lang w:eastAsia="zh-CN"/>
                    </w:rPr>
                    <w:t>高</w:t>
                  </w:r>
                  <w:r>
                    <w:rPr>
                      <w:rFonts w:hint="eastAsia" w:cs="Times New Roman"/>
                      <w:color w:val="auto"/>
                      <w:sz w:val="21"/>
                      <w:szCs w:val="21"/>
                      <w:highlight w:val="none"/>
                      <w:lang w:val="en-US" w:eastAsia="zh-CN"/>
                    </w:rPr>
                    <w:t>4.5m、长290m</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孔隙率为</w:t>
                  </w:r>
                  <w:r>
                    <w:rPr>
                      <w:rFonts w:hint="eastAsia" w:cs="Times New Roman"/>
                      <w:color w:val="auto"/>
                      <w:sz w:val="21"/>
                      <w:szCs w:val="21"/>
                      <w:highlight w:val="none"/>
                      <w:lang w:val="en-US" w:eastAsia="zh-CN"/>
                    </w:rPr>
                    <w:t>0.3，并进行苫布苫盖</w:t>
                  </w:r>
                  <w:r>
                    <w:rPr>
                      <w:rFonts w:hint="eastAsia" w:cs="Times New Roman"/>
                      <w:color w:val="auto"/>
                      <w:sz w:val="21"/>
                      <w:szCs w:val="21"/>
                      <w:highlight w:val="none"/>
                      <w:lang w:eastAsia="zh-CN"/>
                    </w:rPr>
                    <w:t>，装卸时尽可能缩小高差，</w:t>
                  </w:r>
                  <w:r>
                    <w:rPr>
                      <w:rFonts w:hint="default" w:ascii="Times New Roman" w:hAnsi="Times New Roman" w:eastAsia="宋体" w:cs="Times New Roman"/>
                      <w:color w:val="auto"/>
                      <w:sz w:val="21"/>
                      <w:szCs w:val="21"/>
                      <w:highlight w:val="none"/>
                    </w:rPr>
                    <w:t>作业时洒水降尘</w:t>
                  </w:r>
                  <w:r>
                    <w:rPr>
                      <w:rFonts w:hint="eastAsia" w:cs="Times New Roman"/>
                      <w:color w:val="auto"/>
                      <w:sz w:val="21"/>
                      <w:szCs w:val="21"/>
                      <w:highlight w:val="none"/>
                      <w:lang w:eastAsia="zh-CN"/>
                    </w:rPr>
                    <w:t>，洒水车定期对储煤区域进行洒水降尘并防止自燃，定期去外部指定洗车点对车辆进行清洗。</w:t>
                  </w:r>
                </w:p>
              </w:tc>
              <w:tc>
                <w:tcPr>
                  <w:tcW w:w="412" w:type="pct"/>
                  <w:vMerge w:val="continue"/>
                  <w:noWrap w:val="0"/>
                  <w:vAlign w:val="center"/>
                </w:tcPr>
                <w:p w14:paraId="16A706BF">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r>
            <w:tr w14:paraId="105EAB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continue"/>
                  <w:noWrap w:val="0"/>
                  <w:vAlign w:val="center"/>
                </w:tcPr>
                <w:p w14:paraId="52806A0F">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259" w:type="pct"/>
                  <w:vMerge w:val="restart"/>
                  <w:noWrap w:val="0"/>
                  <w:vAlign w:val="center"/>
                </w:tcPr>
                <w:p w14:paraId="54E780F3">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固废</w:t>
                  </w:r>
                </w:p>
              </w:tc>
              <w:tc>
                <w:tcPr>
                  <w:tcW w:w="705" w:type="pct"/>
                  <w:noWrap w:val="0"/>
                  <w:vAlign w:val="center"/>
                </w:tcPr>
                <w:p w14:paraId="2AE785B3">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生活垃圾</w:t>
                  </w:r>
                </w:p>
              </w:tc>
              <w:tc>
                <w:tcPr>
                  <w:tcW w:w="3190" w:type="pct"/>
                  <w:noWrap w:val="0"/>
                  <w:vAlign w:val="center"/>
                </w:tcPr>
                <w:p w14:paraId="2E37C954">
                  <w:pPr>
                    <w:keepNext w:val="0"/>
                    <w:keepLines w:val="0"/>
                    <w:pageBreakBefore w:val="0"/>
                    <w:kinsoku/>
                    <w:wordWrap/>
                    <w:overflowPunct/>
                    <w:topLinePunct w:val="0"/>
                    <w:autoSpaceDE w:val="0"/>
                    <w:autoSpaceDN w:val="0"/>
                    <w:bidi w:val="0"/>
                    <w:adjustRightInd/>
                    <w:snapToGrid/>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生活垃圾统一收集后由环卫部门清运</w:t>
                  </w:r>
                  <w:r>
                    <w:rPr>
                      <w:rFonts w:hint="eastAsia" w:cs="Times New Roman"/>
                      <w:color w:val="auto"/>
                      <w:kern w:val="0"/>
                      <w:sz w:val="21"/>
                      <w:szCs w:val="21"/>
                      <w:lang w:eastAsia="zh-CN"/>
                    </w:rPr>
                    <w:t>处理</w:t>
                  </w:r>
                  <w:r>
                    <w:rPr>
                      <w:rFonts w:hint="default" w:ascii="Times New Roman" w:hAnsi="Times New Roman" w:eastAsia="宋体" w:cs="Times New Roman"/>
                      <w:color w:val="auto"/>
                      <w:kern w:val="0"/>
                      <w:sz w:val="21"/>
                      <w:szCs w:val="21"/>
                    </w:rPr>
                    <w:t>。</w:t>
                  </w:r>
                </w:p>
              </w:tc>
              <w:tc>
                <w:tcPr>
                  <w:tcW w:w="412" w:type="pct"/>
                  <w:noWrap w:val="0"/>
                  <w:vAlign w:val="center"/>
                </w:tcPr>
                <w:p w14:paraId="2F912149">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1029DA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continue"/>
                  <w:noWrap w:val="0"/>
                  <w:vAlign w:val="center"/>
                </w:tcPr>
                <w:p w14:paraId="15B1A92B">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259" w:type="pct"/>
                  <w:vMerge w:val="continue"/>
                  <w:noWrap w:val="0"/>
                  <w:vAlign w:val="center"/>
                </w:tcPr>
                <w:p w14:paraId="19989C15">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705" w:type="pct"/>
                  <w:shd w:val="clear" w:color="auto" w:fill="auto"/>
                  <w:noWrap w:val="0"/>
                  <w:vAlign w:val="center"/>
                </w:tcPr>
                <w:p w14:paraId="19B9A854">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雨水收集池沉渣</w:t>
                  </w:r>
                </w:p>
              </w:tc>
              <w:tc>
                <w:tcPr>
                  <w:tcW w:w="3190" w:type="pct"/>
                  <w:shd w:val="clear" w:color="auto" w:fill="auto"/>
                  <w:noWrap w:val="0"/>
                  <w:vAlign w:val="center"/>
                </w:tcPr>
                <w:p w14:paraId="44280497">
                  <w:pPr>
                    <w:keepNext w:val="0"/>
                    <w:keepLines w:val="0"/>
                    <w:pageBreakBefore w:val="0"/>
                    <w:kinsoku/>
                    <w:wordWrap/>
                    <w:overflowPunct/>
                    <w:topLinePunct w:val="0"/>
                    <w:bidi w:val="0"/>
                    <w:adjustRightInd/>
                    <w:snapToGrid/>
                    <w:spacing w:line="240" w:lineRule="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暂存煤炭堆场，与煤炭一同外售</w:t>
                  </w:r>
                </w:p>
              </w:tc>
              <w:tc>
                <w:tcPr>
                  <w:tcW w:w="412" w:type="pct"/>
                  <w:noWrap w:val="0"/>
                  <w:vAlign w:val="center"/>
                </w:tcPr>
                <w:p w14:paraId="6B994CFA">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14:paraId="2FBA75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pct"/>
                  <w:vMerge w:val="continue"/>
                  <w:noWrap w:val="0"/>
                  <w:vAlign w:val="center"/>
                </w:tcPr>
                <w:p w14:paraId="276CF31A">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rPr>
                  </w:pPr>
                </w:p>
              </w:tc>
              <w:tc>
                <w:tcPr>
                  <w:tcW w:w="964" w:type="pct"/>
                  <w:gridSpan w:val="2"/>
                  <w:noWrap w:val="0"/>
                  <w:vAlign w:val="center"/>
                </w:tcPr>
                <w:p w14:paraId="76807E5D">
                  <w:pPr>
                    <w:keepNext w:val="0"/>
                    <w:keepLines w:val="0"/>
                    <w:pageBreakBefore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防渗工程</w:t>
                  </w:r>
                </w:p>
              </w:tc>
              <w:tc>
                <w:tcPr>
                  <w:tcW w:w="3190" w:type="pct"/>
                  <w:noWrap w:val="0"/>
                  <w:vAlign w:val="center"/>
                </w:tcPr>
                <w:p w14:paraId="7A6D79EB">
                  <w:pPr>
                    <w:keepNext w:val="0"/>
                    <w:keepLines w:val="0"/>
                    <w:pageBreakBefore w:val="0"/>
                    <w:kinsoku/>
                    <w:wordWrap/>
                    <w:overflowPunct/>
                    <w:topLinePunct w:val="0"/>
                    <w:bidi w:val="0"/>
                    <w:adjustRightInd/>
                    <w:snapToGrid/>
                    <w:spacing w:line="240" w:lineRule="auto"/>
                    <w:rPr>
                      <w:rFonts w:hint="eastAsia" w:eastAsia="宋体" w:cs="Times New Roman"/>
                      <w:color w:val="auto"/>
                      <w:sz w:val="21"/>
                      <w:szCs w:val="21"/>
                      <w:highlight w:val="none"/>
                      <w:lang w:eastAsia="zh-CN"/>
                    </w:rPr>
                  </w:pPr>
                  <w:r>
                    <w:rPr>
                      <w:rFonts w:hint="eastAsia" w:cs="Times New Roman"/>
                      <w:color w:val="auto"/>
                      <w:spacing w:val="-2"/>
                      <w:sz w:val="21"/>
                      <w:szCs w:val="21"/>
                      <w:lang w:val="en-US" w:eastAsia="zh-CN"/>
                    </w:rPr>
                    <w:t>厂区地面进行</w:t>
                  </w:r>
                  <w:r>
                    <w:rPr>
                      <w:rFonts w:hint="default" w:ascii="Times New Roman" w:hAnsi="Times New Roman" w:cs="Times New Roman"/>
                      <w:color w:val="auto"/>
                      <w:spacing w:val="-1"/>
                      <w:sz w:val="21"/>
                      <w:szCs w:val="21"/>
                    </w:rPr>
                    <w:t>硬化处理</w:t>
                  </w:r>
                  <w:r>
                    <w:rPr>
                      <w:rFonts w:hint="eastAsia" w:cs="Times New Roman"/>
                      <w:color w:val="auto"/>
                      <w:spacing w:val="-1"/>
                      <w:sz w:val="21"/>
                      <w:szCs w:val="21"/>
                      <w:lang w:eastAsia="zh-CN"/>
                    </w:rPr>
                    <w:t>使其防渗功能满足Mb≥1.5m，K值小于1.0×10</w:t>
                  </w:r>
                  <w:r>
                    <w:rPr>
                      <w:rFonts w:hint="eastAsia" w:cs="Times New Roman"/>
                      <w:color w:val="auto"/>
                      <w:spacing w:val="-1"/>
                      <w:sz w:val="21"/>
                      <w:szCs w:val="21"/>
                      <w:vertAlign w:val="superscript"/>
                      <w:lang w:eastAsia="zh-CN"/>
                    </w:rPr>
                    <w:t>-7</w:t>
                  </w:r>
                  <w:r>
                    <w:rPr>
                      <w:rFonts w:hint="eastAsia" w:cs="Times New Roman"/>
                      <w:color w:val="auto"/>
                      <w:spacing w:val="-1"/>
                      <w:sz w:val="21"/>
                      <w:szCs w:val="21"/>
                      <w:lang w:eastAsia="zh-CN"/>
                    </w:rPr>
                    <w:t>cm/s</w:t>
                  </w:r>
                  <w:r>
                    <w:rPr>
                      <w:rFonts w:hint="eastAsia" w:ascii="Times New Roman" w:hAnsi="Times New Roman" w:cs="Times New Roman"/>
                      <w:color w:val="auto"/>
                      <w:spacing w:val="-1"/>
                      <w:sz w:val="21"/>
                      <w:szCs w:val="21"/>
                      <w:lang w:eastAsia="zh-CN"/>
                    </w:rPr>
                    <w:t>；</w:t>
                  </w:r>
                  <w:r>
                    <w:rPr>
                      <w:rFonts w:hint="eastAsia" w:ascii="Times New Roman" w:hAnsi="Times New Roman" w:cs="Times New Roman"/>
                      <w:color w:val="auto"/>
                      <w:sz w:val="21"/>
                      <w:szCs w:val="21"/>
                      <w:lang w:val="en-US" w:eastAsia="zh-CN"/>
                    </w:rPr>
                    <w:t>雨水收集池</w:t>
                  </w:r>
                  <w:r>
                    <w:rPr>
                      <w:rFonts w:hint="eastAsia" w:cs="Times New Roman"/>
                      <w:color w:val="auto"/>
                      <w:sz w:val="21"/>
                      <w:szCs w:val="21"/>
                      <w:lang w:val="en-US" w:eastAsia="zh-CN"/>
                    </w:rPr>
                    <w:t>、防渗旱厕</w:t>
                  </w:r>
                  <w:r>
                    <w:rPr>
                      <w:rFonts w:hint="default" w:ascii="Times New Roman" w:hAnsi="Times New Roman" w:cs="Times New Roman"/>
                      <w:color w:val="auto"/>
                      <w:sz w:val="21"/>
                      <w:szCs w:val="21"/>
                      <w:lang w:val="en-US" w:eastAsia="zh-CN"/>
                    </w:rPr>
                    <w:t>进行防渗处理</w:t>
                  </w:r>
                  <w:r>
                    <w:rPr>
                      <w:rFonts w:hint="eastAsia" w:ascii="Times New Roman" w:hAnsi="Times New Roman" w:cs="Times New Roman"/>
                      <w:color w:val="auto"/>
                      <w:sz w:val="21"/>
                      <w:szCs w:val="21"/>
                      <w:lang w:val="en-US" w:eastAsia="zh-CN"/>
                    </w:rPr>
                    <w:t>，防渗功能应满足K值小于1.0×10</w:t>
                  </w:r>
                  <w:r>
                    <w:rPr>
                      <w:rFonts w:hint="eastAsia" w:ascii="Times New Roman" w:hAnsi="Times New Roman" w:cs="Times New Roman"/>
                      <w:color w:val="auto"/>
                      <w:sz w:val="21"/>
                      <w:szCs w:val="21"/>
                      <w:vertAlign w:val="superscript"/>
                      <w:lang w:val="en-US" w:eastAsia="zh-CN"/>
                    </w:rPr>
                    <w:t>-7</w:t>
                  </w:r>
                  <w:r>
                    <w:rPr>
                      <w:rFonts w:hint="eastAsia" w:ascii="Times New Roman" w:hAnsi="Times New Roman" w:cs="Times New Roman"/>
                      <w:color w:val="auto"/>
                      <w:sz w:val="21"/>
                      <w:szCs w:val="21"/>
                      <w:lang w:val="en-US" w:eastAsia="zh-CN"/>
                    </w:rPr>
                    <w:t>cm/s，建构筑物底部防渗层采用铺设2mm厚的高密度聚乙烯土工膜，或等效黏土防渗层至少1.5m厚，渗透系数≤10</w:t>
                  </w:r>
                  <w:r>
                    <w:rPr>
                      <w:rFonts w:hint="eastAsia" w:ascii="Times New Roman" w:hAnsi="Times New Roman" w:cs="Times New Roman"/>
                      <w:color w:val="auto"/>
                      <w:sz w:val="21"/>
                      <w:szCs w:val="21"/>
                      <w:vertAlign w:val="superscript"/>
                      <w:lang w:val="en-US" w:eastAsia="zh-CN"/>
                    </w:rPr>
                    <w:t>-7</w:t>
                  </w:r>
                  <w:r>
                    <w:rPr>
                      <w:rFonts w:hint="eastAsia" w:ascii="Times New Roman" w:hAnsi="Times New Roman" w:cs="Times New Roman"/>
                      <w:color w:val="auto"/>
                      <w:sz w:val="21"/>
                      <w:szCs w:val="21"/>
                      <w:lang w:val="en-US" w:eastAsia="zh-CN"/>
                    </w:rPr>
                    <w:t>cm/s的其它人工材料进行建设</w:t>
                  </w:r>
                  <w:r>
                    <w:rPr>
                      <w:rFonts w:hint="eastAsia" w:cs="Times New Roman"/>
                      <w:color w:val="auto"/>
                      <w:sz w:val="21"/>
                      <w:szCs w:val="21"/>
                      <w:lang w:eastAsia="zh-CN"/>
                    </w:rPr>
                    <w:t>。</w:t>
                  </w:r>
                </w:p>
              </w:tc>
              <w:tc>
                <w:tcPr>
                  <w:tcW w:w="412" w:type="pct"/>
                  <w:noWrap w:val="0"/>
                  <w:vAlign w:val="center"/>
                </w:tcPr>
                <w:p w14:paraId="52A00584">
                  <w:pPr>
                    <w:keepNext w:val="0"/>
                    <w:keepLines w:val="0"/>
                    <w:pageBreakBefore w:val="0"/>
                    <w:kinsoku/>
                    <w:wordWrap/>
                    <w:overflowPunct/>
                    <w:topLinePunct w:val="0"/>
                    <w:bidi w:val="0"/>
                    <w:adjustRightInd/>
                    <w:snapToGrid/>
                    <w:spacing w:line="240" w:lineRule="auto"/>
                    <w:jc w:val="center"/>
                    <w:rPr>
                      <w:rFonts w:hint="default" w:cs="Times New Roman"/>
                      <w:color w:val="auto"/>
                      <w:sz w:val="21"/>
                      <w:szCs w:val="21"/>
                      <w:lang w:val="en-US" w:eastAsia="zh-CN"/>
                    </w:rPr>
                  </w:pPr>
                  <w:r>
                    <w:rPr>
                      <w:rFonts w:hint="eastAsia" w:cs="Times New Roman"/>
                      <w:color w:val="auto"/>
                      <w:sz w:val="21"/>
                      <w:szCs w:val="21"/>
                      <w:lang w:val="en-US" w:eastAsia="zh-CN"/>
                    </w:rPr>
                    <w:t>新建</w:t>
                  </w:r>
                </w:p>
              </w:tc>
            </w:tr>
          </w:tbl>
          <w:p w14:paraId="311C0A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本项目车辆损坏</w:t>
            </w:r>
            <w:r>
              <w:rPr>
                <w:rFonts w:hint="eastAsia" w:cs="Times New Roman"/>
                <w:color w:val="auto"/>
                <w:kern w:val="0"/>
                <w:sz w:val="24"/>
                <w:lang w:val="en-US" w:eastAsia="zh-CN"/>
              </w:rPr>
              <w:t>、维护</w:t>
            </w:r>
            <w:r>
              <w:rPr>
                <w:rFonts w:hint="eastAsia" w:ascii="Times New Roman" w:hAnsi="Times New Roman" w:eastAsia="宋体" w:cs="Times New Roman"/>
                <w:color w:val="auto"/>
                <w:kern w:val="0"/>
                <w:sz w:val="24"/>
                <w:lang w:val="en-US" w:eastAsia="zh-CN"/>
              </w:rPr>
              <w:t>等不在厂内维修，不涉及废矿物油等危险废物，不设置危废暂存间。</w:t>
            </w:r>
          </w:p>
          <w:p w14:paraId="5C94CE52">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kern w:val="0"/>
                <w:sz w:val="24"/>
              </w:rPr>
            </w:pPr>
            <w:r>
              <w:rPr>
                <w:rFonts w:hint="eastAsia" w:cs="Times New Roman"/>
                <w:b/>
                <w:color w:val="auto"/>
                <w:sz w:val="24"/>
                <w:lang w:val="en-US" w:eastAsia="zh-CN"/>
              </w:rPr>
              <w:t>4</w:t>
            </w:r>
            <w:r>
              <w:rPr>
                <w:rFonts w:hint="eastAsia" w:ascii="Times New Roman" w:hAnsi="Times New Roman" w:eastAsia="宋体" w:cs="Times New Roman"/>
                <w:b/>
                <w:color w:val="auto"/>
                <w:sz w:val="24"/>
                <w:lang w:val="en-US" w:eastAsia="zh-CN"/>
              </w:rPr>
              <w:t>、</w:t>
            </w:r>
            <w:r>
              <w:rPr>
                <w:rFonts w:hint="default" w:ascii="Times New Roman" w:hAnsi="Times New Roman" w:eastAsia="宋体" w:cs="Times New Roman"/>
                <w:b/>
                <w:color w:val="auto"/>
                <w:sz w:val="24"/>
              </w:rPr>
              <w:t>主要设备</w:t>
            </w:r>
          </w:p>
          <w:p w14:paraId="460DF3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color w:val="auto"/>
                <w:kern w:val="0"/>
                <w:sz w:val="24"/>
              </w:rPr>
              <w:t>项目主要设备见下表。</w:t>
            </w:r>
          </w:p>
          <w:p w14:paraId="5C2991D8">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w:t>
            </w:r>
            <w:r>
              <w:rPr>
                <w:rFonts w:hint="eastAsia" w:cs="Times New Roman"/>
                <w:b/>
                <w:color w:val="auto"/>
                <w:sz w:val="21"/>
                <w:szCs w:val="21"/>
                <w:lang w:val="en-US" w:eastAsia="zh-CN"/>
              </w:rPr>
              <w:t>3</w:t>
            </w:r>
            <w:r>
              <w:rPr>
                <w:rFonts w:hint="default" w:ascii="Times New Roman" w:hAnsi="Times New Roman" w:eastAsia="宋体" w:cs="Times New Roman"/>
                <w:b/>
                <w:color w:val="auto"/>
                <w:sz w:val="21"/>
                <w:szCs w:val="21"/>
              </w:rPr>
              <w:t xml:space="preserve"> 项目设备一览表</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1"/>
              <w:gridCol w:w="2451"/>
              <w:gridCol w:w="2086"/>
              <w:gridCol w:w="2086"/>
              <w:gridCol w:w="973"/>
            </w:tblGrid>
            <w:tr w14:paraId="1EC104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389" w:type="pct"/>
                  <w:noWrap w:val="0"/>
                  <w:vAlign w:val="center"/>
                </w:tcPr>
                <w:p w14:paraId="5BE2C959">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487" w:type="pct"/>
                  <w:noWrap w:val="0"/>
                  <w:vAlign w:val="center"/>
                </w:tcPr>
                <w:p w14:paraId="5DC1A399">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设备名称</w:t>
                  </w:r>
                </w:p>
              </w:tc>
              <w:tc>
                <w:tcPr>
                  <w:tcW w:w="1266" w:type="pct"/>
                  <w:noWrap w:val="0"/>
                  <w:vAlign w:val="center"/>
                </w:tcPr>
                <w:p w14:paraId="558BCB9A">
                  <w:pPr>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设备型号</w:t>
                  </w:r>
                </w:p>
              </w:tc>
              <w:tc>
                <w:tcPr>
                  <w:tcW w:w="1266" w:type="pct"/>
                  <w:noWrap w:val="0"/>
                  <w:vAlign w:val="center"/>
                </w:tcPr>
                <w:p w14:paraId="78113FFA">
                  <w:pPr>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单位</w:t>
                  </w:r>
                </w:p>
              </w:tc>
              <w:tc>
                <w:tcPr>
                  <w:tcW w:w="590" w:type="pct"/>
                  <w:noWrap w:val="0"/>
                  <w:vAlign w:val="center"/>
                </w:tcPr>
                <w:p w14:paraId="53ED2972">
                  <w:pPr>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数量</w:t>
                  </w:r>
                </w:p>
              </w:tc>
            </w:tr>
            <w:tr w14:paraId="6126D1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9" w:type="pct"/>
                  <w:shd w:val="clear" w:color="auto" w:fill="auto"/>
                  <w:noWrap w:val="0"/>
                  <w:vAlign w:val="center"/>
                </w:tcPr>
                <w:p w14:paraId="3034F873">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p>
              </w:tc>
              <w:tc>
                <w:tcPr>
                  <w:tcW w:w="1487" w:type="pct"/>
                  <w:shd w:val="clear" w:color="auto" w:fill="auto"/>
                  <w:noWrap w:val="0"/>
                  <w:vAlign w:val="center"/>
                </w:tcPr>
                <w:p w14:paraId="674EDE4A">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 w:val="21"/>
                      <w:szCs w:val="21"/>
                      <w:lang w:val="en-US" w:eastAsia="zh-CN"/>
                    </w:rPr>
                    <w:t>铲车</w:t>
                  </w:r>
                </w:p>
              </w:tc>
              <w:tc>
                <w:tcPr>
                  <w:tcW w:w="1266" w:type="pct"/>
                  <w:shd w:val="clear" w:color="auto" w:fill="auto"/>
                  <w:noWrap w:val="0"/>
                  <w:vAlign w:val="center"/>
                </w:tcPr>
                <w:p w14:paraId="12191340">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w:t>
                  </w:r>
                </w:p>
              </w:tc>
              <w:tc>
                <w:tcPr>
                  <w:tcW w:w="1266" w:type="pct"/>
                  <w:shd w:val="clear" w:color="auto" w:fill="auto"/>
                  <w:noWrap w:val="0"/>
                  <w:vAlign w:val="center"/>
                </w:tcPr>
                <w:p w14:paraId="5569BB6B">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辆</w:t>
                  </w:r>
                </w:p>
              </w:tc>
              <w:tc>
                <w:tcPr>
                  <w:tcW w:w="590" w:type="pct"/>
                  <w:shd w:val="clear" w:color="auto" w:fill="auto"/>
                  <w:noWrap w:val="0"/>
                  <w:vAlign w:val="center"/>
                </w:tcPr>
                <w:p w14:paraId="325F0253">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3</w:t>
                  </w:r>
                </w:p>
              </w:tc>
            </w:tr>
            <w:tr w14:paraId="6D7AE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auto" w:fill="auto"/>
                  <w:vAlign w:val="center"/>
                </w:tcPr>
                <w:p w14:paraId="1B877474">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2</w:t>
                  </w:r>
                </w:p>
              </w:tc>
              <w:tc>
                <w:tcPr>
                  <w:tcW w:w="1487" w:type="pct"/>
                  <w:shd w:val="clear" w:color="auto" w:fill="auto"/>
                  <w:vAlign w:val="center"/>
                </w:tcPr>
                <w:p w14:paraId="3385E517">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 w:val="21"/>
                      <w:szCs w:val="21"/>
                      <w:lang w:val="en-US" w:eastAsia="zh-CN"/>
                    </w:rPr>
                    <w:t>洒水车</w:t>
                  </w:r>
                </w:p>
              </w:tc>
              <w:tc>
                <w:tcPr>
                  <w:tcW w:w="1266" w:type="pct"/>
                  <w:shd w:val="clear" w:color="auto" w:fill="auto"/>
                  <w:vAlign w:val="center"/>
                </w:tcPr>
                <w:p w14:paraId="25BEA0FD">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w:t>
                  </w:r>
                </w:p>
              </w:tc>
              <w:tc>
                <w:tcPr>
                  <w:tcW w:w="1266" w:type="pct"/>
                  <w:shd w:val="clear" w:color="auto" w:fill="auto"/>
                  <w:vAlign w:val="center"/>
                </w:tcPr>
                <w:p w14:paraId="6A7D1EBA">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辆</w:t>
                  </w:r>
                </w:p>
              </w:tc>
              <w:tc>
                <w:tcPr>
                  <w:tcW w:w="0" w:type="auto"/>
                  <w:shd w:val="clear" w:color="auto" w:fill="auto"/>
                  <w:vAlign w:val="center"/>
                </w:tcPr>
                <w:p w14:paraId="4F64F13C">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1</w:t>
                  </w:r>
                </w:p>
              </w:tc>
            </w:tr>
            <w:tr w14:paraId="7A4CA3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shd w:val="clear" w:color="auto" w:fill="auto"/>
                  <w:vAlign w:val="center"/>
                </w:tcPr>
                <w:p w14:paraId="2A74064A">
                  <w:pPr>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3</w:t>
                  </w:r>
                </w:p>
              </w:tc>
              <w:tc>
                <w:tcPr>
                  <w:tcW w:w="1487" w:type="pct"/>
                  <w:shd w:val="clear" w:color="auto" w:fill="auto"/>
                  <w:vAlign w:val="center"/>
                </w:tcPr>
                <w:p w14:paraId="38B566E7">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运输车</w:t>
                  </w:r>
                </w:p>
              </w:tc>
              <w:tc>
                <w:tcPr>
                  <w:tcW w:w="1266" w:type="pct"/>
                  <w:shd w:val="clear" w:color="auto" w:fill="auto"/>
                  <w:vAlign w:val="center"/>
                </w:tcPr>
                <w:p w14:paraId="039236E5">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w:t>
                  </w:r>
                </w:p>
              </w:tc>
              <w:tc>
                <w:tcPr>
                  <w:tcW w:w="1266" w:type="pct"/>
                  <w:shd w:val="clear" w:color="auto" w:fill="auto"/>
                  <w:vAlign w:val="center"/>
                </w:tcPr>
                <w:p w14:paraId="60EAB4B5">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辆</w:t>
                  </w:r>
                </w:p>
              </w:tc>
              <w:tc>
                <w:tcPr>
                  <w:tcW w:w="0" w:type="auto"/>
                  <w:shd w:val="clear" w:color="auto" w:fill="auto"/>
                  <w:vAlign w:val="center"/>
                </w:tcPr>
                <w:p w14:paraId="26F30484">
                  <w:pPr>
                    <w:jc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6</w:t>
                  </w:r>
                </w:p>
              </w:tc>
            </w:tr>
          </w:tbl>
          <w:p w14:paraId="0369C1C8">
            <w:pPr>
              <w:pStyle w:val="74"/>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firstLine="482" w:firstLineChars="200"/>
              <w:textAlignment w:val="auto"/>
              <w:rPr>
                <w:rFonts w:hint="eastAsia" w:ascii="Times New Roman" w:hAnsi="Times New Roman" w:eastAsia="宋体" w:cs="Times New Roman"/>
                <w:b/>
                <w:color w:val="auto"/>
                <w:sz w:val="24"/>
                <w:lang w:eastAsia="zh-CN"/>
              </w:rPr>
            </w:pPr>
            <w:r>
              <w:rPr>
                <w:rFonts w:hint="eastAsia" w:cs="Times New Roman"/>
                <w:b/>
                <w:color w:val="auto"/>
                <w:sz w:val="24"/>
                <w:lang w:val="en-US" w:eastAsia="zh-CN"/>
              </w:rPr>
              <w:t>5</w:t>
            </w:r>
            <w:r>
              <w:rPr>
                <w:rFonts w:hint="eastAsia" w:ascii="Times New Roman" w:hAnsi="Times New Roman" w:eastAsia="宋体" w:cs="Times New Roman"/>
                <w:b/>
                <w:color w:val="auto"/>
                <w:sz w:val="24"/>
                <w:lang w:val="en-US" w:eastAsia="zh-CN"/>
              </w:rPr>
              <w:t>、</w:t>
            </w:r>
            <w:r>
              <w:rPr>
                <w:rFonts w:hint="eastAsia" w:cs="Times New Roman"/>
                <w:b/>
                <w:color w:val="auto"/>
                <w:sz w:val="24"/>
                <w:lang w:val="en-US" w:eastAsia="zh-CN"/>
              </w:rPr>
              <w:t>原料来源及产品方案</w:t>
            </w:r>
          </w:p>
          <w:p w14:paraId="6BA137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lang w:bidi="ar"/>
              </w:rPr>
              <w:t>本项目</w:t>
            </w:r>
            <w:r>
              <w:rPr>
                <w:rFonts w:hint="eastAsia" w:cs="Times New Roman"/>
                <w:color w:val="auto"/>
                <w:kern w:val="0"/>
                <w:sz w:val="24"/>
                <w:lang w:eastAsia="zh-CN" w:bidi="ar"/>
              </w:rPr>
              <w:t>最大</w:t>
            </w:r>
            <w:r>
              <w:rPr>
                <w:rFonts w:hint="default" w:ascii="Times New Roman" w:hAnsi="Times New Roman" w:eastAsia="宋体" w:cs="Times New Roman"/>
                <w:color w:val="auto"/>
                <w:kern w:val="0"/>
                <w:sz w:val="24"/>
                <w:lang w:bidi="ar"/>
              </w:rPr>
              <w:t>可容纳12000t煤炭，储存周期为73天，本项目年周转量为6万吨</w:t>
            </w:r>
            <w:r>
              <w:rPr>
                <w:rFonts w:hint="default" w:ascii="Times New Roman" w:hAnsi="Times New Roman" w:eastAsia="宋体" w:cs="Times New Roman"/>
                <w:color w:val="auto"/>
                <w:kern w:val="0"/>
                <w:sz w:val="24"/>
                <w:highlight w:val="none"/>
                <w:lang w:bidi="ar"/>
              </w:rPr>
              <w:t>，项目</w:t>
            </w:r>
            <w:r>
              <w:rPr>
                <w:rFonts w:hint="eastAsia" w:cs="Times New Roman"/>
                <w:color w:val="auto"/>
                <w:kern w:val="0"/>
                <w:sz w:val="24"/>
                <w:lang w:eastAsia="zh-CN" w:bidi="ar"/>
              </w:rPr>
              <w:t>煤炭</w:t>
            </w:r>
            <w:r>
              <w:rPr>
                <w:rFonts w:hint="default" w:ascii="Times New Roman" w:hAnsi="Times New Roman" w:eastAsia="宋体" w:cs="Times New Roman"/>
                <w:color w:val="auto"/>
                <w:kern w:val="0"/>
                <w:sz w:val="24"/>
                <w:highlight w:val="none"/>
                <w:lang w:bidi="ar"/>
              </w:rPr>
              <w:t>采购于</w:t>
            </w:r>
            <w:r>
              <w:rPr>
                <w:rFonts w:hint="eastAsia" w:cs="Times New Roman"/>
                <w:color w:val="auto"/>
                <w:kern w:val="0"/>
                <w:sz w:val="24"/>
                <w:highlight w:val="none"/>
                <w:lang w:eastAsia="zh-CN" w:bidi="ar"/>
              </w:rPr>
              <w:t>鸡西市</w:t>
            </w:r>
            <w:r>
              <w:rPr>
                <w:rFonts w:hint="eastAsia" w:cs="Times New Roman"/>
                <w:color w:val="auto"/>
                <w:kern w:val="0"/>
                <w:sz w:val="24"/>
                <w:highlight w:val="none"/>
                <w:lang w:val="en-US" w:eastAsia="zh-CN" w:bidi="ar"/>
              </w:rPr>
              <w:t>富阳煤矿</w:t>
            </w:r>
            <w:r>
              <w:rPr>
                <w:rFonts w:hint="default" w:ascii="Times New Roman" w:hAnsi="Times New Roman" w:eastAsia="宋体" w:cs="Times New Roman"/>
                <w:color w:val="auto"/>
                <w:kern w:val="0"/>
                <w:sz w:val="24"/>
                <w:highlight w:val="none"/>
                <w:lang w:bidi="ar"/>
              </w:rPr>
              <w:t>，采用</w:t>
            </w:r>
            <w:r>
              <w:rPr>
                <w:rFonts w:hint="default" w:ascii="Times New Roman" w:hAnsi="Times New Roman" w:eastAsia="宋体" w:cs="Times New Roman"/>
                <w:color w:val="auto"/>
                <w:kern w:val="0"/>
                <w:sz w:val="24"/>
                <w:lang w:bidi="ar"/>
              </w:rPr>
              <w:t>车辆</w:t>
            </w:r>
            <w:r>
              <w:rPr>
                <w:rFonts w:hint="default" w:ascii="Times New Roman" w:hAnsi="Times New Roman" w:eastAsia="宋体" w:cs="Times New Roman"/>
                <w:color w:val="auto"/>
                <w:kern w:val="0"/>
                <w:sz w:val="24"/>
                <w:highlight w:val="none"/>
                <w:lang w:bidi="ar"/>
              </w:rPr>
              <w:t>运输到厂内，运距较短，故采用公路运输</w:t>
            </w:r>
            <w:r>
              <w:rPr>
                <w:rFonts w:hint="eastAsia" w:cs="Times New Roman"/>
                <w:color w:val="auto"/>
                <w:kern w:val="0"/>
                <w:sz w:val="24"/>
                <w:highlight w:val="none"/>
                <w:lang w:eastAsia="zh-CN" w:bidi="ar"/>
              </w:rPr>
              <w:t>，运输路线详见附图</w:t>
            </w:r>
            <w:r>
              <w:rPr>
                <w:rFonts w:hint="default" w:ascii="Times New Roman" w:hAnsi="Times New Roman" w:eastAsia="宋体" w:cs="Times New Roman"/>
                <w:color w:val="auto"/>
                <w:kern w:val="0"/>
                <w:sz w:val="24"/>
                <w:highlight w:val="none"/>
                <w:lang w:bidi="ar"/>
              </w:rPr>
              <w:t>。</w:t>
            </w:r>
          </w:p>
          <w:p w14:paraId="53E8DC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bidi="ar"/>
              </w:rPr>
              <w:t>本项目储煤</w:t>
            </w:r>
            <w:r>
              <w:rPr>
                <w:rFonts w:hint="default" w:ascii="Times New Roman" w:hAnsi="Times New Roman" w:eastAsia="宋体" w:cs="Times New Roman"/>
                <w:color w:val="auto"/>
                <w:kern w:val="0"/>
                <w:sz w:val="24"/>
                <w:highlight w:val="none"/>
                <w:lang w:bidi="ar"/>
              </w:rPr>
              <w:t>场总建筑面积</w:t>
            </w:r>
            <w:r>
              <w:rPr>
                <w:rFonts w:hint="eastAsia" w:cs="Times New Roman"/>
                <w:color w:val="auto"/>
                <w:kern w:val="0"/>
                <w:sz w:val="24"/>
                <w:highlight w:val="none"/>
                <w:lang w:val="en-US" w:eastAsia="zh-CN" w:bidi="ar"/>
              </w:rPr>
              <w:t>5480</w:t>
            </w:r>
            <w:r>
              <w:rPr>
                <w:rFonts w:hint="default" w:ascii="Times New Roman" w:hAnsi="Times New Roman" w:eastAsia="宋体" w:cs="Times New Roman"/>
                <w:color w:val="auto"/>
                <w:kern w:val="0"/>
                <w:sz w:val="24"/>
                <w:highlight w:val="none"/>
                <w:lang w:bidi="ar"/>
              </w:rPr>
              <w:t>m</w:t>
            </w:r>
            <w:r>
              <w:rPr>
                <w:rFonts w:hint="default" w:ascii="Times New Roman" w:hAnsi="Times New Roman" w:eastAsia="宋体" w:cs="Times New Roman"/>
                <w:color w:val="auto"/>
                <w:kern w:val="0"/>
                <w:sz w:val="24"/>
                <w:highlight w:val="none"/>
                <w:vertAlign w:val="superscript"/>
                <w:lang w:bidi="ar"/>
              </w:rPr>
              <w:t>2</w:t>
            </w:r>
            <w:r>
              <w:rPr>
                <w:rFonts w:hint="default" w:ascii="Times New Roman" w:hAnsi="Times New Roman" w:eastAsia="宋体" w:cs="Times New Roman"/>
                <w:color w:val="auto"/>
                <w:kern w:val="0"/>
                <w:sz w:val="24"/>
                <w:highlight w:val="none"/>
                <w:lang w:bidi="ar"/>
              </w:rPr>
              <w:t>，设计最大可容纳</w:t>
            </w:r>
            <w:r>
              <w:rPr>
                <w:rFonts w:hint="eastAsia" w:cs="Times New Roman"/>
                <w:color w:val="auto"/>
                <w:kern w:val="0"/>
                <w:sz w:val="24"/>
                <w:highlight w:val="none"/>
                <w:lang w:val="en-US" w:eastAsia="zh-CN" w:bidi="ar"/>
              </w:rPr>
              <w:t>12000</w:t>
            </w:r>
            <w:r>
              <w:rPr>
                <w:rFonts w:hint="default" w:ascii="Times New Roman" w:hAnsi="Times New Roman" w:eastAsia="宋体" w:cs="Times New Roman"/>
                <w:color w:val="auto"/>
                <w:kern w:val="0"/>
                <w:sz w:val="24"/>
                <w:highlight w:val="none"/>
                <w:lang w:bidi="ar"/>
              </w:rPr>
              <w:t>吨</w:t>
            </w:r>
            <w:r>
              <w:rPr>
                <w:rFonts w:hint="eastAsia" w:cs="Times New Roman"/>
                <w:color w:val="auto"/>
                <w:kern w:val="0"/>
                <w:sz w:val="24"/>
                <w:highlight w:val="none"/>
                <w:lang w:eastAsia="zh-CN" w:bidi="ar"/>
              </w:rPr>
              <w:t>煤炭</w:t>
            </w:r>
            <w:r>
              <w:rPr>
                <w:rFonts w:hint="default" w:ascii="Times New Roman" w:hAnsi="Times New Roman" w:eastAsia="宋体" w:cs="Times New Roman"/>
                <w:color w:val="auto"/>
                <w:kern w:val="0"/>
                <w:sz w:val="24"/>
                <w:highlight w:val="none"/>
                <w:lang w:bidi="ar"/>
              </w:rPr>
              <w:t>，年周转煤炭</w:t>
            </w:r>
            <w:r>
              <w:rPr>
                <w:rFonts w:hint="eastAsia" w:cs="Times New Roman"/>
                <w:color w:val="auto"/>
                <w:kern w:val="0"/>
                <w:sz w:val="24"/>
                <w:highlight w:val="none"/>
                <w:lang w:val="en-US" w:eastAsia="zh-CN" w:bidi="ar"/>
              </w:rPr>
              <w:t>6</w:t>
            </w:r>
            <w:r>
              <w:rPr>
                <w:rFonts w:hint="default" w:ascii="Times New Roman" w:hAnsi="Times New Roman" w:eastAsia="宋体" w:cs="Times New Roman"/>
                <w:color w:val="auto"/>
                <w:kern w:val="0"/>
                <w:sz w:val="24"/>
                <w:highlight w:val="none"/>
                <w:lang w:bidi="ar"/>
              </w:rPr>
              <w:t>万吨，周转周</w:t>
            </w:r>
            <w:r>
              <w:rPr>
                <w:rFonts w:hint="default" w:ascii="Times New Roman" w:hAnsi="Times New Roman" w:eastAsia="宋体" w:cs="Times New Roman"/>
                <w:color w:val="auto"/>
                <w:kern w:val="0"/>
                <w:sz w:val="24"/>
                <w:lang w:bidi="ar"/>
              </w:rPr>
              <w:t>期为1年。</w:t>
            </w:r>
          </w:p>
          <w:p w14:paraId="18AE8FD1">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w:t>
            </w:r>
            <w:r>
              <w:rPr>
                <w:rFonts w:hint="eastAsia" w:cs="Times New Roman"/>
                <w:b/>
                <w:color w:val="auto"/>
                <w:sz w:val="21"/>
                <w:szCs w:val="21"/>
                <w:lang w:val="en-US" w:eastAsia="zh-CN"/>
              </w:rPr>
              <w:t>4 拟建</w:t>
            </w:r>
            <w:r>
              <w:rPr>
                <w:rFonts w:hint="default" w:ascii="Times New Roman" w:hAnsi="Times New Roman" w:eastAsia="宋体" w:cs="Times New Roman"/>
                <w:b/>
                <w:color w:val="auto"/>
                <w:sz w:val="21"/>
                <w:szCs w:val="21"/>
              </w:rPr>
              <w:t>项目</w:t>
            </w:r>
            <w:r>
              <w:rPr>
                <w:rFonts w:hint="eastAsia" w:cs="Times New Roman"/>
                <w:b/>
                <w:color w:val="auto"/>
                <w:sz w:val="21"/>
                <w:szCs w:val="21"/>
                <w:lang w:eastAsia="zh-CN"/>
              </w:rPr>
              <w:t>产品方案</w:t>
            </w:r>
            <w:r>
              <w:rPr>
                <w:rFonts w:hint="default" w:ascii="Times New Roman" w:hAnsi="Times New Roman" w:eastAsia="宋体" w:cs="Times New Roman"/>
                <w:b/>
                <w:color w:val="auto"/>
                <w:sz w:val="21"/>
                <w:szCs w:val="21"/>
              </w:rPr>
              <w:t>一览表</w:t>
            </w:r>
          </w:p>
          <w:tbl>
            <w:tblPr>
              <w:tblStyle w:val="30"/>
              <w:tblW w:w="494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22"/>
              <w:gridCol w:w="2098"/>
              <w:gridCol w:w="1268"/>
              <w:gridCol w:w="2140"/>
              <w:gridCol w:w="1826"/>
            </w:tblGrid>
            <w:tr w14:paraId="7CF5F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4" w:type="pct"/>
                  <w:noWrap w:val="0"/>
                  <w:vAlign w:val="center"/>
                </w:tcPr>
                <w:p w14:paraId="3850248B">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286" w:type="pct"/>
                  <w:noWrap w:val="0"/>
                  <w:vAlign w:val="center"/>
                </w:tcPr>
                <w:p w14:paraId="7219E5A3">
                  <w:pPr>
                    <w:autoSpaceDE w:val="0"/>
                    <w:autoSpaceDN w:val="0"/>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产品名称</w:t>
                  </w:r>
                </w:p>
              </w:tc>
              <w:tc>
                <w:tcPr>
                  <w:tcW w:w="777" w:type="pct"/>
                  <w:noWrap w:val="0"/>
                  <w:vAlign w:val="center"/>
                </w:tcPr>
                <w:p w14:paraId="1F596A7B">
                  <w:pPr>
                    <w:autoSpaceDE w:val="0"/>
                    <w:autoSpaceDN w:val="0"/>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规格</w:t>
                  </w:r>
                </w:p>
              </w:tc>
              <w:tc>
                <w:tcPr>
                  <w:tcW w:w="1312" w:type="pct"/>
                  <w:noWrap w:val="0"/>
                  <w:vAlign w:val="center"/>
                </w:tcPr>
                <w:p w14:paraId="423AF416">
                  <w:pPr>
                    <w:autoSpaceDE w:val="0"/>
                    <w:autoSpaceDN w:val="0"/>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年产量（周转量）</w:t>
                  </w:r>
                </w:p>
              </w:tc>
              <w:tc>
                <w:tcPr>
                  <w:tcW w:w="1119" w:type="pct"/>
                  <w:noWrap w:val="0"/>
                  <w:vAlign w:val="center"/>
                </w:tcPr>
                <w:p w14:paraId="3F0F43EF">
                  <w:pPr>
                    <w:autoSpaceDE w:val="0"/>
                    <w:autoSpaceDN w:val="0"/>
                    <w:jc w:val="center"/>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单位</w:t>
                  </w:r>
                </w:p>
              </w:tc>
            </w:tr>
            <w:tr w14:paraId="17F82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4" w:type="pct"/>
                  <w:noWrap w:val="0"/>
                  <w:vAlign w:val="center"/>
                </w:tcPr>
                <w:p w14:paraId="0284105D">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286" w:type="pct"/>
                  <w:noWrap w:val="0"/>
                  <w:vAlign w:val="center"/>
                </w:tcPr>
                <w:p w14:paraId="6AA985D6">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煤炭</w:t>
                  </w:r>
                </w:p>
              </w:tc>
              <w:tc>
                <w:tcPr>
                  <w:tcW w:w="777" w:type="pct"/>
                  <w:noWrap w:val="0"/>
                  <w:vAlign w:val="center"/>
                </w:tcPr>
                <w:p w14:paraId="6A8A6C5D">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混合原煤</w:t>
                  </w:r>
                </w:p>
              </w:tc>
              <w:tc>
                <w:tcPr>
                  <w:tcW w:w="1312" w:type="pct"/>
                  <w:noWrap w:val="0"/>
                  <w:vAlign w:val="center"/>
                </w:tcPr>
                <w:p w14:paraId="332166F3">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60000</w:t>
                  </w:r>
                </w:p>
              </w:tc>
              <w:tc>
                <w:tcPr>
                  <w:tcW w:w="1119" w:type="pct"/>
                  <w:noWrap w:val="0"/>
                  <w:vAlign w:val="center"/>
                </w:tcPr>
                <w:p w14:paraId="6EB86F9A">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t/a</w:t>
                  </w:r>
                </w:p>
              </w:tc>
            </w:tr>
          </w:tbl>
          <w:p w14:paraId="73F6A6CD">
            <w:pPr>
              <w:pStyle w:val="74"/>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firstLine="482" w:firstLineChars="200"/>
              <w:textAlignment w:val="auto"/>
              <w:rPr>
                <w:rFonts w:hint="eastAsia" w:ascii="Times New Roman" w:hAnsi="Times New Roman" w:eastAsia="宋体" w:cs="Times New Roman"/>
                <w:b/>
                <w:color w:val="auto"/>
                <w:sz w:val="24"/>
                <w:lang w:eastAsia="zh-CN"/>
              </w:rPr>
            </w:pPr>
            <w:r>
              <w:rPr>
                <w:rFonts w:hint="eastAsia" w:cs="Times New Roman"/>
                <w:b/>
                <w:color w:val="auto"/>
                <w:sz w:val="24"/>
                <w:lang w:val="en-US" w:eastAsia="zh-CN"/>
              </w:rPr>
              <w:t>6</w:t>
            </w:r>
            <w:r>
              <w:rPr>
                <w:rFonts w:hint="eastAsia" w:ascii="Times New Roman" w:hAnsi="Times New Roman" w:eastAsia="宋体" w:cs="Times New Roman"/>
                <w:b/>
                <w:color w:val="auto"/>
                <w:sz w:val="24"/>
                <w:lang w:val="en-US" w:eastAsia="zh-CN"/>
              </w:rPr>
              <w:t>、</w:t>
            </w:r>
            <w:r>
              <w:rPr>
                <w:rFonts w:hint="eastAsia" w:cs="Times New Roman"/>
                <w:b/>
                <w:color w:val="auto"/>
                <w:sz w:val="24"/>
                <w:lang w:val="en-US" w:eastAsia="zh-CN"/>
              </w:rPr>
              <w:t>原辅材料用量及物料平衡</w:t>
            </w:r>
          </w:p>
          <w:p w14:paraId="44F7A5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lang w:bidi="ar"/>
              </w:rPr>
              <w:t>拟建项目原辅料如下表所示。</w:t>
            </w:r>
          </w:p>
          <w:p w14:paraId="34741DB3">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w:t>
            </w:r>
            <w:r>
              <w:rPr>
                <w:rFonts w:hint="eastAsia" w:cs="Times New Roman"/>
                <w:b/>
                <w:color w:val="auto"/>
                <w:sz w:val="21"/>
                <w:szCs w:val="21"/>
                <w:lang w:val="en-US" w:eastAsia="zh-CN"/>
              </w:rPr>
              <w:t>5 拟建</w:t>
            </w:r>
            <w:r>
              <w:rPr>
                <w:rFonts w:hint="default" w:ascii="Times New Roman" w:hAnsi="Times New Roman" w:eastAsia="宋体" w:cs="Times New Roman"/>
                <w:b/>
                <w:color w:val="auto"/>
                <w:sz w:val="21"/>
                <w:szCs w:val="21"/>
              </w:rPr>
              <w:t>项目</w:t>
            </w:r>
            <w:r>
              <w:rPr>
                <w:rFonts w:hint="eastAsia" w:cs="Times New Roman"/>
                <w:b/>
                <w:color w:val="auto"/>
                <w:sz w:val="21"/>
                <w:szCs w:val="21"/>
                <w:lang w:eastAsia="zh-CN"/>
              </w:rPr>
              <w:t>原辅材料消耗</w:t>
            </w:r>
            <w:r>
              <w:rPr>
                <w:rFonts w:hint="default" w:ascii="Times New Roman" w:hAnsi="Times New Roman" w:eastAsia="宋体" w:cs="Times New Roman"/>
                <w:b/>
                <w:color w:val="auto"/>
                <w:sz w:val="21"/>
                <w:szCs w:val="21"/>
              </w:rPr>
              <w:t>一览表</w:t>
            </w:r>
          </w:p>
          <w:tbl>
            <w:tblPr>
              <w:tblStyle w:val="30"/>
              <w:tblW w:w="494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09"/>
              <w:gridCol w:w="1078"/>
              <w:gridCol w:w="1261"/>
              <w:gridCol w:w="1078"/>
              <w:gridCol w:w="1109"/>
              <w:gridCol w:w="1325"/>
              <w:gridCol w:w="1494"/>
            </w:tblGrid>
            <w:tr w14:paraId="20C1BE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6" w:type="pct"/>
                  <w:noWrap w:val="0"/>
                  <w:vAlign w:val="center"/>
                </w:tcPr>
                <w:p w14:paraId="69F29B58">
                  <w:pPr>
                    <w:autoSpaceDE w:val="0"/>
                    <w:autoSpaceDN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661" w:type="pct"/>
                  <w:noWrap w:val="0"/>
                  <w:vAlign w:val="center"/>
                </w:tcPr>
                <w:p w14:paraId="40A59606">
                  <w:pPr>
                    <w:autoSpaceDE w:val="0"/>
                    <w:autoSpaceDN w:val="0"/>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名称</w:t>
                  </w:r>
                </w:p>
              </w:tc>
              <w:tc>
                <w:tcPr>
                  <w:tcW w:w="773" w:type="pct"/>
                  <w:noWrap w:val="0"/>
                  <w:vAlign w:val="center"/>
                </w:tcPr>
                <w:p w14:paraId="588771C7">
                  <w:pPr>
                    <w:autoSpaceDE w:val="0"/>
                    <w:autoSpaceDN w:val="0"/>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val="en-US" w:eastAsia="zh-CN"/>
                    </w:rPr>
                    <w:t>单位</w:t>
                  </w:r>
                </w:p>
              </w:tc>
              <w:tc>
                <w:tcPr>
                  <w:tcW w:w="1341" w:type="pct"/>
                  <w:gridSpan w:val="2"/>
                  <w:noWrap w:val="0"/>
                  <w:vAlign w:val="center"/>
                </w:tcPr>
                <w:p w14:paraId="0D336B7F">
                  <w:pPr>
                    <w:autoSpaceDE w:val="0"/>
                    <w:autoSpaceDN w:val="0"/>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年用量</w:t>
                  </w:r>
                </w:p>
              </w:tc>
              <w:tc>
                <w:tcPr>
                  <w:tcW w:w="812" w:type="pct"/>
                  <w:noWrap w:val="0"/>
                  <w:vAlign w:val="center"/>
                </w:tcPr>
                <w:p w14:paraId="1CC18961">
                  <w:pPr>
                    <w:autoSpaceDE w:val="0"/>
                    <w:autoSpaceDN w:val="0"/>
                    <w:jc w:val="center"/>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最大存储量</w:t>
                  </w:r>
                </w:p>
              </w:tc>
              <w:tc>
                <w:tcPr>
                  <w:tcW w:w="915" w:type="pct"/>
                  <w:noWrap w:val="0"/>
                  <w:vAlign w:val="center"/>
                </w:tcPr>
                <w:p w14:paraId="62560D96">
                  <w:pPr>
                    <w:autoSpaceDE w:val="0"/>
                    <w:autoSpaceDN w:val="0"/>
                    <w:jc w:val="center"/>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备注</w:t>
                  </w:r>
                </w:p>
              </w:tc>
            </w:tr>
            <w:tr w14:paraId="1BAE67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6" w:type="pct"/>
                  <w:noWrap w:val="0"/>
                  <w:vAlign w:val="center"/>
                </w:tcPr>
                <w:p w14:paraId="717B3AC0">
                  <w:pPr>
                    <w:autoSpaceDE w:val="0"/>
                    <w:autoSpaceDN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661" w:type="pct"/>
                  <w:noWrap w:val="0"/>
                  <w:vAlign w:val="center"/>
                </w:tcPr>
                <w:p w14:paraId="21FCCD95">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煤炭</w:t>
                  </w:r>
                </w:p>
              </w:tc>
              <w:tc>
                <w:tcPr>
                  <w:tcW w:w="773" w:type="pct"/>
                  <w:noWrap w:val="0"/>
                  <w:vAlign w:val="center"/>
                </w:tcPr>
                <w:p w14:paraId="4454DF35">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t/a</w:t>
                  </w:r>
                </w:p>
              </w:tc>
              <w:tc>
                <w:tcPr>
                  <w:tcW w:w="1341" w:type="pct"/>
                  <w:gridSpan w:val="2"/>
                  <w:noWrap w:val="0"/>
                  <w:vAlign w:val="center"/>
                </w:tcPr>
                <w:p w14:paraId="4A6D1F29">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60000</w:t>
                  </w:r>
                </w:p>
              </w:tc>
              <w:tc>
                <w:tcPr>
                  <w:tcW w:w="812" w:type="pct"/>
                  <w:noWrap w:val="0"/>
                  <w:vAlign w:val="center"/>
                </w:tcPr>
                <w:p w14:paraId="55F3AA1D">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12000</w:t>
                  </w:r>
                </w:p>
              </w:tc>
              <w:tc>
                <w:tcPr>
                  <w:tcW w:w="915" w:type="pct"/>
                  <w:noWrap w:val="0"/>
                  <w:vAlign w:val="center"/>
                </w:tcPr>
                <w:p w14:paraId="760A5CF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储煤货场存储量</w:t>
                  </w:r>
                </w:p>
              </w:tc>
            </w:tr>
            <w:tr w14:paraId="42C7E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6" w:type="pct"/>
                  <w:vMerge w:val="restart"/>
                  <w:noWrap w:val="0"/>
                  <w:vAlign w:val="center"/>
                </w:tcPr>
                <w:p w14:paraId="4D23A355">
                  <w:pPr>
                    <w:autoSpaceDE w:val="0"/>
                    <w:autoSpaceDN w:val="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661" w:type="pct"/>
                  <w:vMerge w:val="restart"/>
                  <w:noWrap w:val="0"/>
                  <w:vAlign w:val="center"/>
                </w:tcPr>
                <w:p w14:paraId="0F4B62C2">
                  <w:pPr>
                    <w:jc w:val="center"/>
                    <w:rPr>
                      <w:rFonts w:hint="eastAsia" w:cs="Times New Roman"/>
                      <w:color w:val="auto"/>
                      <w:sz w:val="21"/>
                      <w:szCs w:val="21"/>
                      <w:lang w:eastAsia="zh-CN"/>
                    </w:rPr>
                  </w:pPr>
                  <w:r>
                    <w:rPr>
                      <w:rFonts w:hint="eastAsia" w:cs="Times New Roman"/>
                      <w:color w:val="auto"/>
                      <w:sz w:val="21"/>
                      <w:szCs w:val="21"/>
                      <w:lang w:eastAsia="zh-CN"/>
                    </w:rPr>
                    <w:t>水</w:t>
                  </w:r>
                </w:p>
              </w:tc>
              <w:tc>
                <w:tcPr>
                  <w:tcW w:w="773" w:type="pct"/>
                  <w:vMerge w:val="restart"/>
                  <w:noWrap w:val="0"/>
                  <w:vAlign w:val="center"/>
                </w:tcPr>
                <w:p w14:paraId="6D91A055">
                  <w:pPr>
                    <w:jc w:val="center"/>
                    <w:rPr>
                      <w:rFonts w:hint="eastAsia" w:cs="Times New Roman"/>
                      <w:color w:val="auto"/>
                      <w:sz w:val="21"/>
                      <w:szCs w:val="21"/>
                      <w:lang w:eastAsia="zh-CN"/>
                    </w:rPr>
                  </w:pPr>
                  <w:r>
                    <w:rPr>
                      <w:rFonts w:hint="eastAsia" w:cs="Times New Roman"/>
                      <w:color w:val="auto"/>
                      <w:sz w:val="21"/>
                      <w:szCs w:val="21"/>
                      <w:lang w:val="en-US" w:eastAsia="zh-CN"/>
                    </w:rPr>
                    <w:t>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/a</w:t>
                  </w:r>
                </w:p>
              </w:tc>
              <w:tc>
                <w:tcPr>
                  <w:tcW w:w="1098" w:type="dxa"/>
                  <w:vMerge w:val="restart"/>
                  <w:noWrap w:val="0"/>
                  <w:vAlign w:val="center"/>
                </w:tcPr>
                <w:p w14:paraId="45AC370C">
                  <w:pPr>
                    <w:keepNext w:val="0"/>
                    <w:keepLines w:val="0"/>
                    <w:widowControl/>
                    <w:suppressLineNumbers w:val="0"/>
                    <w:jc w:val="center"/>
                    <w:textAlignment w:val="center"/>
                    <w:rPr>
                      <w:rFonts w:hint="default" w:cs="Times New Roman"/>
                      <w:color w:val="auto"/>
                      <w:sz w:val="21"/>
                      <w:szCs w:val="21"/>
                      <w:lang w:val="en-US" w:eastAsia="zh-CN"/>
                    </w:rPr>
                  </w:pPr>
                  <w:r>
                    <w:rPr>
                      <w:rFonts w:hint="eastAsia" w:ascii="Times New Roman" w:hAnsi="Times New Roman" w:cs="Times New Roman"/>
                      <w:i w:val="0"/>
                      <w:iCs w:val="0"/>
                      <w:color w:val="auto"/>
                      <w:kern w:val="0"/>
                      <w:sz w:val="21"/>
                      <w:szCs w:val="21"/>
                      <w:highlight w:val="none"/>
                      <w:u w:val="none"/>
                      <w:lang w:val="en-US" w:eastAsia="zh-CN" w:bidi="ar"/>
                    </w:rPr>
                    <w:t>2043</w:t>
                  </w:r>
                </w:p>
              </w:tc>
              <w:tc>
                <w:tcPr>
                  <w:tcW w:w="1130" w:type="dxa"/>
                  <w:noWrap w:val="0"/>
                  <w:vAlign w:val="center"/>
                </w:tcPr>
                <w:p w14:paraId="787438F1">
                  <w:pPr>
                    <w:keepNext w:val="0"/>
                    <w:keepLines w:val="0"/>
                    <w:widowControl/>
                    <w:suppressLineNumbers w:val="0"/>
                    <w:jc w:val="center"/>
                    <w:textAlignment w:val="center"/>
                    <w:rPr>
                      <w:rFonts w:hint="default" w:cs="Times New Roman"/>
                      <w:color w:val="auto"/>
                      <w:sz w:val="21"/>
                      <w:szCs w:val="21"/>
                      <w:lang w:val="en-US" w:eastAsia="zh-CN"/>
                    </w:rPr>
                  </w:pPr>
                  <w:r>
                    <w:rPr>
                      <w:rFonts w:hint="eastAsia" w:cs="Times New Roman"/>
                      <w:i w:val="0"/>
                      <w:iCs w:val="0"/>
                      <w:color w:val="auto"/>
                      <w:kern w:val="0"/>
                      <w:sz w:val="21"/>
                      <w:szCs w:val="21"/>
                      <w:highlight w:val="none"/>
                      <w:u w:val="none"/>
                      <w:lang w:val="en-US" w:eastAsia="zh-CN" w:bidi="ar"/>
                    </w:rPr>
                    <w:t>733.185</w:t>
                  </w:r>
                </w:p>
              </w:tc>
              <w:tc>
                <w:tcPr>
                  <w:tcW w:w="812" w:type="pct"/>
                  <w:noWrap w:val="0"/>
                  <w:vAlign w:val="center"/>
                </w:tcPr>
                <w:p w14:paraId="4D78EA73">
                  <w:pPr>
                    <w:jc w:val="center"/>
                    <w:rPr>
                      <w:rFonts w:hint="default" w:cs="Times New Roman"/>
                      <w:color w:val="auto"/>
                      <w:sz w:val="21"/>
                      <w:szCs w:val="21"/>
                      <w:lang w:val="en-US" w:eastAsia="zh-CN"/>
                    </w:rPr>
                  </w:pPr>
                  <w:r>
                    <w:rPr>
                      <w:rFonts w:hint="eastAsia" w:cs="Times New Roman"/>
                      <w:color w:val="auto"/>
                      <w:sz w:val="21"/>
                      <w:szCs w:val="21"/>
                      <w:lang w:val="en-US" w:eastAsia="zh-CN"/>
                    </w:rPr>
                    <w:t>180</w:t>
                  </w:r>
                </w:p>
              </w:tc>
              <w:tc>
                <w:tcPr>
                  <w:tcW w:w="915" w:type="pct"/>
                  <w:noWrap w:val="0"/>
                  <w:vAlign w:val="center"/>
                </w:tcPr>
                <w:p w14:paraId="53FE7127">
                  <w:pPr>
                    <w:jc w:val="center"/>
                    <w:rPr>
                      <w:rFonts w:hint="eastAsia" w:cs="Times New Roman"/>
                      <w:color w:val="auto"/>
                      <w:sz w:val="21"/>
                      <w:szCs w:val="21"/>
                      <w:lang w:val="en-US" w:eastAsia="zh-CN"/>
                    </w:rPr>
                  </w:pPr>
                  <w:r>
                    <w:rPr>
                      <w:rFonts w:hint="eastAsia" w:cs="Times New Roman"/>
                      <w:color w:val="auto"/>
                      <w:sz w:val="21"/>
                      <w:szCs w:val="21"/>
                      <w:lang w:val="en-US" w:eastAsia="zh-CN"/>
                    </w:rPr>
                    <w:t>由雨水提供，用于洒水降尘</w:t>
                  </w:r>
                </w:p>
              </w:tc>
            </w:tr>
            <w:tr w14:paraId="122935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6" w:type="pct"/>
                  <w:vMerge w:val="continue"/>
                  <w:noWrap w:val="0"/>
                  <w:vAlign w:val="center"/>
                </w:tcPr>
                <w:p w14:paraId="7CE73437">
                  <w:pPr>
                    <w:autoSpaceDE w:val="0"/>
                    <w:autoSpaceDN w:val="0"/>
                    <w:jc w:val="center"/>
                    <w:rPr>
                      <w:rFonts w:hint="eastAsia" w:cs="Times New Roman"/>
                      <w:color w:val="auto"/>
                      <w:sz w:val="21"/>
                      <w:szCs w:val="21"/>
                      <w:lang w:val="en-US" w:eastAsia="zh-CN"/>
                    </w:rPr>
                  </w:pPr>
                </w:p>
              </w:tc>
              <w:tc>
                <w:tcPr>
                  <w:tcW w:w="661" w:type="pct"/>
                  <w:vMerge w:val="continue"/>
                  <w:noWrap w:val="0"/>
                  <w:vAlign w:val="center"/>
                </w:tcPr>
                <w:p w14:paraId="1F9730F0">
                  <w:pPr>
                    <w:jc w:val="center"/>
                    <w:rPr>
                      <w:rFonts w:hint="eastAsia" w:cs="Times New Roman"/>
                      <w:color w:val="auto"/>
                      <w:sz w:val="21"/>
                      <w:szCs w:val="21"/>
                      <w:lang w:eastAsia="zh-CN"/>
                    </w:rPr>
                  </w:pPr>
                </w:p>
              </w:tc>
              <w:tc>
                <w:tcPr>
                  <w:tcW w:w="773" w:type="pct"/>
                  <w:vMerge w:val="continue"/>
                  <w:noWrap w:val="0"/>
                  <w:vAlign w:val="center"/>
                </w:tcPr>
                <w:p w14:paraId="51BA933D">
                  <w:pPr>
                    <w:jc w:val="center"/>
                    <w:rPr>
                      <w:rFonts w:hint="eastAsia" w:cs="Times New Roman"/>
                      <w:color w:val="auto"/>
                      <w:sz w:val="21"/>
                      <w:szCs w:val="21"/>
                      <w:lang w:val="en-US" w:eastAsia="zh-CN"/>
                    </w:rPr>
                  </w:pPr>
                </w:p>
              </w:tc>
              <w:tc>
                <w:tcPr>
                  <w:tcW w:w="1098" w:type="dxa"/>
                  <w:vMerge w:val="continue"/>
                  <w:noWrap w:val="0"/>
                  <w:vAlign w:val="center"/>
                </w:tcPr>
                <w:p w14:paraId="66CB0A31">
                  <w:pPr>
                    <w:keepNext w:val="0"/>
                    <w:keepLines w:val="0"/>
                    <w:widowControl/>
                    <w:suppressLineNumbers w:val="0"/>
                    <w:jc w:val="center"/>
                    <w:textAlignment w:val="center"/>
                    <w:rPr>
                      <w:rFonts w:hint="eastAsia" w:cs="Times New Roman"/>
                      <w:color w:val="auto"/>
                      <w:sz w:val="21"/>
                      <w:szCs w:val="21"/>
                      <w:lang w:val="en-US" w:eastAsia="zh-CN"/>
                    </w:rPr>
                  </w:pPr>
                </w:p>
              </w:tc>
              <w:tc>
                <w:tcPr>
                  <w:tcW w:w="1130" w:type="dxa"/>
                  <w:noWrap w:val="0"/>
                  <w:vAlign w:val="center"/>
                </w:tcPr>
                <w:p w14:paraId="6881A9D0">
                  <w:pPr>
                    <w:keepNext w:val="0"/>
                    <w:keepLines w:val="0"/>
                    <w:widowControl/>
                    <w:suppressLineNumbers w:val="0"/>
                    <w:jc w:val="center"/>
                    <w:textAlignment w:val="center"/>
                    <w:rPr>
                      <w:rFonts w:hint="default" w:cs="Times New Roman"/>
                      <w:color w:val="auto"/>
                      <w:sz w:val="21"/>
                      <w:szCs w:val="21"/>
                      <w:lang w:val="en-US" w:eastAsia="zh-CN"/>
                    </w:rPr>
                  </w:pPr>
                  <w:r>
                    <w:rPr>
                      <w:rFonts w:hint="eastAsia" w:ascii="Times New Roman" w:hAnsi="Times New Roman" w:cs="Times New Roman"/>
                      <w:i w:val="0"/>
                      <w:iCs w:val="0"/>
                      <w:color w:val="auto"/>
                      <w:kern w:val="0"/>
                      <w:sz w:val="21"/>
                      <w:szCs w:val="21"/>
                      <w:highlight w:val="none"/>
                      <w:u w:val="none"/>
                      <w:lang w:val="en-US" w:eastAsia="zh-CN" w:bidi="ar"/>
                    </w:rPr>
                    <w:t>1</w:t>
                  </w:r>
                  <w:r>
                    <w:rPr>
                      <w:rFonts w:hint="eastAsia" w:cs="Times New Roman"/>
                      <w:i w:val="0"/>
                      <w:iCs w:val="0"/>
                      <w:color w:val="auto"/>
                      <w:kern w:val="0"/>
                      <w:sz w:val="21"/>
                      <w:szCs w:val="21"/>
                      <w:highlight w:val="none"/>
                      <w:u w:val="none"/>
                      <w:lang w:val="en-US" w:eastAsia="zh-CN" w:bidi="ar"/>
                    </w:rPr>
                    <w:t>309.815</w:t>
                  </w:r>
                </w:p>
              </w:tc>
              <w:tc>
                <w:tcPr>
                  <w:tcW w:w="812" w:type="pct"/>
                  <w:noWrap w:val="0"/>
                  <w:vAlign w:val="center"/>
                </w:tcPr>
                <w:p w14:paraId="5308A298">
                  <w:pPr>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915" w:type="pct"/>
                  <w:noWrap w:val="0"/>
                  <w:vAlign w:val="center"/>
                </w:tcPr>
                <w:p w14:paraId="256C21FE">
                  <w:pPr>
                    <w:jc w:val="center"/>
                    <w:rPr>
                      <w:rFonts w:hint="eastAsia" w:cs="Times New Roman"/>
                      <w:color w:val="auto"/>
                      <w:sz w:val="21"/>
                      <w:szCs w:val="21"/>
                      <w:lang w:val="en-US" w:eastAsia="zh-CN"/>
                    </w:rPr>
                  </w:pPr>
                  <w:r>
                    <w:rPr>
                      <w:rFonts w:hint="eastAsia" w:cs="Times New Roman"/>
                      <w:color w:val="auto"/>
                      <w:sz w:val="21"/>
                      <w:szCs w:val="21"/>
                      <w:lang w:val="en-US" w:eastAsia="zh-CN"/>
                    </w:rPr>
                    <w:t>市政管网提供</w:t>
                  </w:r>
                </w:p>
              </w:tc>
            </w:tr>
            <w:tr w14:paraId="0B3561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6" w:type="pct"/>
                  <w:noWrap w:val="0"/>
                  <w:vAlign w:val="center"/>
                </w:tcPr>
                <w:p w14:paraId="460E1B55">
                  <w:pPr>
                    <w:autoSpaceDE w:val="0"/>
                    <w:autoSpaceDN w:val="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c>
                <w:tcPr>
                  <w:tcW w:w="661" w:type="pct"/>
                  <w:noWrap w:val="0"/>
                  <w:vAlign w:val="center"/>
                </w:tcPr>
                <w:p w14:paraId="758F553B">
                  <w:pPr>
                    <w:jc w:val="center"/>
                    <w:rPr>
                      <w:rFonts w:hint="eastAsia" w:cs="Times New Roman"/>
                      <w:color w:val="auto"/>
                      <w:sz w:val="21"/>
                      <w:szCs w:val="21"/>
                      <w:lang w:eastAsia="zh-CN"/>
                    </w:rPr>
                  </w:pPr>
                  <w:r>
                    <w:rPr>
                      <w:rFonts w:hint="eastAsia" w:cs="Times New Roman"/>
                      <w:color w:val="auto"/>
                      <w:sz w:val="21"/>
                      <w:szCs w:val="21"/>
                      <w:lang w:eastAsia="zh-CN"/>
                    </w:rPr>
                    <w:t>电</w:t>
                  </w:r>
                </w:p>
              </w:tc>
              <w:tc>
                <w:tcPr>
                  <w:tcW w:w="773" w:type="pct"/>
                  <w:noWrap w:val="0"/>
                  <w:vAlign w:val="center"/>
                </w:tcPr>
                <w:p w14:paraId="6BF52529">
                  <w:pPr>
                    <w:jc w:val="center"/>
                    <w:rPr>
                      <w:rFonts w:hint="eastAsia" w:cs="Times New Roman"/>
                      <w:color w:val="auto"/>
                      <w:sz w:val="21"/>
                      <w:szCs w:val="21"/>
                      <w:lang w:eastAsia="zh-CN"/>
                    </w:rPr>
                  </w:pPr>
                  <w:r>
                    <w:rPr>
                      <w:rFonts w:hint="eastAsia" w:cs="Times New Roman"/>
                      <w:color w:val="auto"/>
                      <w:sz w:val="21"/>
                      <w:szCs w:val="21"/>
                      <w:lang w:eastAsia="zh-CN"/>
                    </w:rPr>
                    <w:t>万Kwh/a</w:t>
                  </w:r>
                </w:p>
              </w:tc>
              <w:tc>
                <w:tcPr>
                  <w:tcW w:w="1341" w:type="pct"/>
                  <w:gridSpan w:val="2"/>
                  <w:noWrap w:val="0"/>
                  <w:vAlign w:val="center"/>
                </w:tcPr>
                <w:p w14:paraId="4666D959">
                  <w:pPr>
                    <w:jc w:val="center"/>
                    <w:rPr>
                      <w:rFonts w:hint="default" w:cs="Times New Roman"/>
                      <w:color w:val="auto"/>
                      <w:sz w:val="21"/>
                      <w:szCs w:val="21"/>
                      <w:lang w:val="en-US" w:eastAsia="zh-CN"/>
                    </w:rPr>
                  </w:pPr>
                  <w:r>
                    <w:rPr>
                      <w:rFonts w:hint="eastAsia" w:cs="Times New Roman"/>
                      <w:color w:val="auto"/>
                      <w:sz w:val="21"/>
                      <w:szCs w:val="21"/>
                      <w:lang w:val="en-US" w:eastAsia="zh-CN"/>
                    </w:rPr>
                    <w:t>5</w:t>
                  </w:r>
                </w:p>
              </w:tc>
              <w:tc>
                <w:tcPr>
                  <w:tcW w:w="812" w:type="pct"/>
                  <w:noWrap w:val="0"/>
                  <w:vAlign w:val="center"/>
                </w:tcPr>
                <w:p w14:paraId="081B66DF">
                  <w:pPr>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915" w:type="pct"/>
                  <w:noWrap w:val="0"/>
                  <w:vAlign w:val="center"/>
                </w:tcPr>
                <w:p w14:paraId="50AA030E">
                  <w:pPr>
                    <w:jc w:val="center"/>
                    <w:rPr>
                      <w:rFonts w:hint="eastAsia" w:cs="Times New Roman"/>
                      <w:color w:val="auto"/>
                      <w:sz w:val="21"/>
                      <w:szCs w:val="21"/>
                      <w:lang w:val="en-US" w:eastAsia="zh-CN"/>
                    </w:rPr>
                  </w:pPr>
                  <w:r>
                    <w:rPr>
                      <w:rFonts w:hint="eastAsia" w:cs="Times New Roman"/>
                      <w:color w:val="auto"/>
                      <w:sz w:val="21"/>
                      <w:szCs w:val="21"/>
                      <w:lang w:val="en-US" w:eastAsia="zh-CN"/>
                    </w:rPr>
                    <w:t>由鸡西矿业集团正阳煤矿电力公司提供</w:t>
                  </w:r>
                </w:p>
              </w:tc>
            </w:tr>
          </w:tbl>
          <w:p w14:paraId="5CB1577B">
            <w:pPr>
              <w:jc w:val="center"/>
              <w:rPr>
                <w:rFonts w:hint="default" w:ascii="Times New Roman" w:hAnsi="Times New Roman" w:eastAsia="宋体" w:cs="Times New Roman"/>
                <w:b/>
                <w:color w:val="auto"/>
                <w:sz w:val="21"/>
                <w:szCs w:val="21"/>
                <w:lang w:val="en-US"/>
              </w:rPr>
            </w:pPr>
            <w:r>
              <w:rPr>
                <w:rFonts w:hint="default" w:ascii="Times New Roman" w:hAnsi="Times New Roman" w:eastAsia="宋体" w:cs="Times New Roman"/>
                <w:b/>
                <w:color w:val="auto"/>
                <w:sz w:val="21"/>
                <w:szCs w:val="21"/>
              </w:rPr>
              <w:t>表2-</w:t>
            </w:r>
            <w:r>
              <w:rPr>
                <w:rFonts w:hint="eastAsia" w:cs="Times New Roman"/>
                <w:b/>
                <w:color w:val="auto"/>
                <w:sz w:val="21"/>
                <w:szCs w:val="21"/>
                <w:lang w:val="en-US" w:eastAsia="zh-CN"/>
              </w:rPr>
              <w:t>6 本项目物料平衡表 单位：t/a</w:t>
            </w:r>
          </w:p>
          <w:tbl>
            <w:tblPr>
              <w:tblStyle w:val="30"/>
              <w:tblW w:w="494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227"/>
              <w:gridCol w:w="1732"/>
              <w:gridCol w:w="2424"/>
              <w:gridCol w:w="1771"/>
            </w:tblGrid>
            <w:tr w14:paraId="0BFABF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65" w:type="pct"/>
                  <w:noWrap w:val="0"/>
                  <w:vAlign w:val="center"/>
                </w:tcPr>
                <w:p w14:paraId="772D7DA5">
                  <w:pPr>
                    <w:autoSpaceDE w:val="0"/>
                    <w:autoSpaceDN w:val="0"/>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投料名称</w:t>
                  </w:r>
                </w:p>
              </w:tc>
              <w:tc>
                <w:tcPr>
                  <w:tcW w:w="1061" w:type="pct"/>
                  <w:noWrap w:val="0"/>
                  <w:vAlign w:val="center"/>
                </w:tcPr>
                <w:p w14:paraId="30B3B4F2">
                  <w:pPr>
                    <w:autoSpaceDE w:val="0"/>
                    <w:autoSpaceDN w:val="0"/>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年用量（</w:t>
                  </w:r>
                  <w:r>
                    <w:rPr>
                      <w:rFonts w:hint="eastAsia" w:cs="Times New Roman"/>
                      <w:b/>
                      <w:bCs/>
                      <w:color w:val="auto"/>
                      <w:sz w:val="21"/>
                      <w:szCs w:val="21"/>
                      <w:lang w:val="en-US" w:eastAsia="zh-CN"/>
                    </w:rPr>
                    <w:t>t</w:t>
                  </w:r>
                  <w:r>
                    <w:rPr>
                      <w:rFonts w:hint="eastAsia" w:cs="Times New Roman"/>
                      <w:b/>
                      <w:bCs/>
                      <w:color w:val="auto"/>
                      <w:sz w:val="21"/>
                      <w:szCs w:val="21"/>
                      <w:lang w:eastAsia="zh-CN"/>
                    </w:rPr>
                    <w:t>）</w:t>
                  </w:r>
                </w:p>
              </w:tc>
              <w:tc>
                <w:tcPr>
                  <w:tcW w:w="2572" w:type="pct"/>
                  <w:gridSpan w:val="2"/>
                  <w:noWrap w:val="0"/>
                  <w:vAlign w:val="center"/>
                </w:tcPr>
                <w:p w14:paraId="3CE881E7">
                  <w:pPr>
                    <w:autoSpaceDE w:val="0"/>
                    <w:autoSpaceDN w:val="0"/>
                    <w:jc w:val="center"/>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产品及污染物产生量（t/a）</w:t>
                  </w:r>
                </w:p>
              </w:tc>
            </w:tr>
            <w:tr w14:paraId="036A3C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65" w:type="pct"/>
                  <w:vMerge w:val="restart"/>
                  <w:noWrap w:val="0"/>
                  <w:vAlign w:val="center"/>
                </w:tcPr>
                <w:p w14:paraId="73880C5C">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煤炭（不同热值煤炭）</w:t>
                  </w:r>
                </w:p>
              </w:tc>
              <w:tc>
                <w:tcPr>
                  <w:tcW w:w="1061" w:type="pct"/>
                  <w:vMerge w:val="restart"/>
                  <w:noWrap w:val="0"/>
                  <w:vAlign w:val="center"/>
                </w:tcPr>
                <w:p w14:paraId="1C73FE7A">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highlight w:val="none"/>
                      <w:lang w:val="en-US" w:eastAsia="zh-CN"/>
                    </w:rPr>
                    <w:t>60000</w:t>
                  </w:r>
                </w:p>
              </w:tc>
              <w:tc>
                <w:tcPr>
                  <w:tcW w:w="1486" w:type="pct"/>
                  <w:noWrap w:val="0"/>
                  <w:vAlign w:val="center"/>
                </w:tcPr>
                <w:p w14:paraId="53D8B9F3">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无组织粉尘排放</w:t>
                  </w:r>
                </w:p>
              </w:tc>
              <w:tc>
                <w:tcPr>
                  <w:tcW w:w="1086" w:type="pct"/>
                  <w:noWrap w:val="0"/>
                  <w:vAlign w:val="center"/>
                </w:tcPr>
                <w:p w14:paraId="4D1572E2">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22.212</w:t>
                  </w:r>
                </w:p>
              </w:tc>
            </w:tr>
            <w:tr w14:paraId="497818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65" w:type="pct"/>
                  <w:vMerge w:val="continue"/>
                  <w:noWrap w:val="0"/>
                  <w:vAlign w:val="center"/>
                </w:tcPr>
                <w:p w14:paraId="73E5A237">
                  <w:pPr>
                    <w:jc w:val="center"/>
                    <w:rPr>
                      <w:rFonts w:hint="eastAsia" w:cs="Times New Roman"/>
                      <w:color w:val="auto"/>
                      <w:sz w:val="21"/>
                      <w:szCs w:val="21"/>
                      <w:lang w:eastAsia="zh-CN"/>
                    </w:rPr>
                  </w:pPr>
                </w:p>
              </w:tc>
              <w:tc>
                <w:tcPr>
                  <w:tcW w:w="1061" w:type="pct"/>
                  <w:vMerge w:val="continue"/>
                  <w:noWrap w:val="0"/>
                  <w:vAlign w:val="center"/>
                </w:tcPr>
                <w:p w14:paraId="4AC1E56B">
                  <w:pPr>
                    <w:jc w:val="center"/>
                    <w:rPr>
                      <w:rFonts w:hint="eastAsia" w:cs="Times New Roman"/>
                      <w:color w:val="auto"/>
                      <w:sz w:val="21"/>
                      <w:szCs w:val="21"/>
                      <w:highlight w:val="yellow"/>
                      <w:lang w:val="en-US" w:eastAsia="zh-CN"/>
                    </w:rPr>
                  </w:pPr>
                </w:p>
              </w:tc>
              <w:tc>
                <w:tcPr>
                  <w:tcW w:w="1486" w:type="pct"/>
                  <w:noWrap w:val="0"/>
                  <w:vAlign w:val="center"/>
                </w:tcPr>
                <w:p w14:paraId="23CC2794">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混煤（不同热值煤炭混合）</w:t>
                  </w:r>
                </w:p>
              </w:tc>
              <w:tc>
                <w:tcPr>
                  <w:tcW w:w="1086" w:type="pct"/>
                  <w:noWrap w:val="0"/>
                  <w:vAlign w:val="center"/>
                </w:tcPr>
                <w:p w14:paraId="63AD2848">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59977.788</w:t>
                  </w:r>
                </w:p>
              </w:tc>
            </w:tr>
            <w:tr w14:paraId="04A1F8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427" w:type="pct"/>
                  <w:gridSpan w:val="2"/>
                  <w:noWrap w:val="0"/>
                  <w:vAlign w:val="center"/>
                </w:tcPr>
                <w:p w14:paraId="2381E0EB">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合计投料量：60000</w:t>
                  </w:r>
                </w:p>
              </w:tc>
              <w:tc>
                <w:tcPr>
                  <w:tcW w:w="2572" w:type="pct"/>
                  <w:gridSpan w:val="2"/>
                  <w:noWrap w:val="0"/>
                  <w:vAlign w:val="center"/>
                </w:tcPr>
                <w:p w14:paraId="0EEC1D6E">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各物料去向：60000</w:t>
                  </w:r>
                </w:p>
              </w:tc>
            </w:tr>
          </w:tbl>
          <w:p w14:paraId="418F04C8">
            <w:pPr>
              <w:spacing w:line="360" w:lineRule="auto"/>
              <w:ind w:firstLine="480" w:firstLineChars="200"/>
              <w:jc w:val="left"/>
              <w:rPr>
                <w:rFonts w:hint="default" w:ascii="Times New Roman" w:hAnsi="Times New Roman" w:cs="Times New Roman"/>
                <w:b w:val="0"/>
                <w:bCs w:val="0"/>
                <w:color w:val="auto"/>
                <w:sz w:val="24"/>
                <w:szCs w:val="24"/>
                <w:highlight w:val="none"/>
              </w:rPr>
            </w:pPr>
            <w:r>
              <w:rPr>
                <w:rFonts w:hint="default" w:ascii="Times New Roman" w:hAnsi="Times New Roman" w:eastAsia="宋体" w:cs="Times New Roman"/>
                <w:color w:val="auto"/>
                <w:sz w:val="24"/>
                <w:highlight w:val="none"/>
                <w:lang w:val="zh-CN" w:eastAsia="zh-CN"/>
              </w:rPr>
              <w:t>煤炭的物理和化学性质及质量指标</w:t>
            </w:r>
            <w:r>
              <w:rPr>
                <w:rFonts w:hint="default" w:ascii="Times New Roman" w:hAnsi="Times New Roman" w:cs="Times New Roman"/>
                <w:b w:val="0"/>
                <w:bCs w:val="0"/>
                <w:color w:val="auto"/>
                <w:sz w:val="24"/>
                <w:szCs w:val="24"/>
                <w:highlight w:val="none"/>
              </w:rPr>
              <w:t>：</w:t>
            </w:r>
          </w:p>
          <w:p w14:paraId="6583719D">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color w:val="auto"/>
                <w:sz w:val="24"/>
                <w:highlight w:val="none"/>
                <w:lang w:val="zh-CN" w:eastAsia="zh-CN"/>
              </w:rPr>
              <w:t>煤的物理性质</w:t>
            </w:r>
          </w:p>
          <w:p w14:paraId="3FFEFF89">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val="zh-CN" w:eastAsia="zh-CN"/>
              </w:rPr>
              <w:t>颜色</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zh-CN" w:eastAsia="zh-CN"/>
              </w:rPr>
              <w:t>是指新鲜煤表面的自然色彩，是煤对不同波长的光波吸收的结果。旱褐色黑色，一般随煤化程度的提高</w:t>
            </w:r>
            <w:r>
              <w:rPr>
                <w:rFonts w:hint="default" w:ascii="Times New Roman" w:hAnsi="Times New Roman" w:cs="Times New Roman"/>
                <w:color w:val="auto"/>
                <w:sz w:val="24"/>
                <w:highlight w:val="none"/>
                <w:lang w:val="zh-CN" w:eastAsia="zh-CN"/>
              </w:rPr>
              <w:t>逐渐</w:t>
            </w:r>
            <w:r>
              <w:rPr>
                <w:rFonts w:hint="default" w:ascii="Times New Roman" w:hAnsi="Times New Roman" w:eastAsia="宋体" w:cs="Times New Roman"/>
                <w:color w:val="auto"/>
                <w:sz w:val="24"/>
                <w:highlight w:val="none"/>
                <w:lang w:val="zh-CN" w:eastAsia="zh-CN"/>
              </w:rPr>
              <w:t>加深。</w:t>
            </w:r>
          </w:p>
          <w:p w14:paraId="1A8C62FA">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zh-CN" w:eastAsia="zh-CN"/>
              </w:rPr>
              <w:t>光泽</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zh-CN" w:eastAsia="zh-CN"/>
              </w:rPr>
              <w:t>是指煤的表面在普通光下的反光能力。一般</w:t>
            </w:r>
            <w:r>
              <w:rPr>
                <w:rFonts w:hint="default" w:ascii="Times New Roman" w:hAnsi="Times New Roman" w:cs="Times New Roman"/>
                <w:color w:val="auto"/>
                <w:sz w:val="24"/>
                <w:highlight w:val="none"/>
                <w:lang w:val="zh-CN" w:eastAsia="zh-CN"/>
              </w:rPr>
              <w:t>是沥青</w:t>
            </w:r>
            <w:r>
              <w:rPr>
                <w:rFonts w:hint="default" w:ascii="Times New Roman" w:hAnsi="Times New Roman" w:eastAsia="宋体" w:cs="Times New Roman"/>
                <w:color w:val="auto"/>
                <w:sz w:val="24"/>
                <w:highlight w:val="none"/>
                <w:lang w:val="zh-CN" w:eastAsia="zh-CN"/>
              </w:rPr>
              <w:t>、</w:t>
            </w:r>
            <w:r>
              <w:rPr>
                <w:rFonts w:hint="default" w:ascii="Times New Roman" w:hAnsi="Times New Roman" w:cs="Times New Roman"/>
                <w:color w:val="auto"/>
                <w:sz w:val="24"/>
                <w:highlight w:val="none"/>
                <w:lang w:val="zh-CN" w:eastAsia="zh-CN"/>
              </w:rPr>
              <w:t>玻璃</w:t>
            </w:r>
            <w:r>
              <w:rPr>
                <w:rFonts w:hint="default" w:ascii="Times New Roman" w:hAnsi="Times New Roman" w:eastAsia="宋体" w:cs="Times New Roman"/>
                <w:color w:val="auto"/>
                <w:sz w:val="24"/>
                <w:highlight w:val="none"/>
                <w:lang w:val="zh-CN" w:eastAsia="zh-CN"/>
              </w:rPr>
              <w:t>和金咖光泽，煤化程度越高，光泽</w:t>
            </w:r>
            <w:r>
              <w:rPr>
                <w:rFonts w:hint="eastAsia" w:cs="Times New Roman"/>
                <w:color w:val="auto"/>
                <w:sz w:val="24"/>
                <w:highlight w:val="none"/>
                <w:lang w:val="zh-CN" w:eastAsia="zh-CN"/>
              </w:rPr>
              <w:t>越强</w:t>
            </w:r>
            <w:r>
              <w:rPr>
                <w:rFonts w:hint="default" w:ascii="Times New Roman" w:hAnsi="Times New Roman" w:eastAsia="宋体" w:cs="Times New Roman"/>
                <w:color w:val="auto"/>
                <w:sz w:val="24"/>
                <w:highlight w:val="none"/>
                <w:lang w:val="zh-CN" w:eastAsia="zh-CN"/>
              </w:rPr>
              <w:t>，矿物质含量越</w:t>
            </w:r>
            <w:r>
              <w:rPr>
                <w:rFonts w:hint="default" w:ascii="Times New Roman" w:hAnsi="Times New Roman" w:cs="Times New Roman"/>
                <w:color w:val="auto"/>
                <w:sz w:val="24"/>
                <w:highlight w:val="none"/>
                <w:lang w:val="zh-CN" w:eastAsia="zh-CN"/>
              </w:rPr>
              <w:t>多</w:t>
            </w:r>
            <w:r>
              <w:rPr>
                <w:rFonts w:hint="default" w:ascii="Times New Roman" w:hAnsi="Times New Roman" w:eastAsia="宋体" w:cs="Times New Roman"/>
                <w:color w:val="auto"/>
                <w:sz w:val="24"/>
                <w:highlight w:val="none"/>
                <w:lang w:val="zh-CN" w:eastAsia="zh-CN"/>
              </w:rPr>
              <w:t>，光泽越暗，风、氧化</w:t>
            </w:r>
            <w:r>
              <w:rPr>
                <w:rFonts w:hint="eastAsia" w:ascii="Times New Roman" w:hAnsi="Times New Roman" w:cs="Times New Roman"/>
                <w:color w:val="auto"/>
                <w:sz w:val="24"/>
                <w:highlight w:val="none"/>
                <w:lang w:val="zh-CN" w:eastAsia="zh-CN"/>
              </w:rPr>
              <w:t>程度</w:t>
            </w:r>
            <w:r>
              <w:rPr>
                <w:rFonts w:hint="default" w:ascii="Times New Roman" w:hAnsi="Times New Roman" w:eastAsia="宋体" w:cs="Times New Roman"/>
                <w:color w:val="auto"/>
                <w:sz w:val="24"/>
                <w:highlight w:val="none"/>
                <w:lang w:val="zh-CN" w:eastAsia="zh-CN"/>
              </w:rPr>
              <w:t>越深，光泽越</w:t>
            </w:r>
            <w:r>
              <w:rPr>
                <w:rFonts w:hint="eastAsia" w:cs="Times New Roman"/>
                <w:color w:val="auto"/>
                <w:sz w:val="24"/>
                <w:highlight w:val="none"/>
                <w:lang w:val="zh-CN" w:eastAsia="zh-CN"/>
              </w:rPr>
              <w:t>暗</w:t>
            </w:r>
            <w:r>
              <w:rPr>
                <w:rFonts w:hint="default" w:ascii="Times New Roman" w:hAnsi="Times New Roman" w:eastAsia="宋体" w:cs="Times New Roman"/>
                <w:color w:val="auto"/>
                <w:sz w:val="24"/>
                <w:highlight w:val="none"/>
                <w:lang w:val="zh-CN" w:eastAsia="zh-CN"/>
              </w:rPr>
              <w:t>，直到完全消失。</w:t>
            </w:r>
          </w:p>
          <w:p w14:paraId="3091DD66">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lang w:val="zh-CN" w:eastAsia="zh-CN"/>
              </w:rPr>
              <w:t>粉色</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zh-CN" w:eastAsia="zh-CN"/>
              </w:rPr>
              <w:t>指将煤研成粉末的颜色或煤在抹上釉的瓷板上刻划时留下的痕迹，所以又称为条痕色。呈浅棕色</w:t>
            </w:r>
            <w:r>
              <w:rPr>
                <w:rFonts w:hint="default"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黑色。一般是煤化程度越高，粉色越深。</w:t>
            </w:r>
          </w:p>
          <w:p w14:paraId="37424D10">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lang w:val="zh-CN" w:eastAsia="zh-CN"/>
              </w:rPr>
              <w:t>比重和容重</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zh-CN" w:eastAsia="zh-CN"/>
              </w:rPr>
              <w:t>煤的比重又称煤的密度，它是不包括孔除在内的一定体积的煤的重量与同温度、同体积的水的重量之比。煤的容重又称煤的体重或假比重，它是包括孔障在内的一定体积的煤的重量与同温度、同体积的水的重量之比。煤的容重是计算煤层储量的重要指标。褐煤的容重一般为1.05</w:t>
            </w:r>
            <w:r>
              <w:rPr>
                <w:rFonts w:hint="eastAsia"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1.2</w:t>
            </w:r>
            <w:r>
              <w:rPr>
                <w:rFonts w:hint="default"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烟煤为1.2</w:t>
            </w:r>
            <w:r>
              <w:rPr>
                <w:rFonts w:hint="eastAsia"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1.4</w:t>
            </w:r>
            <w:r>
              <w:rPr>
                <w:rFonts w:hint="default"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无烟煤变化范围较大</w:t>
            </w:r>
            <w:r>
              <w:rPr>
                <w:rFonts w:hint="default"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可由1.35</w:t>
            </w:r>
            <w:r>
              <w:rPr>
                <w:rFonts w:hint="eastAsia"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1.8。煤岩组成、煤化程度、煤中矿物质的成分和含量是影响比重和容重的主要因素。在矿物质含量相同的情况下，煤的比重随煤化程度的加深</w:t>
            </w:r>
            <w:r>
              <w:rPr>
                <w:rFonts w:hint="eastAsia" w:ascii="Times New Roman" w:hAnsi="Times New Roman" w:cs="Times New Roman"/>
                <w:color w:val="auto"/>
                <w:sz w:val="24"/>
                <w:highlight w:val="none"/>
                <w:lang w:val="zh-CN" w:eastAsia="zh-CN"/>
              </w:rPr>
              <w:t>而</w:t>
            </w:r>
            <w:r>
              <w:rPr>
                <w:rFonts w:hint="default" w:ascii="Times New Roman" w:hAnsi="Times New Roman" w:eastAsia="宋体" w:cs="Times New Roman"/>
                <w:color w:val="auto"/>
                <w:sz w:val="24"/>
                <w:highlight w:val="none"/>
                <w:lang w:val="zh-CN" w:eastAsia="zh-CN"/>
              </w:rPr>
              <w:t>增大。</w:t>
            </w:r>
          </w:p>
          <w:p w14:paraId="43224885">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5）</w:t>
            </w:r>
            <w:r>
              <w:rPr>
                <w:rFonts w:hint="default" w:ascii="Times New Roman" w:hAnsi="Times New Roman" w:eastAsia="宋体" w:cs="Times New Roman"/>
                <w:color w:val="auto"/>
                <w:sz w:val="24"/>
                <w:highlight w:val="none"/>
                <w:lang w:val="zh-CN" w:eastAsia="zh-CN"/>
              </w:rPr>
              <w:t>硬度</w:t>
            </w:r>
            <w:r>
              <w:rPr>
                <w:rFonts w:hint="default"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是指煤抵抗外来机械作用的能力。根据外来机械力作用方式的不同，可进一步将煤的硬度分为刻划硬度、压痕硬度和抗磨硬度三类。煤的硬度与煤化程度有关。褐煤和焦煤的硬度最小，约2</w:t>
            </w:r>
            <w:r>
              <w:rPr>
                <w:rFonts w:hint="eastAsia"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2.5</w:t>
            </w:r>
            <w:r>
              <w:rPr>
                <w:rFonts w:hint="default"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无烟煤的硬度最大，接近4。</w:t>
            </w:r>
          </w:p>
          <w:p w14:paraId="60E6B22B">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6）</w:t>
            </w:r>
            <w:r>
              <w:rPr>
                <w:rFonts w:hint="default" w:ascii="Times New Roman" w:hAnsi="Times New Roman" w:eastAsia="宋体" w:cs="Times New Roman"/>
                <w:color w:val="auto"/>
                <w:sz w:val="24"/>
                <w:highlight w:val="none"/>
                <w:lang w:val="zh-CN" w:eastAsia="zh-CN"/>
              </w:rPr>
              <w:t>脆度</w:t>
            </w:r>
            <w:r>
              <w:rPr>
                <w:rFonts w:hint="default"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是煤受外力作用而破碎的程度。成煤的原始物质、煤岩成分、煤化程度等都对煤的脆度有影响。在不同变质程度的煤中，长焰煤和气煤的脆度较小，肥煤、焦煤和瘦煤的脆度最大，无烟煤的脆度最小。</w:t>
            </w:r>
          </w:p>
          <w:p w14:paraId="31DD9E55">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7）</w:t>
            </w:r>
            <w:r>
              <w:rPr>
                <w:rFonts w:hint="default" w:ascii="Times New Roman" w:hAnsi="Times New Roman" w:eastAsia="宋体" w:cs="Times New Roman"/>
                <w:color w:val="auto"/>
                <w:sz w:val="24"/>
                <w:highlight w:val="none"/>
                <w:lang w:val="zh-CN" w:eastAsia="zh-CN"/>
              </w:rPr>
              <w:t>断口</w:t>
            </w:r>
            <w:r>
              <w:rPr>
                <w:rFonts w:hint="default"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是指煤</w:t>
            </w:r>
            <w:r>
              <w:rPr>
                <w:rFonts w:hint="default" w:ascii="Times New Roman" w:hAnsi="Times New Roman" w:cs="Times New Roman"/>
                <w:color w:val="auto"/>
                <w:sz w:val="24"/>
                <w:highlight w:val="none"/>
                <w:lang w:val="zh-CN" w:eastAsia="zh-CN"/>
              </w:rPr>
              <w:t>在</w:t>
            </w:r>
            <w:r>
              <w:rPr>
                <w:rFonts w:hint="default" w:ascii="Times New Roman" w:hAnsi="Times New Roman" w:eastAsia="宋体" w:cs="Times New Roman"/>
                <w:color w:val="auto"/>
                <w:sz w:val="24"/>
                <w:highlight w:val="none"/>
                <w:lang w:val="zh-CN" w:eastAsia="zh-CN"/>
              </w:rPr>
              <w:t>外力打击后形成的断面的形状。在煤中常见的口有目壳状断口，参差状断口等，煤的原始物质组成和煤化程度不同，断口形状各异。</w:t>
            </w:r>
          </w:p>
          <w:p w14:paraId="60915896">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highlight w:val="none"/>
                <w:lang w:val="zh-CN" w:eastAsia="zh-CN"/>
              </w:rPr>
              <w:t>导电性</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zh-CN" w:eastAsia="zh-CN"/>
              </w:rPr>
              <w:t>是指煤传导电流的能力，通常用电率来表示。褐煤电率低。褐煤向烟煤过渡时，</w:t>
            </w:r>
            <w:r>
              <w:rPr>
                <w:rFonts w:hint="default" w:ascii="Times New Roman" w:hAnsi="Times New Roman" w:cs="Times New Roman"/>
                <w:color w:val="auto"/>
                <w:sz w:val="24"/>
                <w:highlight w:val="none"/>
                <w:lang w:val="zh-CN" w:eastAsia="zh-CN"/>
              </w:rPr>
              <w:t>电阻率</w:t>
            </w:r>
            <w:r>
              <w:rPr>
                <w:rFonts w:hint="default" w:ascii="Times New Roman" w:hAnsi="Times New Roman" w:eastAsia="宋体" w:cs="Times New Roman"/>
                <w:color w:val="auto"/>
                <w:sz w:val="24"/>
                <w:highlight w:val="none"/>
                <w:lang w:val="zh-CN" w:eastAsia="zh-CN"/>
              </w:rPr>
              <w:t>剧增，烟煤是不良导体，随着煤化程度增高，电阻率减小，至无烟煤时急剧下降，而具良好的导电性。</w:t>
            </w:r>
          </w:p>
          <w:p w14:paraId="352B720E">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zh-CN" w:eastAsia="zh-CN"/>
              </w:rPr>
              <w:t>（</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煤的</w:t>
            </w:r>
            <w:r>
              <w:rPr>
                <w:rFonts w:hint="default" w:ascii="Times New Roman" w:hAnsi="Times New Roman" w:cs="Times New Roman"/>
                <w:color w:val="auto"/>
                <w:sz w:val="24"/>
                <w:highlight w:val="none"/>
                <w:lang w:val="zh-CN" w:eastAsia="zh-CN"/>
              </w:rPr>
              <w:t>化学成分</w:t>
            </w:r>
          </w:p>
          <w:p w14:paraId="4BE018DA">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煤的化学组成很复杂，但归纳起来可分为有机质和无机质两大类，以有机质为主体。</w:t>
            </w:r>
          </w:p>
          <w:p w14:paraId="43370F61">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val="zh-CN" w:eastAsia="zh-CN"/>
              </w:rPr>
              <w:t>煤中的有机质主要由碳、氢、氧、氮和有机硫等五种元素组成。其中，碳、氢、氧占有机质的95%以上。此外，还有极少量的和其他元素。</w:t>
            </w:r>
          </w:p>
          <w:p w14:paraId="76EA32D6">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zh-CN" w:eastAsia="zh-CN"/>
              </w:rPr>
              <w:t>煤中的无机质主要是水分和矿物质，它们的存在降低了煤的质量和利用价值，其中绝大多数是煤中的有害成分。</w:t>
            </w:r>
          </w:p>
          <w:p w14:paraId="18DE32A0">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lang w:val="zh-CN" w:eastAsia="zh-CN"/>
              </w:rPr>
              <w:t>还有一些稀有、分散和放射性元素，例如，锗、镓、钢、</w:t>
            </w:r>
            <w:r>
              <w:rPr>
                <w:rFonts w:hint="eastAsia" w:ascii="Times New Roman" w:hAnsi="Times New Roman" w:cs="Times New Roman"/>
                <w:color w:val="auto"/>
                <w:sz w:val="24"/>
                <w:highlight w:val="none"/>
                <w:lang w:val="zh-CN" w:eastAsia="zh-CN"/>
              </w:rPr>
              <w:t>锌</w:t>
            </w:r>
            <w:r>
              <w:rPr>
                <w:rFonts w:hint="default" w:ascii="Times New Roman" w:hAnsi="Times New Roman" w:eastAsia="宋体" w:cs="Times New Roman"/>
                <w:color w:val="auto"/>
                <w:sz w:val="24"/>
                <w:highlight w:val="none"/>
                <w:lang w:val="zh-CN" w:eastAsia="zh-CN"/>
              </w:rPr>
              <w:t>、钒、钛、铀等等，它们分别以有机或无机化合物的形态存在于煤中。其中某些元素的含量，一旦达到工业品位或可综合利用时，就是重要的矿产资源。</w:t>
            </w:r>
          </w:p>
          <w:p w14:paraId="4039FA6B">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zh-CN" w:eastAsia="zh-CN"/>
              </w:rPr>
              <w:t>（</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val="zh-CN" w:eastAsia="zh-CN"/>
              </w:rPr>
              <w:t>）</w:t>
            </w:r>
            <w:r>
              <w:rPr>
                <w:rFonts w:hint="default" w:ascii="Times New Roman" w:hAnsi="Times New Roman" w:eastAsia="宋体" w:cs="Times New Roman"/>
                <w:color w:val="auto"/>
                <w:sz w:val="24"/>
                <w:highlight w:val="none"/>
                <w:lang w:val="zh-CN" w:eastAsia="zh-CN"/>
              </w:rPr>
              <w:t>煤的质量指标</w:t>
            </w:r>
          </w:p>
          <w:p w14:paraId="13BE729B">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煤的质量指标一般指煤的工业质量指标，包括水分、灰分、挥发分的测定和固定碳四项指标：</w:t>
            </w:r>
          </w:p>
          <w:p w14:paraId="7F3044E4">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val="zh-CN" w:eastAsia="zh-CN"/>
              </w:rPr>
              <w:t>水分</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zh-CN" w:eastAsia="zh-CN"/>
              </w:rPr>
              <w:t>指单位重量的煤中水的含量。煤中水分有外在水分、内在水分和结水三种</w:t>
            </w:r>
            <w:r>
              <w:rPr>
                <w:rFonts w:hint="default" w:ascii="Times New Roman" w:hAnsi="Times New Roman" w:cs="Times New Roman"/>
                <w:color w:val="auto"/>
                <w:sz w:val="24"/>
                <w:highlight w:val="none"/>
                <w:lang w:val="zh-CN" w:eastAsia="zh-CN"/>
              </w:rPr>
              <w:t>存在</w:t>
            </w:r>
            <w:r>
              <w:rPr>
                <w:rFonts w:hint="default" w:ascii="Times New Roman" w:hAnsi="Times New Roman" w:eastAsia="宋体" w:cs="Times New Roman"/>
                <w:color w:val="auto"/>
                <w:sz w:val="24"/>
                <w:highlight w:val="none"/>
                <w:lang w:val="zh-CN" w:eastAsia="zh-CN"/>
              </w:rPr>
              <w:t>状态。一般以煤的内在水分作为评定煤质的指标。煤化程度越低，煤的内部表面积越大，水分含量越高。</w:t>
            </w:r>
          </w:p>
          <w:p w14:paraId="0D45D758">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zh-CN" w:eastAsia="zh-CN"/>
              </w:rPr>
              <w:t>灰分</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zh-CN" w:eastAsia="zh-CN"/>
              </w:rPr>
              <w:t>是指煤在规定条件下完全燃烧后剩下的固体残渣。它是煤中的矿物质经过氧化、分解而来。</w:t>
            </w:r>
          </w:p>
          <w:p w14:paraId="3B128BAC">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灰分对煤的加工利用极为不利。在评价煤的工业用途时，必须分析灰成分，测定灰熔点。</w:t>
            </w:r>
          </w:p>
          <w:p w14:paraId="52ACE4DF">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3）</w:t>
            </w:r>
            <w:r>
              <w:rPr>
                <w:rFonts w:hint="default" w:ascii="Times New Roman" w:hAnsi="Times New Roman" w:eastAsia="宋体" w:cs="Times New Roman"/>
                <w:color w:val="auto"/>
                <w:sz w:val="24"/>
                <w:highlight w:val="none"/>
                <w:lang w:val="zh-CN" w:eastAsia="zh-CN"/>
              </w:rPr>
              <w:t>挥发分</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zh-CN" w:eastAsia="zh-CN"/>
              </w:rPr>
              <w:t>指煤中的有机物质受热分解产生的可燃性气体。它是对煤</w:t>
            </w:r>
            <w:r>
              <w:rPr>
                <w:rFonts w:hint="default" w:ascii="Times New Roman" w:hAnsi="Times New Roman" w:cs="Times New Roman"/>
                <w:color w:val="auto"/>
                <w:sz w:val="24"/>
                <w:highlight w:val="none"/>
                <w:lang w:val="zh-CN" w:eastAsia="zh-CN"/>
              </w:rPr>
              <w:t>进行</w:t>
            </w:r>
            <w:r>
              <w:rPr>
                <w:rFonts w:hint="default" w:ascii="Times New Roman" w:hAnsi="Times New Roman" w:eastAsia="宋体" w:cs="Times New Roman"/>
                <w:color w:val="auto"/>
                <w:sz w:val="24"/>
                <w:highlight w:val="none"/>
                <w:lang w:val="zh-CN" w:eastAsia="zh-CN"/>
              </w:rPr>
              <w:t>分类的主要指标，并被用来初步确定煤的加工利用性。</w:t>
            </w:r>
          </w:p>
          <w:p w14:paraId="559F5B0D">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煤的挥发分产率与煤化程度有密切关系，煤化程度越低，挥发分越高，随着煤化程度加深，挥发分逐渐降低。</w:t>
            </w:r>
          </w:p>
          <w:p w14:paraId="3985F50B">
            <w:pPr>
              <w:spacing w:line="360" w:lineRule="auto"/>
              <w:ind w:firstLine="480" w:firstLineChars="200"/>
              <w:rPr>
                <w:rFonts w:hint="default" w:ascii="Times New Roman" w:hAnsi="Times New Roman" w:eastAsia="宋体" w:cs="Times New Roman"/>
                <w:color w:val="auto"/>
                <w:sz w:val="24"/>
                <w:highlight w:val="none"/>
                <w:lang w:val="zh-CN" w:eastAsia="zh-CN"/>
              </w:rPr>
            </w:pPr>
            <w:r>
              <w:rPr>
                <w:rFonts w:hint="default"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lang w:val="zh-CN" w:eastAsia="zh-CN"/>
              </w:rPr>
              <w:t>固定碳</w:t>
            </w:r>
            <w:r>
              <w:rPr>
                <w:rFonts w:hint="default"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zh-CN" w:eastAsia="zh-CN"/>
              </w:rPr>
              <w:t>测定煤的挥发分时，剩下的不挥发物称为焦渣。焦渣减去灰分称为固定碳。它是煤中不挥发的固体可燃物，焦渣的外观与煤中有机质的性质有密切关系。因此，根据焦渣的外观特征，可以定性地判断煤的粘结性和工业用途。</w:t>
            </w:r>
          </w:p>
          <w:p w14:paraId="5511EAC9">
            <w:pPr>
              <w:pStyle w:val="74"/>
              <w:keepNext w:val="0"/>
              <w:keepLines w:val="0"/>
              <w:pageBreakBefore w:val="0"/>
              <w:numPr>
                <w:ilvl w:val="0"/>
                <w:numId w:val="0"/>
              </w:numPr>
              <w:kinsoku/>
              <w:wordWrap/>
              <w:overflowPunct/>
              <w:topLinePunct w:val="0"/>
              <w:autoSpaceDE/>
              <w:autoSpaceDN/>
              <w:bidi w:val="0"/>
              <w:adjustRightInd/>
              <w:snapToGrid/>
              <w:spacing w:line="360" w:lineRule="auto"/>
              <w:ind w:firstLine="482" w:firstLineChars="200"/>
              <w:rPr>
                <w:rFonts w:hint="default" w:ascii="Times New Roman" w:hAnsi="Times New Roman" w:eastAsia="宋体" w:cs="Times New Roman"/>
                <w:b/>
                <w:color w:val="auto"/>
                <w:sz w:val="24"/>
              </w:rPr>
            </w:pPr>
            <w:r>
              <w:rPr>
                <w:rFonts w:hint="eastAsia" w:cs="Times New Roman"/>
                <w:b/>
                <w:color w:val="auto"/>
                <w:sz w:val="24"/>
                <w:lang w:val="en-US" w:eastAsia="zh-CN"/>
              </w:rPr>
              <w:t>7</w:t>
            </w:r>
            <w:r>
              <w:rPr>
                <w:rFonts w:hint="eastAsia" w:ascii="Times New Roman" w:hAnsi="Times New Roman" w:eastAsia="宋体" w:cs="Times New Roman"/>
                <w:b/>
                <w:color w:val="auto"/>
                <w:sz w:val="24"/>
                <w:lang w:val="en-US" w:eastAsia="zh-CN"/>
              </w:rPr>
              <w:t>、</w:t>
            </w:r>
            <w:r>
              <w:rPr>
                <w:rFonts w:hint="default" w:ascii="Times New Roman" w:hAnsi="Times New Roman" w:eastAsia="宋体" w:cs="Times New Roman"/>
                <w:b/>
                <w:color w:val="auto"/>
                <w:sz w:val="24"/>
              </w:rPr>
              <w:t>劳动定员及工作制度</w:t>
            </w:r>
          </w:p>
          <w:p w14:paraId="13CD0EF2">
            <w:pPr>
              <w:pStyle w:val="77"/>
              <w:keepNext w:val="0"/>
              <w:keepLines w:val="0"/>
              <w:pageBreakBefore w:val="0"/>
              <w:kinsoku/>
              <w:wordWrap/>
              <w:overflowPunct/>
              <w:topLinePunct w:val="0"/>
              <w:autoSpaceDE/>
              <w:autoSpaceDN/>
              <w:bidi w:val="0"/>
              <w:adjustRightInd/>
              <w:snapToGrid/>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本项目建成后年运行</w:t>
            </w:r>
            <w:r>
              <w:rPr>
                <w:rFonts w:hint="default" w:ascii="Times New Roman" w:hAnsi="Times New Roman" w:eastAsia="宋体" w:cs="Times New Roman"/>
                <w:color w:val="auto"/>
                <w:lang w:val="en-US" w:eastAsia="zh-CN"/>
              </w:rPr>
              <w:t>3</w:t>
            </w:r>
            <w:r>
              <w:rPr>
                <w:rFonts w:hint="eastAsia" w:ascii="Times New Roman" w:hAnsi="Times New Roman" w:cs="Times New Roman"/>
                <w:color w:val="auto"/>
                <w:lang w:val="en-US" w:eastAsia="zh-CN"/>
              </w:rPr>
              <w:t>0</w:t>
            </w:r>
            <w:r>
              <w:rPr>
                <w:rFonts w:hint="default" w:ascii="Times New Roman" w:hAnsi="Times New Roman" w:eastAsia="宋体" w:cs="Times New Roman"/>
                <w:color w:val="auto"/>
                <w:lang w:val="en-US" w:eastAsia="zh-CN"/>
              </w:rPr>
              <w:t>0</w:t>
            </w:r>
            <w:r>
              <w:rPr>
                <w:rFonts w:hint="default" w:ascii="Times New Roman" w:hAnsi="Times New Roman" w:eastAsia="宋体" w:cs="Times New Roman"/>
                <w:color w:val="auto"/>
              </w:rPr>
              <w:t>天，劳动定员</w:t>
            </w:r>
            <w:r>
              <w:rPr>
                <w:rFonts w:hint="eastAsia" w:ascii="Times New Roman" w:hAnsi="Times New Roman" w:cs="Times New Roman"/>
                <w:color w:val="auto"/>
                <w:lang w:val="en-US" w:eastAsia="zh-CN"/>
              </w:rPr>
              <w:t>9</w:t>
            </w:r>
            <w:r>
              <w:rPr>
                <w:rFonts w:hint="default" w:ascii="Times New Roman" w:hAnsi="Times New Roman" w:eastAsia="宋体" w:cs="Times New Roman"/>
                <w:color w:val="auto"/>
              </w:rPr>
              <w:t>人，</w:t>
            </w:r>
            <w:r>
              <w:rPr>
                <w:rFonts w:hint="default" w:ascii="Times New Roman" w:hAnsi="Times New Roman" w:eastAsia="宋体" w:cs="Times New Roman"/>
                <w:color w:val="auto"/>
                <w:szCs w:val="24"/>
              </w:rPr>
              <w:t>8h/d，2400h/a。</w:t>
            </w:r>
          </w:p>
          <w:p w14:paraId="6843E90F">
            <w:pPr>
              <w:pStyle w:val="74"/>
              <w:adjustRightInd w:val="0"/>
              <w:snapToGrid w:val="0"/>
              <w:spacing w:line="360" w:lineRule="auto"/>
              <w:ind w:firstLine="482" w:firstLineChars="200"/>
              <w:rPr>
                <w:rFonts w:hint="default" w:ascii="Times New Roman" w:hAnsi="Times New Roman" w:eastAsia="宋体" w:cs="Times New Roman"/>
                <w:b/>
                <w:color w:val="auto"/>
                <w:sz w:val="24"/>
              </w:rPr>
            </w:pPr>
            <w:r>
              <w:rPr>
                <w:rFonts w:hint="eastAsia" w:cs="Times New Roman"/>
                <w:b/>
                <w:color w:val="auto"/>
                <w:sz w:val="24"/>
                <w:lang w:val="en-US" w:eastAsia="zh-CN"/>
              </w:rPr>
              <w:t>8</w:t>
            </w:r>
            <w:r>
              <w:rPr>
                <w:rFonts w:hint="default" w:ascii="Times New Roman" w:hAnsi="Times New Roman" w:eastAsia="宋体" w:cs="Times New Roman"/>
                <w:b/>
                <w:color w:val="auto"/>
                <w:sz w:val="24"/>
                <w:lang w:eastAsia="zh-Hans"/>
              </w:rPr>
              <w:t>、</w:t>
            </w:r>
            <w:r>
              <w:rPr>
                <w:rFonts w:hint="default" w:ascii="Times New Roman" w:hAnsi="Times New Roman" w:eastAsia="宋体" w:cs="Times New Roman"/>
                <w:b/>
                <w:color w:val="auto"/>
                <w:sz w:val="24"/>
              </w:rPr>
              <w:t>公用工程</w:t>
            </w:r>
          </w:p>
          <w:p w14:paraId="0F3FB8BA">
            <w:pPr>
              <w:spacing w:line="360" w:lineRule="auto"/>
              <w:ind w:firstLine="480" w:firstLineChars="200"/>
              <w:rPr>
                <w:rFonts w:hint="default" w:ascii="Times New Roman" w:hAnsi="Times New Roman" w:eastAsia="宋体" w:cs="Times New Roman"/>
                <w:color w:val="auto"/>
                <w:kern w:val="0"/>
                <w:sz w:val="24"/>
              </w:rPr>
            </w:pPr>
            <w:r>
              <w:rPr>
                <w:rFonts w:hint="eastAsia" w:cs="Times New Roman"/>
                <w:color w:val="auto"/>
                <w:kern w:val="0"/>
                <w:sz w:val="24"/>
                <w:lang w:eastAsia="zh-CN"/>
              </w:rPr>
              <w:t>（</w:t>
            </w:r>
            <w:r>
              <w:rPr>
                <w:rFonts w:hint="eastAsia" w:cs="Times New Roman"/>
                <w:color w:val="auto"/>
                <w:kern w:val="0"/>
                <w:sz w:val="24"/>
                <w:lang w:val="en-US" w:eastAsia="zh-CN"/>
              </w:rPr>
              <w:t>1</w:t>
            </w:r>
            <w:r>
              <w:rPr>
                <w:rFonts w:hint="eastAsia" w:cs="Times New Roman"/>
                <w:color w:val="auto"/>
                <w:kern w:val="0"/>
                <w:sz w:val="24"/>
                <w:lang w:eastAsia="zh-CN"/>
              </w:rPr>
              <w:t>）</w:t>
            </w:r>
            <w:r>
              <w:rPr>
                <w:rFonts w:hint="default" w:ascii="Times New Roman" w:hAnsi="Times New Roman" w:eastAsia="宋体" w:cs="Times New Roman"/>
                <w:color w:val="auto"/>
                <w:kern w:val="0"/>
                <w:sz w:val="24"/>
              </w:rPr>
              <w:t>供热</w:t>
            </w:r>
          </w:p>
          <w:p w14:paraId="588F5F16">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rPr>
              <w:t>本项目生产区无需供暖，办公区冬季</w:t>
            </w:r>
            <w:r>
              <w:rPr>
                <w:rFonts w:hint="eastAsia" w:cs="Times New Roman"/>
                <w:color w:val="auto"/>
                <w:kern w:val="0"/>
                <w:sz w:val="24"/>
                <w:lang w:eastAsia="zh-CN"/>
              </w:rPr>
              <w:t>供</w:t>
            </w:r>
            <w:r>
              <w:rPr>
                <w:rFonts w:hint="default" w:ascii="Times New Roman" w:hAnsi="Times New Roman" w:eastAsia="宋体" w:cs="Times New Roman"/>
                <w:color w:val="auto"/>
                <w:kern w:val="0"/>
                <w:sz w:val="24"/>
              </w:rPr>
              <w:t>暖采用电</w:t>
            </w:r>
            <w:r>
              <w:rPr>
                <w:rFonts w:hint="eastAsia" w:cs="Times New Roman"/>
                <w:color w:val="auto"/>
                <w:kern w:val="0"/>
                <w:sz w:val="24"/>
                <w:lang w:eastAsia="zh-CN"/>
              </w:rPr>
              <w:t>供</w:t>
            </w:r>
            <w:r>
              <w:rPr>
                <w:rFonts w:hint="default" w:ascii="Times New Roman" w:hAnsi="Times New Roman" w:eastAsia="宋体" w:cs="Times New Roman"/>
                <w:color w:val="auto"/>
                <w:kern w:val="0"/>
                <w:sz w:val="24"/>
              </w:rPr>
              <w:t>暖。</w:t>
            </w:r>
          </w:p>
          <w:p w14:paraId="7FA3C067">
            <w:pPr>
              <w:spacing w:line="360" w:lineRule="auto"/>
              <w:ind w:firstLine="480" w:firstLineChars="200"/>
              <w:rPr>
                <w:rFonts w:hint="default" w:ascii="Times New Roman" w:hAnsi="Times New Roman" w:eastAsia="宋体" w:cs="Times New Roman"/>
                <w:color w:val="auto"/>
                <w:kern w:val="0"/>
                <w:sz w:val="24"/>
              </w:rPr>
            </w:pPr>
            <w:r>
              <w:rPr>
                <w:rFonts w:hint="eastAsia" w:cs="Times New Roman"/>
                <w:color w:val="auto"/>
                <w:kern w:val="0"/>
                <w:sz w:val="24"/>
                <w:lang w:eastAsia="zh-CN"/>
              </w:rPr>
              <w:t>（</w:t>
            </w:r>
            <w:r>
              <w:rPr>
                <w:rFonts w:hint="eastAsia" w:cs="Times New Roman"/>
                <w:color w:val="auto"/>
                <w:kern w:val="0"/>
                <w:sz w:val="24"/>
                <w:lang w:val="en-US" w:eastAsia="zh-CN"/>
              </w:rPr>
              <w:t>2</w:t>
            </w:r>
            <w:r>
              <w:rPr>
                <w:rFonts w:hint="eastAsia" w:cs="Times New Roman"/>
                <w:color w:val="auto"/>
                <w:kern w:val="0"/>
                <w:sz w:val="24"/>
                <w:lang w:eastAsia="zh-CN"/>
              </w:rPr>
              <w:t>）</w:t>
            </w:r>
            <w:r>
              <w:rPr>
                <w:rFonts w:hint="default" w:ascii="Times New Roman" w:hAnsi="Times New Roman" w:eastAsia="宋体" w:cs="Times New Roman"/>
                <w:color w:val="auto"/>
                <w:kern w:val="0"/>
                <w:sz w:val="24"/>
              </w:rPr>
              <w:t>供电</w:t>
            </w:r>
          </w:p>
          <w:p w14:paraId="38145604">
            <w:pPr>
              <w:pStyle w:val="71"/>
              <w:rPr>
                <w:rFonts w:hint="default" w:ascii="Times New Roman" w:hAnsi="Times New Roman" w:eastAsia="宋体" w:cs="Times New Roman"/>
                <w:color w:val="auto"/>
                <w:szCs w:val="22"/>
              </w:rPr>
            </w:pPr>
            <w:r>
              <w:rPr>
                <w:rFonts w:hint="default" w:ascii="Times New Roman" w:hAnsi="Times New Roman" w:eastAsia="宋体" w:cs="Times New Roman"/>
                <w:color w:val="auto"/>
                <w:kern w:val="0"/>
              </w:rPr>
              <w:t>本项目用</w:t>
            </w:r>
            <w:r>
              <w:rPr>
                <w:rFonts w:hint="default" w:ascii="Times New Roman" w:hAnsi="Times New Roman" w:eastAsia="宋体" w:cs="Times New Roman"/>
                <w:color w:val="auto"/>
                <w:kern w:val="0"/>
                <w:highlight w:val="none"/>
              </w:rPr>
              <w:t>电由鸡西矿业集团正阳煤矿电力公司提供，可满足项</w:t>
            </w:r>
            <w:r>
              <w:rPr>
                <w:rFonts w:hint="default" w:ascii="Times New Roman" w:hAnsi="Times New Roman" w:eastAsia="宋体" w:cs="Times New Roman"/>
                <w:color w:val="auto"/>
                <w:kern w:val="0"/>
              </w:rPr>
              <w:t>目需求。</w:t>
            </w:r>
          </w:p>
          <w:p w14:paraId="038C8F70">
            <w:pPr>
              <w:spacing w:line="360" w:lineRule="auto"/>
              <w:ind w:firstLine="480" w:firstLineChars="200"/>
              <w:rPr>
                <w:rFonts w:hint="default" w:ascii="Times New Roman" w:hAnsi="Times New Roman" w:eastAsia="宋体" w:cs="Times New Roman"/>
                <w:color w:val="auto"/>
                <w:kern w:val="0"/>
                <w:sz w:val="24"/>
              </w:rPr>
            </w:pPr>
            <w:r>
              <w:rPr>
                <w:rFonts w:hint="eastAsia" w:cs="Times New Roman"/>
                <w:color w:val="auto"/>
                <w:kern w:val="0"/>
                <w:sz w:val="24"/>
                <w:lang w:eastAsia="zh-CN"/>
              </w:rPr>
              <w:t>（</w:t>
            </w:r>
            <w:r>
              <w:rPr>
                <w:rFonts w:hint="eastAsia" w:cs="Times New Roman"/>
                <w:color w:val="auto"/>
                <w:kern w:val="0"/>
                <w:sz w:val="24"/>
                <w:lang w:val="en-US" w:eastAsia="zh-CN"/>
              </w:rPr>
              <w:t>3</w:t>
            </w:r>
            <w:r>
              <w:rPr>
                <w:rFonts w:hint="eastAsia" w:cs="Times New Roman"/>
                <w:color w:val="auto"/>
                <w:kern w:val="0"/>
                <w:sz w:val="24"/>
                <w:lang w:eastAsia="zh-CN"/>
              </w:rPr>
              <w:t>）</w:t>
            </w:r>
            <w:r>
              <w:rPr>
                <w:rFonts w:hint="default" w:ascii="Times New Roman" w:hAnsi="Times New Roman" w:eastAsia="宋体" w:cs="Times New Roman"/>
                <w:color w:val="auto"/>
                <w:kern w:val="0"/>
                <w:sz w:val="24"/>
              </w:rPr>
              <w:t>给水</w:t>
            </w:r>
          </w:p>
          <w:p w14:paraId="24CFA365">
            <w:pPr>
              <w:keepNext w:val="0"/>
              <w:keepLines w:val="0"/>
              <w:pageBreakBefore w:val="0"/>
              <w:kinsoku/>
              <w:wordWrap/>
              <w:overflowPunct/>
              <w:topLinePunct w:val="0"/>
              <w:autoSpaceDE/>
              <w:autoSpaceDN/>
              <w:bidi w:val="0"/>
              <w:adjustRightInd/>
              <w:spacing w:line="360" w:lineRule="auto"/>
              <w:ind w:left="0" w:firstLine="480" w:firstLineChars="200"/>
              <w:textAlignment w:val="auto"/>
              <w:rPr>
                <w:rFonts w:hint="eastAsia" w:ascii="Times New Roman" w:hAnsi="Times New Roman" w:eastAsia="宋体" w:cs="Times New Roman"/>
                <w:color w:val="auto"/>
                <w:kern w:val="0"/>
                <w:sz w:val="24"/>
                <w:lang w:eastAsia="zh-CN"/>
              </w:rPr>
            </w:pPr>
            <w:r>
              <w:rPr>
                <w:rFonts w:hint="default" w:ascii="Times New Roman" w:hAnsi="Times New Roman" w:eastAsia="宋体" w:cs="Times New Roman"/>
                <w:color w:val="auto"/>
                <w:sz w:val="24"/>
              </w:rPr>
              <w:t>项目生活、生产用水来源为市政用水管网</w:t>
            </w:r>
            <w:r>
              <w:rPr>
                <w:rFonts w:hint="eastAsia" w:cs="Times New Roman"/>
                <w:color w:val="auto"/>
                <w:sz w:val="24"/>
                <w:lang w:eastAsia="zh-CN"/>
              </w:rPr>
              <w:t>。</w:t>
            </w:r>
          </w:p>
          <w:p w14:paraId="56C19D85">
            <w:pPr>
              <w:keepNext w:val="0"/>
              <w:keepLines w:val="0"/>
              <w:pageBreakBefore w:val="0"/>
              <w:numPr>
                <w:ilvl w:val="0"/>
                <w:numId w:val="0"/>
              </w:numPr>
              <w:kinsoku/>
              <w:wordWrap/>
              <w:overflowPunct/>
              <w:topLinePunct w:val="0"/>
              <w:autoSpaceDE/>
              <w:autoSpaceDN/>
              <w:bidi w:val="0"/>
              <w:adjustRightInd/>
              <w:spacing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①</w:t>
            </w:r>
            <w:r>
              <w:rPr>
                <w:rFonts w:hint="eastAsia" w:cs="Times New Roman"/>
                <w:color w:val="auto"/>
                <w:kern w:val="0"/>
                <w:sz w:val="24"/>
                <w:lang w:eastAsia="zh-CN"/>
              </w:rPr>
              <w:t>生活</w:t>
            </w:r>
            <w:r>
              <w:rPr>
                <w:rFonts w:hint="default" w:ascii="Times New Roman" w:hAnsi="Times New Roman" w:eastAsia="宋体" w:cs="Times New Roman"/>
                <w:color w:val="auto"/>
                <w:kern w:val="0"/>
                <w:sz w:val="24"/>
              </w:rPr>
              <w:t>用水</w:t>
            </w:r>
          </w:p>
          <w:p w14:paraId="7A5243C6">
            <w:pPr>
              <w:keepNext w:val="0"/>
              <w:keepLines w:val="0"/>
              <w:pageBreakBefore w:val="0"/>
              <w:kinsoku/>
              <w:wordWrap/>
              <w:overflowPunct/>
              <w:topLinePunct w:val="0"/>
              <w:autoSpaceDE/>
              <w:autoSpaceDN/>
              <w:bidi w:val="0"/>
              <w:adjustRightInd/>
              <w:spacing w:line="360" w:lineRule="auto"/>
              <w:ind w:left="0" w:firstLine="480" w:firstLineChars="200"/>
              <w:jc w:val="both"/>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本项目生活用水为员工生活用水，本项目职工人数为</w:t>
            </w:r>
            <w:r>
              <w:rPr>
                <w:rFonts w:hint="eastAsia" w:ascii="Times New Roman" w:hAnsi="Times New Roman" w:eastAsia="宋体" w:cs="Times New Roman"/>
                <w:color w:val="auto"/>
                <w:sz w:val="24"/>
                <w:lang w:val="en-US" w:eastAsia="zh-CN"/>
              </w:rPr>
              <w:t>9</w:t>
            </w:r>
            <w:r>
              <w:rPr>
                <w:rFonts w:hint="default" w:ascii="Times New Roman" w:hAnsi="Times New Roman" w:eastAsia="宋体" w:cs="Times New Roman"/>
                <w:color w:val="auto"/>
                <w:sz w:val="24"/>
              </w:rPr>
              <w:t>人，年工作300天，根据《黑龙江：用水定额》（DB23/T 727-2021），生活用水定额按80L/人•d计，则生活用水量为</w:t>
            </w:r>
            <w:r>
              <w:rPr>
                <w:rFonts w:hint="eastAsia" w:ascii="Times New Roman" w:hAnsi="Times New Roman" w:eastAsia="宋体" w:cs="Times New Roman"/>
                <w:color w:val="auto"/>
                <w:sz w:val="24"/>
                <w:lang w:val="en-US" w:eastAsia="zh-CN"/>
              </w:rPr>
              <w:t>0.72</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w:t>
            </w:r>
            <w:r>
              <w:rPr>
                <w:rFonts w:hint="eastAsia" w:ascii="Times New Roman" w:hAnsi="Times New Roman" w:eastAsia="宋体" w:cs="Times New Roman"/>
                <w:color w:val="auto"/>
                <w:sz w:val="24"/>
                <w:lang w:val="en-US" w:eastAsia="zh-CN"/>
              </w:rPr>
              <w:t>216</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/a）。</w:t>
            </w:r>
          </w:p>
          <w:p w14:paraId="07159E04">
            <w:pPr>
              <w:keepNext w:val="0"/>
              <w:keepLines w:val="0"/>
              <w:pageBreakBefore w:val="0"/>
              <w:numPr>
                <w:ilvl w:val="0"/>
                <w:numId w:val="0"/>
              </w:numPr>
              <w:kinsoku/>
              <w:wordWrap/>
              <w:overflowPunct/>
              <w:topLinePunct w:val="0"/>
              <w:autoSpaceDE/>
              <w:autoSpaceDN/>
              <w:bidi w:val="0"/>
              <w:adjustRightInd/>
              <w:spacing w:line="360" w:lineRule="auto"/>
              <w:ind w:left="0" w:leftChars="0"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②洒水降尘用水</w:t>
            </w:r>
          </w:p>
          <w:p w14:paraId="7F5BDCA9">
            <w:pPr>
              <w:pStyle w:val="2"/>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本项目洒水降尘用水主要为煤场洒水和道路洒水。</w:t>
            </w:r>
          </w:p>
          <w:p w14:paraId="104A0759">
            <w:pPr>
              <w:pStyle w:val="2"/>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煤场洒水：储煤场降尘洒水用水指标按</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rPr>
              <w:t>.0L/（m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·次）计，每天洒水1次，本项目储煤场面积</w:t>
            </w:r>
            <w:r>
              <w:rPr>
                <w:rFonts w:hint="eastAsia" w:cs="Times New Roman"/>
                <w:color w:val="auto"/>
                <w:sz w:val="24"/>
                <w:szCs w:val="24"/>
                <w:lang w:eastAsia="zh-CN"/>
              </w:rPr>
              <w:t>5000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，冬季无需进行洒水降尘，年用水180d，则每天用水量为</w:t>
            </w:r>
            <w:r>
              <w:rPr>
                <w:rFonts w:hint="eastAsia" w:cs="Times New Roman"/>
                <w:color w:val="auto"/>
                <w:sz w:val="24"/>
                <w:szCs w:val="24"/>
                <w:lang w:val="en-US" w:eastAsia="zh-CN"/>
              </w:rPr>
              <w:t>10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eastAsia" w:cs="Times New Roman"/>
                <w:color w:val="auto"/>
                <w:sz w:val="24"/>
                <w:szCs w:val="24"/>
                <w:lang w:val="en-US" w:eastAsia="zh-CN"/>
              </w:rPr>
              <w:t>1800</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p>
          <w:p w14:paraId="03A548A0">
            <w:pPr>
              <w:pStyle w:val="2"/>
              <w:keepNext w:val="0"/>
              <w:keepLines w:val="0"/>
              <w:pageBreakBefore w:val="0"/>
              <w:kinsoku/>
              <w:wordWrap/>
              <w:overflowPunct/>
              <w:topLinePunct w:val="0"/>
              <w:autoSpaceDE/>
              <w:autoSpaceDN/>
              <w:bidi w:val="0"/>
              <w:adjustRightInd/>
              <w:spacing w:before="0" w:after="0" w:line="360" w:lineRule="auto"/>
              <w:ind w:left="0" w:right="0"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道路洒水：本工程道路面积为</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rPr>
              <w:t>00m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，道路洒水用水指标按1.5L/m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·d计，冬季无需进行洒水降尘，年用水1</w:t>
            </w:r>
            <w:r>
              <w:rPr>
                <w:rFonts w:hint="eastAsia" w:cs="Times New Roman"/>
                <w:color w:val="auto"/>
                <w:sz w:val="24"/>
                <w:szCs w:val="24"/>
                <w:lang w:val="en-US" w:eastAsia="zh-CN"/>
              </w:rPr>
              <w:t>8</w:t>
            </w:r>
            <w:r>
              <w:rPr>
                <w:rFonts w:hint="default" w:ascii="Times New Roman" w:hAnsi="Times New Roman" w:eastAsia="宋体" w:cs="Times New Roman"/>
                <w:color w:val="auto"/>
                <w:sz w:val="24"/>
                <w:szCs w:val="24"/>
              </w:rPr>
              <w:t>0d，则本项目道路用水量约为</w:t>
            </w:r>
            <w:r>
              <w:rPr>
                <w:rFonts w:hint="eastAsia" w:cs="Times New Roman"/>
                <w:color w:val="auto"/>
                <w:sz w:val="24"/>
                <w:szCs w:val="24"/>
                <w:lang w:val="en-US" w:eastAsia="zh-CN"/>
              </w:rPr>
              <w:t>0.15</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/d（</w:t>
            </w:r>
            <w:r>
              <w:rPr>
                <w:rFonts w:hint="eastAsia" w:cs="Times New Roman"/>
                <w:color w:val="auto"/>
                <w:sz w:val="24"/>
                <w:szCs w:val="24"/>
                <w:lang w:val="en-US" w:eastAsia="zh-CN"/>
              </w:rPr>
              <w:t>27</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/a）。</w:t>
            </w:r>
          </w:p>
          <w:p w14:paraId="67A1A4EE">
            <w:pPr>
              <w:spacing w:line="360" w:lineRule="auto"/>
              <w:ind w:firstLine="480" w:firstLineChars="200"/>
              <w:rPr>
                <w:rFonts w:hint="default" w:ascii="Times New Roman" w:hAnsi="Times New Roman" w:eastAsia="宋体" w:cs="Times New Roman"/>
                <w:color w:val="auto"/>
                <w:kern w:val="0"/>
                <w:sz w:val="24"/>
              </w:rPr>
            </w:pPr>
            <w:r>
              <w:rPr>
                <w:rFonts w:hint="eastAsia" w:cs="Times New Roman"/>
                <w:color w:val="auto"/>
                <w:kern w:val="0"/>
                <w:sz w:val="24"/>
                <w:lang w:eastAsia="zh-CN"/>
              </w:rPr>
              <w:t>（</w:t>
            </w:r>
            <w:r>
              <w:rPr>
                <w:rFonts w:hint="eastAsia" w:cs="Times New Roman"/>
                <w:color w:val="auto"/>
                <w:kern w:val="0"/>
                <w:sz w:val="24"/>
                <w:lang w:val="en-US" w:eastAsia="zh-CN"/>
              </w:rPr>
              <w:t>4</w:t>
            </w:r>
            <w:r>
              <w:rPr>
                <w:rFonts w:hint="eastAsia" w:cs="Times New Roman"/>
                <w:color w:val="auto"/>
                <w:kern w:val="0"/>
                <w:sz w:val="24"/>
                <w:lang w:eastAsia="zh-CN"/>
              </w:rPr>
              <w:t>）</w:t>
            </w:r>
            <w:r>
              <w:rPr>
                <w:rFonts w:hint="default" w:ascii="Times New Roman" w:hAnsi="Times New Roman" w:eastAsia="宋体" w:cs="Times New Roman"/>
                <w:color w:val="auto"/>
                <w:kern w:val="0"/>
                <w:sz w:val="24"/>
              </w:rPr>
              <w:t>排水</w:t>
            </w:r>
          </w:p>
          <w:p w14:paraId="067E71B0">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kern w:val="0"/>
                <w:sz w:val="24"/>
              </w:rPr>
              <w:t>①</w:t>
            </w:r>
            <w:r>
              <w:rPr>
                <w:rFonts w:hint="default" w:ascii="Times New Roman" w:hAnsi="Times New Roman" w:eastAsia="宋体" w:cs="Times New Roman"/>
                <w:color w:val="auto"/>
                <w:sz w:val="24"/>
              </w:rPr>
              <w:t>生活污水</w:t>
            </w:r>
          </w:p>
          <w:p w14:paraId="35D030DD">
            <w:pPr>
              <w:spacing w:line="360" w:lineRule="auto"/>
              <w:ind w:firstLine="480" w:firstLineChars="200"/>
              <w:rPr>
                <w:rFonts w:hint="eastAsia" w:cs="Times New Roman"/>
                <w:color w:val="auto"/>
                <w:sz w:val="24"/>
                <w:highlight w:val="none"/>
                <w:lang w:eastAsia="zh-CN"/>
              </w:rPr>
            </w:pPr>
            <w:r>
              <w:rPr>
                <w:rFonts w:hint="default" w:ascii="Times New Roman" w:hAnsi="Times New Roman" w:eastAsia="宋体" w:cs="Times New Roman"/>
                <w:color w:val="auto"/>
                <w:sz w:val="24"/>
              </w:rPr>
              <w:t>本项目员工生活污水，排放量按用水量的80%计，约为</w:t>
            </w:r>
            <w:r>
              <w:rPr>
                <w:rFonts w:hint="eastAsia" w:cs="Times New Roman"/>
                <w:color w:val="auto"/>
                <w:sz w:val="24"/>
                <w:lang w:val="en-US" w:eastAsia="zh-CN"/>
              </w:rPr>
              <w:t>0.576</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/d，</w:t>
            </w:r>
            <w:r>
              <w:rPr>
                <w:rFonts w:hint="eastAsia" w:cs="Times New Roman"/>
                <w:color w:val="auto"/>
                <w:sz w:val="24"/>
                <w:lang w:val="en-US" w:eastAsia="zh-CN"/>
              </w:rPr>
              <w:t>172.8</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/a，</w:t>
            </w:r>
            <w:r>
              <w:rPr>
                <w:rFonts w:hint="eastAsia" w:ascii="Times New Roman" w:hAnsi="Times New Roman" w:eastAsia="宋体" w:cs="Times New Roman"/>
                <w:color w:val="auto"/>
                <w:sz w:val="24"/>
                <w:lang w:eastAsia="zh-CN"/>
              </w:rPr>
              <w:t>产生的</w:t>
            </w:r>
            <w:r>
              <w:rPr>
                <w:rFonts w:hint="eastAsia" w:cs="Times New Roman"/>
                <w:color w:val="auto"/>
                <w:sz w:val="24"/>
                <w:highlight w:val="none"/>
                <w:lang w:val="en-US" w:eastAsia="zh-CN"/>
              </w:rPr>
              <w:t>生活污水排入防渗旱厕，定期清掏，外运堆肥。</w:t>
            </w:r>
          </w:p>
          <w:p w14:paraId="33AC9359">
            <w:pPr>
              <w:spacing w:line="360" w:lineRule="auto"/>
              <w:ind w:firstLine="480" w:firstLineChars="200"/>
              <w:rPr>
                <w:rFonts w:hint="eastAsia" w:ascii="Times New Roman" w:hAnsi="Times New Roman" w:eastAsia="宋体" w:cs="Times New Roman"/>
                <w:color w:val="auto"/>
                <w:sz w:val="24"/>
                <w:lang w:eastAsia="zh-CN"/>
              </w:rPr>
            </w:pPr>
            <w:r>
              <w:rPr>
                <w:rFonts w:hint="eastAsia" w:cs="Times New Roman"/>
                <w:color w:val="auto"/>
                <w:sz w:val="24"/>
                <w:lang w:eastAsia="zh-CN"/>
              </w:rPr>
              <w:t>②</w:t>
            </w:r>
            <w:r>
              <w:rPr>
                <w:rFonts w:hint="default" w:ascii="Times New Roman" w:hAnsi="Times New Roman" w:eastAsia="宋体" w:cs="Times New Roman"/>
                <w:color w:val="auto"/>
                <w:sz w:val="24"/>
              </w:rPr>
              <w:t>初期雨水</w:t>
            </w:r>
          </w:p>
          <w:p w14:paraId="0993BBAD">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以厂区面积</w:t>
            </w:r>
            <w:r>
              <w:rPr>
                <w:rFonts w:hint="eastAsia" w:cs="Times New Roman"/>
                <w:color w:val="auto"/>
                <w:sz w:val="24"/>
                <w:lang w:val="en-US" w:eastAsia="zh-CN"/>
              </w:rPr>
              <w:t>10558</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计，厂区地面硬化，厂区四周设置雨水收集渠，收集雨水进入雨水收集池，经沉淀后用于洒水降尘。</w:t>
            </w:r>
          </w:p>
          <w:p w14:paraId="6BE97123">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雨水按照暴雨强度公式，进而推出雨水汇水量，暴雨强度根据软件计算：</w:t>
            </w:r>
          </w:p>
          <w:p w14:paraId="301A33EE">
            <w:pPr>
              <w:spacing w:line="360" w:lineRule="auto"/>
              <w:ind w:firstLine="480"/>
              <w:rPr>
                <w:rFonts w:hint="eastAsia" w:cs="Times New Roman"/>
                <w:color w:val="auto"/>
                <w:sz w:val="24"/>
                <w:lang w:eastAsia="zh-CN"/>
              </w:rPr>
            </w:pPr>
            <w:r>
              <w:rPr>
                <w:rFonts w:hint="default" w:ascii="Times New Roman" w:hAnsi="Times New Roman" w:eastAsia="宋体" w:cs="Times New Roman"/>
                <w:color w:val="auto"/>
                <w:sz w:val="24"/>
              </w:rPr>
              <w:t>鸡西市暴雨强度公式（修订）：</w:t>
            </w:r>
          </w:p>
          <w:p w14:paraId="7B8DDA97">
            <w:pPr>
              <w:pStyle w:val="40"/>
              <w:keepNext w:val="0"/>
              <w:keepLines w:val="0"/>
              <w:pageBreakBefore w:val="0"/>
              <w:widowControl w:val="0"/>
              <w:kinsoku/>
              <w:wordWrap/>
              <w:overflowPunct/>
              <w:topLinePunct w:val="0"/>
              <w:autoSpaceDE/>
              <w:autoSpaceDN/>
              <w:bidi w:val="0"/>
              <w:adjustRightInd w:val="0"/>
              <w:snapToGrid w:val="0"/>
              <w:ind w:left="0" w:leftChars="0" w:firstLine="1200" w:firstLineChars="500"/>
              <w:textAlignment w:val="baseline"/>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暴雨强度为171.46</w:t>
            </w:r>
            <w:r>
              <w:rPr>
                <w:rFonts w:hint="default" w:ascii="Times New Roman" w:hAnsi="Times New Roman" w:eastAsia="宋体" w:cs="Times New Roman"/>
                <w:color w:val="auto"/>
                <w:sz w:val="24"/>
              </w:rPr>
              <w:t>L/</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sz w:val="24"/>
              </w:rPr>
              <w:t>s</w:t>
            </w:r>
            <w:r>
              <w:rPr>
                <w:rFonts w:hint="eastAsia" w:ascii="Times New Roman" w:hAnsi="Times New Roman" w:cs="Times New Roman"/>
                <w:color w:val="auto"/>
                <w:sz w:val="24"/>
                <w:lang w:val="en-US" w:eastAsia="zh-CN"/>
              </w:rPr>
              <w:t>·ha</w:t>
            </w:r>
            <w:r>
              <w:rPr>
                <w:rFonts w:hint="eastAsia" w:ascii="Times New Roman" w:hAnsi="Times New Roman" w:cs="Times New Roman"/>
                <w:color w:val="auto"/>
                <w:sz w:val="24"/>
                <w:lang w:eastAsia="zh-CN"/>
              </w:rPr>
              <w:t>）</w:t>
            </w:r>
          </w:p>
          <w:p w14:paraId="6C651EC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雨水流量按下式计算：</w:t>
            </w:r>
          </w:p>
          <w:p w14:paraId="13138917">
            <w:pPr>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Q=q•ψ•F=</w:t>
            </w:r>
            <w:r>
              <w:rPr>
                <w:rFonts w:hint="eastAsia" w:cs="Times New Roman"/>
                <w:color w:val="auto"/>
                <w:sz w:val="24"/>
                <w:lang w:val="en-US" w:eastAsia="zh-CN"/>
              </w:rPr>
              <w:t>171.46</w:t>
            </w:r>
            <w:r>
              <w:rPr>
                <w:rFonts w:hint="default" w:ascii="Times New Roman" w:hAnsi="Times New Roman" w:eastAsia="宋体" w:cs="Times New Roman"/>
                <w:color w:val="auto"/>
                <w:sz w:val="24"/>
              </w:rPr>
              <w:t>L/s•ha×0.9×</w:t>
            </w:r>
            <w:r>
              <w:rPr>
                <w:rFonts w:hint="eastAsia" w:cs="Times New Roman"/>
                <w:color w:val="auto"/>
                <w:sz w:val="24"/>
                <w:lang w:val="en-US" w:eastAsia="zh-CN"/>
              </w:rPr>
              <w:t>1.0558</w:t>
            </w:r>
            <w:r>
              <w:rPr>
                <w:rFonts w:hint="default" w:ascii="Times New Roman" w:hAnsi="Times New Roman" w:eastAsia="宋体" w:cs="Times New Roman"/>
                <w:color w:val="auto"/>
                <w:sz w:val="24"/>
              </w:rPr>
              <w:t>ha=</w:t>
            </w:r>
            <w:r>
              <w:rPr>
                <w:rFonts w:hint="eastAsia" w:cs="Times New Roman"/>
                <w:color w:val="auto"/>
                <w:sz w:val="24"/>
                <w:lang w:val="en-US" w:eastAsia="zh-CN"/>
              </w:rPr>
              <w:t>162.93</w:t>
            </w:r>
            <w:r>
              <w:rPr>
                <w:rFonts w:hint="default" w:ascii="Times New Roman" w:hAnsi="Times New Roman" w:eastAsia="宋体" w:cs="Times New Roman"/>
                <w:color w:val="auto"/>
                <w:sz w:val="24"/>
              </w:rPr>
              <w:t>L/s</w:t>
            </w:r>
          </w:p>
          <w:p w14:paraId="468EE927">
            <w:pPr>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Q─雨水设计流量（</w:t>
            </w:r>
            <w:r>
              <w:rPr>
                <w:rFonts w:hint="eastAsia" w:cs="Times New Roman"/>
                <w:color w:val="auto"/>
                <w:sz w:val="24"/>
                <w:lang w:val="en-US" w:eastAsia="zh-CN"/>
              </w:rPr>
              <w:t>L</w:t>
            </w:r>
            <w:r>
              <w:rPr>
                <w:rFonts w:hint="default" w:ascii="Times New Roman" w:hAnsi="Times New Roman" w:eastAsia="宋体" w:cs="Times New Roman"/>
                <w:color w:val="auto"/>
                <w:sz w:val="24"/>
              </w:rPr>
              <w:t>/s）；</w:t>
            </w:r>
          </w:p>
          <w:p w14:paraId="4225CD1B">
            <w:pPr>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ψ─径流系数，</w:t>
            </w:r>
            <w:r>
              <w:rPr>
                <w:rFonts w:hint="default" w:ascii="Times New Roman" w:hAnsi="Times New Roman" w:cs="Times New Roman"/>
                <w:color w:val="auto"/>
                <w:sz w:val="24"/>
                <w:lang w:eastAsia="zh-CN"/>
              </w:rPr>
              <w:t>本项目场地结构为水泥地，</w:t>
            </w:r>
            <w:r>
              <w:rPr>
                <w:rFonts w:hint="default" w:ascii="Times New Roman" w:hAnsi="Times New Roman" w:eastAsia="宋体" w:cs="Times New Roman"/>
                <w:color w:val="auto"/>
                <w:sz w:val="24"/>
              </w:rPr>
              <w:t>取ψ=0.9；</w:t>
            </w:r>
          </w:p>
          <w:p w14:paraId="35B1B05B">
            <w:pPr>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F─汇水面积（ha），汇水面积取</w:t>
            </w:r>
            <w:r>
              <w:rPr>
                <w:rFonts w:hint="eastAsia" w:cs="Times New Roman"/>
                <w:color w:val="auto"/>
                <w:sz w:val="24"/>
                <w:lang w:val="en-US" w:eastAsia="zh-CN"/>
              </w:rPr>
              <w:t>厂区</w:t>
            </w:r>
            <w:r>
              <w:rPr>
                <w:rFonts w:hint="default" w:ascii="Times New Roman" w:hAnsi="Times New Roman" w:eastAsia="宋体" w:cs="Times New Roman"/>
                <w:color w:val="auto"/>
                <w:sz w:val="24"/>
              </w:rPr>
              <w:t>面积为</w:t>
            </w:r>
            <w:r>
              <w:rPr>
                <w:rFonts w:hint="eastAsia" w:cs="Times New Roman"/>
                <w:color w:val="auto"/>
                <w:sz w:val="24"/>
                <w:lang w:val="en-US" w:eastAsia="zh-CN"/>
              </w:rPr>
              <w:t>1.0558</w:t>
            </w:r>
            <w:r>
              <w:rPr>
                <w:rFonts w:hint="default" w:ascii="Times New Roman" w:hAnsi="Times New Roman" w:eastAsia="宋体" w:cs="Times New Roman"/>
                <w:color w:val="auto"/>
                <w:sz w:val="24"/>
              </w:rPr>
              <w:t>ha；</w:t>
            </w:r>
          </w:p>
          <w:p w14:paraId="612585E8">
            <w:pPr>
              <w:spacing w:line="360" w:lineRule="auto"/>
              <w:ind w:firstLine="1200" w:firstLineChars="500"/>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q—暴雨量，L/s·ha</w:t>
            </w:r>
            <w:r>
              <w:rPr>
                <w:rFonts w:hint="eastAsia" w:cs="Times New Roman"/>
                <w:color w:val="auto"/>
                <w:sz w:val="24"/>
                <w:lang w:eastAsia="zh-CN"/>
              </w:rPr>
              <w:t>；</w:t>
            </w:r>
          </w:p>
          <w:p w14:paraId="6947E630">
            <w:pPr>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V=</w:t>
            </w:r>
            <w:r>
              <w:rPr>
                <w:rFonts w:hint="eastAsia" w:cs="Times New Roman"/>
                <w:color w:val="auto"/>
                <w:sz w:val="24"/>
                <w:lang w:val="en-US" w:eastAsia="zh-CN"/>
              </w:rPr>
              <w:t>162.93</w:t>
            </w:r>
            <w:r>
              <w:rPr>
                <w:rFonts w:hint="default" w:ascii="Times New Roman" w:hAnsi="Times New Roman" w:eastAsia="宋体" w:cs="Times New Roman"/>
                <w:color w:val="auto"/>
                <w:sz w:val="24"/>
              </w:rPr>
              <w:t>L/s×900s/1000=</w:t>
            </w:r>
            <w:r>
              <w:rPr>
                <w:rFonts w:hint="eastAsia" w:cs="Times New Roman"/>
                <w:color w:val="auto"/>
                <w:sz w:val="24"/>
                <w:lang w:val="en-US" w:eastAsia="zh-CN"/>
              </w:rPr>
              <w:t>146.637</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p>
          <w:p w14:paraId="4D420B4D">
            <w:pPr>
              <w:spacing w:line="360" w:lineRule="auto"/>
              <w:ind w:firstLine="480" w:firstLineChars="200"/>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暴雨情况下，初期雨水15min汇水量为</w:t>
            </w:r>
            <w:r>
              <w:rPr>
                <w:rFonts w:hint="eastAsia" w:cs="Times New Roman"/>
                <w:color w:val="auto"/>
                <w:sz w:val="24"/>
                <w:lang w:val="en-US" w:eastAsia="zh-CN"/>
              </w:rPr>
              <w:t>146.637</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，根据厂区地势，</w:t>
            </w:r>
            <w:r>
              <w:rPr>
                <w:rFonts w:hint="eastAsia" w:cs="Times New Roman"/>
                <w:color w:val="auto"/>
                <w:sz w:val="24"/>
                <w:lang w:eastAsia="zh-CN"/>
              </w:rPr>
              <w:t>进入厂区西北侧</w:t>
            </w:r>
            <w:r>
              <w:rPr>
                <w:rFonts w:hint="default" w:ascii="Times New Roman" w:hAnsi="Times New Roman" w:cs="Times New Roman"/>
                <w:color w:val="auto"/>
                <w:sz w:val="24"/>
                <w:lang w:eastAsia="zh-CN"/>
              </w:rPr>
              <w:t>修建容积</w:t>
            </w:r>
            <w:r>
              <w:rPr>
                <w:rFonts w:hint="eastAsia" w:cs="Times New Roman"/>
                <w:color w:val="auto"/>
                <w:sz w:val="24"/>
                <w:lang w:val="en-US" w:eastAsia="zh-CN"/>
              </w:rPr>
              <w:t>180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eastAsia" w:cs="Times New Roman"/>
                <w:color w:val="auto"/>
                <w:sz w:val="24"/>
                <w:highlight w:val="none"/>
                <w:vertAlign w:val="baseline"/>
                <w:lang w:eastAsia="zh-CN"/>
              </w:rPr>
              <w:t>雨水</w:t>
            </w:r>
            <w:r>
              <w:rPr>
                <w:rFonts w:hint="eastAsia" w:cs="Times New Roman"/>
                <w:color w:val="auto"/>
                <w:sz w:val="24"/>
                <w:highlight w:val="none"/>
                <w:lang w:eastAsia="zh-CN"/>
              </w:rPr>
              <w:t>收集</w:t>
            </w:r>
            <w:r>
              <w:rPr>
                <w:rFonts w:hint="default" w:ascii="Times New Roman" w:hAnsi="Times New Roman" w:eastAsia="宋体" w:cs="Times New Roman"/>
                <w:color w:val="auto"/>
                <w:sz w:val="24"/>
                <w:highlight w:val="none"/>
              </w:rPr>
              <w:t>池</w:t>
            </w:r>
            <w:r>
              <w:rPr>
                <w:rFonts w:hint="eastAsia" w:cs="Times New Roman"/>
                <w:color w:val="auto"/>
                <w:sz w:val="24"/>
                <w:highlight w:val="none"/>
                <w:lang w:eastAsia="zh-CN"/>
              </w:rPr>
              <w:t>，</w:t>
            </w:r>
            <w:r>
              <w:rPr>
                <w:rFonts w:hint="default" w:ascii="Times New Roman" w:hAnsi="Times New Roman" w:eastAsia="宋体" w:cs="Times New Roman"/>
                <w:color w:val="auto"/>
                <w:sz w:val="24"/>
              </w:rPr>
              <w:t>暴雨天数按5次/年计算，每年最大雨水量为</w:t>
            </w:r>
            <w:r>
              <w:rPr>
                <w:rFonts w:hint="eastAsia" w:cs="Times New Roman"/>
                <w:color w:val="auto"/>
                <w:sz w:val="24"/>
                <w:lang w:val="en-US" w:eastAsia="zh-CN"/>
              </w:rPr>
              <w:t>733.185</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/a</w:t>
            </w:r>
            <w:r>
              <w:rPr>
                <w:rFonts w:hint="eastAsia" w:cs="Times New Roman"/>
                <w:color w:val="auto"/>
                <w:sz w:val="24"/>
                <w:lang w:eastAsia="zh-CN"/>
              </w:rPr>
              <w:t>。</w:t>
            </w:r>
          </w:p>
          <w:p w14:paraId="3CFE4EC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cs="Times New Roman"/>
                <w:color w:val="auto"/>
                <w:sz w:val="24"/>
                <w:lang w:eastAsia="zh-CN"/>
              </w:rPr>
            </w:pPr>
            <w:r>
              <w:rPr>
                <w:color w:val="auto"/>
              </w:rPr>
              <w:drawing>
                <wp:inline distT="0" distB="0" distL="114300" distR="114300">
                  <wp:extent cx="4791075" cy="4610100"/>
                  <wp:effectExtent l="0" t="0" r="9525" b="0"/>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11"/>
                          <a:stretch>
                            <a:fillRect/>
                          </a:stretch>
                        </pic:blipFill>
                        <pic:spPr>
                          <a:xfrm>
                            <a:off x="0" y="0"/>
                            <a:ext cx="4791075" cy="4610100"/>
                          </a:xfrm>
                          <a:prstGeom prst="rect">
                            <a:avLst/>
                          </a:prstGeom>
                          <a:noFill/>
                          <a:ln>
                            <a:noFill/>
                          </a:ln>
                        </pic:spPr>
                      </pic:pic>
                    </a:graphicData>
                  </a:graphic>
                </wp:inline>
              </w:drawing>
            </w:r>
          </w:p>
          <w:p w14:paraId="37C8BDE3">
            <w:pPr>
              <w:spacing w:line="360" w:lineRule="auto"/>
              <w:jc w:val="center"/>
              <w:rPr>
                <w:rFonts w:hint="eastAsia" w:ascii="Times New Roman" w:hAnsi="Times New Roman" w:eastAsia="宋体" w:cs="Times New Roman"/>
                <w:b/>
                <w:color w:val="auto"/>
                <w:sz w:val="24"/>
                <w:lang w:eastAsia="zh-CN"/>
              </w:rPr>
            </w:pPr>
            <w:r>
              <w:rPr>
                <w:rFonts w:hint="default" w:ascii="Times New Roman" w:hAnsi="Times New Roman" w:eastAsia="宋体" w:cs="Times New Roman"/>
                <w:b/>
                <w:color w:val="auto"/>
                <w:sz w:val="24"/>
              </w:rPr>
              <w:t>图2-</w:t>
            </w:r>
            <w:r>
              <w:rPr>
                <w:rFonts w:hint="eastAsia" w:cs="Times New Roman"/>
                <w:b/>
                <w:color w:val="auto"/>
                <w:sz w:val="24"/>
                <w:lang w:val="en-US" w:eastAsia="zh-CN"/>
              </w:rPr>
              <w:t>1</w:t>
            </w:r>
            <w:r>
              <w:rPr>
                <w:rFonts w:hint="default" w:ascii="Times New Roman" w:hAnsi="Times New Roman" w:eastAsia="宋体" w:cs="Times New Roman"/>
                <w:b/>
                <w:color w:val="auto"/>
                <w:sz w:val="24"/>
              </w:rPr>
              <w:t xml:space="preserve"> </w:t>
            </w:r>
            <w:r>
              <w:rPr>
                <w:rFonts w:hint="eastAsia" w:cs="Times New Roman"/>
                <w:b/>
                <w:color w:val="auto"/>
                <w:sz w:val="24"/>
                <w:lang w:eastAsia="zh-CN"/>
              </w:rPr>
              <w:t>初期雨水计算图</w:t>
            </w:r>
          </w:p>
          <w:p w14:paraId="3518735B">
            <w:pPr>
              <w:spacing w:line="360" w:lineRule="auto"/>
              <w:ind w:firstLine="480" w:firstLineChars="200"/>
              <w:rPr>
                <w:rFonts w:hint="default" w:ascii="Times New Roman" w:hAnsi="Times New Roman" w:eastAsia="宋体" w:cs="Times New Roman"/>
                <w:color w:val="auto"/>
                <w:sz w:val="24"/>
              </w:rPr>
            </w:pPr>
            <w:r>
              <w:rPr>
                <w:rFonts w:hint="eastAsia" w:cs="Times New Roman"/>
                <w:color w:val="auto"/>
                <w:sz w:val="24"/>
                <w:lang w:eastAsia="zh-CN"/>
              </w:rPr>
              <w:t>项目厂区</w:t>
            </w:r>
            <w:r>
              <w:rPr>
                <w:rFonts w:hint="default" w:ascii="Times New Roman" w:hAnsi="Times New Roman" w:eastAsia="宋体" w:cs="Times New Roman"/>
                <w:color w:val="auto"/>
                <w:sz w:val="24"/>
              </w:rPr>
              <w:t>四周修建</w:t>
            </w:r>
            <w:r>
              <w:rPr>
                <w:rFonts w:hint="eastAsia" w:cs="Times New Roman"/>
                <w:color w:val="auto"/>
                <w:sz w:val="24"/>
                <w:lang w:eastAsia="zh-CN"/>
              </w:rPr>
              <w:t>导流渠</w:t>
            </w:r>
            <w:r>
              <w:rPr>
                <w:rFonts w:hint="default" w:ascii="Times New Roman" w:hAnsi="Times New Roman" w:eastAsia="宋体" w:cs="Times New Roman"/>
                <w:color w:val="auto"/>
                <w:sz w:val="24"/>
              </w:rPr>
              <w:t>，</w:t>
            </w:r>
            <w:r>
              <w:rPr>
                <w:rFonts w:hint="eastAsia" w:cs="Times New Roman"/>
                <w:color w:val="auto"/>
                <w:sz w:val="24"/>
                <w:lang w:eastAsia="zh-CN"/>
              </w:rPr>
              <w:t>进入雨水收集池沉淀</w:t>
            </w:r>
            <w:r>
              <w:rPr>
                <w:rFonts w:hint="eastAsia" w:cs="Times New Roman"/>
                <w:color w:val="auto"/>
                <w:sz w:val="24"/>
                <w:highlight w:val="none"/>
                <w:lang w:eastAsia="zh-CN"/>
              </w:rPr>
              <w:t>后，作为洒水降尘用水综合利用</w:t>
            </w:r>
            <w:r>
              <w:rPr>
                <w:rFonts w:hint="default" w:ascii="Times New Roman" w:hAnsi="Times New Roman" w:eastAsia="宋体" w:cs="Times New Roman"/>
                <w:color w:val="auto"/>
                <w:sz w:val="24"/>
              </w:rPr>
              <w:t>。</w:t>
            </w:r>
          </w:p>
          <w:p w14:paraId="70EDCB8B">
            <w:pPr>
              <w:spacing w:line="360" w:lineRule="auto"/>
              <w:ind w:firstLine="48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全厂水平衡图见下图。</w:t>
            </w:r>
          </w:p>
          <w:p w14:paraId="73B8877C">
            <w:pPr>
              <w:spacing w:line="360" w:lineRule="auto"/>
              <w:jc w:val="center"/>
              <w:rPr>
                <w:rFonts w:hint="default" w:ascii="Times New Roman" w:hAnsi="Times New Roman" w:eastAsia="宋体" w:cs="Times New Roman"/>
                <w:b/>
                <w:color w:val="auto"/>
                <w:sz w:val="24"/>
              </w:rPr>
            </w:pPr>
            <w:r>
              <w:rPr>
                <w:rFonts w:hint="default" w:ascii="Times New Roman" w:hAnsi="Times New Roman" w:eastAsia="宋体" w:cs="Times New Roman"/>
                <w:color w:val="auto"/>
              </w:rPr>
              <w:object>
                <v:shape id="_x0000_i1025" o:spt="75" type="#_x0000_t75" style="height:153.8pt;width:412pt;" o:ole="t" filled="f" o:preferrelative="t" stroked="f" coordsize="21600,21600">
                  <v:path/>
                  <v:fill on="f" focussize="0,0"/>
                  <v:stroke on="f"/>
                  <v:imagedata r:id="rId13" o:title=""/>
                  <o:lock v:ext="edit" aspectratio="f"/>
                  <w10:wrap type="none"/>
                  <w10:anchorlock/>
                </v:shape>
                <o:OLEObject Type="Embed" ProgID="Visio.Drawing.11" ShapeID="_x0000_i1025" DrawAspect="Content" ObjectID="_1468075725" r:id="rId12">
                  <o:LockedField>false</o:LockedField>
                </o:OLEObject>
              </w:object>
            </w:r>
          </w:p>
          <w:p w14:paraId="74448679">
            <w:pPr>
              <w:spacing w:line="360" w:lineRule="auto"/>
              <w:jc w:val="center"/>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图2-</w:t>
            </w:r>
            <w:r>
              <w:rPr>
                <w:rFonts w:hint="eastAsia" w:cs="Times New Roman"/>
                <w:b/>
                <w:color w:val="auto"/>
                <w:sz w:val="24"/>
                <w:lang w:val="en-US" w:eastAsia="zh-CN"/>
              </w:rPr>
              <w:t>2</w:t>
            </w:r>
            <w:r>
              <w:rPr>
                <w:rFonts w:hint="default" w:ascii="Times New Roman" w:hAnsi="Times New Roman" w:eastAsia="宋体" w:cs="Times New Roman"/>
                <w:b/>
                <w:color w:val="auto"/>
                <w:sz w:val="24"/>
              </w:rPr>
              <w:t xml:space="preserve"> 全厂水平衡图（夏季） 单位</w:t>
            </w:r>
            <w:r>
              <w:rPr>
                <w:rFonts w:hint="eastAsia" w:cs="Times New Roman"/>
                <w:b/>
                <w:color w:val="auto"/>
                <w:sz w:val="24"/>
                <w:lang w:eastAsia="zh-CN"/>
              </w:rPr>
              <w:t>：</w:t>
            </w:r>
            <w:r>
              <w:rPr>
                <w:rFonts w:hint="default" w:ascii="Times New Roman" w:hAnsi="Times New Roman" w:eastAsia="宋体" w:cs="Times New Roman"/>
                <w:b/>
                <w:color w:val="auto"/>
                <w:sz w:val="24"/>
              </w:rPr>
              <w:t>m</w:t>
            </w:r>
            <w:r>
              <w:rPr>
                <w:rFonts w:hint="default" w:ascii="Times New Roman" w:hAnsi="Times New Roman" w:eastAsia="宋体" w:cs="Times New Roman"/>
                <w:b/>
                <w:color w:val="auto"/>
                <w:sz w:val="24"/>
                <w:vertAlign w:val="superscript"/>
              </w:rPr>
              <w:t>3</w:t>
            </w:r>
            <w:r>
              <w:rPr>
                <w:rFonts w:hint="default" w:ascii="Times New Roman" w:hAnsi="Times New Roman" w:eastAsia="宋体" w:cs="Times New Roman"/>
                <w:b/>
                <w:color w:val="auto"/>
                <w:sz w:val="24"/>
              </w:rPr>
              <w:t>/</w:t>
            </w:r>
            <w:r>
              <w:rPr>
                <w:rFonts w:hint="eastAsia" w:cs="Times New Roman"/>
                <w:b/>
                <w:color w:val="auto"/>
                <w:sz w:val="24"/>
                <w:lang w:val="en-US" w:eastAsia="zh-CN"/>
              </w:rPr>
              <w:t>d</w:t>
            </w:r>
          </w:p>
          <w:p w14:paraId="2CD5190A">
            <w:pPr>
              <w:spacing w:line="360" w:lineRule="auto"/>
              <w:jc w:val="center"/>
              <w:rPr>
                <w:rFonts w:hint="default" w:ascii="Times New Roman" w:hAnsi="Times New Roman" w:eastAsia="宋体" w:cs="Times New Roman"/>
                <w:b/>
                <w:color w:val="auto"/>
                <w:sz w:val="24"/>
              </w:rPr>
            </w:pPr>
            <w:r>
              <w:rPr>
                <w:rFonts w:hint="default" w:ascii="Times New Roman" w:hAnsi="Times New Roman" w:eastAsia="宋体" w:cs="Times New Roman"/>
                <w:color w:val="auto"/>
              </w:rPr>
              <w:object>
                <v:shape id="_x0000_i1026" o:spt="75" type="#_x0000_t75" style="height:84.7pt;width:391.3pt;" o:ole="t" filled="f" o:preferrelative="t" stroked="f" coordsize="21600,21600">
                  <v:path/>
                  <v:fill on="f" focussize="0,0"/>
                  <v:stroke on="f"/>
                  <v:imagedata r:id="rId15" o:title=""/>
                  <o:lock v:ext="edit" aspectratio="f"/>
                  <w10:wrap type="none"/>
                  <w10:anchorlock/>
                </v:shape>
                <o:OLEObject Type="Embed" ProgID="Visio.Drawing.11" ShapeID="_x0000_i1026" DrawAspect="Content" ObjectID="_1468075726" r:id="rId14">
                  <o:LockedField>false</o:LockedField>
                </o:OLEObject>
              </w:object>
            </w:r>
          </w:p>
          <w:p w14:paraId="45D782A6">
            <w:pPr>
              <w:spacing w:line="360" w:lineRule="auto"/>
              <w:jc w:val="center"/>
              <w:rPr>
                <w:rFonts w:hint="eastAsia"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rPr>
              <w:t>图2-</w:t>
            </w:r>
            <w:r>
              <w:rPr>
                <w:rFonts w:hint="eastAsia" w:cs="Times New Roman"/>
                <w:b/>
                <w:color w:val="auto"/>
                <w:sz w:val="24"/>
                <w:lang w:val="en-US" w:eastAsia="zh-CN"/>
              </w:rPr>
              <w:t>3</w:t>
            </w:r>
            <w:r>
              <w:rPr>
                <w:rFonts w:hint="default" w:ascii="Times New Roman" w:hAnsi="Times New Roman" w:eastAsia="宋体" w:cs="Times New Roman"/>
                <w:b/>
                <w:color w:val="auto"/>
                <w:sz w:val="24"/>
              </w:rPr>
              <w:t xml:space="preserve"> 全厂水平衡图（冬季） 单位</w:t>
            </w:r>
            <w:r>
              <w:rPr>
                <w:rFonts w:hint="eastAsia" w:cs="Times New Roman"/>
                <w:b/>
                <w:color w:val="auto"/>
                <w:sz w:val="24"/>
                <w:lang w:eastAsia="zh-CN"/>
              </w:rPr>
              <w:t>：</w:t>
            </w:r>
            <w:r>
              <w:rPr>
                <w:rFonts w:hint="default" w:ascii="Times New Roman" w:hAnsi="Times New Roman" w:eastAsia="宋体" w:cs="Times New Roman"/>
                <w:b/>
                <w:color w:val="auto"/>
                <w:sz w:val="24"/>
              </w:rPr>
              <w:t>m</w:t>
            </w:r>
            <w:r>
              <w:rPr>
                <w:rFonts w:hint="default" w:ascii="Times New Roman" w:hAnsi="Times New Roman" w:eastAsia="宋体" w:cs="Times New Roman"/>
                <w:b/>
                <w:color w:val="auto"/>
                <w:sz w:val="24"/>
                <w:vertAlign w:val="superscript"/>
              </w:rPr>
              <w:t>3</w:t>
            </w:r>
            <w:r>
              <w:rPr>
                <w:rFonts w:hint="default" w:ascii="Times New Roman" w:hAnsi="Times New Roman" w:eastAsia="宋体" w:cs="Times New Roman"/>
                <w:b/>
                <w:color w:val="auto"/>
                <w:sz w:val="24"/>
              </w:rPr>
              <w:t>/</w:t>
            </w:r>
            <w:r>
              <w:rPr>
                <w:rFonts w:hint="eastAsia" w:cs="Times New Roman"/>
                <w:b/>
                <w:color w:val="auto"/>
                <w:sz w:val="24"/>
                <w:lang w:val="en-US" w:eastAsia="zh-CN"/>
              </w:rPr>
              <w:t>d</w:t>
            </w:r>
          </w:p>
          <w:p w14:paraId="59D790FA">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highlight w:val="none"/>
                <w:lang w:eastAsia="zh-CN"/>
              </w:rPr>
            </w:pPr>
            <w:r>
              <w:rPr>
                <w:rFonts w:hint="eastAsia" w:ascii="Times New Roman" w:hAnsi="Times New Roman" w:cs="Times New Roman"/>
                <w:b/>
                <w:bCs/>
                <w:color w:val="auto"/>
                <w:sz w:val="24"/>
                <w:highlight w:val="none"/>
                <w:lang w:val="en-US" w:eastAsia="zh-CN"/>
              </w:rPr>
              <w:t>9</w:t>
            </w:r>
            <w:r>
              <w:rPr>
                <w:rFonts w:hint="default" w:ascii="Times New Roman" w:hAnsi="Times New Roman" w:cs="Times New Roman"/>
                <w:b/>
                <w:bCs/>
                <w:color w:val="auto"/>
                <w:sz w:val="24"/>
                <w:highlight w:val="none"/>
              </w:rPr>
              <w:t>、</w:t>
            </w:r>
            <w:r>
              <w:rPr>
                <w:rFonts w:hint="default" w:ascii="Times New Roman" w:hAnsi="Times New Roman" w:cs="Times New Roman"/>
                <w:b/>
                <w:bCs/>
                <w:color w:val="auto"/>
                <w:sz w:val="24"/>
                <w:highlight w:val="none"/>
                <w:lang w:eastAsia="zh-CN"/>
              </w:rPr>
              <w:t>总平面布置</w:t>
            </w:r>
          </w:p>
          <w:p w14:paraId="5EBA72C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napToGrid w:val="0"/>
                <w:color w:val="auto"/>
                <w:kern w:val="0"/>
                <w:sz w:val="24"/>
                <w:highlight w:val="none"/>
              </w:rPr>
            </w:pPr>
            <w:r>
              <w:rPr>
                <w:rFonts w:hint="default" w:ascii="Times New Roman" w:hAnsi="Times New Roman" w:cs="Times New Roman"/>
                <w:bCs/>
                <w:snapToGrid w:val="0"/>
                <w:color w:val="auto"/>
                <w:kern w:val="0"/>
                <w:sz w:val="24"/>
                <w:highlight w:val="none"/>
                <w:lang w:eastAsia="zh-CN"/>
              </w:rPr>
              <w:t>（</w:t>
            </w:r>
            <w:r>
              <w:rPr>
                <w:rFonts w:hint="default" w:ascii="Times New Roman" w:hAnsi="Times New Roman" w:cs="Times New Roman"/>
                <w:bCs/>
                <w:snapToGrid w:val="0"/>
                <w:color w:val="auto"/>
                <w:kern w:val="0"/>
                <w:sz w:val="24"/>
                <w:highlight w:val="none"/>
              </w:rPr>
              <w:t>1）总平面布置原则</w:t>
            </w:r>
          </w:p>
          <w:p w14:paraId="0FE22AE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napToGrid w:val="0"/>
                <w:color w:val="auto"/>
                <w:kern w:val="0"/>
                <w:sz w:val="24"/>
                <w:highlight w:val="none"/>
              </w:rPr>
            </w:pPr>
            <w:r>
              <w:rPr>
                <w:rFonts w:hint="default" w:ascii="Times New Roman" w:hAnsi="Times New Roman" w:cs="Times New Roman"/>
                <w:bCs/>
                <w:snapToGrid w:val="0"/>
                <w:color w:val="auto"/>
                <w:kern w:val="0"/>
                <w:sz w:val="24"/>
                <w:highlight w:val="none"/>
              </w:rPr>
              <w:t>根据当地自然条件，总平面布置本着流程合理，布置紧凑，节省用地，充分利用地形，减少土方工程量，缩短运输距离，满足防火、卫生、防爆等要求，使之有利生产、方便管理，同时关注全厂总平面布置的整体性，使建筑群体达到统一协调。</w:t>
            </w:r>
          </w:p>
          <w:p w14:paraId="34D69DD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napToGrid w:val="0"/>
                <w:color w:val="auto"/>
                <w:kern w:val="0"/>
                <w:sz w:val="24"/>
                <w:highlight w:val="none"/>
              </w:rPr>
            </w:pPr>
            <w:r>
              <w:rPr>
                <w:rFonts w:hint="default" w:ascii="Times New Roman" w:hAnsi="Times New Roman" w:cs="Times New Roman"/>
                <w:bCs/>
                <w:snapToGrid w:val="0"/>
                <w:color w:val="auto"/>
                <w:kern w:val="0"/>
                <w:sz w:val="24"/>
                <w:highlight w:val="none"/>
                <w:lang w:eastAsia="zh-CN"/>
              </w:rPr>
              <w:t>（</w:t>
            </w:r>
            <w:r>
              <w:rPr>
                <w:rFonts w:hint="default" w:ascii="Times New Roman" w:hAnsi="Times New Roman" w:cs="Times New Roman"/>
                <w:bCs/>
                <w:snapToGrid w:val="0"/>
                <w:color w:val="auto"/>
                <w:kern w:val="0"/>
                <w:sz w:val="24"/>
                <w:highlight w:val="none"/>
              </w:rPr>
              <w:t>2）总平面布置</w:t>
            </w:r>
          </w:p>
          <w:p w14:paraId="3BBED67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napToGrid w:val="0"/>
                <w:color w:val="auto"/>
                <w:kern w:val="0"/>
                <w:sz w:val="24"/>
                <w:highlight w:val="none"/>
              </w:rPr>
            </w:pPr>
            <w:r>
              <w:rPr>
                <w:rFonts w:hint="default" w:ascii="Times New Roman" w:hAnsi="Times New Roman" w:cs="Times New Roman"/>
                <w:bCs/>
                <w:snapToGrid w:val="0"/>
                <w:color w:val="auto"/>
                <w:kern w:val="0"/>
                <w:sz w:val="24"/>
                <w:highlight w:val="none"/>
              </w:rPr>
              <w:t>本项目选址位于</w:t>
            </w:r>
            <w:r>
              <w:rPr>
                <w:rFonts w:hint="default" w:ascii="Times New Roman" w:hAnsi="Times New Roman" w:cs="Times New Roman"/>
                <w:bCs/>
                <w:snapToGrid w:val="0"/>
                <w:color w:val="auto"/>
                <w:kern w:val="0"/>
                <w:sz w:val="24"/>
                <w:highlight w:val="none"/>
                <w:lang w:eastAsia="zh-CN"/>
              </w:rPr>
              <w:t>鸡西市城子河区正阳街道三号井附近</w:t>
            </w:r>
            <w:r>
              <w:rPr>
                <w:rFonts w:hint="default" w:ascii="Times New Roman" w:hAnsi="Times New Roman" w:cs="Times New Roman"/>
                <w:bCs/>
                <w:snapToGrid w:val="0"/>
                <w:color w:val="auto"/>
                <w:kern w:val="0"/>
                <w:sz w:val="24"/>
                <w:highlight w:val="none"/>
              </w:rPr>
              <w:t>。</w:t>
            </w:r>
          </w:p>
          <w:p w14:paraId="642926D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napToGrid w:val="0"/>
                <w:color w:val="auto"/>
                <w:kern w:val="0"/>
                <w:sz w:val="24"/>
                <w:highlight w:val="none"/>
              </w:rPr>
            </w:pPr>
            <w:r>
              <w:rPr>
                <w:rFonts w:hint="default" w:ascii="Times New Roman" w:hAnsi="Times New Roman" w:cs="Times New Roman"/>
                <w:bCs/>
                <w:snapToGrid w:val="0"/>
                <w:color w:val="auto"/>
                <w:kern w:val="0"/>
                <w:sz w:val="24"/>
                <w:highlight w:val="none"/>
              </w:rPr>
              <w:t>办公</w:t>
            </w:r>
            <w:r>
              <w:rPr>
                <w:rFonts w:hint="default" w:ascii="Times New Roman" w:hAnsi="Times New Roman" w:cs="Times New Roman"/>
                <w:bCs/>
                <w:snapToGrid w:val="0"/>
                <w:color w:val="auto"/>
                <w:kern w:val="0"/>
                <w:sz w:val="24"/>
                <w:highlight w:val="none"/>
                <w:lang w:eastAsia="zh-CN"/>
              </w:rPr>
              <w:t>室</w:t>
            </w:r>
            <w:r>
              <w:rPr>
                <w:rFonts w:hint="default" w:ascii="Times New Roman" w:hAnsi="Times New Roman" w:cs="Times New Roman"/>
                <w:bCs/>
                <w:snapToGrid w:val="0"/>
                <w:color w:val="auto"/>
                <w:kern w:val="0"/>
                <w:sz w:val="24"/>
                <w:highlight w:val="none"/>
              </w:rPr>
              <w:t>位于厂内</w:t>
            </w:r>
            <w:r>
              <w:rPr>
                <w:rFonts w:hint="eastAsia" w:cs="Times New Roman"/>
                <w:bCs/>
                <w:snapToGrid w:val="0"/>
                <w:color w:val="auto"/>
                <w:kern w:val="0"/>
                <w:sz w:val="24"/>
                <w:highlight w:val="none"/>
                <w:lang w:eastAsia="zh-CN"/>
              </w:rPr>
              <w:t>东北</w:t>
            </w:r>
            <w:r>
              <w:rPr>
                <w:rFonts w:hint="default" w:ascii="Times New Roman" w:hAnsi="Times New Roman" w:cs="Times New Roman"/>
                <w:bCs/>
                <w:snapToGrid w:val="0"/>
                <w:color w:val="auto"/>
                <w:kern w:val="0"/>
                <w:sz w:val="24"/>
                <w:highlight w:val="none"/>
                <w:lang w:eastAsia="zh-CN"/>
              </w:rPr>
              <w:t>侧，门卫室位于厂区东侧，</w:t>
            </w:r>
            <w:r>
              <w:rPr>
                <w:rFonts w:hint="eastAsia" w:cs="Times New Roman"/>
                <w:bCs/>
                <w:snapToGrid w:val="0"/>
                <w:color w:val="auto"/>
                <w:kern w:val="0"/>
                <w:sz w:val="24"/>
                <w:highlight w:val="none"/>
                <w:lang w:eastAsia="zh-CN"/>
              </w:rPr>
              <w:t>防渗旱厕</w:t>
            </w:r>
            <w:r>
              <w:rPr>
                <w:rFonts w:hint="default" w:ascii="Times New Roman" w:hAnsi="Times New Roman" w:cs="Times New Roman"/>
                <w:bCs/>
                <w:snapToGrid w:val="0"/>
                <w:color w:val="auto"/>
                <w:kern w:val="0"/>
                <w:sz w:val="24"/>
                <w:highlight w:val="none"/>
                <w:lang w:eastAsia="zh-CN"/>
              </w:rPr>
              <w:t>位于厂区</w:t>
            </w:r>
            <w:r>
              <w:rPr>
                <w:rFonts w:hint="eastAsia" w:cs="Times New Roman"/>
                <w:bCs/>
                <w:snapToGrid w:val="0"/>
                <w:color w:val="auto"/>
                <w:kern w:val="0"/>
                <w:sz w:val="24"/>
                <w:highlight w:val="none"/>
                <w:lang w:eastAsia="zh-CN"/>
              </w:rPr>
              <w:t>南</w:t>
            </w:r>
            <w:r>
              <w:rPr>
                <w:rFonts w:hint="default" w:ascii="Times New Roman" w:hAnsi="Times New Roman" w:cs="Times New Roman"/>
                <w:bCs/>
                <w:snapToGrid w:val="0"/>
                <w:color w:val="auto"/>
                <w:kern w:val="0"/>
                <w:sz w:val="24"/>
                <w:highlight w:val="none"/>
                <w:lang w:eastAsia="zh-CN"/>
              </w:rPr>
              <w:t>侧</w:t>
            </w:r>
            <w:r>
              <w:rPr>
                <w:rFonts w:hint="default" w:ascii="Times New Roman" w:hAnsi="Times New Roman" w:cs="Times New Roman"/>
                <w:bCs/>
                <w:snapToGrid w:val="0"/>
                <w:color w:val="auto"/>
                <w:kern w:val="0"/>
                <w:sz w:val="24"/>
                <w:highlight w:val="none"/>
              </w:rPr>
              <w:t>。根据厂区地势走向，</w:t>
            </w:r>
            <w:r>
              <w:rPr>
                <w:rFonts w:hint="default" w:ascii="Times New Roman" w:hAnsi="Times New Roman" w:cs="Times New Roman"/>
                <w:bCs/>
                <w:snapToGrid w:val="0"/>
                <w:color w:val="auto"/>
                <w:kern w:val="0"/>
                <w:sz w:val="24"/>
                <w:highlight w:val="none"/>
                <w:lang w:eastAsia="zh-CN"/>
              </w:rPr>
              <w:t>雨水</w:t>
            </w:r>
            <w:r>
              <w:rPr>
                <w:rFonts w:hint="default" w:ascii="Times New Roman" w:hAnsi="Times New Roman" w:cs="Times New Roman"/>
                <w:bCs/>
                <w:snapToGrid w:val="0"/>
                <w:color w:val="auto"/>
                <w:kern w:val="0"/>
                <w:sz w:val="24"/>
                <w:highlight w:val="none"/>
              </w:rPr>
              <w:t>收集池位于厂区地势最低处（</w:t>
            </w:r>
            <w:r>
              <w:rPr>
                <w:rFonts w:hint="eastAsia" w:cs="Times New Roman"/>
                <w:bCs/>
                <w:snapToGrid w:val="0"/>
                <w:color w:val="auto"/>
                <w:kern w:val="0"/>
                <w:sz w:val="24"/>
                <w:highlight w:val="none"/>
                <w:lang w:eastAsia="zh-CN"/>
              </w:rPr>
              <w:t>西北</w:t>
            </w:r>
            <w:r>
              <w:rPr>
                <w:rFonts w:hint="default" w:ascii="Times New Roman" w:hAnsi="Times New Roman" w:cs="Times New Roman"/>
                <w:bCs/>
                <w:snapToGrid w:val="0"/>
                <w:color w:val="auto"/>
                <w:kern w:val="0"/>
                <w:sz w:val="24"/>
                <w:highlight w:val="none"/>
                <w:lang w:eastAsia="zh-CN"/>
              </w:rPr>
              <w:t>侧</w:t>
            </w:r>
            <w:r>
              <w:rPr>
                <w:rFonts w:hint="default" w:ascii="Times New Roman" w:hAnsi="Times New Roman" w:cs="Times New Roman"/>
                <w:bCs/>
                <w:snapToGrid w:val="0"/>
                <w:color w:val="auto"/>
                <w:kern w:val="0"/>
                <w:sz w:val="24"/>
                <w:highlight w:val="none"/>
              </w:rPr>
              <w:t>）。</w:t>
            </w:r>
          </w:p>
          <w:p w14:paraId="2BF3FA8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napToGrid w:val="0"/>
                <w:color w:val="auto"/>
                <w:kern w:val="0"/>
                <w:sz w:val="24"/>
                <w:highlight w:val="none"/>
              </w:rPr>
            </w:pPr>
            <w:r>
              <w:rPr>
                <w:rFonts w:hint="default" w:ascii="Times New Roman" w:hAnsi="Times New Roman" w:cs="Times New Roman"/>
                <w:bCs/>
                <w:snapToGrid w:val="0"/>
                <w:color w:val="auto"/>
                <w:kern w:val="0"/>
                <w:sz w:val="24"/>
                <w:highlight w:val="none"/>
              </w:rPr>
              <w:t>根据国家《工业企业总平面设计规范》的要求，总图布置在满足生产工艺流程的前提下，严格遵循安全、卫生等有关规定，充分利用地形优势，做到功能分区明确合理。</w:t>
            </w:r>
          </w:p>
          <w:p w14:paraId="2441B477">
            <w:pPr>
              <w:keepNext w:val="0"/>
              <w:keepLines w:val="0"/>
              <w:pageBreakBefore w:val="0"/>
              <w:tabs>
                <w:tab w:val="left" w:pos="6480"/>
              </w:tabs>
              <w:kinsoku/>
              <w:wordWrap/>
              <w:overflowPunct/>
              <w:topLinePunct w:val="0"/>
              <w:autoSpaceDE/>
              <w:autoSpaceDN/>
              <w:bidi w:val="0"/>
              <w:adjustRightInd/>
              <w:snapToGrid/>
              <w:spacing w:line="360" w:lineRule="auto"/>
              <w:ind w:firstLine="480" w:firstLineChars="200"/>
              <w:textAlignment w:val="auto"/>
              <w:rPr>
                <w:rFonts w:hint="eastAsia" w:cs="Times New Roman"/>
                <w:b/>
                <w:bCs/>
                <w:color w:val="auto"/>
                <w:sz w:val="24"/>
                <w:szCs w:val="22"/>
                <w:highlight w:val="none"/>
                <w:lang w:val="en-US" w:eastAsia="zh-CN"/>
              </w:rPr>
            </w:pPr>
            <w:r>
              <w:rPr>
                <w:rFonts w:hint="default" w:ascii="Times New Roman" w:hAnsi="Times New Roman" w:cs="Times New Roman"/>
                <w:bCs/>
                <w:snapToGrid w:val="0"/>
                <w:color w:val="auto"/>
                <w:kern w:val="0"/>
                <w:sz w:val="24"/>
                <w:highlight w:val="none"/>
              </w:rPr>
              <w:t>本项目总平面布置图见附图</w:t>
            </w:r>
            <w:r>
              <w:rPr>
                <w:rFonts w:hint="eastAsia" w:cs="Times New Roman"/>
                <w:bCs/>
                <w:snapToGrid w:val="0"/>
                <w:color w:val="auto"/>
                <w:kern w:val="0"/>
                <w:sz w:val="24"/>
                <w:highlight w:val="none"/>
                <w:lang w:val="en-US" w:eastAsia="zh-CN"/>
              </w:rPr>
              <w:t>7</w:t>
            </w:r>
            <w:r>
              <w:rPr>
                <w:rFonts w:hint="default" w:ascii="Times New Roman" w:hAnsi="Times New Roman" w:cs="Times New Roman"/>
                <w:bCs/>
                <w:snapToGrid w:val="0"/>
                <w:color w:val="auto"/>
                <w:kern w:val="0"/>
                <w:sz w:val="24"/>
                <w:highlight w:val="none"/>
              </w:rPr>
              <w:t>。</w:t>
            </w:r>
          </w:p>
          <w:p w14:paraId="575CDE30">
            <w:pPr>
              <w:tabs>
                <w:tab w:val="left" w:pos="6480"/>
              </w:tabs>
              <w:spacing w:line="360" w:lineRule="auto"/>
              <w:ind w:firstLine="482" w:firstLineChars="200"/>
              <w:rPr>
                <w:rFonts w:hint="default" w:ascii="Times New Roman" w:hAnsi="Times New Roman" w:eastAsia="宋体" w:cs="Times New Roman"/>
                <w:bCs/>
                <w:color w:val="auto"/>
                <w:sz w:val="24"/>
              </w:rPr>
            </w:pPr>
            <w:r>
              <w:rPr>
                <w:rFonts w:hint="eastAsia" w:cs="Times New Roman"/>
                <w:b/>
                <w:bCs/>
                <w:color w:val="auto"/>
                <w:sz w:val="24"/>
                <w:szCs w:val="22"/>
                <w:lang w:val="en-US" w:eastAsia="zh-CN"/>
              </w:rPr>
              <w:t>10</w:t>
            </w:r>
            <w:r>
              <w:rPr>
                <w:rFonts w:hint="default" w:ascii="Times New Roman" w:hAnsi="Times New Roman" w:eastAsia="宋体" w:cs="Times New Roman"/>
                <w:b/>
                <w:bCs/>
                <w:color w:val="auto"/>
                <w:sz w:val="24"/>
                <w:szCs w:val="22"/>
              </w:rPr>
              <w:t>、总投资及</w:t>
            </w:r>
            <w:r>
              <w:rPr>
                <w:rFonts w:hint="default" w:ascii="Times New Roman" w:hAnsi="Times New Roman" w:eastAsia="宋体" w:cs="Times New Roman"/>
                <w:b/>
                <w:bCs/>
                <w:color w:val="auto"/>
                <w:sz w:val="24"/>
              </w:rPr>
              <w:t>环保投资</w:t>
            </w:r>
          </w:p>
          <w:p w14:paraId="71B92DCC">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本项目总投资</w:t>
            </w:r>
            <w:r>
              <w:rPr>
                <w:rFonts w:hint="eastAsia" w:cs="Times New Roman"/>
                <w:color w:val="auto"/>
                <w:sz w:val="24"/>
                <w:lang w:val="en-US" w:eastAsia="zh-CN"/>
              </w:rPr>
              <w:t>30</w:t>
            </w:r>
            <w:r>
              <w:rPr>
                <w:rFonts w:hint="default" w:ascii="Times New Roman" w:hAnsi="Times New Roman" w:eastAsia="宋体" w:cs="Times New Roman"/>
                <w:color w:val="auto"/>
                <w:sz w:val="24"/>
              </w:rPr>
              <w:t>万元，环保投资</w:t>
            </w:r>
            <w:r>
              <w:rPr>
                <w:rFonts w:hint="eastAsia" w:cs="Times New Roman"/>
                <w:color w:val="auto"/>
                <w:sz w:val="24"/>
                <w:lang w:val="en-US" w:eastAsia="zh-CN"/>
              </w:rPr>
              <w:t>8</w:t>
            </w:r>
            <w:r>
              <w:rPr>
                <w:rFonts w:hint="default" w:ascii="Times New Roman" w:hAnsi="Times New Roman" w:eastAsia="宋体" w:cs="Times New Roman"/>
                <w:color w:val="auto"/>
                <w:sz w:val="24"/>
              </w:rPr>
              <w:t>万元，占总投资的</w:t>
            </w:r>
            <w:r>
              <w:rPr>
                <w:rFonts w:hint="eastAsia" w:cs="Times New Roman"/>
                <w:color w:val="auto"/>
                <w:sz w:val="24"/>
                <w:lang w:val="en-US" w:eastAsia="zh-CN"/>
              </w:rPr>
              <w:t>26.6</w:t>
            </w:r>
            <w:r>
              <w:rPr>
                <w:rFonts w:hint="default" w:ascii="Times New Roman" w:hAnsi="Times New Roman" w:eastAsia="宋体" w:cs="Times New Roman"/>
                <w:color w:val="auto"/>
                <w:sz w:val="24"/>
              </w:rPr>
              <w:t>%。环保投资详见下表。</w:t>
            </w:r>
          </w:p>
          <w:p w14:paraId="71107532">
            <w:pPr>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w:t>
            </w:r>
            <w:r>
              <w:rPr>
                <w:rFonts w:hint="eastAsia" w:cs="Times New Roman"/>
                <w:b/>
                <w:color w:val="auto"/>
                <w:sz w:val="21"/>
                <w:szCs w:val="21"/>
                <w:lang w:val="en-US" w:eastAsia="zh-CN"/>
              </w:rPr>
              <w:t>7</w:t>
            </w:r>
            <w:r>
              <w:rPr>
                <w:rFonts w:hint="default" w:ascii="Times New Roman" w:hAnsi="Times New Roman" w:eastAsia="宋体" w:cs="Times New Roman"/>
                <w:b/>
                <w:color w:val="auto"/>
                <w:sz w:val="21"/>
                <w:szCs w:val="21"/>
              </w:rPr>
              <w:t xml:space="preserve"> 建设项目环保投资一览表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3"/>
              <w:gridCol w:w="1857"/>
              <w:gridCol w:w="4018"/>
              <w:gridCol w:w="1462"/>
            </w:tblGrid>
            <w:tr w14:paraId="0CA2B4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0" w:type="dxa"/>
                  <w:gridSpan w:val="2"/>
                  <w:noWrap w:val="0"/>
                  <w:vAlign w:val="center"/>
                </w:tcPr>
                <w:p w14:paraId="1F7E8FA2">
                  <w:pPr>
                    <w:pStyle w:val="10"/>
                    <w:autoSpaceDE w:val="0"/>
                    <w:autoSpaceDN w:val="0"/>
                    <w:spacing w:after="0"/>
                    <w:ind w:left="0" w:left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污染源</w:t>
                  </w:r>
                </w:p>
              </w:tc>
              <w:tc>
                <w:tcPr>
                  <w:tcW w:w="4018" w:type="dxa"/>
                  <w:noWrap w:val="0"/>
                  <w:vAlign w:val="center"/>
                </w:tcPr>
                <w:p w14:paraId="35CA6243">
                  <w:pPr>
                    <w:pStyle w:val="10"/>
                    <w:autoSpaceDE w:val="0"/>
                    <w:autoSpaceDN w:val="0"/>
                    <w:spacing w:after="0"/>
                    <w:ind w:left="0" w:left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污染防治措施</w:t>
                  </w:r>
                </w:p>
              </w:tc>
              <w:tc>
                <w:tcPr>
                  <w:tcW w:w="1462" w:type="dxa"/>
                  <w:noWrap w:val="0"/>
                  <w:vAlign w:val="center"/>
                </w:tcPr>
                <w:p w14:paraId="41890C02">
                  <w:pPr>
                    <w:pStyle w:val="10"/>
                    <w:autoSpaceDE w:val="0"/>
                    <w:autoSpaceDN w:val="0"/>
                    <w:spacing w:after="0"/>
                    <w:ind w:left="0" w:left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投资（万元）</w:t>
                  </w:r>
                </w:p>
              </w:tc>
            </w:tr>
            <w:tr w14:paraId="195ED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3" w:type="dxa"/>
                  <w:vMerge w:val="restart"/>
                  <w:noWrap w:val="0"/>
                  <w:vAlign w:val="center"/>
                </w:tcPr>
                <w:p w14:paraId="70022D4E">
                  <w:pPr>
                    <w:pStyle w:val="10"/>
                    <w:autoSpaceDE w:val="0"/>
                    <w:autoSpaceDN w:val="0"/>
                    <w:spacing w:after="0"/>
                    <w:ind w:left="0" w:lef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废气</w:t>
                  </w:r>
                </w:p>
              </w:tc>
              <w:tc>
                <w:tcPr>
                  <w:tcW w:w="1857" w:type="dxa"/>
                  <w:vMerge w:val="restart"/>
                  <w:noWrap w:val="0"/>
                  <w:vAlign w:val="center"/>
                </w:tcPr>
                <w:p w14:paraId="1E3151CF">
                  <w:pPr>
                    <w:jc w:val="center"/>
                    <w:rPr>
                      <w:rFonts w:hint="default" w:ascii="Times New Roman" w:hAnsi="Times New Roman" w:eastAsia="宋体" w:cs="Times New Roman"/>
                      <w:bCs/>
                      <w:color w:val="auto"/>
                      <w:sz w:val="21"/>
                      <w:szCs w:val="21"/>
                      <w:highlight w:val="none"/>
                      <w:lang w:bidi="zh-CN"/>
                    </w:rPr>
                  </w:pPr>
                  <w:r>
                    <w:rPr>
                      <w:rFonts w:hint="eastAsia" w:cs="Times New Roman"/>
                      <w:bCs/>
                      <w:color w:val="auto"/>
                      <w:sz w:val="21"/>
                      <w:szCs w:val="21"/>
                      <w:highlight w:val="none"/>
                      <w:lang w:bidi="zh-CN"/>
                    </w:rPr>
                    <w:t>无组织</w:t>
                  </w:r>
                </w:p>
              </w:tc>
              <w:tc>
                <w:tcPr>
                  <w:tcW w:w="4018" w:type="dxa"/>
                  <w:noWrap w:val="0"/>
                  <w:vAlign w:val="center"/>
                </w:tcPr>
                <w:p w14:paraId="46E2F7D6">
                  <w:pPr>
                    <w:jc w:val="center"/>
                    <w:rPr>
                      <w:rFonts w:hint="default" w:ascii="Times New Roman" w:hAnsi="Times New Roman" w:eastAsia="宋体" w:cs="Times New Roman"/>
                      <w:bCs/>
                      <w:color w:val="auto"/>
                      <w:sz w:val="21"/>
                      <w:szCs w:val="21"/>
                      <w:highlight w:val="none"/>
                      <w:lang w:bidi="zh-CN"/>
                    </w:rPr>
                  </w:pPr>
                  <w:r>
                    <w:rPr>
                      <w:rFonts w:hint="eastAsia" w:cs="Times New Roman"/>
                      <w:bCs/>
                      <w:color w:val="auto"/>
                      <w:sz w:val="21"/>
                      <w:szCs w:val="21"/>
                      <w:highlight w:val="none"/>
                      <w:lang w:val="en-US" w:eastAsia="zh-CN" w:bidi="zh-CN"/>
                    </w:rPr>
                    <w:t>防风抑尘网并在堆场顶部苫盖苫布以及洒水降尘</w:t>
                  </w:r>
                </w:p>
              </w:tc>
              <w:tc>
                <w:tcPr>
                  <w:tcW w:w="1462" w:type="dxa"/>
                  <w:noWrap w:val="0"/>
                  <w:vAlign w:val="center"/>
                </w:tcPr>
                <w:p w14:paraId="371F0F33">
                  <w:pPr>
                    <w:jc w:val="center"/>
                    <w:rPr>
                      <w:rFonts w:hint="default" w:ascii="Times New Roman" w:hAnsi="Times New Roman" w:eastAsia="宋体" w:cs="Times New Roman"/>
                      <w:bCs/>
                      <w:color w:val="auto"/>
                      <w:sz w:val="21"/>
                      <w:szCs w:val="21"/>
                      <w:highlight w:val="none"/>
                      <w:lang w:val="en-US" w:bidi="zh-CN"/>
                    </w:rPr>
                  </w:pPr>
                  <w:r>
                    <w:rPr>
                      <w:rFonts w:hint="eastAsia" w:cs="Times New Roman"/>
                      <w:bCs/>
                      <w:color w:val="auto"/>
                      <w:sz w:val="21"/>
                      <w:szCs w:val="21"/>
                      <w:highlight w:val="none"/>
                      <w:lang w:val="en-US" w:bidi="zh-CN"/>
                    </w:rPr>
                    <w:t>2</w:t>
                  </w:r>
                </w:p>
              </w:tc>
            </w:tr>
            <w:tr w14:paraId="22A87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3" w:type="dxa"/>
                  <w:vMerge w:val="continue"/>
                  <w:noWrap w:val="0"/>
                  <w:vAlign w:val="center"/>
                </w:tcPr>
                <w:p w14:paraId="63762D7A">
                  <w:pPr>
                    <w:pStyle w:val="10"/>
                    <w:autoSpaceDE w:val="0"/>
                    <w:autoSpaceDN w:val="0"/>
                    <w:spacing w:after="0"/>
                    <w:ind w:left="0" w:leftChars="0"/>
                    <w:jc w:val="center"/>
                    <w:rPr>
                      <w:rFonts w:hint="default" w:ascii="Times New Roman" w:hAnsi="Times New Roman" w:eastAsia="宋体" w:cs="Times New Roman"/>
                      <w:bCs/>
                      <w:color w:val="auto"/>
                      <w:sz w:val="21"/>
                      <w:szCs w:val="21"/>
                      <w:highlight w:val="none"/>
                    </w:rPr>
                  </w:pPr>
                </w:p>
              </w:tc>
              <w:tc>
                <w:tcPr>
                  <w:tcW w:w="1857" w:type="dxa"/>
                  <w:vMerge w:val="continue"/>
                  <w:noWrap w:val="0"/>
                  <w:vAlign w:val="center"/>
                </w:tcPr>
                <w:p w14:paraId="7DD645A5">
                  <w:pPr>
                    <w:jc w:val="center"/>
                    <w:rPr>
                      <w:rFonts w:hint="eastAsia" w:cs="Times New Roman"/>
                      <w:bCs/>
                      <w:color w:val="auto"/>
                      <w:sz w:val="21"/>
                      <w:szCs w:val="21"/>
                      <w:highlight w:val="none"/>
                      <w:lang w:bidi="zh-CN"/>
                    </w:rPr>
                  </w:pPr>
                </w:p>
              </w:tc>
              <w:tc>
                <w:tcPr>
                  <w:tcW w:w="4018" w:type="dxa"/>
                  <w:noWrap w:val="0"/>
                  <w:vAlign w:val="center"/>
                </w:tcPr>
                <w:p w14:paraId="7B0300A4">
                  <w:pPr>
                    <w:jc w:val="center"/>
                    <w:rPr>
                      <w:rFonts w:hint="eastAsia" w:cs="Times New Roman"/>
                      <w:bCs/>
                      <w:color w:val="auto"/>
                      <w:sz w:val="21"/>
                      <w:szCs w:val="21"/>
                      <w:highlight w:val="none"/>
                      <w:lang w:val="en-US" w:eastAsia="zh-CN" w:bidi="zh-CN"/>
                    </w:rPr>
                  </w:pPr>
                  <w:r>
                    <w:rPr>
                      <w:rFonts w:hint="eastAsia" w:cs="Times New Roman"/>
                      <w:bCs/>
                      <w:color w:val="auto"/>
                      <w:sz w:val="21"/>
                      <w:szCs w:val="21"/>
                      <w:highlight w:val="none"/>
                      <w:lang w:val="en-US" w:eastAsia="zh-CN" w:bidi="zh-CN"/>
                    </w:rPr>
                    <w:t>厂区地面以及道路硬化和洒水车</w:t>
                  </w:r>
                </w:p>
              </w:tc>
              <w:tc>
                <w:tcPr>
                  <w:tcW w:w="1462" w:type="dxa"/>
                  <w:noWrap w:val="0"/>
                  <w:vAlign w:val="center"/>
                </w:tcPr>
                <w:p w14:paraId="10C88AC5">
                  <w:pPr>
                    <w:jc w:val="center"/>
                    <w:rPr>
                      <w:rFonts w:hint="default" w:cs="Times New Roman"/>
                      <w:bCs/>
                      <w:color w:val="auto"/>
                      <w:sz w:val="21"/>
                      <w:szCs w:val="21"/>
                      <w:highlight w:val="none"/>
                      <w:lang w:val="en-US" w:bidi="zh-CN"/>
                    </w:rPr>
                  </w:pPr>
                  <w:r>
                    <w:rPr>
                      <w:rFonts w:hint="eastAsia" w:cs="Times New Roman"/>
                      <w:bCs/>
                      <w:color w:val="auto"/>
                      <w:sz w:val="21"/>
                      <w:szCs w:val="21"/>
                      <w:highlight w:val="none"/>
                      <w:lang w:val="en-US" w:bidi="zh-CN"/>
                    </w:rPr>
                    <w:t>3</w:t>
                  </w:r>
                </w:p>
              </w:tc>
            </w:tr>
            <w:tr w14:paraId="28F1EA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3" w:type="dxa"/>
                  <w:vMerge w:val="restart"/>
                  <w:noWrap w:val="0"/>
                  <w:vAlign w:val="center"/>
                </w:tcPr>
                <w:p w14:paraId="4BDF9834">
                  <w:pPr>
                    <w:pStyle w:val="10"/>
                    <w:autoSpaceDE w:val="0"/>
                    <w:autoSpaceDN w:val="0"/>
                    <w:spacing w:after="0"/>
                    <w:ind w:left="0" w:lef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废水</w:t>
                  </w:r>
                </w:p>
              </w:tc>
              <w:tc>
                <w:tcPr>
                  <w:tcW w:w="1857" w:type="dxa"/>
                  <w:noWrap w:val="0"/>
                  <w:vAlign w:val="center"/>
                </w:tcPr>
                <w:p w14:paraId="54EF3CC3">
                  <w:pPr>
                    <w:pStyle w:val="10"/>
                    <w:autoSpaceDE w:val="0"/>
                    <w:autoSpaceDN w:val="0"/>
                    <w:spacing w:after="0"/>
                    <w:ind w:left="0" w:leftChars="0"/>
                    <w:jc w:val="center"/>
                    <w:rPr>
                      <w:rFonts w:hint="default" w:ascii="Times New Roman" w:hAnsi="Times New Roman" w:eastAsia="宋体" w:cs="Times New Roman"/>
                      <w:bCs/>
                      <w:color w:val="auto"/>
                      <w:sz w:val="21"/>
                      <w:szCs w:val="21"/>
                      <w:highlight w:val="none"/>
                      <w:lang w:bidi="zh-CN"/>
                    </w:rPr>
                  </w:pPr>
                  <w:r>
                    <w:rPr>
                      <w:rFonts w:hint="default" w:ascii="Times New Roman" w:hAnsi="Times New Roman" w:eastAsia="宋体" w:cs="Times New Roman"/>
                      <w:bCs/>
                      <w:color w:val="auto"/>
                      <w:sz w:val="21"/>
                      <w:szCs w:val="21"/>
                      <w:highlight w:val="none"/>
                      <w:lang w:bidi="zh-CN"/>
                    </w:rPr>
                    <w:t>生活污水</w:t>
                  </w:r>
                </w:p>
              </w:tc>
              <w:tc>
                <w:tcPr>
                  <w:tcW w:w="4018" w:type="dxa"/>
                  <w:noWrap w:val="0"/>
                  <w:vAlign w:val="center"/>
                </w:tcPr>
                <w:p w14:paraId="49DDC863">
                  <w:pPr>
                    <w:pStyle w:val="10"/>
                    <w:autoSpaceDE w:val="0"/>
                    <w:autoSpaceDN w:val="0"/>
                    <w:spacing w:after="0"/>
                    <w:ind w:left="0" w:leftChars="0"/>
                    <w:jc w:val="center"/>
                    <w:rPr>
                      <w:rFonts w:hint="default" w:ascii="Times New Roman" w:hAnsi="Times New Roman" w:eastAsia="宋体" w:cs="Times New Roman"/>
                      <w:bCs/>
                      <w:color w:val="auto"/>
                      <w:sz w:val="21"/>
                      <w:szCs w:val="21"/>
                      <w:highlight w:val="none"/>
                      <w:lang w:bidi="zh-CN"/>
                    </w:rPr>
                  </w:pPr>
                  <w:r>
                    <w:rPr>
                      <w:rFonts w:hint="eastAsia" w:cs="Times New Roman"/>
                      <w:bCs/>
                      <w:color w:val="auto"/>
                      <w:sz w:val="21"/>
                      <w:szCs w:val="21"/>
                      <w:highlight w:val="none"/>
                      <w:lang w:bidi="zh-CN"/>
                    </w:rPr>
                    <w:t>防渗旱厕</w:t>
                  </w:r>
                </w:p>
              </w:tc>
              <w:tc>
                <w:tcPr>
                  <w:tcW w:w="1462" w:type="dxa"/>
                  <w:noWrap w:val="0"/>
                  <w:vAlign w:val="center"/>
                </w:tcPr>
                <w:p w14:paraId="2625D272">
                  <w:pPr>
                    <w:pStyle w:val="10"/>
                    <w:autoSpaceDE w:val="0"/>
                    <w:autoSpaceDN w:val="0"/>
                    <w:spacing w:after="0"/>
                    <w:ind w:left="0" w:leftChars="0"/>
                    <w:jc w:val="center"/>
                    <w:rPr>
                      <w:rFonts w:hint="default" w:ascii="Times New Roman" w:hAnsi="Times New Roman" w:eastAsia="宋体" w:cs="Times New Roman"/>
                      <w:bCs/>
                      <w:color w:val="auto"/>
                      <w:sz w:val="21"/>
                      <w:szCs w:val="21"/>
                      <w:highlight w:val="none"/>
                      <w:lang w:val="en-US" w:bidi="zh-CN"/>
                    </w:rPr>
                  </w:pPr>
                  <w:r>
                    <w:rPr>
                      <w:rFonts w:hint="eastAsia" w:cs="Times New Roman"/>
                      <w:bCs/>
                      <w:color w:val="auto"/>
                      <w:sz w:val="21"/>
                      <w:szCs w:val="21"/>
                      <w:highlight w:val="none"/>
                      <w:lang w:val="en-US" w:bidi="zh-CN"/>
                    </w:rPr>
                    <w:t>0.5</w:t>
                  </w:r>
                </w:p>
              </w:tc>
            </w:tr>
            <w:tr w14:paraId="5747CE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3" w:type="dxa"/>
                  <w:vMerge w:val="continue"/>
                  <w:noWrap w:val="0"/>
                  <w:vAlign w:val="center"/>
                </w:tcPr>
                <w:p w14:paraId="02379A88">
                  <w:pPr>
                    <w:pStyle w:val="10"/>
                    <w:autoSpaceDE w:val="0"/>
                    <w:autoSpaceDN w:val="0"/>
                    <w:spacing w:after="0"/>
                    <w:ind w:left="0" w:leftChars="0"/>
                    <w:jc w:val="center"/>
                    <w:rPr>
                      <w:rFonts w:hint="default" w:ascii="Times New Roman" w:hAnsi="Times New Roman" w:eastAsia="宋体" w:cs="Times New Roman"/>
                      <w:bCs/>
                      <w:color w:val="auto"/>
                      <w:sz w:val="21"/>
                      <w:szCs w:val="21"/>
                      <w:highlight w:val="none"/>
                    </w:rPr>
                  </w:pPr>
                </w:p>
              </w:tc>
              <w:tc>
                <w:tcPr>
                  <w:tcW w:w="1857" w:type="dxa"/>
                  <w:noWrap w:val="0"/>
                  <w:vAlign w:val="center"/>
                </w:tcPr>
                <w:p w14:paraId="50059159">
                  <w:pPr>
                    <w:widowControl/>
                    <w:autoSpaceDE w:val="0"/>
                    <w:autoSpaceDN w:val="0"/>
                    <w:jc w:val="center"/>
                    <w:rPr>
                      <w:rFonts w:hint="eastAsia" w:ascii="Times New Roman" w:hAnsi="Times New Roman" w:eastAsia="宋体" w:cs="Times New Roman"/>
                      <w:bCs/>
                      <w:color w:val="auto"/>
                      <w:sz w:val="21"/>
                      <w:szCs w:val="21"/>
                      <w:highlight w:val="none"/>
                      <w:lang w:val="en-US" w:eastAsia="zh-CN" w:bidi="zh-CN"/>
                    </w:rPr>
                  </w:pPr>
                  <w:r>
                    <w:rPr>
                      <w:rFonts w:hint="eastAsia" w:cs="Times New Roman"/>
                      <w:bCs/>
                      <w:color w:val="auto"/>
                      <w:sz w:val="21"/>
                      <w:szCs w:val="21"/>
                      <w:highlight w:val="none"/>
                      <w:lang w:val="en-US" w:eastAsia="zh-CN" w:bidi="zh-CN"/>
                    </w:rPr>
                    <w:t>生产废水</w:t>
                  </w:r>
                </w:p>
              </w:tc>
              <w:tc>
                <w:tcPr>
                  <w:tcW w:w="4018" w:type="dxa"/>
                  <w:noWrap w:val="0"/>
                  <w:vAlign w:val="center"/>
                </w:tcPr>
                <w:p w14:paraId="475C6D4A">
                  <w:pPr>
                    <w:widowControl/>
                    <w:autoSpaceDE w:val="0"/>
                    <w:autoSpaceDN w:val="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雨水收集池以及雨水导流渠</w:t>
                  </w:r>
                </w:p>
              </w:tc>
              <w:tc>
                <w:tcPr>
                  <w:tcW w:w="1462" w:type="dxa"/>
                  <w:noWrap w:val="0"/>
                  <w:vAlign w:val="center"/>
                </w:tcPr>
                <w:p w14:paraId="26B6D408">
                  <w:pPr>
                    <w:widowControl/>
                    <w:autoSpaceDE w:val="0"/>
                    <w:autoSpaceDN w:val="0"/>
                    <w:jc w:val="center"/>
                    <w:rPr>
                      <w:rFonts w:hint="default" w:ascii="Times New Roman" w:hAnsi="Times New Roman" w:eastAsia="宋体" w:cs="Times New Roman"/>
                      <w:bCs/>
                      <w:color w:val="auto"/>
                      <w:sz w:val="21"/>
                      <w:szCs w:val="21"/>
                      <w:highlight w:val="none"/>
                      <w:lang w:val="en-US" w:bidi="zh-CN"/>
                    </w:rPr>
                  </w:pPr>
                  <w:r>
                    <w:rPr>
                      <w:rFonts w:hint="eastAsia" w:cs="Times New Roman"/>
                      <w:bCs/>
                      <w:color w:val="auto"/>
                      <w:sz w:val="21"/>
                      <w:szCs w:val="21"/>
                      <w:highlight w:val="none"/>
                      <w:lang w:val="en-US" w:bidi="zh-CN"/>
                    </w:rPr>
                    <w:t>1</w:t>
                  </w:r>
                </w:p>
              </w:tc>
            </w:tr>
            <w:tr w14:paraId="61A14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3" w:type="dxa"/>
                  <w:noWrap w:val="0"/>
                  <w:vAlign w:val="center"/>
                </w:tcPr>
                <w:p w14:paraId="28DE023E">
                  <w:pPr>
                    <w:pStyle w:val="10"/>
                    <w:autoSpaceDE w:val="0"/>
                    <w:autoSpaceDN w:val="0"/>
                    <w:spacing w:after="0"/>
                    <w:ind w:left="0" w:lef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噪声</w:t>
                  </w:r>
                </w:p>
              </w:tc>
              <w:tc>
                <w:tcPr>
                  <w:tcW w:w="1857" w:type="dxa"/>
                  <w:noWrap w:val="0"/>
                  <w:vAlign w:val="center"/>
                </w:tcPr>
                <w:p w14:paraId="3323498A">
                  <w:pPr>
                    <w:widowControl/>
                    <w:autoSpaceDE w:val="0"/>
                    <w:autoSpaceDN w:val="0"/>
                    <w:jc w:val="center"/>
                    <w:rPr>
                      <w:rFonts w:hint="default" w:ascii="Times New Roman" w:hAnsi="Times New Roman" w:eastAsia="宋体" w:cs="Times New Roman"/>
                      <w:bCs/>
                      <w:color w:val="auto"/>
                      <w:sz w:val="21"/>
                      <w:szCs w:val="21"/>
                      <w:highlight w:val="none"/>
                      <w:lang w:bidi="zh-CN"/>
                    </w:rPr>
                  </w:pPr>
                  <w:r>
                    <w:rPr>
                      <w:rFonts w:hint="default" w:ascii="Times New Roman" w:hAnsi="Times New Roman" w:eastAsia="宋体" w:cs="Times New Roman"/>
                      <w:bCs/>
                      <w:color w:val="auto"/>
                      <w:sz w:val="21"/>
                      <w:szCs w:val="21"/>
                      <w:highlight w:val="none"/>
                      <w:lang w:bidi="zh-CN"/>
                    </w:rPr>
                    <w:t>生产设备</w:t>
                  </w:r>
                </w:p>
              </w:tc>
              <w:tc>
                <w:tcPr>
                  <w:tcW w:w="4018" w:type="dxa"/>
                  <w:noWrap w:val="0"/>
                  <w:vAlign w:val="center"/>
                </w:tcPr>
                <w:p w14:paraId="02D2C15F">
                  <w:pPr>
                    <w:widowControl/>
                    <w:autoSpaceDE w:val="0"/>
                    <w:autoSpaceDN w:val="0"/>
                    <w:jc w:val="center"/>
                    <w:rPr>
                      <w:rFonts w:hint="default" w:ascii="Times New Roman" w:hAnsi="Times New Roman" w:eastAsia="宋体" w:cs="Times New Roman"/>
                      <w:bCs/>
                      <w:color w:val="auto"/>
                      <w:sz w:val="21"/>
                      <w:szCs w:val="21"/>
                      <w:highlight w:val="none"/>
                      <w:lang w:bidi="zh-CN"/>
                    </w:rPr>
                  </w:pPr>
                  <w:r>
                    <w:rPr>
                      <w:rFonts w:hint="default" w:ascii="Times New Roman" w:hAnsi="Times New Roman" w:eastAsia="宋体" w:cs="Times New Roman"/>
                      <w:bCs/>
                      <w:color w:val="auto"/>
                      <w:sz w:val="21"/>
                      <w:szCs w:val="21"/>
                      <w:highlight w:val="none"/>
                      <w:lang w:bidi="zh-CN"/>
                    </w:rPr>
                    <w:t>选用低噪声设备</w:t>
                  </w:r>
                </w:p>
              </w:tc>
              <w:tc>
                <w:tcPr>
                  <w:tcW w:w="1462" w:type="dxa"/>
                  <w:noWrap w:val="0"/>
                  <w:vAlign w:val="center"/>
                </w:tcPr>
                <w:p w14:paraId="6A1CF3AE">
                  <w:pPr>
                    <w:widowControl/>
                    <w:autoSpaceDE w:val="0"/>
                    <w:autoSpaceDN w:val="0"/>
                    <w:jc w:val="center"/>
                    <w:rPr>
                      <w:rFonts w:hint="default" w:ascii="Times New Roman" w:hAnsi="Times New Roman" w:eastAsia="宋体" w:cs="Times New Roman"/>
                      <w:bCs/>
                      <w:color w:val="auto"/>
                      <w:sz w:val="21"/>
                      <w:szCs w:val="21"/>
                      <w:highlight w:val="none"/>
                      <w:lang w:val="en-US" w:bidi="zh-CN"/>
                    </w:rPr>
                  </w:pPr>
                  <w:r>
                    <w:rPr>
                      <w:rFonts w:hint="eastAsia" w:cs="Times New Roman"/>
                      <w:bCs/>
                      <w:color w:val="auto"/>
                      <w:sz w:val="21"/>
                      <w:szCs w:val="21"/>
                      <w:highlight w:val="none"/>
                      <w:lang w:val="en-US" w:bidi="zh-CN"/>
                    </w:rPr>
                    <w:t>0.5</w:t>
                  </w:r>
                </w:p>
              </w:tc>
            </w:tr>
            <w:tr w14:paraId="6A226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3" w:type="dxa"/>
                  <w:noWrap w:val="0"/>
                  <w:vAlign w:val="center"/>
                </w:tcPr>
                <w:p w14:paraId="21BA3B5E">
                  <w:pPr>
                    <w:pStyle w:val="10"/>
                    <w:autoSpaceDE w:val="0"/>
                    <w:autoSpaceDN w:val="0"/>
                    <w:spacing w:after="0"/>
                    <w:ind w:left="0" w:lef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固废</w:t>
                  </w:r>
                </w:p>
              </w:tc>
              <w:tc>
                <w:tcPr>
                  <w:tcW w:w="1857" w:type="dxa"/>
                  <w:noWrap w:val="0"/>
                  <w:vAlign w:val="center"/>
                </w:tcPr>
                <w:p w14:paraId="0F908151">
                  <w:pPr>
                    <w:widowControl/>
                    <w:autoSpaceDE w:val="0"/>
                    <w:autoSpaceDN w:val="0"/>
                    <w:jc w:val="center"/>
                    <w:rPr>
                      <w:rFonts w:hint="default" w:ascii="Times New Roman" w:hAnsi="Times New Roman" w:eastAsia="宋体" w:cs="Times New Roman"/>
                      <w:bCs/>
                      <w:color w:val="auto"/>
                      <w:sz w:val="21"/>
                      <w:szCs w:val="21"/>
                      <w:highlight w:val="none"/>
                      <w:lang w:bidi="zh-CN"/>
                    </w:rPr>
                  </w:pPr>
                  <w:r>
                    <w:rPr>
                      <w:rFonts w:hint="default" w:ascii="Times New Roman" w:hAnsi="Times New Roman" w:eastAsia="宋体" w:cs="Times New Roman"/>
                      <w:bCs/>
                      <w:color w:val="auto"/>
                      <w:sz w:val="21"/>
                      <w:szCs w:val="21"/>
                      <w:highlight w:val="none"/>
                      <w:lang w:bidi="zh-CN"/>
                    </w:rPr>
                    <w:t>生活垃圾</w:t>
                  </w:r>
                </w:p>
              </w:tc>
              <w:tc>
                <w:tcPr>
                  <w:tcW w:w="4018" w:type="dxa"/>
                  <w:noWrap w:val="0"/>
                  <w:vAlign w:val="center"/>
                </w:tcPr>
                <w:p w14:paraId="4AAA90F6">
                  <w:pPr>
                    <w:widowControl/>
                    <w:autoSpaceDE w:val="0"/>
                    <w:autoSpaceDN w:val="0"/>
                    <w:jc w:val="center"/>
                    <w:rPr>
                      <w:rFonts w:hint="default" w:ascii="Times New Roman" w:hAnsi="Times New Roman" w:eastAsia="宋体" w:cs="Times New Roman"/>
                      <w:bCs/>
                      <w:color w:val="auto"/>
                      <w:sz w:val="21"/>
                      <w:szCs w:val="21"/>
                      <w:highlight w:val="none"/>
                      <w:lang w:bidi="zh-CN"/>
                    </w:rPr>
                  </w:pPr>
                  <w:r>
                    <w:rPr>
                      <w:rFonts w:hint="default" w:ascii="Times New Roman" w:hAnsi="Times New Roman" w:eastAsia="宋体" w:cs="Times New Roman"/>
                      <w:bCs/>
                      <w:color w:val="auto"/>
                      <w:sz w:val="21"/>
                      <w:szCs w:val="21"/>
                      <w:highlight w:val="none"/>
                      <w:lang w:bidi="zh-CN"/>
                    </w:rPr>
                    <w:t>环卫垃圾收集装置</w:t>
                  </w:r>
                </w:p>
              </w:tc>
              <w:tc>
                <w:tcPr>
                  <w:tcW w:w="1462" w:type="dxa"/>
                  <w:noWrap w:val="0"/>
                  <w:vAlign w:val="center"/>
                </w:tcPr>
                <w:p w14:paraId="6507CF53">
                  <w:pPr>
                    <w:widowControl/>
                    <w:autoSpaceDE w:val="0"/>
                    <w:autoSpaceDN w:val="0"/>
                    <w:jc w:val="center"/>
                    <w:rPr>
                      <w:rFonts w:hint="default" w:ascii="Times New Roman" w:hAnsi="Times New Roman" w:eastAsia="宋体" w:cs="Times New Roman"/>
                      <w:bCs/>
                      <w:color w:val="auto"/>
                      <w:sz w:val="21"/>
                      <w:szCs w:val="21"/>
                      <w:highlight w:val="none"/>
                      <w:lang w:val="en-US" w:bidi="zh-CN"/>
                    </w:rPr>
                  </w:pPr>
                  <w:r>
                    <w:rPr>
                      <w:rFonts w:hint="eastAsia" w:cs="Times New Roman"/>
                      <w:bCs/>
                      <w:color w:val="auto"/>
                      <w:sz w:val="21"/>
                      <w:szCs w:val="21"/>
                      <w:highlight w:val="none"/>
                      <w:lang w:val="en-US" w:bidi="zh-CN"/>
                    </w:rPr>
                    <w:t>0.2</w:t>
                  </w:r>
                </w:p>
              </w:tc>
            </w:tr>
            <w:tr w14:paraId="3D43F9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0" w:type="dxa"/>
                  <w:gridSpan w:val="2"/>
                  <w:noWrap w:val="0"/>
                  <w:vAlign w:val="center"/>
                </w:tcPr>
                <w:p w14:paraId="347A9BF4">
                  <w:pPr>
                    <w:widowControl/>
                    <w:autoSpaceDE w:val="0"/>
                    <w:autoSpaceDN w:val="0"/>
                    <w:jc w:val="center"/>
                    <w:rPr>
                      <w:rFonts w:hint="default" w:ascii="Times New Roman" w:hAnsi="Times New Roman" w:eastAsia="宋体" w:cs="Times New Roman"/>
                      <w:bCs/>
                      <w:color w:val="auto"/>
                      <w:sz w:val="21"/>
                      <w:szCs w:val="21"/>
                      <w:highlight w:val="none"/>
                      <w:lang w:bidi="zh-CN"/>
                    </w:rPr>
                  </w:pPr>
                  <w:r>
                    <w:rPr>
                      <w:rFonts w:hint="eastAsia" w:cs="Times New Roman"/>
                      <w:bCs/>
                      <w:color w:val="auto"/>
                      <w:sz w:val="21"/>
                      <w:szCs w:val="21"/>
                      <w:highlight w:val="none"/>
                      <w:lang w:bidi="zh-CN"/>
                    </w:rPr>
                    <w:t>厂区绿化</w:t>
                  </w:r>
                </w:p>
              </w:tc>
              <w:tc>
                <w:tcPr>
                  <w:tcW w:w="4018" w:type="dxa"/>
                  <w:noWrap w:val="0"/>
                  <w:vAlign w:val="center"/>
                </w:tcPr>
                <w:p w14:paraId="5E914BFC">
                  <w:pPr>
                    <w:widowControl/>
                    <w:autoSpaceDE w:val="0"/>
                    <w:autoSpaceDN w:val="0"/>
                    <w:jc w:val="center"/>
                    <w:rPr>
                      <w:rFonts w:hint="default" w:ascii="Times New Roman" w:hAnsi="Times New Roman" w:eastAsia="宋体" w:cs="Times New Roman"/>
                      <w:bCs/>
                      <w:color w:val="auto"/>
                      <w:sz w:val="21"/>
                      <w:szCs w:val="21"/>
                      <w:highlight w:val="none"/>
                      <w:lang w:bidi="zh-CN"/>
                    </w:rPr>
                  </w:pPr>
                  <w:r>
                    <w:rPr>
                      <w:rFonts w:hint="eastAsia" w:cs="Times New Roman"/>
                      <w:bCs/>
                      <w:color w:val="auto"/>
                      <w:sz w:val="21"/>
                      <w:szCs w:val="21"/>
                      <w:highlight w:val="none"/>
                      <w:lang w:bidi="zh-CN"/>
                    </w:rPr>
                    <w:t>厂区四周绿化</w:t>
                  </w:r>
                </w:p>
              </w:tc>
              <w:tc>
                <w:tcPr>
                  <w:tcW w:w="1462" w:type="dxa"/>
                  <w:noWrap w:val="0"/>
                  <w:vAlign w:val="center"/>
                </w:tcPr>
                <w:p w14:paraId="38BDF582">
                  <w:pPr>
                    <w:widowControl/>
                    <w:autoSpaceDE w:val="0"/>
                    <w:autoSpaceDN w:val="0"/>
                    <w:jc w:val="center"/>
                    <w:rPr>
                      <w:rFonts w:hint="default" w:cs="Times New Roman"/>
                      <w:bCs/>
                      <w:color w:val="auto"/>
                      <w:sz w:val="21"/>
                      <w:szCs w:val="21"/>
                      <w:highlight w:val="none"/>
                      <w:lang w:val="en-US" w:bidi="zh-CN"/>
                    </w:rPr>
                  </w:pPr>
                  <w:r>
                    <w:rPr>
                      <w:rFonts w:hint="eastAsia" w:cs="Times New Roman"/>
                      <w:bCs/>
                      <w:color w:val="auto"/>
                      <w:sz w:val="21"/>
                      <w:szCs w:val="21"/>
                      <w:highlight w:val="none"/>
                      <w:lang w:val="en-US" w:bidi="zh-CN"/>
                    </w:rPr>
                    <w:t>0.3</w:t>
                  </w:r>
                </w:p>
              </w:tc>
            </w:tr>
            <w:tr w14:paraId="07200B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0" w:type="dxa"/>
                  <w:gridSpan w:val="2"/>
                  <w:noWrap w:val="0"/>
                  <w:vAlign w:val="center"/>
                </w:tcPr>
                <w:p w14:paraId="5EFCCACD">
                  <w:pPr>
                    <w:widowControl/>
                    <w:autoSpaceDE w:val="0"/>
                    <w:autoSpaceDN w:val="0"/>
                    <w:jc w:val="center"/>
                    <w:rPr>
                      <w:rFonts w:hint="eastAsia" w:eastAsia="宋体" w:cs="Times New Roman"/>
                      <w:bCs/>
                      <w:color w:val="auto"/>
                      <w:sz w:val="21"/>
                      <w:szCs w:val="21"/>
                      <w:highlight w:val="none"/>
                      <w:lang w:val="en-US" w:eastAsia="zh-CN" w:bidi="zh-CN"/>
                    </w:rPr>
                  </w:pPr>
                  <w:r>
                    <w:rPr>
                      <w:rFonts w:hint="eastAsia" w:cs="Times New Roman"/>
                      <w:bCs/>
                      <w:color w:val="auto"/>
                      <w:sz w:val="21"/>
                      <w:szCs w:val="21"/>
                      <w:highlight w:val="none"/>
                      <w:lang w:val="en-US" w:eastAsia="zh-CN" w:bidi="zh-CN"/>
                    </w:rPr>
                    <w:t>监测计划</w:t>
                  </w:r>
                </w:p>
              </w:tc>
              <w:tc>
                <w:tcPr>
                  <w:tcW w:w="4018" w:type="dxa"/>
                  <w:noWrap w:val="0"/>
                  <w:vAlign w:val="center"/>
                </w:tcPr>
                <w:p w14:paraId="286BD6A0">
                  <w:pPr>
                    <w:widowControl/>
                    <w:autoSpaceDE w:val="0"/>
                    <w:autoSpaceDN w:val="0"/>
                    <w:jc w:val="center"/>
                    <w:rPr>
                      <w:rFonts w:hint="eastAsia" w:cs="Times New Roman"/>
                      <w:bCs/>
                      <w:color w:val="auto"/>
                      <w:sz w:val="21"/>
                      <w:szCs w:val="21"/>
                      <w:highlight w:val="none"/>
                      <w:lang w:bidi="zh-CN"/>
                    </w:rPr>
                  </w:pPr>
                  <w:r>
                    <w:rPr>
                      <w:rFonts w:hint="eastAsia" w:cs="Times New Roman"/>
                      <w:bCs/>
                      <w:color w:val="auto"/>
                      <w:sz w:val="21"/>
                      <w:szCs w:val="21"/>
                      <w:highlight w:val="none"/>
                      <w:lang w:bidi="zh-CN"/>
                    </w:rPr>
                    <w:t>废气、噪声监测费用</w:t>
                  </w:r>
                </w:p>
              </w:tc>
              <w:tc>
                <w:tcPr>
                  <w:tcW w:w="1462" w:type="dxa"/>
                  <w:noWrap w:val="0"/>
                  <w:vAlign w:val="center"/>
                </w:tcPr>
                <w:p w14:paraId="539AABF9">
                  <w:pPr>
                    <w:widowControl/>
                    <w:autoSpaceDE w:val="0"/>
                    <w:autoSpaceDN w:val="0"/>
                    <w:jc w:val="center"/>
                    <w:rPr>
                      <w:rFonts w:hint="default" w:cs="Times New Roman"/>
                      <w:bCs/>
                      <w:color w:val="auto"/>
                      <w:sz w:val="21"/>
                      <w:szCs w:val="21"/>
                      <w:highlight w:val="none"/>
                      <w:lang w:val="en-US" w:bidi="zh-CN"/>
                    </w:rPr>
                  </w:pPr>
                  <w:r>
                    <w:rPr>
                      <w:rFonts w:hint="eastAsia" w:cs="Times New Roman"/>
                      <w:bCs/>
                      <w:color w:val="auto"/>
                      <w:sz w:val="21"/>
                      <w:szCs w:val="21"/>
                      <w:highlight w:val="none"/>
                      <w:lang w:val="en-US" w:bidi="zh-CN"/>
                    </w:rPr>
                    <w:t>0.3</w:t>
                  </w:r>
                </w:p>
              </w:tc>
            </w:tr>
            <w:tr w14:paraId="2D86E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60" w:type="dxa"/>
                  <w:gridSpan w:val="2"/>
                  <w:noWrap w:val="0"/>
                  <w:vAlign w:val="center"/>
                </w:tcPr>
                <w:p w14:paraId="3F4B7887">
                  <w:pPr>
                    <w:widowControl/>
                    <w:autoSpaceDE w:val="0"/>
                    <w:autoSpaceDN w:val="0"/>
                    <w:jc w:val="center"/>
                    <w:rPr>
                      <w:rFonts w:hint="eastAsia" w:cs="Times New Roman"/>
                      <w:bCs/>
                      <w:color w:val="auto"/>
                      <w:sz w:val="21"/>
                      <w:szCs w:val="21"/>
                      <w:highlight w:val="none"/>
                      <w:lang w:val="en-US" w:eastAsia="zh-CN" w:bidi="zh-CN"/>
                    </w:rPr>
                  </w:pPr>
                  <w:r>
                    <w:rPr>
                      <w:rFonts w:hint="eastAsia" w:cs="Times New Roman"/>
                      <w:bCs/>
                      <w:color w:val="auto"/>
                      <w:sz w:val="21"/>
                      <w:szCs w:val="21"/>
                      <w:highlight w:val="none"/>
                      <w:lang w:val="en-US" w:eastAsia="zh-CN" w:bidi="zh-CN"/>
                    </w:rPr>
                    <w:t>设施维护</w:t>
                  </w:r>
                </w:p>
              </w:tc>
              <w:tc>
                <w:tcPr>
                  <w:tcW w:w="4018" w:type="dxa"/>
                  <w:noWrap w:val="0"/>
                  <w:vAlign w:val="center"/>
                </w:tcPr>
                <w:p w14:paraId="5AA12E7C">
                  <w:pPr>
                    <w:widowControl/>
                    <w:autoSpaceDE w:val="0"/>
                    <w:autoSpaceDN w:val="0"/>
                    <w:jc w:val="center"/>
                    <w:rPr>
                      <w:rFonts w:hint="eastAsia" w:cs="Times New Roman"/>
                      <w:bCs/>
                      <w:color w:val="auto"/>
                      <w:sz w:val="21"/>
                      <w:szCs w:val="21"/>
                      <w:highlight w:val="none"/>
                      <w:lang w:bidi="zh-CN"/>
                    </w:rPr>
                  </w:pPr>
                  <w:r>
                    <w:rPr>
                      <w:rFonts w:hint="eastAsia" w:cs="Times New Roman"/>
                      <w:bCs/>
                      <w:color w:val="auto"/>
                      <w:sz w:val="21"/>
                      <w:szCs w:val="21"/>
                      <w:highlight w:val="none"/>
                      <w:lang w:bidi="zh-CN"/>
                    </w:rPr>
                    <w:t>环保设施的运行、维护、维修费用</w:t>
                  </w:r>
                </w:p>
              </w:tc>
              <w:tc>
                <w:tcPr>
                  <w:tcW w:w="1462" w:type="dxa"/>
                  <w:noWrap w:val="0"/>
                  <w:vAlign w:val="center"/>
                </w:tcPr>
                <w:p w14:paraId="21F08417">
                  <w:pPr>
                    <w:widowControl/>
                    <w:autoSpaceDE w:val="0"/>
                    <w:autoSpaceDN w:val="0"/>
                    <w:jc w:val="center"/>
                    <w:rPr>
                      <w:rFonts w:hint="default" w:cs="Times New Roman"/>
                      <w:bCs/>
                      <w:color w:val="auto"/>
                      <w:sz w:val="21"/>
                      <w:szCs w:val="21"/>
                      <w:highlight w:val="none"/>
                      <w:lang w:val="en-US" w:bidi="zh-CN"/>
                    </w:rPr>
                  </w:pPr>
                  <w:r>
                    <w:rPr>
                      <w:rFonts w:hint="eastAsia" w:cs="Times New Roman"/>
                      <w:bCs/>
                      <w:color w:val="auto"/>
                      <w:sz w:val="21"/>
                      <w:szCs w:val="21"/>
                      <w:highlight w:val="none"/>
                      <w:lang w:val="en-US" w:bidi="zh-CN"/>
                    </w:rPr>
                    <w:t>0.2</w:t>
                  </w:r>
                </w:p>
              </w:tc>
            </w:tr>
            <w:tr w14:paraId="6C6D1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8" w:type="dxa"/>
                  <w:gridSpan w:val="3"/>
                  <w:noWrap w:val="0"/>
                  <w:vAlign w:val="center"/>
                </w:tcPr>
                <w:p w14:paraId="5431DC5A">
                  <w:pPr>
                    <w:widowControl/>
                    <w:autoSpaceDE w:val="0"/>
                    <w:autoSpaceDN w:val="0"/>
                    <w:jc w:val="center"/>
                    <w:rPr>
                      <w:rFonts w:hint="default" w:ascii="Times New Roman" w:hAnsi="Times New Roman" w:eastAsia="宋体" w:cs="Times New Roman"/>
                      <w:bCs/>
                      <w:color w:val="auto"/>
                      <w:sz w:val="21"/>
                      <w:szCs w:val="21"/>
                      <w:highlight w:val="yellow"/>
                      <w:lang w:bidi="zh-CN"/>
                    </w:rPr>
                  </w:pPr>
                  <w:r>
                    <w:rPr>
                      <w:rFonts w:hint="default" w:ascii="Times New Roman" w:hAnsi="Times New Roman" w:eastAsia="宋体" w:cs="Times New Roman"/>
                      <w:bCs/>
                      <w:color w:val="auto"/>
                      <w:sz w:val="21"/>
                      <w:szCs w:val="21"/>
                      <w:highlight w:val="none"/>
                      <w:lang w:bidi="zh-CN"/>
                    </w:rPr>
                    <w:t>合计</w:t>
                  </w:r>
                </w:p>
              </w:tc>
              <w:tc>
                <w:tcPr>
                  <w:tcW w:w="1462" w:type="dxa"/>
                  <w:noWrap w:val="0"/>
                  <w:vAlign w:val="center"/>
                </w:tcPr>
                <w:p w14:paraId="3C19D0E3">
                  <w:pPr>
                    <w:widowControl/>
                    <w:autoSpaceDE w:val="0"/>
                    <w:autoSpaceDN w:val="0"/>
                    <w:jc w:val="center"/>
                    <w:rPr>
                      <w:rFonts w:hint="default" w:ascii="Times New Roman" w:hAnsi="Times New Roman" w:eastAsia="宋体" w:cs="Times New Roman"/>
                      <w:bCs/>
                      <w:color w:val="auto"/>
                      <w:sz w:val="21"/>
                      <w:szCs w:val="21"/>
                      <w:highlight w:val="none"/>
                      <w:lang w:val="en-US" w:bidi="zh-CN"/>
                    </w:rPr>
                  </w:pPr>
                  <w:r>
                    <w:rPr>
                      <w:rFonts w:hint="eastAsia" w:cs="Times New Roman"/>
                      <w:bCs/>
                      <w:color w:val="auto"/>
                      <w:sz w:val="21"/>
                      <w:szCs w:val="21"/>
                      <w:highlight w:val="none"/>
                      <w:lang w:val="en-US" w:bidi="zh-CN"/>
                    </w:rPr>
                    <w:t>8</w:t>
                  </w:r>
                </w:p>
              </w:tc>
            </w:tr>
          </w:tbl>
          <w:p w14:paraId="3BE34996">
            <w:pPr>
              <w:adjustRightInd w:val="0"/>
              <w:snapToGrid w:val="0"/>
              <w:spacing w:line="360" w:lineRule="auto"/>
              <w:rPr>
                <w:rFonts w:hint="default" w:ascii="Times New Roman" w:hAnsi="Times New Roman" w:eastAsia="宋体" w:cs="Times New Roman"/>
                <w:bCs/>
                <w:color w:val="auto"/>
                <w:szCs w:val="21"/>
              </w:rPr>
            </w:pPr>
          </w:p>
        </w:tc>
      </w:tr>
      <w:tr w14:paraId="7D536E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6" w:hRule="atLeast"/>
          <w:jc w:val="center"/>
        </w:trPr>
        <w:tc>
          <w:tcPr>
            <w:tcW w:w="823" w:type="dxa"/>
            <w:noWrap w:val="0"/>
            <w:vAlign w:val="center"/>
          </w:tcPr>
          <w:p w14:paraId="7B21163D">
            <w:pPr>
              <w:pStyle w:val="26"/>
              <w:adjustRightInd w:val="0"/>
              <w:snapToGrid w:val="0"/>
              <w:spacing w:before="0" w:beforeAutospacing="0" w:after="0" w:afterAutospacing="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工艺流程和产排污环节</w:t>
            </w:r>
          </w:p>
        </w:tc>
        <w:tc>
          <w:tcPr>
            <w:tcW w:w="8161" w:type="dxa"/>
            <w:noWrap w:val="0"/>
            <w:vAlign w:val="top"/>
          </w:tcPr>
          <w:p w14:paraId="444F9B38">
            <w:pPr>
              <w:spacing w:line="360" w:lineRule="auto"/>
              <w:rPr>
                <w:rFonts w:hint="default" w:ascii="Times New Roman" w:hAnsi="Times New Roman" w:eastAsia="宋体" w:cs="Times New Roman"/>
                <w:color w:val="auto"/>
                <w:sz w:val="24"/>
              </w:rPr>
            </w:pPr>
            <w:r>
              <w:rPr>
                <w:rFonts w:hint="default" w:ascii="Times New Roman" w:hAnsi="Times New Roman" w:eastAsia="宋体" w:cs="Times New Roman"/>
                <w:b/>
                <w:bCs/>
                <w:color w:val="auto"/>
                <w:sz w:val="24"/>
              </w:rPr>
              <w:t>项目施工期和运营期工艺流程简述</w:t>
            </w:r>
          </w:p>
          <w:p w14:paraId="609B3BD1">
            <w:pPr>
              <w:widowControl/>
              <w:spacing w:line="360" w:lineRule="auto"/>
              <w:ind w:firstLine="482" w:firstLineChars="200"/>
              <w:jc w:val="lef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一、</w:t>
            </w:r>
            <w:bookmarkStart w:id="21" w:name="_Toc478671009"/>
            <w:r>
              <w:rPr>
                <w:rFonts w:hint="default" w:ascii="Times New Roman" w:hAnsi="Times New Roman" w:eastAsia="宋体" w:cs="Times New Roman"/>
                <w:b/>
                <w:bCs/>
                <w:color w:val="auto"/>
                <w:sz w:val="24"/>
              </w:rPr>
              <w:t>施工期</w:t>
            </w:r>
            <w:bookmarkEnd w:id="21"/>
          </w:p>
          <w:p w14:paraId="1A305FF5">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次主要建设内容为场地平整、地面硬化，建设煤炭储存配套相应环保设施。主要影响范围为项目场区区域，施工过程将产生施工扬尘、施工废水、施工噪声、施工固废及生活垃圾等污染物，主要环境影响因子包括环境空气、水环境、声环境、生态环境等。</w:t>
            </w:r>
          </w:p>
          <w:p w14:paraId="0D878B0C">
            <w:pPr>
              <w:spacing w:line="360" w:lineRule="auto"/>
              <w:ind w:firstLine="482" w:firstLineChars="200"/>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二、营运期</w:t>
            </w:r>
          </w:p>
          <w:p w14:paraId="23F94D2D">
            <w:pPr>
              <w:spacing w:line="360" w:lineRule="auto"/>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运营期生产工艺流程及产污节点见下图。</w:t>
            </w:r>
          </w:p>
          <w:p w14:paraId="06C27562">
            <w:pPr>
              <w:adjustRightInd w:val="0"/>
              <w:snapToGrid w:val="0"/>
              <w:jc w:val="center"/>
              <w:rPr>
                <w:rFonts w:hint="default" w:ascii="Times New Roman" w:hAnsi="Times New Roman" w:eastAsia="宋体" w:cs="Times New Roman"/>
                <w:color w:val="auto"/>
              </w:rPr>
            </w:pPr>
          </w:p>
          <w:p w14:paraId="4C7B623F">
            <w:pPr>
              <w:adjustRightInd w:val="0"/>
              <w:snapToGrid w:val="0"/>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rPr>
              <w:object>
                <v:shape id="_x0000_i1027" o:spt="75" type="#_x0000_t75" style="height:225.55pt;width:226pt;" o:ole="t" filled="f" o:preferrelative="t" stroked="f" coordsize="21600,21600">
                  <v:path/>
                  <v:fill on="f" focussize="0,0"/>
                  <v:stroke on="f"/>
                  <v:imagedata r:id="rId17" o:title=""/>
                  <o:lock v:ext="edit" aspectratio="f"/>
                  <w10:wrap type="none"/>
                  <w10:anchorlock/>
                </v:shape>
                <o:OLEObject Type="Embed" ProgID="Visio.Drawing.11" ShapeID="_x0000_i1027" DrawAspect="Content" ObjectID="_1468075727" r:id="rId16">
                  <o:LockedField>false</o:LockedField>
                </o:OLEObject>
              </w:object>
            </w:r>
          </w:p>
          <w:p w14:paraId="1CA77B65">
            <w:pPr>
              <w:adjustRightInd w:val="0"/>
              <w:snapToGrid w:val="0"/>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color w:val="auto"/>
                <w:sz w:val="24"/>
                <w:highlight w:val="none"/>
              </w:rPr>
              <w:t>图</w:t>
            </w:r>
            <w:r>
              <w:rPr>
                <w:rFonts w:hint="default" w:ascii="Times New Roman" w:hAnsi="Times New Roman" w:eastAsia="宋体" w:cs="Times New Roman"/>
                <w:b/>
                <w:color w:val="auto"/>
                <w:sz w:val="24"/>
                <w:highlight w:val="none"/>
                <w:u w:val="none"/>
              </w:rPr>
              <w:t>2-</w:t>
            </w:r>
            <w:r>
              <w:rPr>
                <w:rFonts w:hint="eastAsia" w:cs="Times New Roman"/>
                <w:b/>
                <w:color w:val="auto"/>
                <w:sz w:val="24"/>
                <w:highlight w:val="none"/>
                <w:u w:val="none"/>
                <w:lang w:val="en-US" w:eastAsia="zh-CN"/>
              </w:rPr>
              <w:t>4</w:t>
            </w:r>
            <w:r>
              <w:rPr>
                <w:rFonts w:hint="default" w:ascii="Times New Roman" w:hAnsi="Times New Roman" w:eastAsia="宋体" w:cs="Times New Roman"/>
                <w:b/>
                <w:color w:val="auto"/>
                <w:sz w:val="24"/>
                <w:highlight w:val="none"/>
              </w:rPr>
              <w:t xml:space="preserve"> 工艺流程及产污节点示意图</w:t>
            </w:r>
          </w:p>
          <w:p w14:paraId="7D4A6E06">
            <w:pPr>
              <w:spacing w:line="360" w:lineRule="auto"/>
              <w:ind w:firstLine="482" w:firstLineChars="200"/>
              <w:jc w:val="lef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生产工艺简述：</w:t>
            </w:r>
          </w:p>
          <w:p w14:paraId="1918D2F8">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rPr>
                <w:rFonts w:hint="default" w:ascii="Times New Roman" w:hAnsi="Times New Roman" w:cs="Times New Roman"/>
                <w:color w:val="auto"/>
                <w:sz w:val="24"/>
                <w:szCs w:val="20"/>
                <w:highlight w:val="none"/>
                <w:lang w:eastAsia="zh-CN"/>
              </w:rPr>
            </w:pPr>
            <w:r>
              <w:rPr>
                <w:rFonts w:hint="default" w:ascii="Times New Roman" w:hAnsi="Times New Roman" w:eastAsia="宋体" w:cs="Times New Roman"/>
                <w:color w:val="auto"/>
                <w:sz w:val="24"/>
                <w:highlight w:val="none"/>
                <w:lang w:val="en-US" w:eastAsia="zh-CN"/>
              </w:rPr>
              <w:t>（1）运进：</w:t>
            </w:r>
            <w:r>
              <w:rPr>
                <w:rFonts w:hint="eastAsia" w:cs="Times New Roman"/>
                <w:snapToGrid w:val="0"/>
                <w:color w:val="auto"/>
                <w:kern w:val="0"/>
                <w:sz w:val="24"/>
                <w:highlight w:val="none"/>
                <w:lang w:val="en-US" w:eastAsia="zh-CN" w:bidi="ar"/>
              </w:rPr>
              <w:t>煤炭</w:t>
            </w:r>
            <w:r>
              <w:rPr>
                <w:rFonts w:hint="default" w:ascii="Times New Roman" w:hAnsi="Times New Roman" w:eastAsia="宋体" w:cs="Times New Roman"/>
                <w:snapToGrid w:val="0"/>
                <w:color w:val="auto"/>
                <w:kern w:val="0"/>
                <w:sz w:val="24"/>
                <w:highlight w:val="none"/>
                <w:lang w:val="en-US" w:eastAsia="zh-CN" w:bidi="ar"/>
              </w:rPr>
              <w:t>（煤炭热值不同）由</w:t>
            </w:r>
            <w:r>
              <w:rPr>
                <w:rFonts w:hint="default" w:ascii="Times New Roman" w:hAnsi="Times New Roman" w:cs="Times New Roman"/>
                <w:color w:val="auto"/>
                <w:sz w:val="24"/>
                <w:szCs w:val="20"/>
                <w:highlight w:val="none"/>
                <w:lang w:eastAsia="zh-CN"/>
              </w:rPr>
              <w:t>周围各煤矿提供货车直接运输到厂内，货车顶部覆盖苫布。对厂区道路硬化并派专人管理，经常维护以保持良好的路面状况；专人清扫抛洒在道路上的散状物料，对道路经常洒水可起到抑尘作用。</w:t>
            </w:r>
          </w:p>
          <w:p w14:paraId="64E1CD6C">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（2）称重：本项目</w:t>
            </w:r>
            <w:r>
              <w:rPr>
                <w:rFonts w:hint="default" w:ascii="Times New Roman" w:hAnsi="Times New Roman" w:cs="Times New Roman"/>
                <w:color w:val="auto"/>
                <w:sz w:val="24"/>
                <w:highlight w:val="none"/>
                <w:lang w:val="en-US" w:eastAsia="zh-CN"/>
              </w:rPr>
              <w:t>在</w:t>
            </w:r>
            <w:r>
              <w:rPr>
                <w:rFonts w:hint="eastAsia" w:cs="Times New Roman"/>
                <w:color w:val="auto"/>
                <w:sz w:val="24"/>
                <w:highlight w:val="none"/>
                <w:lang w:val="en-US" w:eastAsia="zh-CN"/>
              </w:rPr>
              <w:t>入厂处设置地磅</w:t>
            </w: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车辆在</w:t>
            </w:r>
            <w:r>
              <w:rPr>
                <w:rFonts w:hint="eastAsia" w:cs="Times New Roman"/>
                <w:color w:val="auto"/>
                <w:sz w:val="24"/>
                <w:highlight w:val="none"/>
                <w:lang w:val="en-US" w:eastAsia="zh-CN"/>
              </w:rPr>
              <w:t>地磅</w:t>
            </w:r>
            <w:r>
              <w:rPr>
                <w:rFonts w:hint="default" w:ascii="Times New Roman" w:hAnsi="Times New Roman" w:eastAsia="宋体" w:cs="Times New Roman"/>
                <w:color w:val="auto"/>
                <w:sz w:val="24"/>
                <w:highlight w:val="none"/>
                <w:lang w:val="en-US" w:eastAsia="zh-CN"/>
              </w:rPr>
              <w:t>称重后进厂。</w:t>
            </w:r>
          </w:p>
          <w:p w14:paraId="2A0BB1AF">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（3）卸煤：货车自动卸煤，在卸煤时同时进行洒水，卸完后空车驶</w:t>
            </w:r>
            <w:r>
              <w:rPr>
                <w:rFonts w:hint="default" w:ascii="Times New Roman" w:hAnsi="Times New Roman" w:cs="Times New Roman"/>
                <w:color w:val="auto"/>
                <w:sz w:val="24"/>
                <w:highlight w:val="none"/>
                <w:lang w:val="en-US" w:eastAsia="zh-CN"/>
              </w:rPr>
              <w:t>入车库</w:t>
            </w:r>
            <w:r>
              <w:rPr>
                <w:rFonts w:hint="default" w:ascii="Times New Roman" w:hAnsi="Times New Roman" w:eastAsia="宋体" w:cs="Times New Roman"/>
                <w:color w:val="auto"/>
                <w:sz w:val="24"/>
                <w:highlight w:val="none"/>
                <w:lang w:val="en-US" w:eastAsia="zh-CN"/>
              </w:rPr>
              <w:t>。煤炭采用储煤场储存，在储煤场四周设置防风抑尘网并</w:t>
            </w:r>
            <w:r>
              <w:rPr>
                <w:rFonts w:hint="eastAsia" w:cs="Times New Roman"/>
                <w:color w:val="auto"/>
                <w:sz w:val="24"/>
                <w:highlight w:val="none"/>
                <w:lang w:val="en-US" w:eastAsia="zh-CN"/>
              </w:rPr>
              <w:t>在堆场</w:t>
            </w:r>
            <w:r>
              <w:rPr>
                <w:rFonts w:hint="default" w:ascii="Times New Roman" w:hAnsi="Times New Roman" w:eastAsia="宋体" w:cs="Times New Roman"/>
                <w:color w:val="auto"/>
                <w:sz w:val="24"/>
                <w:highlight w:val="none"/>
                <w:lang w:val="en-US" w:eastAsia="zh-CN"/>
              </w:rPr>
              <w:t>顶部</w:t>
            </w:r>
            <w:r>
              <w:rPr>
                <w:rFonts w:hint="default" w:ascii="Times New Roman" w:hAnsi="Times New Roman" w:cs="Times New Roman"/>
                <w:color w:val="auto"/>
                <w:sz w:val="24"/>
                <w:highlight w:val="none"/>
                <w:lang w:val="en-US" w:eastAsia="zh-CN"/>
              </w:rPr>
              <w:t>苫盖苫布</w:t>
            </w:r>
            <w:r>
              <w:rPr>
                <w:rFonts w:hint="default" w:ascii="Times New Roman" w:hAnsi="Times New Roman" w:eastAsia="宋体" w:cs="Times New Roman"/>
                <w:color w:val="auto"/>
                <w:sz w:val="24"/>
                <w:highlight w:val="none"/>
                <w:lang w:val="en-US" w:eastAsia="zh-CN"/>
              </w:rPr>
              <w:t>，洒水</w:t>
            </w:r>
            <w:r>
              <w:rPr>
                <w:rFonts w:hint="default" w:ascii="Times New Roman" w:hAnsi="Times New Roman" w:cs="Times New Roman"/>
                <w:color w:val="auto"/>
                <w:sz w:val="24"/>
                <w:highlight w:val="none"/>
                <w:lang w:val="en-US" w:eastAsia="zh-CN"/>
              </w:rPr>
              <w:t>范围</w:t>
            </w:r>
            <w:r>
              <w:rPr>
                <w:rFonts w:hint="default" w:ascii="Times New Roman" w:hAnsi="Times New Roman" w:eastAsia="宋体" w:cs="Times New Roman"/>
                <w:color w:val="auto"/>
                <w:sz w:val="24"/>
                <w:highlight w:val="none"/>
                <w:lang w:val="en-US" w:eastAsia="zh-CN"/>
              </w:rPr>
              <w:t>全面覆盖储煤场。</w:t>
            </w:r>
          </w:p>
          <w:p w14:paraId="3B69692F">
            <w:pPr>
              <w:keepNext w:val="0"/>
              <w:keepLines w:val="0"/>
              <w:pageBreakBefore w:val="0"/>
              <w:widowControl/>
              <w:kinsoku/>
              <w:wordWrap/>
              <w:overflowPunct/>
              <w:topLinePunct w:val="0"/>
              <w:autoSpaceDE/>
              <w:autoSpaceDN/>
              <w:bidi w:val="0"/>
              <w:adjustRightInd w:val="0"/>
              <w:spacing w:line="360" w:lineRule="auto"/>
              <w:ind w:firstLine="480" w:firstLineChars="200"/>
              <w:textAlignment w:val="baseline"/>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）运出：</w:t>
            </w:r>
            <w:r>
              <w:rPr>
                <w:rFonts w:hint="default" w:ascii="Times New Roman" w:hAnsi="Times New Roman" w:cs="Times New Roman"/>
                <w:color w:val="auto"/>
                <w:sz w:val="24"/>
                <w:highlight w:val="none"/>
              </w:rPr>
              <w:t>在装载过程同时进行洒水，然后采用</w:t>
            </w:r>
            <w:r>
              <w:rPr>
                <w:rFonts w:hint="default" w:ascii="Times New Roman" w:hAnsi="Times New Roman" w:cs="Times New Roman"/>
                <w:color w:val="auto"/>
                <w:sz w:val="24"/>
                <w:highlight w:val="none"/>
                <w:lang w:eastAsia="zh-CN"/>
              </w:rPr>
              <w:t>货车</w:t>
            </w:r>
            <w:r>
              <w:rPr>
                <w:rFonts w:hint="default" w:ascii="Times New Roman" w:hAnsi="Times New Roman" w:cs="Times New Roman"/>
                <w:color w:val="auto"/>
                <w:sz w:val="24"/>
                <w:highlight w:val="none"/>
              </w:rPr>
              <w:t>运输</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eastAsia="zh-CN"/>
              </w:rPr>
              <w:t>货车</w:t>
            </w:r>
            <w:r>
              <w:rPr>
                <w:rFonts w:hint="default" w:ascii="Times New Roman" w:hAnsi="Times New Roman" w:cs="Times New Roman"/>
                <w:color w:val="auto"/>
                <w:sz w:val="24"/>
                <w:highlight w:val="none"/>
              </w:rPr>
              <w:t>顶部覆盖</w:t>
            </w:r>
            <w:r>
              <w:rPr>
                <w:rFonts w:hint="default" w:ascii="Times New Roman" w:hAnsi="Times New Roman" w:cs="Times New Roman"/>
                <w:color w:val="auto"/>
                <w:sz w:val="24"/>
                <w:highlight w:val="none"/>
                <w:lang w:eastAsia="zh-CN"/>
              </w:rPr>
              <w:t>苫布，</w:t>
            </w:r>
            <w:r>
              <w:rPr>
                <w:rFonts w:hint="default" w:ascii="Times New Roman" w:hAnsi="Times New Roman" w:cs="Times New Roman"/>
                <w:color w:val="auto"/>
                <w:sz w:val="24"/>
                <w:highlight w:val="none"/>
              </w:rPr>
              <w:t>按序</w:t>
            </w:r>
            <w:r>
              <w:rPr>
                <w:rFonts w:hint="default" w:ascii="Times New Roman" w:hAnsi="Times New Roman" w:cs="Times New Roman"/>
                <w:color w:val="auto"/>
                <w:sz w:val="24"/>
                <w:highlight w:val="none"/>
                <w:lang w:eastAsia="zh-CN"/>
              </w:rPr>
              <w:t>驶出</w:t>
            </w:r>
            <w:r>
              <w:rPr>
                <w:rFonts w:hint="default" w:ascii="Times New Roman" w:hAnsi="Times New Roman" w:cs="Times New Roman"/>
                <w:color w:val="auto"/>
                <w:sz w:val="24"/>
                <w:highlight w:val="none"/>
              </w:rPr>
              <w:t>场外</w:t>
            </w:r>
            <w:r>
              <w:rPr>
                <w:rFonts w:hint="default" w:ascii="Times New Roman" w:hAnsi="Times New Roman" w:cs="Times New Roman"/>
                <w:color w:val="auto"/>
                <w:sz w:val="24"/>
                <w:highlight w:val="none"/>
                <w:lang w:eastAsia="zh-CN"/>
              </w:rPr>
              <w:t>。通过</w:t>
            </w:r>
            <w:r>
              <w:rPr>
                <w:rFonts w:hint="default" w:ascii="Times New Roman" w:hAnsi="Times New Roman" w:eastAsia="宋体" w:cs="Times New Roman"/>
                <w:color w:val="auto"/>
                <w:sz w:val="24"/>
                <w:highlight w:val="none"/>
                <w:lang w:val="en-US" w:eastAsia="zh-CN"/>
              </w:rPr>
              <w:t>厂区</w:t>
            </w:r>
            <w:r>
              <w:rPr>
                <w:rFonts w:hint="eastAsia" w:cs="Times New Roman"/>
                <w:color w:val="auto"/>
                <w:sz w:val="24"/>
                <w:highlight w:val="none"/>
                <w:lang w:val="en-US" w:eastAsia="zh-CN"/>
              </w:rPr>
              <w:t>地磅</w:t>
            </w:r>
            <w:r>
              <w:rPr>
                <w:rFonts w:hint="default" w:ascii="Times New Roman" w:hAnsi="Times New Roman" w:eastAsia="宋体" w:cs="Times New Roman"/>
                <w:color w:val="auto"/>
                <w:sz w:val="24"/>
                <w:highlight w:val="none"/>
                <w:lang w:val="en-US" w:eastAsia="zh-CN"/>
              </w:rPr>
              <w:t>称重后运出。</w:t>
            </w:r>
          </w:p>
          <w:p w14:paraId="5EBC2121">
            <w:pPr>
              <w:pStyle w:val="4"/>
              <w:keepNext/>
              <w:keepLines w:val="0"/>
              <w:pageBreakBefore w:val="0"/>
              <w:widowControl w:val="0"/>
              <w:kinsoku/>
              <w:wordWrap/>
              <w:overflowPunct w:val="0"/>
              <w:topLinePunct w:val="0"/>
              <w:autoSpaceDE/>
              <w:autoSpaceDN/>
              <w:bidi w:val="0"/>
              <w:adjustRightInd/>
              <w:snapToGrid w:val="0"/>
              <w:spacing w:before="0" w:after="0" w:line="240" w:lineRule="auto"/>
              <w:ind w:left="0" w:firstLine="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表2-</w:t>
            </w:r>
            <w:r>
              <w:rPr>
                <w:rFonts w:hint="eastAsia"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eastAsia="zh-CN"/>
              </w:rPr>
              <w:t xml:space="preserve"> 本项目主要产污</w:t>
            </w:r>
            <w:r>
              <w:rPr>
                <w:rFonts w:hint="default" w:ascii="Times New Roman" w:hAnsi="Times New Roman" w:eastAsia="宋体" w:cs="Times New Roman"/>
                <w:color w:val="auto"/>
                <w:sz w:val="21"/>
                <w:szCs w:val="21"/>
                <w:highlight w:val="none"/>
                <w:lang w:val="en-US" w:eastAsia="zh-CN"/>
              </w:rPr>
              <w:t>环节和污染因子汇总表</w:t>
            </w:r>
          </w:p>
          <w:tbl>
            <w:tblPr>
              <w:tblStyle w:val="30"/>
              <w:tblW w:w="49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8"/>
              <w:gridCol w:w="878"/>
              <w:gridCol w:w="766"/>
              <w:gridCol w:w="1205"/>
              <w:gridCol w:w="3860"/>
              <w:gridCol w:w="878"/>
            </w:tblGrid>
            <w:tr w14:paraId="7707D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8" w:type="dxa"/>
                  <w:tcBorders>
                    <w:top w:val="single" w:color="auto" w:sz="12" w:space="0"/>
                    <w:left w:val="nil"/>
                  </w:tcBorders>
                  <w:noWrap w:val="0"/>
                  <w:vAlign w:val="center"/>
                </w:tcPr>
                <w:p w14:paraId="49D118FE">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1646" w:type="dxa"/>
                  <w:gridSpan w:val="2"/>
                  <w:tcBorders>
                    <w:top w:val="single" w:color="auto" w:sz="12" w:space="0"/>
                  </w:tcBorders>
                  <w:noWrap w:val="0"/>
                  <w:vAlign w:val="center"/>
                </w:tcPr>
                <w:p w14:paraId="60A0E949">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产污环节</w:t>
                  </w:r>
                </w:p>
              </w:tc>
              <w:tc>
                <w:tcPr>
                  <w:tcW w:w="1206" w:type="dxa"/>
                  <w:tcBorders>
                    <w:top w:val="single" w:color="auto" w:sz="12" w:space="0"/>
                  </w:tcBorders>
                  <w:noWrap w:val="0"/>
                  <w:vAlign w:val="center"/>
                </w:tcPr>
                <w:p w14:paraId="475E8091">
                  <w:pPr>
                    <w:adjustRightInd w:val="0"/>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主要污染</w:t>
                  </w:r>
                </w:p>
                <w:p w14:paraId="1F5B11BD">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因子</w:t>
                  </w:r>
                </w:p>
              </w:tc>
              <w:tc>
                <w:tcPr>
                  <w:tcW w:w="3867" w:type="dxa"/>
                  <w:tcBorders>
                    <w:top w:val="single" w:color="auto" w:sz="12" w:space="0"/>
                  </w:tcBorders>
                  <w:noWrap w:val="0"/>
                  <w:vAlign w:val="center"/>
                </w:tcPr>
                <w:p w14:paraId="4955A3E3">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处理措施</w:t>
                  </w:r>
                </w:p>
              </w:tc>
              <w:tc>
                <w:tcPr>
                  <w:tcW w:w="879" w:type="dxa"/>
                  <w:tcBorders>
                    <w:top w:val="single" w:color="auto" w:sz="12" w:space="0"/>
                    <w:right w:val="nil"/>
                  </w:tcBorders>
                  <w:noWrap w:val="0"/>
                  <w:vAlign w:val="center"/>
                </w:tcPr>
                <w:p w14:paraId="14C38658">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排放去向</w:t>
                  </w:r>
                </w:p>
              </w:tc>
            </w:tr>
            <w:tr w14:paraId="2B08E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8" w:type="dxa"/>
                  <w:vMerge w:val="restart"/>
                  <w:tcBorders>
                    <w:left w:val="nil"/>
                  </w:tcBorders>
                  <w:noWrap w:val="0"/>
                  <w:vAlign w:val="center"/>
                </w:tcPr>
                <w:p w14:paraId="5C27B905">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879" w:type="dxa"/>
                  <w:vMerge w:val="restart"/>
                  <w:noWrap w:val="0"/>
                  <w:vAlign w:val="center"/>
                </w:tcPr>
                <w:p w14:paraId="073BCE52">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w:t>
                  </w:r>
                </w:p>
              </w:tc>
              <w:tc>
                <w:tcPr>
                  <w:tcW w:w="767" w:type="dxa"/>
                  <w:noWrap w:val="0"/>
                  <w:vAlign w:val="center"/>
                </w:tcPr>
                <w:p w14:paraId="529B525F">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装卸扬尘</w:t>
                  </w:r>
                </w:p>
              </w:tc>
              <w:tc>
                <w:tcPr>
                  <w:tcW w:w="1206" w:type="dxa"/>
                  <w:noWrap w:val="0"/>
                  <w:vAlign w:val="center"/>
                </w:tcPr>
                <w:p w14:paraId="76E023F5">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3867" w:type="dxa"/>
                  <w:noWrap w:val="0"/>
                  <w:vAlign w:val="center"/>
                </w:tcPr>
                <w:p w14:paraId="1A30729A">
                  <w:pPr>
                    <w:pStyle w:val="7"/>
                    <w:spacing w:line="20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洒水降尘，装卸过程在防风抑尘网内</w:t>
                  </w:r>
                </w:p>
                <w:p w14:paraId="3BB49DF4">
                  <w:pPr>
                    <w:pStyle w:val="7"/>
                    <w:spacing w:line="2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进行</w:t>
                  </w:r>
                </w:p>
              </w:tc>
              <w:tc>
                <w:tcPr>
                  <w:tcW w:w="879" w:type="dxa"/>
                  <w:vMerge w:val="restart"/>
                  <w:tcBorders>
                    <w:right w:val="nil"/>
                  </w:tcBorders>
                  <w:noWrap w:val="0"/>
                  <w:vAlign w:val="center"/>
                </w:tcPr>
                <w:p w14:paraId="085711B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w:t>
                  </w:r>
                </w:p>
              </w:tc>
            </w:tr>
            <w:tr w14:paraId="399EE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8" w:type="dxa"/>
                  <w:vMerge w:val="continue"/>
                  <w:tcBorders>
                    <w:left w:val="nil"/>
                  </w:tcBorders>
                  <w:noWrap w:val="0"/>
                  <w:vAlign w:val="center"/>
                </w:tcPr>
                <w:p w14:paraId="2F14FD1F">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p>
              </w:tc>
              <w:tc>
                <w:tcPr>
                  <w:tcW w:w="879" w:type="dxa"/>
                  <w:vMerge w:val="continue"/>
                  <w:noWrap w:val="0"/>
                  <w:vAlign w:val="center"/>
                </w:tcPr>
                <w:p w14:paraId="0FDBB4B5">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p>
              </w:tc>
              <w:tc>
                <w:tcPr>
                  <w:tcW w:w="767" w:type="dxa"/>
                  <w:noWrap w:val="0"/>
                  <w:vAlign w:val="center"/>
                </w:tcPr>
                <w:p w14:paraId="6B97E5A1">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运输扬尘</w:t>
                  </w:r>
                </w:p>
              </w:tc>
              <w:tc>
                <w:tcPr>
                  <w:tcW w:w="1206" w:type="dxa"/>
                  <w:noWrap w:val="0"/>
                  <w:vAlign w:val="center"/>
                </w:tcPr>
                <w:p w14:paraId="0483B5B2">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3867" w:type="dxa"/>
                  <w:noWrap w:val="0"/>
                  <w:vAlign w:val="center"/>
                </w:tcPr>
                <w:p w14:paraId="2B8D15F9">
                  <w:pPr>
                    <w:pStyle w:val="7"/>
                    <w:spacing w:line="20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道路硬化，及时清扫地面并在运输道路路面和两侧洒水</w:t>
                  </w:r>
                </w:p>
              </w:tc>
              <w:tc>
                <w:tcPr>
                  <w:tcW w:w="879" w:type="dxa"/>
                  <w:vMerge w:val="continue"/>
                  <w:tcBorders>
                    <w:right w:val="nil"/>
                  </w:tcBorders>
                  <w:noWrap w:val="0"/>
                  <w:vAlign w:val="center"/>
                </w:tcPr>
                <w:p w14:paraId="31E4D6FF">
                  <w:pPr>
                    <w:jc w:val="center"/>
                    <w:rPr>
                      <w:rFonts w:hint="default" w:ascii="Times New Roman" w:hAnsi="Times New Roman" w:eastAsia="宋体" w:cs="Times New Roman"/>
                      <w:color w:val="auto"/>
                      <w:sz w:val="21"/>
                      <w:szCs w:val="21"/>
                      <w:highlight w:val="none"/>
                    </w:rPr>
                  </w:pPr>
                </w:p>
              </w:tc>
            </w:tr>
            <w:tr w14:paraId="7C3DE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8" w:type="dxa"/>
                  <w:vMerge w:val="restart"/>
                  <w:tcBorders>
                    <w:left w:val="nil"/>
                  </w:tcBorders>
                  <w:noWrap w:val="0"/>
                  <w:vAlign w:val="center"/>
                </w:tcPr>
                <w:p w14:paraId="5813FF93">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1646" w:type="dxa"/>
                  <w:gridSpan w:val="2"/>
                  <w:noWrap w:val="0"/>
                  <w:vAlign w:val="center"/>
                </w:tcPr>
                <w:p w14:paraId="5D95936A">
                  <w:pPr>
                    <w:pStyle w:val="29"/>
                    <w:spacing w:before="0" w:after="0" w:line="240" w:lineRule="auto"/>
                    <w:ind w:right="0"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生活污水</w:t>
                  </w:r>
                </w:p>
              </w:tc>
              <w:tc>
                <w:tcPr>
                  <w:tcW w:w="1206" w:type="dxa"/>
                  <w:noWrap w:val="0"/>
                  <w:vAlign w:val="center"/>
                </w:tcPr>
                <w:p w14:paraId="29135996">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COD、氨氮</w:t>
                  </w:r>
                </w:p>
              </w:tc>
              <w:tc>
                <w:tcPr>
                  <w:tcW w:w="3867" w:type="dxa"/>
                  <w:noWrap w:val="0"/>
                  <w:vAlign w:val="center"/>
                </w:tcPr>
                <w:p w14:paraId="13DD00CB">
                  <w:pPr>
                    <w:widowControl w:val="0"/>
                    <w:wordWrap/>
                    <w:adjustRightInd/>
                    <w:snapToGrid/>
                    <w:spacing w:line="0" w:lineRule="atLeast"/>
                    <w:jc w:val="center"/>
                    <w:textAlignment w:val="auto"/>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排入</w:t>
                  </w:r>
                  <w:r>
                    <w:rPr>
                      <w:rFonts w:hint="eastAsia" w:cs="Times New Roman"/>
                      <w:color w:val="auto"/>
                      <w:sz w:val="21"/>
                      <w:szCs w:val="21"/>
                      <w:highlight w:val="none"/>
                      <w:lang w:eastAsia="zh-CN"/>
                    </w:rPr>
                    <w:t>防渗旱厕</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定期清掏，</w:t>
                  </w:r>
                </w:p>
                <w:p w14:paraId="2956D161">
                  <w:pPr>
                    <w:widowControl w:val="0"/>
                    <w:wordWrap/>
                    <w:adjustRightInd/>
                    <w:snapToGrid/>
                    <w:spacing w:line="0" w:lineRule="atLeast"/>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外运堆肥</w:t>
                  </w:r>
                </w:p>
              </w:tc>
              <w:tc>
                <w:tcPr>
                  <w:tcW w:w="879" w:type="dxa"/>
                  <w:tcBorders>
                    <w:right w:val="nil"/>
                  </w:tcBorders>
                  <w:noWrap w:val="0"/>
                  <w:vAlign w:val="center"/>
                </w:tcPr>
                <w:p w14:paraId="3DCB7E14">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不外排</w:t>
                  </w:r>
                </w:p>
              </w:tc>
            </w:tr>
            <w:tr w14:paraId="37909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8" w:type="dxa"/>
                  <w:vMerge w:val="continue"/>
                  <w:tcBorders>
                    <w:left w:val="nil"/>
                  </w:tcBorders>
                  <w:noWrap w:val="0"/>
                  <w:vAlign w:val="center"/>
                </w:tcPr>
                <w:p w14:paraId="44D13C09">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lang w:val="en-US" w:eastAsia="zh-CN"/>
                    </w:rPr>
                  </w:pPr>
                </w:p>
              </w:tc>
              <w:tc>
                <w:tcPr>
                  <w:tcW w:w="1646" w:type="dxa"/>
                  <w:gridSpan w:val="2"/>
                  <w:noWrap w:val="0"/>
                  <w:vAlign w:val="center"/>
                </w:tcPr>
                <w:p w14:paraId="5BC80C0B">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初期雨水</w:t>
                  </w:r>
                </w:p>
              </w:tc>
              <w:tc>
                <w:tcPr>
                  <w:tcW w:w="1206" w:type="dxa"/>
                  <w:noWrap w:val="0"/>
                  <w:vAlign w:val="center"/>
                </w:tcPr>
                <w:p w14:paraId="3B402758">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SS</w:t>
                  </w:r>
                </w:p>
              </w:tc>
              <w:tc>
                <w:tcPr>
                  <w:tcW w:w="3867" w:type="dxa"/>
                  <w:noWrap w:val="0"/>
                  <w:vAlign w:val="center"/>
                </w:tcPr>
                <w:p w14:paraId="209463A9">
                  <w:pPr>
                    <w:pStyle w:val="29"/>
                    <w:spacing w:before="0" w:after="0" w:line="240" w:lineRule="auto"/>
                    <w:ind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沉淀后用于洒水降尘</w:t>
                  </w:r>
                </w:p>
              </w:tc>
              <w:tc>
                <w:tcPr>
                  <w:tcW w:w="879" w:type="dxa"/>
                  <w:tcBorders>
                    <w:right w:val="nil"/>
                  </w:tcBorders>
                  <w:noWrap w:val="0"/>
                  <w:vAlign w:val="center"/>
                </w:tcPr>
                <w:p w14:paraId="719D6BC7">
                  <w:pPr>
                    <w:spacing w:before="0" w:after="0" w:line="240" w:lineRule="auto"/>
                    <w:ind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不外排</w:t>
                  </w:r>
                </w:p>
              </w:tc>
            </w:tr>
            <w:tr w14:paraId="5ADA4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548" w:type="dxa"/>
                  <w:vMerge w:val="restart"/>
                  <w:tcBorders>
                    <w:left w:val="nil"/>
                  </w:tcBorders>
                  <w:noWrap w:val="0"/>
                  <w:vAlign w:val="center"/>
                </w:tcPr>
                <w:p w14:paraId="08630BBD">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1646" w:type="dxa"/>
                  <w:gridSpan w:val="2"/>
                  <w:noWrap w:val="0"/>
                  <w:vAlign w:val="center"/>
                </w:tcPr>
                <w:p w14:paraId="61D7B1B1">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雨水收集池</w:t>
                  </w:r>
                </w:p>
              </w:tc>
              <w:tc>
                <w:tcPr>
                  <w:tcW w:w="1206" w:type="dxa"/>
                  <w:noWrap w:val="0"/>
                  <w:vAlign w:val="center"/>
                </w:tcPr>
                <w:p w14:paraId="344673C8">
                  <w:pPr>
                    <w:pStyle w:val="29"/>
                    <w:spacing w:before="0" w:after="0" w:line="240" w:lineRule="auto"/>
                    <w:ind w:right="0"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煤炭</w:t>
                  </w:r>
                </w:p>
              </w:tc>
              <w:tc>
                <w:tcPr>
                  <w:tcW w:w="3867" w:type="dxa"/>
                  <w:noWrap w:val="0"/>
                  <w:vAlign w:val="center"/>
                </w:tcPr>
                <w:p w14:paraId="5405C59F">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定期清理后外售综合利用</w:t>
                  </w:r>
                </w:p>
              </w:tc>
              <w:tc>
                <w:tcPr>
                  <w:tcW w:w="879" w:type="dxa"/>
                  <w:tcBorders>
                    <w:right w:val="nil"/>
                  </w:tcBorders>
                  <w:noWrap w:val="0"/>
                  <w:vAlign w:val="center"/>
                </w:tcPr>
                <w:p w14:paraId="540EB35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不外排</w:t>
                  </w:r>
                </w:p>
              </w:tc>
            </w:tr>
            <w:tr w14:paraId="285EA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548" w:type="dxa"/>
                  <w:vMerge w:val="continue"/>
                  <w:tcBorders>
                    <w:left w:val="nil"/>
                  </w:tcBorders>
                  <w:noWrap w:val="0"/>
                  <w:vAlign w:val="center"/>
                </w:tcPr>
                <w:p w14:paraId="6ED86DA2">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p>
              </w:tc>
              <w:tc>
                <w:tcPr>
                  <w:tcW w:w="1646" w:type="dxa"/>
                  <w:gridSpan w:val="2"/>
                  <w:noWrap w:val="0"/>
                  <w:vAlign w:val="center"/>
                </w:tcPr>
                <w:p w14:paraId="35EC4BC4">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员工生活</w:t>
                  </w:r>
                </w:p>
              </w:tc>
              <w:tc>
                <w:tcPr>
                  <w:tcW w:w="1206" w:type="dxa"/>
                  <w:noWrap w:val="0"/>
                  <w:vAlign w:val="center"/>
                </w:tcPr>
                <w:p w14:paraId="359C68B6">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生活垃圾</w:t>
                  </w:r>
                </w:p>
              </w:tc>
              <w:tc>
                <w:tcPr>
                  <w:tcW w:w="3867" w:type="dxa"/>
                  <w:noWrap w:val="0"/>
                  <w:vAlign w:val="center"/>
                </w:tcPr>
                <w:p w14:paraId="24619328">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委托环卫部门统一处理</w:t>
                  </w:r>
                </w:p>
              </w:tc>
              <w:tc>
                <w:tcPr>
                  <w:tcW w:w="879" w:type="dxa"/>
                  <w:tcBorders>
                    <w:right w:val="nil"/>
                  </w:tcBorders>
                  <w:noWrap w:val="0"/>
                  <w:vAlign w:val="center"/>
                </w:tcPr>
                <w:p w14:paraId="47FF35F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不外排</w:t>
                  </w:r>
                </w:p>
              </w:tc>
            </w:tr>
            <w:tr w14:paraId="19596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8" w:type="dxa"/>
                  <w:vMerge w:val="continue"/>
                  <w:tcBorders>
                    <w:left w:val="nil"/>
                  </w:tcBorders>
                  <w:noWrap w:val="0"/>
                  <w:vAlign w:val="center"/>
                </w:tcPr>
                <w:p w14:paraId="2239B946">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p>
              </w:tc>
              <w:tc>
                <w:tcPr>
                  <w:tcW w:w="1646" w:type="dxa"/>
                  <w:gridSpan w:val="2"/>
                  <w:noWrap w:val="0"/>
                  <w:vAlign w:val="center"/>
                </w:tcPr>
                <w:p w14:paraId="2B7A1CF8">
                  <w:pPr>
                    <w:pStyle w:val="29"/>
                    <w:spacing w:before="0" w:after="0" w:line="240" w:lineRule="auto"/>
                    <w:ind w:right="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废气处理</w:t>
                  </w:r>
                </w:p>
              </w:tc>
              <w:tc>
                <w:tcPr>
                  <w:tcW w:w="1206" w:type="dxa"/>
                  <w:noWrap w:val="0"/>
                  <w:vAlign w:val="center"/>
                </w:tcPr>
                <w:p w14:paraId="1DA375E3">
                  <w:pPr>
                    <w:spacing w:line="0" w:lineRule="atLeast"/>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破损防风</w:t>
                  </w:r>
                </w:p>
                <w:p w14:paraId="43C317B4">
                  <w:pPr>
                    <w:spacing w:line="0" w:lineRule="atLeast"/>
                    <w:jc w:val="center"/>
                    <w:rPr>
                      <w:rFonts w:hint="default" w:ascii="Times New Roman" w:hAnsi="Times New Roman" w:cs="Times New Roman"/>
                      <w:color w:val="auto"/>
                      <w:kern w:val="2"/>
                      <w:sz w:val="21"/>
                      <w:szCs w:val="21"/>
                      <w:highlight w:val="none"/>
                      <w:lang w:val="zh-CN" w:eastAsia="zh-CN" w:bidi="ar-SA"/>
                    </w:rPr>
                  </w:pPr>
                  <w:r>
                    <w:rPr>
                      <w:rFonts w:hint="eastAsia" w:cs="Times New Roman"/>
                      <w:color w:val="auto"/>
                      <w:szCs w:val="21"/>
                      <w:highlight w:val="none"/>
                      <w:lang w:val="en-US" w:eastAsia="zh-CN"/>
                    </w:rPr>
                    <w:t>抑尘网</w:t>
                  </w:r>
                </w:p>
              </w:tc>
              <w:tc>
                <w:tcPr>
                  <w:tcW w:w="3867" w:type="dxa"/>
                  <w:noWrap w:val="0"/>
                  <w:vAlign w:val="center"/>
                </w:tcPr>
                <w:p w14:paraId="3D47EB95">
                  <w:pPr>
                    <w:pStyle w:val="118"/>
                    <w:jc w:val="center"/>
                    <w:rPr>
                      <w:rFonts w:hint="default" w:ascii="Times New Roman" w:hAnsi="Times New Roman" w:eastAsia="宋体" w:cs="Times New Roman"/>
                      <w:color w:val="auto"/>
                      <w:kern w:val="2"/>
                      <w:sz w:val="21"/>
                      <w:szCs w:val="21"/>
                      <w:highlight w:val="none"/>
                      <w:lang w:val="zh-CN" w:eastAsia="zh-CN" w:bidi="ar-SA"/>
                    </w:rPr>
                  </w:pPr>
                  <w:r>
                    <w:rPr>
                      <w:rFonts w:hint="eastAsia" w:cs="Times New Roman"/>
                      <w:color w:val="auto"/>
                      <w:kern w:val="2"/>
                      <w:sz w:val="21"/>
                      <w:szCs w:val="21"/>
                      <w:highlight w:val="none"/>
                      <w:lang w:val="zh-CN" w:eastAsia="zh-CN" w:bidi="ar-SA"/>
                    </w:rPr>
                    <w:t>作为废旧物资外售</w:t>
                  </w:r>
                </w:p>
              </w:tc>
              <w:tc>
                <w:tcPr>
                  <w:tcW w:w="879" w:type="dxa"/>
                  <w:tcBorders>
                    <w:right w:val="nil"/>
                  </w:tcBorders>
                  <w:noWrap w:val="0"/>
                  <w:vAlign w:val="center"/>
                </w:tcPr>
                <w:p w14:paraId="6DC1F82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不外排</w:t>
                  </w:r>
                </w:p>
              </w:tc>
            </w:tr>
            <w:tr w14:paraId="62015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8" w:type="dxa"/>
                  <w:vMerge w:val="continue"/>
                  <w:tcBorders>
                    <w:left w:val="nil"/>
                  </w:tcBorders>
                  <w:noWrap w:val="0"/>
                  <w:vAlign w:val="center"/>
                </w:tcPr>
                <w:p w14:paraId="2EC8FBCD">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p>
              </w:tc>
              <w:tc>
                <w:tcPr>
                  <w:tcW w:w="1646" w:type="dxa"/>
                  <w:gridSpan w:val="2"/>
                  <w:noWrap w:val="0"/>
                  <w:vAlign w:val="center"/>
                </w:tcPr>
                <w:p w14:paraId="420AE352">
                  <w:pPr>
                    <w:pStyle w:val="29"/>
                    <w:spacing w:before="0" w:after="0" w:line="240" w:lineRule="auto"/>
                    <w:ind w:right="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废气处理</w:t>
                  </w:r>
                </w:p>
              </w:tc>
              <w:tc>
                <w:tcPr>
                  <w:tcW w:w="1206" w:type="dxa"/>
                  <w:noWrap w:val="0"/>
                  <w:vAlign w:val="center"/>
                </w:tcPr>
                <w:p w14:paraId="60B754D2">
                  <w:pPr>
                    <w:spacing w:line="0" w:lineRule="atLeast"/>
                    <w:jc w:val="center"/>
                    <w:rPr>
                      <w:rFonts w:hint="default" w:ascii="Times New Roman" w:hAnsi="Times New Roman" w:cs="Times New Roman"/>
                      <w:color w:val="auto"/>
                      <w:kern w:val="2"/>
                      <w:sz w:val="21"/>
                      <w:szCs w:val="21"/>
                      <w:highlight w:val="none"/>
                      <w:lang w:val="zh-CN" w:eastAsia="zh-CN" w:bidi="ar-SA"/>
                    </w:rPr>
                  </w:pPr>
                  <w:r>
                    <w:rPr>
                      <w:rFonts w:hint="eastAsia" w:cs="Times New Roman"/>
                      <w:color w:val="auto"/>
                      <w:szCs w:val="21"/>
                      <w:highlight w:val="none"/>
                      <w:lang w:val="en-US" w:eastAsia="zh-CN"/>
                    </w:rPr>
                    <w:t>破损苫布</w:t>
                  </w:r>
                </w:p>
              </w:tc>
              <w:tc>
                <w:tcPr>
                  <w:tcW w:w="3867" w:type="dxa"/>
                  <w:noWrap w:val="0"/>
                  <w:vAlign w:val="center"/>
                </w:tcPr>
                <w:p w14:paraId="0A7FC771">
                  <w:pPr>
                    <w:pStyle w:val="118"/>
                    <w:jc w:val="center"/>
                    <w:rPr>
                      <w:rFonts w:hint="default" w:ascii="Times New Roman" w:hAnsi="Times New Roman" w:eastAsia="宋体" w:cs="Times New Roman"/>
                      <w:color w:val="auto"/>
                      <w:kern w:val="2"/>
                      <w:sz w:val="21"/>
                      <w:szCs w:val="21"/>
                      <w:highlight w:val="none"/>
                      <w:lang w:val="zh-CN" w:eastAsia="zh-CN" w:bidi="ar-SA"/>
                    </w:rPr>
                  </w:pPr>
                  <w:r>
                    <w:rPr>
                      <w:rFonts w:hint="eastAsia" w:cs="Times New Roman"/>
                      <w:color w:val="auto"/>
                      <w:kern w:val="2"/>
                      <w:sz w:val="21"/>
                      <w:szCs w:val="21"/>
                      <w:highlight w:val="none"/>
                      <w:lang w:val="zh-CN" w:eastAsia="zh-CN" w:bidi="ar-SA"/>
                    </w:rPr>
                    <w:t>作为废旧物资外售</w:t>
                  </w:r>
                </w:p>
              </w:tc>
              <w:tc>
                <w:tcPr>
                  <w:tcW w:w="879" w:type="dxa"/>
                  <w:tcBorders>
                    <w:right w:val="nil"/>
                  </w:tcBorders>
                  <w:noWrap w:val="0"/>
                  <w:vAlign w:val="center"/>
                </w:tcPr>
                <w:p w14:paraId="6D0858E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不外排</w:t>
                  </w:r>
                </w:p>
              </w:tc>
            </w:tr>
            <w:tr w14:paraId="171C0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8" w:type="dxa"/>
                  <w:tcBorders>
                    <w:left w:val="nil"/>
                  </w:tcBorders>
                  <w:noWrap w:val="0"/>
                  <w:vAlign w:val="center"/>
                </w:tcPr>
                <w:p w14:paraId="19DCB83A">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2852" w:type="dxa"/>
                  <w:gridSpan w:val="3"/>
                  <w:noWrap w:val="0"/>
                  <w:vAlign w:val="center"/>
                </w:tcPr>
                <w:p w14:paraId="4ED69C30">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设备运行时产生的噪声</w:t>
                  </w:r>
                </w:p>
              </w:tc>
              <w:tc>
                <w:tcPr>
                  <w:tcW w:w="4746" w:type="dxa"/>
                  <w:gridSpan w:val="2"/>
                  <w:tcBorders>
                    <w:right w:val="nil"/>
                  </w:tcBorders>
                  <w:noWrap w:val="0"/>
                  <w:vAlign w:val="center"/>
                </w:tcPr>
                <w:p w14:paraId="27381947">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采取低噪设备、距离衰减、夜间不作业</w:t>
                  </w:r>
                </w:p>
              </w:tc>
            </w:tr>
            <w:tr w14:paraId="5AB1C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48" w:type="dxa"/>
                  <w:tcBorders>
                    <w:left w:val="nil"/>
                    <w:bottom w:val="single" w:color="auto" w:sz="12" w:space="0"/>
                  </w:tcBorders>
                  <w:noWrap w:val="0"/>
                  <w:vAlign w:val="center"/>
                </w:tcPr>
                <w:p w14:paraId="65FDDAB7">
                  <w:pPr>
                    <w:pStyle w:val="29"/>
                    <w:spacing w:before="0" w:after="0" w:line="240" w:lineRule="auto"/>
                    <w:ind w:right="0"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生态环境</w:t>
                  </w:r>
                </w:p>
              </w:tc>
              <w:tc>
                <w:tcPr>
                  <w:tcW w:w="2852" w:type="dxa"/>
                  <w:gridSpan w:val="3"/>
                  <w:tcBorders>
                    <w:bottom w:val="single" w:color="auto" w:sz="12" w:space="0"/>
                  </w:tcBorders>
                  <w:noWrap w:val="0"/>
                  <w:vAlign w:val="center"/>
                </w:tcPr>
                <w:p w14:paraId="0355F20E">
                  <w:pPr>
                    <w:pStyle w:val="29"/>
                    <w:spacing w:before="0" w:after="0" w:line="240" w:lineRule="auto"/>
                    <w:ind w:right="0" w:firstLine="0" w:firstLineChars="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本项目施工期间，场地平整、地面硬化等工程将不可避免地对项目区的生态环境产生一定影响</w:t>
                  </w:r>
                </w:p>
              </w:tc>
              <w:tc>
                <w:tcPr>
                  <w:tcW w:w="4746" w:type="dxa"/>
                  <w:gridSpan w:val="2"/>
                  <w:tcBorders>
                    <w:bottom w:val="single" w:color="auto" w:sz="12" w:space="0"/>
                    <w:right w:val="nil"/>
                  </w:tcBorders>
                  <w:noWrap w:val="0"/>
                  <w:vAlign w:val="center"/>
                </w:tcPr>
                <w:p w14:paraId="32C0A202">
                  <w:pPr>
                    <w:pStyle w:val="29"/>
                    <w:spacing w:before="0" w:after="0" w:line="240" w:lineRule="auto"/>
                    <w:ind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严格执行“先挡后弃、先排水后开挖”的原则。施工前剥离表土并集中防护堆放；在场地周边布设临时排水沟和沉沙池；对裸露地和堆土场及时苫盖</w:t>
                  </w:r>
                </w:p>
              </w:tc>
            </w:tr>
          </w:tbl>
          <w:p w14:paraId="203F37AD">
            <w:pPr>
              <w:pStyle w:val="23"/>
              <w:spacing w:line="360" w:lineRule="auto"/>
              <w:rPr>
                <w:rFonts w:hint="default" w:ascii="Times New Roman" w:hAnsi="Times New Roman" w:eastAsia="宋体" w:cs="Times New Roman"/>
                <w:b/>
                <w:bCs/>
                <w:color w:val="auto"/>
              </w:rPr>
            </w:pPr>
            <w:r>
              <w:rPr>
                <w:rFonts w:hint="default" w:ascii="Times New Roman" w:hAnsi="Times New Roman" w:eastAsia="宋体" w:cs="Times New Roman"/>
                <w:b/>
                <w:bCs/>
                <w:color w:val="auto"/>
              </w:rPr>
              <w:t>主要的污染工序：</w:t>
            </w:r>
          </w:p>
          <w:p w14:paraId="289DA0FF">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（1）废气</w:t>
            </w:r>
          </w:p>
          <w:p w14:paraId="6103703F">
            <w:pPr>
              <w:spacing w:line="360" w:lineRule="auto"/>
              <w:ind w:firstLine="480" w:firstLineChars="200"/>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运输过程产生的道路运输扬尘、煤炭装卸及堆放产生的煤尘</w:t>
            </w:r>
            <w:r>
              <w:rPr>
                <w:rFonts w:hint="eastAsia" w:ascii="Times New Roman" w:hAnsi="Times New Roman" w:eastAsia="宋体" w:cs="Times New Roman"/>
                <w:color w:val="auto"/>
                <w:sz w:val="24"/>
                <w:lang w:eastAsia="zh-CN"/>
              </w:rPr>
              <w:t>。</w:t>
            </w:r>
          </w:p>
          <w:p w14:paraId="46EDE3DD">
            <w:pPr>
              <w:widowControl/>
              <w:spacing w:line="360" w:lineRule="auto"/>
              <w:ind w:left="420" w:leftChars="200" w:firstLine="0" w:firstLineChars="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cs="Times New Roman"/>
                <w:color w:val="auto"/>
                <w:sz w:val="24"/>
                <w:lang w:val="en-US" w:eastAsia="zh-CN"/>
              </w:rPr>
              <w:t>2</w:t>
            </w:r>
            <w:r>
              <w:rPr>
                <w:rFonts w:hint="default" w:ascii="Times New Roman" w:hAnsi="Times New Roman" w:eastAsia="宋体" w:cs="Times New Roman"/>
                <w:color w:val="auto"/>
                <w:sz w:val="24"/>
              </w:rPr>
              <w:t>）废水</w:t>
            </w:r>
          </w:p>
          <w:p w14:paraId="36EB415A">
            <w:pPr>
              <w:pStyle w:val="37"/>
              <w:adjustRightInd/>
              <w:spacing w:line="360" w:lineRule="auto"/>
              <w:ind w:firstLine="480" w:firstLineChars="20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生活污水、雨水。</w:t>
            </w:r>
          </w:p>
          <w:p w14:paraId="078C7948">
            <w:pPr>
              <w:widowControl/>
              <w:spacing w:line="360" w:lineRule="auto"/>
              <w:ind w:left="420" w:leftChars="200" w:firstLine="0" w:firstLineChars="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）噪声</w:t>
            </w:r>
          </w:p>
          <w:p w14:paraId="267161B4">
            <w:pPr>
              <w:widowControl/>
              <w:spacing w:line="360" w:lineRule="auto"/>
              <w:ind w:firstLine="480" w:firstLineChars="200"/>
              <w:rPr>
                <w:rFonts w:hint="default" w:ascii="Times New Roman" w:hAnsi="Times New Roman" w:eastAsia="宋体" w:cs="Times New Roman"/>
                <w:bCs/>
                <w:color w:val="auto"/>
                <w:kern w:val="0"/>
                <w:sz w:val="24"/>
                <w:szCs w:val="22"/>
              </w:rPr>
            </w:pPr>
            <w:r>
              <w:rPr>
                <w:rFonts w:hint="default" w:ascii="Times New Roman" w:hAnsi="Times New Roman" w:eastAsia="宋体" w:cs="Times New Roman"/>
                <w:bCs/>
                <w:color w:val="auto"/>
                <w:kern w:val="0"/>
                <w:sz w:val="24"/>
                <w:szCs w:val="22"/>
              </w:rPr>
              <w:t>主要来自煤场煤炭装卸和设备运行时产生的噪声。</w:t>
            </w:r>
          </w:p>
          <w:p w14:paraId="7C5FDED4">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cs="Times New Roman"/>
                <w:color w:val="auto"/>
                <w:sz w:val="24"/>
                <w:lang w:val="en-US" w:eastAsia="zh-CN"/>
              </w:rPr>
              <w:t>4</w:t>
            </w:r>
            <w:r>
              <w:rPr>
                <w:rFonts w:hint="default" w:ascii="Times New Roman" w:hAnsi="Times New Roman" w:eastAsia="宋体" w:cs="Times New Roman"/>
                <w:color w:val="auto"/>
                <w:sz w:val="24"/>
              </w:rPr>
              <w:t>）固体废物</w:t>
            </w:r>
          </w:p>
          <w:p w14:paraId="52E02A9F">
            <w:pPr>
              <w:widowControl/>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生活垃圾、</w:t>
            </w:r>
            <w:r>
              <w:rPr>
                <w:rFonts w:hint="eastAsia" w:cs="Times New Roman"/>
                <w:color w:val="auto"/>
                <w:sz w:val="24"/>
                <w:lang w:eastAsia="zh-CN"/>
              </w:rPr>
              <w:t>雨水收集池沉渣、</w:t>
            </w:r>
            <w:r>
              <w:rPr>
                <w:rFonts w:hint="default" w:ascii="Times New Roman" w:hAnsi="Times New Roman" w:eastAsia="宋体" w:cs="Times New Roman"/>
                <w:color w:val="auto"/>
                <w:sz w:val="24"/>
              </w:rPr>
              <w:t>破损防风抑尘网和破损苫布</w:t>
            </w:r>
            <w:r>
              <w:rPr>
                <w:rFonts w:hint="default" w:ascii="Times New Roman" w:hAnsi="Times New Roman" w:eastAsia="宋体" w:cs="Times New Roman"/>
                <w:color w:val="auto"/>
                <w:sz w:val="24"/>
                <w:lang w:eastAsia="zh-CN"/>
              </w:rPr>
              <w:t>。</w:t>
            </w:r>
          </w:p>
          <w:p w14:paraId="305A8D74">
            <w:pPr>
              <w:widowControl/>
              <w:spacing w:line="360" w:lineRule="auto"/>
              <w:ind w:firstLine="480" w:firstLineChars="200"/>
              <w:rPr>
                <w:rFonts w:hint="eastAsia" w:ascii="Times New Roman" w:hAnsi="Times New Roman" w:eastAsia="宋体" w:cs="Times New Roman"/>
                <w:color w:val="auto"/>
                <w:sz w:val="24"/>
                <w:lang w:eastAsia="zh-CN"/>
              </w:rPr>
            </w:pPr>
            <w:r>
              <w:rPr>
                <w:rFonts w:hint="eastAsia" w:cs="Times New Roman"/>
                <w:color w:val="auto"/>
                <w:sz w:val="24"/>
                <w:lang w:eastAsia="zh-CN"/>
              </w:rPr>
              <w:t>（</w:t>
            </w:r>
            <w:r>
              <w:rPr>
                <w:rFonts w:hint="eastAsia" w:cs="Times New Roman"/>
                <w:color w:val="auto"/>
                <w:sz w:val="24"/>
                <w:lang w:val="en-US" w:eastAsia="zh-CN"/>
              </w:rPr>
              <w:t>5</w:t>
            </w:r>
            <w:r>
              <w:rPr>
                <w:rFonts w:hint="eastAsia" w:cs="Times New Roman"/>
                <w:color w:val="auto"/>
                <w:sz w:val="24"/>
                <w:lang w:eastAsia="zh-CN"/>
              </w:rPr>
              <w:t>）生态环境</w:t>
            </w:r>
          </w:p>
          <w:p w14:paraId="68115BE7">
            <w:pPr>
              <w:widowControl/>
              <w:spacing w:line="360" w:lineRule="auto"/>
              <w:ind w:firstLine="480" w:firstLineChars="200"/>
              <w:rPr>
                <w:rFonts w:hint="default" w:ascii="Times New Roman" w:hAnsi="Times New Roman" w:eastAsia="宋体" w:cs="Times New Roman"/>
                <w:bCs/>
                <w:color w:val="auto"/>
                <w:szCs w:val="21"/>
                <w:lang w:val="en-US"/>
              </w:rPr>
            </w:pPr>
            <w:r>
              <w:rPr>
                <w:rFonts w:hint="default" w:cs="Times New Roman"/>
                <w:color w:val="auto"/>
                <w:sz w:val="24"/>
                <w:lang w:val="en-US" w:eastAsia="zh-CN"/>
              </w:rPr>
              <w:t>本项目施工期间，场地平整、地面硬化等工程将不可避免地对项目区的生态环境产生一定影响</w:t>
            </w:r>
            <w:r>
              <w:rPr>
                <w:rFonts w:hint="eastAsia" w:cs="Times New Roman"/>
                <w:color w:val="auto"/>
                <w:sz w:val="24"/>
                <w:lang w:val="en-US" w:eastAsia="zh-CN"/>
              </w:rPr>
              <w:t>。</w:t>
            </w:r>
          </w:p>
        </w:tc>
      </w:tr>
      <w:tr w14:paraId="703324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266F950D">
            <w:pPr>
              <w:pStyle w:val="26"/>
              <w:adjustRightInd w:val="0"/>
              <w:snapToGrid w:val="0"/>
              <w:spacing w:before="0" w:beforeAutospacing="0" w:after="0" w:afterAutospacing="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kern w:val="2"/>
                <w:sz w:val="21"/>
                <w:szCs w:val="21"/>
              </w:rPr>
              <w:t>与项目有关的原有环境污染问题</w:t>
            </w:r>
          </w:p>
        </w:tc>
        <w:tc>
          <w:tcPr>
            <w:tcW w:w="8161" w:type="dxa"/>
            <w:noWrap w:val="0"/>
            <w:vAlign w:val="center"/>
          </w:tcPr>
          <w:p w14:paraId="1785669D">
            <w:pPr>
              <w:pStyle w:val="91"/>
              <w:ind w:firstLine="480"/>
              <w:jc w:val="center"/>
              <w:rPr>
                <w:rFonts w:hint="eastAsia" w:ascii="Times New Roman" w:hAnsi="Times New Roman" w:eastAsia="宋体" w:cs="Times New Roman"/>
                <w:bCs/>
                <w:color w:val="auto"/>
                <w:szCs w:val="21"/>
                <w:lang w:val="en-US" w:eastAsia="zh-CN"/>
              </w:rPr>
            </w:pPr>
            <w:r>
              <w:rPr>
                <w:rFonts w:hint="default" w:ascii="Times New Roman" w:hAnsi="Times New Roman" w:eastAsia="宋体" w:cs="Times New Roman"/>
                <w:color w:val="auto"/>
              </w:rPr>
              <w:t>本项目为新建项目</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不存在与项目有关的原有环境污染问题。</w:t>
            </w:r>
          </w:p>
        </w:tc>
      </w:tr>
    </w:tbl>
    <w:p w14:paraId="2C4DCCB1">
      <w:pPr>
        <w:pStyle w:val="26"/>
        <w:jc w:val="center"/>
        <w:rPr>
          <w:rFonts w:hint="default" w:ascii="Times New Roman" w:hAnsi="Times New Roman" w:eastAsia="宋体" w:cs="Times New Roman"/>
          <w:snapToGrid w:val="0"/>
          <w:color w:val="auto"/>
          <w:sz w:val="36"/>
          <w:szCs w:val="36"/>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p w14:paraId="4417C1C5">
      <w:pPr>
        <w:pStyle w:val="26"/>
        <w:jc w:val="center"/>
        <w:outlineLvl w:val="0"/>
        <w:rPr>
          <w:rFonts w:hint="default" w:ascii="Times New Roman" w:hAnsi="Times New Roman" w:eastAsia="宋体" w:cs="Times New Roman"/>
          <w:snapToGrid w:val="0"/>
          <w:color w:val="auto"/>
          <w:sz w:val="30"/>
          <w:szCs w:val="30"/>
        </w:rPr>
      </w:pPr>
      <w:bookmarkStart w:id="22" w:name="_Toc11239"/>
      <w:r>
        <w:rPr>
          <w:rFonts w:hint="default" w:ascii="Times New Roman" w:hAnsi="Times New Roman" w:eastAsia="宋体" w:cs="Times New Roman"/>
          <w:snapToGrid w:val="0"/>
          <w:color w:val="auto"/>
          <w:sz w:val="30"/>
          <w:szCs w:val="30"/>
        </w:rPr>
        <w:t>三、区域环境质量现状、环境保护目标及评价标准</w:t>
      </w:r>
      <w:bookmarkEnd w:id="22"/>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635"/>
      </w:tblGrid>
      <w:tr w14:paraId="340CB9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dxa"/>
            <w:noWrap w:val="0"/>
            <w:vAlign w:val="center"/>
          </w:tcPr>
          <w:p w14:paraId="5677017B">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区域</w:t>
            </w:r>
          </w:p>
          <w:p w14:paraId="73BA76EE">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环境</w:t>
            </w:r>
          </w:p>
          <w:p w14:paraId="31C5415D">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质量</w:t>
            </w:r>
          </w:p>
          <w:p w14:paraId="18E0D304">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现状</w:t>
            </w:r>
          </w:p>
        </w:tc>
        <w:tc>
          <w:tcPr>
            <w:tcW w:w="8635" w:type="dxa"/>
            <w:noWrap w:val="0"/>
            <w:vAlign w:val="top"/>
          </w:tcPr>
          <w:p w14:paraId="28CB1AA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一、环境空气质量现状</w:t>
            </w:r>
          </w:p>
          <w:p w14:paraId="1A64CA8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lang w:val="en-US" w:eastAsia="zh-CN"/>
              </w:rPr>
              <w:t>1、</w:t>
            </w:r>
            <w:r>
              <w:rPr>
                <w:rFonts w:hint="default" w:ascii="Times New Roman" w:hAnsi="Times New Roman" w:eastAsia="宋体" w:cs="Times New Roman"/>
                <w:color w:val="auto"/>
                <w:kern w:val="0"/>
                <w:sz w:val="24"/>
                <w:szCs w:val="24"/>
                <w:lang w:eastAsia="zh-CN"/>
              </w:rPr>
              <w:t>常规污染物</w:t>
            </w:r>
          </w:p>
          <w:p w14:paraId="1630A9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1"/>
                <w:sz w:val="24"/>
                <w:szCs w:val="24"/>
                <w:highlight w:val="none"/>
              </w:rPr>
            </w:pPr>
            <w:bookmarkStart w:id="23" w:name="_Toc27394"/>
            <w:bookmarkStart w:id="24" w:name="_Toc37662861"/>
            <w:bookmarkStart w:id="25" w:name="_Toc4555"/>
            <w:bookmarkStart w:id="26" w:name="_Toc16538"/>
            <w:r>
              <w:rPr>
                <w:rFonts w:hint="default" w:ascii="Times New Roman" w:hAnsi="Times New Roman" w:eastAsia="宋体" w:cs="Times New Roman"/>
                <w:color w:val="auto"/>
                <w:kern w:val="21"/>
                <w:sz w:val="24"/>
                <w:szCs w:val="24"/>
                <w:highlight w:val="none"/>
              </w:rPr>
              <w:t>根据《环境影响评价技术导则大气环境》（HJ2.2-2018），环境空气质量现状调查与评价数据来源于</w:t>
            </w:r>
            <w:r>
              <w:rPr>
                <w:rFonts w:hint="default" w:ascii="Times New Roman" w:hAnsi="Times New Roman" w:eastAsia="宋体" w:cs="Times New Roman"/>
                <w:color w:val="auto"/>
                <w:sz w:val="24"/>
                <w:szCs w:val="24"/>
                <w:highlight w:val="none"/>
              </w:rPr>
              <w:t>202</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年度《</w:t>
            </w:r>
            <w:r>
              <w:rPr>
                <w:rFonts w:hint="default" w:ascii="Times New Roman" w:hAnsi="Times New Roman" w:eastAsia="宋体" w:cs="Times New Roman"/>
                <w:color w:val="auto"/>
                <w:sz w:val="24"/>
                <w:szCs w:val="24"/>
                <w:highlight w:val="none"/>
              </w:rPr>
              <w:t>202</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年黑龙江省生态环境</w:t>
            </w:r>
            <w:r>
              <w:rPr>
                <w:rFonts w:hint="eastAsia" w:cs="Times New Roman"/>
                <w:color w:val="auto"/>
                <w:sz w:val="24"/>
                <w:szCs w:val="24"/>
                <w:highlight w:val="none"/>
                <w:lang w:eastAsia="zh-CN"/>
              </w:rPr>
              <w:t>质量</w:t>
            </w:r>
            <w:r>
              <w:rPr>
                <w:rFonts w:hint="default" w:ascii="Times New Roman" w:hAnsi="Times New Roman" w:eastAsia="宋体" w:cs="Times New Roman"/>
                <w:color w:val="auto"/>
                <w:sz w:val="24"/>
                <w:szCs w:val="24"/>
                <w:highlight w:val="none"/>
              </w:rPr>
              <w:t>状况》。</w:t>
            </w:r>
          </w:p>
          <w:p w14:paraId="2D35F3F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1"/>
                <w:sz w:val="24"/>
                <w:szCs w:val="24"/>
                <w:highlight w:val="none"/>
              </w:rPr>
              <w:t>为了解项目所在区域的环境空气质量现状，本次评价采用黑龙江省生态环境厅发布的</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rPr>
              <w:t>202</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年黑龙江省生态环境</w:t>
            </w:r>
            <w:r>
              <w:rPr>
                <w:rFonts w:hint="eastAsia" w:cs="Times New Roman"/>
                <w:color w:val="auto"/>
                <w:sz w:val="24"/>
                <w:szCs w:val="24"/>
                <w:highlight w:val="none"/>
                <w:lang w:eastAsia="zh-CN"/>
              </w:rPr>
              <w:t>质量</w:t>
            </w:r>
            <w:r>
              <w:rPr>
                <w:rFonts w:hint="default" w:ascii="Times New Roman" w:hAnsi="Times New Roman" w:eastAsia="宋体" w:cs="Times New Roman"/>
                <w:color w:val="auto"/>
                <w:sz w:val="24"/>
                <w:szCs w:val="24"/>
                <w:highlight w:val="none"/>
              </w:rPr>
              <w:t>状况》</w:t>
            </w:r>
            <w:r>
              <w:rPr>
                <w:rFonts w:hint="default" w:ascii="Times New Roman" w:hAnsi="Times New Roman" w:eastAsia="宋体" w:cs="Times New Roman"/>
                <w:color w:val="auto"/>
                <w:kern w:val="21"/>
                <w:sz w:val="24"/>
                <w:szCs w:val="24"/>
                <w:highlight w:val="none"/>
              </w:rPr>
              <w:t>中监测数据，</w:t>
            </w:r>
            <w:r>
              <w:rPr>
                <w:rFonts w:hint="eastAsia" w:cs="Times New Roman"/>
                <w:color w:val="auto"/>
                <w:kern w:val="21"/>
                <w:sz w:val="24"/>
                <w:szCs w:val="24"/>
                <w:highlight w:val="none"/>
                <w:lang w:eastAsia="zh-CN"/>
              </w:rPr>
              <w:t>根据</w:t>
            </w:r>
            <w:r>
              <w:rPr>
                <w:rFonts w:hint="default" w:ascii="Times New Roman" w:hAnsi="Times New Roman" w:eastAsia="宋体" w:cs="Times New Roman"/>
                <w:color w:val="auto"/>
                <w:kern w:val="21"/>
                <w:sz w:val="24"/>
                <w:szCs w:val="24"/>
                <w:highlight w:val="none"/>
              </w:rPr>
              <w:t>公报内</w:t>
            </w:r>
            <w:r>
              <w:rPr>
                <w:rFonts w:hint="eastAsia" w:cs="Times New Roman"/>
                <w:color w:val="auto"/>
                <w:kern w:val="21"/>
                <w:sz w:val="24"/>
                <w:szCs w:val="24"/>
                <w:highlight w:val="none"/>
                <w:lang w:val="en-US" w:eastAsia="zh-CN"/>
              </w:rPr>
              <w:t>鸡西市</w:t>
            </w:r>
            <w:r>
              <w:rPr>
                <w:rFonts w:hint="default" w:ascii="Times New Roman" w:hAnsi="Times New Roman" w:eastAsia="宋体" w:cs="Times New Roman"/>
                <w:color w:val="auto"/>
                <w:kern w:val="21"/>
                <w:sz w:val="24"/>
                <w:szCs w:val="24"/>
                <w:highlight w:val="none"/>
              </w:rPr>
              <w:t>完整数据，分析项目所在区域基本污染物环境质量现状详见表3-1。</w:t>
            </w:r>
          </w:p>
          <w:p w14:paraId="0C65C16A">
            <w:pPr>
              <w:keepNext w:val="0"/>
              <w:keepLines w:val="0"/>
              <w:pageBreakBefore w:val="0"/>
              <w:widowControl w:val="0"/>
              <w:tabs>
                <w:tab w:val="left" w:pos="1725"/>
              </w:tabs>
              <w:kinsoku/>
              <w:wordWrap/>
              <w:overflowPunct/>
              <w:topLinePunct w:val="0"/>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 xml:space="preserve">表3-1 </w:t>
            </w:r>
            <w:r>
              <w:rPr>
                <w:rFonts w:hint="default" w:ascii="Times New Roman" w:hAnsi="Times New Roman" w:eastAsia="宋体" w:cs="Times New Roman"/>
                <w:b/>
                <w:color w:val="auto"/>
                <w:sz w:val="21"/>
                <w:szCs w:val="21"/>
                <w:highlight w:val="none"/>
              </w:rPr>
              <w:t>202</w:t>
            </w:r>
            <w:r>
              <w:rPr>
                <w:rFonts w:hint="eastAsia" w:cs="Times New Roman"/>
                <w:b/>
                <w:color w:val="auto"/>
                <w:sz w:val="21"/>
                <w:szCs w:val="21"/>
                <w:highlight w:val="none"/>
                <w:lang w:val="en-US" w:eastAsia="zh-CN"/>
              </w:rPr>
              <w:t>5</w:t>
            </w:r>
            <w:r>
              <w:rPr>
                <w:rFonts w:hint="default" w:ascii="Times New Roman" w:hAnsi="Times New Roman" w:eastAsia="宋体" w:cs="Times New Roman"/>
                <w:b/>
                <w:color w:val="auto"/>
                <w:sz w:val="21"/>
                <w:szCs w:val="21"/>
                <w:highlight w:val="none"/>
              </w:rPr>
              <w:t>年</w:t>
            </w:r>
            <w:r>
              <w:rPr>
                <w:rFonts w:hint="eastAsia" w:cs="Times New Roman"/>
                <w:b/>
                <w:color w:val="auto"/>
                <w:sz w:val="21"/>
                <w:szCs w:val="21"/>
                <w:highlight w:val="none"/>
                <w:lang w:eastAsia="zh-CN"/>
              </w:rPr>
              <w:t>鸡西市</w:t>
            </w:r>
            <w:r>
              <w:rPr>
                <w:rFonts w:hint="default" w:ascii="Times New Roman" w:hAnsi="Times New Roman" w:eastAsia="宋体" w:cs="Times New Roman"/>
                <w:b/>
                <w:color w:val="auto"/>
                <w:sz w:val="21"/>
                <w:szCs w:val="21"/>
                <w:highlight w:val="none"/>
              </w:rPr>
              <w:t>环境空气质量现状评价表 单位：</w:t>
            </w:r>
            <w:r>
              <w:rPr>
                <w:rFonts w:hint="default" w:ascii="Times New Roman" w:hAnsi="Times New Roman" w:eastAsia="宋体" w:cs="Times New Roman"/>
                <w:b/>
                <w:bCs/>
                <w:color w:val="auto"/>
                <w:spacing w:val="-5"/>
                <w:sz w:val="21"/>
                <w:szCs w:val="21"/>
                <w:highlight w:val="none"/>
              </w:rPr>
              <w:t>μg/m</w:t>
            </w:r>
            <w:r>
              <w:rPr>
                <w:rFonts w:hint="default" w:ascii="Times New Roman" w:hAnsi="Times New Roman" w:eastAsia="宋体" w:cs="Times New Roman"/>
                <w:b/>
                <w:bCs/>
                <w:color w:val="auto"/>
                <w:spacing w:val="-5"/>
                <w:sz w:val="21"/>
                <w:szCs w:val="21"/>
                <w:highlight w:val="none"/>
                <w:vertAlign w:val="superscript"/>
              </w:rPr>
              <w:t>3</w:t>
            </w:r>
          </w:p>
          <w:tbl>
            <w:tblPr>
              <w:tblStyle w:val="6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CellMar>
                <w:top w:w="0" w:type="dxa"/>
                <w:left w:w="0" w:type="dxa"/>
                <w:bottom w:w="0" w:type="dxa"/>
                <w:right w:w="0" w:type="dxa"/>
              </w:tblCellMar>
            </w:tblPr>
            <w:tblGrid>
              <w:gridCol w:w="761"/>
              <w:gridCol w:w="3137"/>
              <w:gridCol w:w="1170"/>
              <w:gridCol w:w="1106"/>
              <w:gridCol w:w="1157"/>
              <w:gridCol w:w="1085"/>
            </w:tblGrid>
            <w:tr w14:paraId="536EF356">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7" w:hRule="atLeast"/>
                <w:jc w:val="center"/>
              </w:trPr>
              <w:tc>
                <w:tcPr>
                  <w:tcW w:w="761" w:type="dxa"/>
                  <w:tcBorders>
                    <w:tl2br w:val="nil"/>
                    <w:tr2bl w:val="nil"/>
                  </w:tcBorders>
                  <w:vAlign w:val="center"/>
                </w:tcPr>
                <w:p w14:paraId="200E26C6">
                  <w:pPr>
                    <w:widowControl w:val="0"/>
                    <w:kinsoku/>
                    <w:adjustRightInd/>
                    <w:snapToGrid/>
                    <w:jc w:val="center"/>
                    <w:textAlignment w:val="auto"/>
                    <w:outlineLvl w:val="9"/>
                    <w:rPr>
                      <w:rFonts w:ascii="Times New Roman" w:hAnsi="Times New Roman" w:eastAsia="宋体" w:cs="Times New Roman"/>
                      <w:b/>
                      <w:bCs/>
                      <w:color w:val="auto"/>
                    </w:rPr>
                  </w:pPr>
                  <w:r>
                    <w:rPr>
                      <w:rFonts w:ascii="Times New Roman" w:hAnsi="Times New Roman" w:eastAsia="宋体" w:cs="Times New Roman"/>
                      <w:b/>
                      <w:bCs/>
                      <w:color w:val="auto"/>
                      <w:spacing w:val="-4"/>
                    </w:rPr>
                    <w:t>污染物</w:t>
                  </w:r>
                </w:p>
              </w:tc>
              <w:tc>
                <w:tcPr>
                  <w:tcW w:w="3137" w:type="dxa"/>
                  <w:tcBorders>
                    <w:tl2br w:val="nil"/>
                    <w:tr2bl w:val="nil"/>
                  </w:tcBorders>
                  <w:vAlign w:val="center"/>
                </w:tcPr>
                <w:p w14:paraId="626D38D1">
                  <w:pPr>
                    <w:widowControl w:val="0"/>
                    <w:kinsoku/>
                    <w:adjustRightInd/>
                    <w:snapToGrid/>
                    <w:jc w:val="center"/>
                    <w:textAlignment w:val="auto"/>
                    <w:outlineLvl w:val="9"/>
                    <w:rPr>
                      <w:rFonts w:ascii="Times New Roman" w:hAnsi="Times New Roman" w:eastAsia="宋体" w:cs="Times New Roman"/>
                      <w:b/>
                      <w:bCs/>
                      <w:color w:val="auto"/>
                    </w:rPr>
                  </w:pPr>
                  <w:r>
                    <w:rPr>
                      <w:rFonts w:ascii="Times New Roman" w:hAnsi="Times New Roman" w:eastAsia="宋体" w:cs="Times New Roman"/>
                      <w:b/>
                      <w:bCs/>
                      <w:color w:val="auto"/>
                      <w:spacing w:val="-3"/>
                    </w:rPr>
                    <w:t>年评价指标</w:t>
                  </w:r>
                </w:p>
              </w:tc>
              <w:tc>
                <w:tcPr>
                  <w:tcW w:w="1170" w:type="dxa"/>
                  <w:tcBorders>
                    <w:tl2br w:val="nil"/>
                    <w:tr2bl w:val="nil"/>
                  </w:tcBorders>
                  <w:vAlign w:val="center"/>
                </w:tcPr>
                <w:p w14:paraId="79B16D24">
                  <w:pPr>
                    <w:widowControl w:val="0"/>
                    <w:kinsoku/>
                    <w:adjustRightInd/>
                    <w:snapToGrid/>
                    <w:jc w:val="center"/>
                    <w:textAlignment w:val="auto"/>
                    <w:outlineLvl w:val="9"/>
                    <w:rPr>
                      <w:rFonts w:ascii="Times New Roman" w:hAnsi="Times New Roman" w:eastAsia="宋体" w:cs="Times New Roman"/>
                      <w:b/>
                      <w:bCs/>
                      <w:color w:val="auto"/>
                    </w:rPr>
                  </w:pPr>
                  <w:r>
                    <w:rPr>
                      <w:rFonts w:ascii="Times New Roman" w:hAnsi="Times New Roman" w:eastAsia="宋体" w:cs="Times New Roman"/>
                      <w:b/>
                      <w:bCs/>
                      <w:color w:val="auto"/>
                      <w:spacing w:val="-4"/>
                    </w:rPr>
                    <w:t>现状浓度</w:t>
                  </w:r>
                  <w:r>
                    <w:rPr>
                      <w:rFonts w:ascii="Times New Roman" w:hAnsi="Times New Roman" w:eastAsia="宋体" w:cs="Times New Roman"/>
                      <w:b/>
                      <w:bCs/>
                      <w:color w:val="auto"/>
                      <w:spacing w:val="-5"/>
                    </w:rPr>
                    <w:t>（μg/m</w:t>
                  </w:r>
                  <w:r>
                    <w:rPr>
                      <w:rFonts w:ascii="Times New Roman" w:hAnsi="Times New Roman" w:eastAsia="宋体" w:cs="Times New Roman"/>
                      <w:b/>
                      <w:bCs/>
                      <w:color w:val="auto"/>
                      <w:spacing w:val="-5"/>
                      <w:vertAlign w:val="superscript"/>
                    </w:rPr>
                    <w:t>3</w:t>
                  </w:r>
                  <w:r>
                    <w:rPr>
                      <w:rFonts w:ascii="Times New Roman" w:hAnsi="Times New Roman" w:eastAsia="宋体" w:cs="Times New Roman"/>
                      <w:b/>
                      <w:bCs/>
                      <w:color w:val="auto"/>
                      <w:spacing w:val="-5"/>
                    </w:rPr>
                    <w:t>）</w:t>
                  </w:r>
                </w:p>
              </w:tc>
              <w:tc>
                <w:tcPr>
                  <w:tcW w:w="1106" w:type="dxa"/>
                  <w:tcBorders>
                    <w:tl2br w:val="nil"/>
                    <w:tr2bl w:val="nil"/>
                  </w:tcBorders>
                  <w:vAlign w:val="center"/>
                </w:tcPr>
                <w:p w14:paraId="6F1B44DF">
                  <w:pPr>
                    <w:widowControl w:val="0"/>
                    <w:kinsoku/>
                    <w:adjustRightInd/>
                    <w:snapToGrid/>
                    <w:jc w:val="center"/>
                    <w:textAlignment w:val="auto"/>
                    <w:outlineLvl w:val="9"/>
                    <w:rPr>
                      <w:rFonts w:ascii="Times New Roman" w:hAnsi="Times New Roman" w:eastAsia="宋体" w:cs="Times New Roman"/>
                      <w:b/>
                      <w:bCs/>
                      <w:color w:val="auto"/>
                    </w:rPr>
                  </w:pPr>
                  <w:r>
                    <w:rPr>
                      <w:rFonts w:ascii="Times New Roman" w:hAnsi="Times New Roman" w:eastAsia="宋体" w:cs="Times New Roman"/>
                      <w:b/>
                      <w:bCs/>
                      <w:color w:val="auto"/>
                      <w:spacing w:val="-4"/>
                    </w:rPr>
                    <w:t>标准值</w:t>
                  </w:r>
                  <w:r>
                    <w:rPr>
                      <w:rFonts w:ascii="Times New Roman" w:hAnsi="Times New Roman" w:eastAsia="宋体" w:cs="Times New Roman"/>
                      <w:b/>
                      <w:bCs/>
                      <w:color w:val="auto"/>
                      <w:spacing w:val="-5"/>
                    </w:rPr>
                    <w:t>（μg/m</w:t>
                  </w:r>
                  <w:r>
                    <w:rPr>
                      <w:rFonts w:ascii="Times New Roman" w:hAnsi="Times New Roman" w:eastAsia="宋体" w:cs="Times New Roman"/>
                      <w:b/>
                      <w:bCs/>
                      <w:color w:val="auto"/>
                      <w:spacing w:val="-5"/>
                      <w:vertAlign w:val="superscript"/>
                    </w:rPr>
                    <w:t>3</w:t>
                  </w:r>
                  <w:r>
                    <w:rPr>
                      <w:rFonts w:ascii="Times New Roman" w:hAnsi="Times New Roman" w:eastAsia="宋体" w:cs="Times New Roman"/>
                      <w:b/>
                      <w:bCs/>
                      <w:color w:val="auto"/>
                      <w:spacing w:val="-5"/>
                    </w:rPr>
                    <w:t>）</w:t>
                  </w:r>
                </w:p>
              </w:tc>
              <w:tc>
                <w:tcPr>
                  <w:tcW w:w="1157" w:type="dxa"/>
                  <w:tcBorders>
                    <w:tl2br w:val="nil"/>
                    <w:tr2bl w:val="nil"/>
                  </w:tcBorders>
                  <w:vAlign w:val="center"/>
                </w:tcPr>
                <w:p w14:paraId="74C8C1E0">
                  <w:pPr>
                    <w:widowControl w:val="0"/>
                    <w:kinsoku/>
                    <w:adjustRightInd/>
                    <w:snapToGrid/>
                    <w:jc w:val="center"/>
                    <w:textAlignment w:val="auto"/>
                    <w:outlineLvl w:val="9"/>
                    <w:rPr>
                      <w:rFonts w:ascii="Times New Roman" w:hAnsi="Times New Roman" w:eastAsia="宋体" w:cs="Times New Roman"/>
                      <w:b/>
                      <w:bCs/>
                      <w:color w:val="auto"/>
                    </w:rPr>
                  </w:pPr>
                  <w:r>
                    <w:rPr>
                      <w:rFonts w:ascii="Times New Roman" w:hAnsi="Times New Roman" w:eastAsia="宋体" w:cs="Times New Roman"/>
                      <w:b/>
                      <w:bCs/>
                      <w:color w:val="auto"/>
                      <w:spacing w:val="-11"/>
                    </w:rPr>
                    <w:t>占标率%</w:t>
                  </w:r>
                </w:p>
              </w:tc>
              <w:tc>
                <w:tcPr>
                  <w:tcW w:w="1085" w:type="dxa"/>
                  <w:tcBorders>
                    <w:tl2br w:val="nil"/>
                    <w:tr2bl w:val="nil"/>
                  </w:tcBorders>
                  <w:vAlign w:val="center"/>
                </w:tcPr>
                <w:p w14:paraId="3B3B19E2">
                  <w:pPr>
                    <w:widowControl w:val="0"/>
                    <w:kinsoku/>
                    <w:adjustRightInd/>
                    <w:snapToGrid/>
                    <w:jc w:val="center"/>
                    <w:textAlignment w:val="auto"/>
                    <w:outlineLvl w:val="9"/>
                    <w:rPr>
                      <w:rFonts w:ascii="Times New Roman" w:hAnsi="Times New Roman" w:eastAsia="宋体" w:cs="Times New Roman"/>
                      <w:b/>
                      <w:bCs/>
                      <w:color w:val="auto"/>
                    </w:rPr>
                  </w:pPr>
                  <w:r>
                    <w:rPr>
                      <w:rFonts w:ascii="Times New Roman" w:hAnsi="Times New Roman" w:eastAsia="宋体" w:cs="Times New Roman"/>
                      <w:b/>
                      <w:bCs/>
                      <w:color w:val="auto"/>
                      <w:spacing w:val="-3"/>
                    </w:rPr>
                    <w:t>达标情况</w:t>
                  </w:r>
                </w:p>
              </w:tc>
            </w:tr>
            <w:tr w14:paraId="3CBB974A">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7" w:hRule="atLeast"/>
                <w:jc w:val="center"/>
              </w:trPr>
              <w:tc>
                <w:tcPr>
                  <w:tcW w:w="761" w:type="dxa"/>
                  <w:tcBorders>
                    <w:tl2br w:val="nil"/>
                    <w:tr2bl w:val="nil"/>
                  </w:tcBorders>
                  <w:vAlign w:val="center"/>
                </w:tcPr>
                <w:p w14:paraId="6D654B57">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spacing w:val="-6"/>
                    </w:rPr>
                    <w:t>SO</w:t>
                  </w:r>
                  <w:r>
                    <w:rPr>
                      <w:rFonts w:ascii="Times New Roman" w:hAnsi="Times New Roman" w:eastAsia="宋体" w:cs="Times New Roman"/>
                      <w:color w:val="auto"/>
                      <w:spacing w:val="-6"/>
                      <w:vertAlign w:val="subscript"/>
                    </w:rPr>
                    <w:t>2</w:t>
                  </w:r>
                </w:p>
              </w:tc>
              <w:tc>
                <w:tcPr>
                  <w:tcW w:w="3137" w:type="dxa"/>
                  <w:tcBorders>
                    <w:tl2br w:val="nil"/>
                    <w:tr2bl w:val="nil"/>
                  </w:tcBorders>
                  <w:vAlign w:val="center"/>
                </w:tcPr>
                <w:p w14:paraId="286354B5">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spacing w:val="-2"/>
                    </w:rPr>
                    <w:t>年平均质量浓度</w:t>
                  </w:r>
                </w:p>
              </w:tc>
              <w:tc>
                <w:tcPr>
                  <w:tcW w:w="1170" w:type="dxa"/>
                  <w:tcBorders>
                    <w:tl2br w:val="nil"/>
                    <w:tr2bl w:val="nil"/>
                  </w:tcBorders>
                  <w:vAlign w:val="center"/>
                </w:tcPr>
                <w:p w14:paraId="67AD211C">
                  <w:pPr>
                    <w:widowControl w:val="0"/>
                    <w:kinsoku/>
                    <w:adjustRightInd/>
                    <w:snapToGrid/>
                    <w:jc w:val="center"/>
                    <w:textAlignment w:val="auto"/>
                    <w:outlineLvl w:val="9"/>
                    <w:rPr>
                      <w:rFonts w:ascii="Times New Roman" w:hAnsi="Times New Roman" w:eastAsia="宋体" w:cs="Times New Roman"/>
                      <w:color w:val="auto"/>
                      <w:lang w:eastAsia="zh-CN"/>
                    </w:rPr>
                  </w:pPr>
                  <w:r>
                    <w:rPr>
                      <w:rFonts w:ascii="Times New Roman" w:hAnsi="Times New Roman" w:eastAsia="宋体" w:cs="Times New Roman"/>
                      <w:color w:val="auto"/>
                      <w:lang w:eastAsia="zh-CN"/>
                    </w:rPr>
                    <w:t>8</w:t>
                  </w:r>
                </w:p>
              </w:tc>
              <w:tc>
                <w:tcPr>
                  <w:tcW w:w="1106" w:type="dxa"/>
                  <w:tcBorders>
                    <w:tl2br w:val="nil"/>
                    <w:tr2bl w:val="nil"/>
                  </w:tcBorders>
                  <w:vAlign w:val="center"/>
                </w:tcPr>
                <w:p w14:paraId="49F1C49D">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60</w:t>
                  </w:r>
                </w:p>
              </w:tc>
              <w:tc>
                <w:tcPr>
                  <w:tcW w:w="1157" w:type="dxa"/>
                  <w:tcBorders>
                    <w:tl2br w:val="nil"/>
                    <w:tr2bl w:val="nil"/>
                  </w:tcBorders>
                  <w:vAlign w:val="center"/>
                </w:tcPr>
                <w:p w14:paraId="260F8FA9">
                  <w:pPr>
                    <w:widowControl w:val="0"/>
                    <w:kinsoku/>
                    <w:adjustRightInd/>
                    <w:snapToGrid/>
                    <w:jc w:val="center"/>
                    <w:textAlignment w:val="auto"/>
                    <w:outlineLvl w:val="9"/>
                    <w:rPr>
                      <w:rFonts w:ascii="Times New Roman" w:hAnsi="Times New Roman" w:eastAsia="宋体" w:cs="Times New Roman"/>
                      <w:color w:val="auto"/>
                      <w:lang w:eastAsia="zh-CN"/>
                    </w:rPr>
                  </w:pPr>
                  <w:r>
                    <w:rPr>
                      <w:rFonts w:ascii="Times New Roman" w:hAnsi="Times New Roman" w:eastAsia="宋体" w:cs="Times New Roman"/>
                      <w:color w:val="auto"/>
                    </w:rPr>
                    <w:t>1</w:t>
                  </w:r>
                  <w:r>
                    <w:rPr>
                      <w:rFonts w:ascii="Times New Roman" w:hAnsi="Times New Roman" w:eastAsia="宋体" w:cs="Times New Roman"/>
                      <w:color w:val="auto"/>
                      <w:lang w:eastAsia="zh-CN"/>
                    </w:rPr>
                    <w:t>3.3</w:t>
                  </w:r>
                </w:p>
              </w:tc>
              <w:tc>
                <w:tcPr>
                  <w:tcW w:w="1085" w:type="dxa"/>
                  <w:tcBorders>
                    <w:tl2br w:val="nil"/>
                    <w:tr2bl w:val="nil"/>
                  </w:tcBorders>
                  <w:vAlign w:val="center"/>
                </w:tcPr>
                <w:p w14:paraId="5018ED74">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达标</w:t>
                  </w:r>
                </w:p>
              </w:tc>
            </w:tr>
            <w:tr w14:paraId="65544D1D">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7" w:hRule="atLeast"/>
                <w:jc w:val="center"/>
              </w:trPr>
              <w:tc>
                <w:tcPr>
                  <w:tcW w:w="761" w:type="dxa"/>
                  <w:tcBorders>
                    <w:tl2br w:val="nil"/>
                    <w:tr2bl w:val="nil"/>
                  </w:tcBorders>
                  <w:vAlign w:val="center"/>
                </w:tcPr>
                <w:p w14:paraId="5377F00B">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NO</w:t>
                  </w:r>
                  <w:r>
                    <w:rPr>
                      <w:rFonts w:ascii="Times New Roman" w:hAnsi="Times New Roman" w:eastAsia="宋体" w:cs="Times New Roman"/>
                      <w:color w:val="auto"/>
                      <w:vertAlign w:val="subscript"/>
                    </w:rPr>
                    <w:t>2</w:t>
                  </w:r>
                </w:p>
              </w:tc>
              <w:tc>
                <w:tcPr>
                  <w:tcW w:w="3137" w:type="dxa"/>
                  <w:tcBorders>
                    <w:tl2br w:val="nil"/>
                    <w:tr2bl w:val="nil"/>
                  </w:tcBorders>
                  <w:vAlign w:val="center"/>
                </w:tcPr>
                <w:p w14:paraId="4DB42295">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spacing w:val="-2"/>
                    </w:rPr>
                    <w:t>年平均质量浓度</w:t>
                  </w:r>
                </w:p>
              </w:tc>
              <w:tc>
                <w:tcPr>
                  <w:tcW w:w="1170" w:type="dxa"/>
                  <w:tcBorders>
                    <w:tl2br w:val="nil"/>
                    <w:tr2bl w:val="nil"/>
                  </w:tcBorders>
                  <w:vAlign w:val="center"/>
                </w:tcPr>
                <w:p w14:paraId="46E63180">
                  <w:pPr>
                    <w:widowControl w:val="0"/>
                    <w:kinsoku/>
                    <w:adjustRightInd/>
                    <w:snapToGrid/>
                    <w:jc w:val="center"/>
                    <w:textAlignment w:val="auto"/>
                    <w:outlineLvl w:val="9"/>
                    <w:rPr>
                      <w:rFonts w:ascii="Times New Roman" w:hAnsi="Times New Roman" w:eastAsia="宋体" w:cs="Times New Roman"/>
                      <w:color w:val="auto"/>
                      <w:lang w:eastAsia="zh-CN"/>
                    </w:rPr>
                  </w:pPr>
                  <w:r>
                    <w:rPr>
                      <w:rFonts w:ascii="Times New Roman" w:hAnsi="Times New Roman" w:cs="Times New Roman"/>
                      <w:color w:val="auto"/>
                      <w:lang w:eastAsia="zh-CN"/>
                    </w:rPr>
                    <w:t>1</w:t>
                  </w:r>
                  <w:r>
                    <w:rPr>
                      <w:rFonts w:hint="eastAsia" w:cs="Times New Roman"/>
                      <w:color w:val="auto"/>
                      <w:lang w:val="en-US" w:eastAsia="zh-CN"/>
                    </w:rPr>
                    <w:t>7</w:t>
                  </w:r>
                </w:p>
              </w:tc>
              <w:tc>
                <w:tcPr>
                  <w:tcW w:w="1106" w:type="dxa"/>
                  <w:tcBorders>
                    <w:tl2br w:val="nil"/>
                    <w:tr2bl w:val="nil"/>
                  </w:tcBorders>
                  <w:vAlign w:val="center"/>
                </w:tcPr>
                <w:p w14:paraId="5252BE50">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40</w:t>
                  </w:r>
                </w:p>
              </w:tc>
              <w:tc>
                <w:tcPr>
                  <w:tcW w:w="1157" w:type="dxa"/>
                  <w:tcBorders>
                    <w:tl2br w:val="nil"/>
                    <w:tr2bl w:val="nil"/>
                  </w:tcBorders>
                  <w:vAlign w:val="center"/>
                </w:tcPr>
                <w:p w14:paraId="562C5D07">
                  <w:pPr>
                    <w:widowControl w:val="0"/>
                    <w:kinsoku/>
                    <w:adjustRightInd/>
                    <w:snapToGrid/>
                    <w:jc w:val="center"/>
                    <w:textAlignment w:val="auto"/>
                    <w:outlineLvl w:val="9"/>
                    <w:rPr>
                      <w:rFonts w:hint="default" w:ascii="Times New Roman" w:hAnsi="Times New Roman" w:eastAsia="宋体" w:cs="Times New Roman"/>
                      <w:color w:val="auto"/>
                      <w:lang w:val="en-US" w:eastAsia="zh-CN"/>
                    </w:rPr>
                  </w:pPr>
                  <w:r>
                    <w:rPr>
                      <w:rFonts w:ascii="Times New Roman" w:hAnsi="Times New Roman" w:eastAsia="宋体" w:cs="Times New Roman"/>
                      <w:color w:val="auto"/>
                      <w:lang w:eastAsia="zh-CN"/>
                    </w:rPr>
                    <w:t>4</w:t>
                  </w:r>
                  <w:r>
                    <w:rPr>
                      <w:rFonts w:hint="eastAsia" w:cs="Times New Roman"/>
                      <w:color w:val="auto"/>
                      <w:lang w:val="en-US" w:eastAsia="zh-CN"/>
                    </w:rPr>
                    <w:t>2.5</w:t>
                  </w:r>
                </w:p>
              </w:tc>
              <w:tc>
                <w:tcPr>
                  <w:tcW w:w="1085" w:type="dxa"/>
                  <w:tcBorders>
                    <w:tl2br w:val="nil"/>
                    <w:tr2bl w:val="nil"/>
                  </w:tcBorders>
                  <w:vAlign w:val="center"/>
                </w:tcPr>
                <w:p w14:paraId="439BD37A">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达标</w:t>
                  </w:r>
                </w:p>
              </w:tc>
            </w:tr>
            <w:tr w14:paraId="41B60141">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7" w:hRule="atLeast"/>
                <w:jc w:val="center"/>
              </w:trPr>
              <w:tc>
                <w:tcPr>
                  <w:tcW w:w="761" w:type="dxa"/>
                  <w:tcBorders>
                    <w:tl2br w:val="nil"/>
                    <w:tr2bl w:val="nil"/>
                  </w:tcBorders>
                  <w:vAlign w:val="center"/>
                </w:tcPr>
                <w:p w14:paraId="7F607DFF">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spacing w:val="-1"/>
                    </w:rPr>
                    <w:t>PM</w:t>
                  </w:r>
                  <w:r>
                    <w:rPr>
                      <w:rFonts w:ascii="Times New Roman" w:hAnsi="Times New Roman" w:eastAsia="宋体" w:cs="Times New Roman"/>
                      <w:color w:val="auto"/>
                      <w:spacing w:val="-1"/>
                      <w:position w:val="-1"/>
                      <w:vertAlign w:val="subscript"/>
                    </w:rPr>
                    <w:t>10</w:t>
                  </w:r>
                </w:p>
              </w:tc>
              <w:tc>
                <w:tcPr>
                  <w:tcW w:w="3137" w:type="dxa"/>
                  <w:tcBorders>
                    <w:tl2br w:val="nil"/>
                    <w:tr2bl w:val="nil"/>
                  </w:tcBorders>
                  <w:vAlign w:val="center"/>
                </w:tcPr>
                <w:p w14:paraId="02F3598D">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spacing w:val="-2"/>
                    </w:rPr>
                    <w:t>年平均质量浓度</w:t>
                  </w:r>
                </w:p>
              </w:tc>
              <w:tc>
                <w:tcPr>
                  <w:tcW w:w="1170" w:type="dxa"/>
                  <w:tcBorders>
                    <w:tl2br w:val="nil"/>
                    <w:tr2bl w:val="nil"/>
                  </w:tcBorders>
                  <w:vAlign w:val="center"/>
                </w:tcPr>
                <w:p w14:paraId="19AE6B9F">
                  <w:pPr>
                    <w:widowControl w:val="0"/>
                    <w:kinsoku/>
                    <w:adjustRightInd/>
                    <w:snapToGrid/>
                    <w:jc w:val="center"/>
                    <w:textAlignment w:val="auto"/>
                    <w:outlineLvl w:val="9"/>
                    <w:rPr>
                      <w:rFonts w:hint="default" w:ascii="Times New Roman" w:hAnsi="Times New Roman" w:eastAsia="宋体" w:cs="Times New Roman"/>
                      <w:color w:val="auto"/>
                      <w:lang w:val="en-US" w:eastAsia="zh-CN"/>
                    </w:rPr>
                  </w:pPr>
                  <w:r>
                    <w:rPr>
                      <w:rFonts w:hint="eastAsia" w:cs="Times New Roman"/>
                      <w:color w:val="auto"/>
                      <w:lang w:val="en-US" w:eastAsia="zh-CN"/>
                    </w:rPr>
                    <w:t>43</w:t>
                  </w:r>
                </w:p>
              </w:tc>
              <w:tc>
                <w:tcPr>
                  <w:tcW w:w="1106" w:type="dxa"/>
                  <w:tcBorders>
                    <w:tl2br w:val="nil"/>
                    <w:tr2bl w:val="nil"/>
                  </w:tcBorders>
                  <w:vAlign w:val="center"/>
                </w:tcPr>
                <w:p w14:paraId="287E3698">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70</w:t>
                  </w:r>
                </w:p>
              </w:tc>
              <w:tc>
                <w:tcPr>
                  <w:tcW w:w="1157" w:type="dxa"/>
                  <w:tcBorders>
                    <w:tl2br w:val="nil"/>
                    <w:tr2bl w:val="nil"/>
                  </w:tcBorders>
                  <w:vAlign w:val="center"/>
                </w:tcPr>
                <w:p w14:paraId="2BB00384">
                  <w:pPr>
                    <w:widowControl w:val="0"/>
                    <w:kinsoku/>
                    <w:adjustRightInd/>
                    <w:snapToGrid/>
                    <w:jc w:val="center"/>
                    <w:textAlignment w:val="auto"/>
                    <w:outlineLvl w:val="9"/>
                    <w:rPr>
                      <w:rFonts w:hint="default" w:ascii="Times New Roman" w:hAnsi="Times New Roman" w:eastAsia="宋体" w:cs="Times New Roman"/>
                      <w:color w:val="auto"/>
                      <w:lang w:val="en-US" w:eastAsia="zh-CN"/>
                    </w:rPr>
                  </w:pPr>
                  <w:r>
                    <w:rPr>
                      <w:rFonts w:hint="eastAsia" w:cs="Times New Roman"/>
                      <w:color w:val="auto"/>
                      <w:lang w:val="en-US" w:eastAsia="zh-CN"/>
                    </w:rPr>
                    <w:t>61.4</w:t>
                  </w:r>
                </w:p>
              </w:tc>
              <w:tc>
                <w:tcPr>
                  <w:tcW w:w="1085" w:type="dxa"/>
                  <w:tcBorders>
                    <w:tl2br w:val="nil"/>
                    <w:tr2bl w:val="nil"/>
                  </w:tcBorders>
                  <w:vAlign w:val="center"/>
                </w:tcPr>
                <w:p w14:paraId="466683EB">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达标</w:t>
                  </w:r>
                </w:p>
              </w:tc>
            </w:tr>
            <w:tr w14:paraId="13BEC1BD">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245" w:hRule="atLeast"/>
                <w:jc w:val="center"/>
              </w:trPr>
              <w:tc>
                <w:tcPr>
                  <w:tcW w:w="761" w:type="dxa"/>
                  <w:tcBorders>
                    <w:tl2br w:val="nil"/>
                    <w:tr2bl w:val="nil"/>
                  </w:tcBorders>
                  <w:vAlign w:val="center"/>
                </w:tcPr>
                <w:p w14:paraId="47EAB572">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PM</w:t>
                  </w:r>
                  <w:r>
                    <w:rPr>
                      <w:rFonts w:ascii="Times New Roman" w:hAnsi="Times New Roman" w:eastAsia="宋体" w:cs="Times New Roman"/>
                      <w:color w:val="auto"/>
                      <w:position w:val="-1"/>
                      <w:vertAlign w:val="subscript"/>
                    </w:rPr>
                    <w:t>2.5</w:t>
                  </w:r>
                </w:p>
              </w:tc>
              <w:tc>
                <w:tcPr>
                  <w:tcW w:w="3137" w:type="dxa"/>
                  <w:tcBorders>
                    <w:tl2br w:val="nil"/>
                    <w:tr2bl w:val="nil"/>
                  </w:tcBorders>
                  <w:vAlign w:val="center"/>
                </w:tcPr>
                <w:p w14:paraId="76EB9552">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spacing w:val="-2"/>
                    </w:rPr>
                    <w:t>年平均质量浓度</w:t>
                  </w:r>
                </w:p>
              </w:tc>
              <w:tc>
                <w:tcPr>
                  <w:tcW w:w="1170" w:type="dxa"/>
                  <w:tcBorders>
                    <w:tl2br w:val="nil"/>
                    <w:tr2bl w:val="nil"/>
                  </w:tcBorders>
                  <w:vAlign w:val="center"/>
                </w:tcPr>
                <w:p w14:paraId="19F20FF9">
                  <w:pPr>
                    <w:widowControl w:val="0"/>
                    <w:kinsoku/>
                    <w:adjustRightInd/>
                    <w:snapToGrid/>
                    <w:jc w:val="center"/>
                    <w:textAlignment w:val="auto"/>
                    <w:outlineLvl w:val="9"/>
                    <w:rPr>
                      <w:rFonts w:hint="default" w:ascii="Times New Roman" w:hAnsi="Times New Roman" w:eastAsia="宋体" w:cs="Times New Roman"/>
                      <w:color w:val="auto"/>
                      <w:lang w:val="en-US" w:eastAsia="zh-CN"/>
                    </w:rPr>
                  </w:pPr>
                  <w:r>
                    <w:rPr>
                      <w:rFonts w:hint="eastAsia" w:cs="Times New Roman"/>
                      <w:color w:val="auto"/>
                      <w:lang w:val="en-US" w:eastAsia="zh-CN"/>
                    </w:rPr>
                    <w:t>26</w:t>
                  </w:r>
                </w:p>
              </w:tc>
              <w:tc>
                <w:tcPr>
                  <w:tcW w:w="1106" w:type="dxa"/>
                  <w:tcBorders>
                    <w:tl2br w:val="nil"/>
                    <w:tr2bl w:val="nil"/>
                  </w:tcBorders>
                  <w:vAlign w:val="center"/>
                </w:tcPr>
                <w:p w14:paraId="2DE82A76">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35</w:t>
                  </w:r>
                </w:p>
              </w:tc>
              <w:tc>
                <w:tcPr>
                  <w:tcW w:w="1157" w:type="dxa"/>
                  <w:tcBorders>
                    <w:tl2br w:val="nil"/>
                    <w:tr2bl w:val="nil"/>
                  </w:tcBorders>
                  <w:vAlign w:val="center"/>
                </w:tcPr>
                <w:p w14:paraId="6E300825">
                  <w:pPr>
                    <w:widowControl w:val="0"/>
                    <w:kinsoku/>
                    <w:adjustRightInd/>
                    <w:snapToGrid/>
                    <w:jc w:val="center"/>
                    <w:textAlignment w:val="auto"/>
                    <w:outlineLvl w:val="9"/>
                    <w:rPr>
                      <w:rFonts w:hint="default" w:ascii="Times New Roman" w:hAnsi="Times New Roman" w:eastAsia="宋体" w:cs="Times New Roman"/>
                      <w:color w:val="auto"/>
                      <w:lang w:val="en-US" w:eastAsia="zh-CN"/>
                    </w:rPr>
                  </w:pPr>
                  <w:r>
                    <w:rPr>
                      <w:rFonts w:hint="eastAsia" w:cs="Times New Roman"/>
                      <w:color w:val="auto"/>
                      <w:lang w:val="en-US" w:eastAsia="zh-CN"/>
                    </w:rPr>
                    <w:t>74.3</w:t>
                  </w:r>
                </w:p>
              </w:tc>
              <w:tc>
                <w:tcPr>
                  <w:tcW w:w="1085" w:type="dxa"/>
                  <w:tcBorders>
                    <w:tl2br w:val="nil"/>
                    <w:tr2bl w:val="nil"/>
                  </w:tcBorders>
                  <w:vAlign w:val="center"/>
                </w:tcPr>
                <w:p w14:paraId="717326C8">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达标</w:t>
                  </w:r>
                </w:p>
              </w:tc>
            </w:tr>
            <w:tr w14:paraId="58CCADFF">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7" w:hRule="atLeast"/>
                <w:jc w:val="center"/>
              </w:trPr>
              <w:tc>
                <w:tcPr>
                  <w:tcW w:w="761" w:type="dxa"/>
                  <w:tcBorders>
                    <w:tl2br w:val="nil"/>
                    <w:tr2bl w:val="nil"/>
                  </w:tcBorders>
                  <w:vAlign w:val="center"/>
                </w:tcPr>
                <w:p w14:paraId="568B49D4">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spacing w:val="-5"/>
                    </w:rPr>
                    <w:t>CO</w:t>
                  </w:r>
                </w:p>
              </w:tc>
              <w:tc>
                <w:tcPr>
                  <w:tcW w:w="3137" w:type="dxa"/>
                  <w:tcBorders>
                    <w:tl2br w:val="nil"/>
                    <w:tr2bl w:val="nil"/>
                  </w:tcBorders>
                  <w:vAlign w:val="center"/>
                </w:tcPr>
                <w:p w14:paraId="2066AB27">
                  <w:pPr>
                    <w:widowControl w:val="0"/>
                    <w:kinsoku/>
                    <w:adjustRightInd/>
                    <w:snapToGrid/>
                    <w:jc w:val="center"/>
                    <w:textAlignment w:val="auto"/>
                    <w:outlineLvl w:val="9"/>
                    <w:rPr>
                      <w:rFonts w:ascii="Times New Roman" w:hAnsi="Times New Roman" w:eastAsia="宋体" w:cs="Times New Roman"/>
                      <w:color w:val="auto"/>
                      <w:lang w:eastAsia="zh-CN"/>
                    </w:rPr>
                  </w:pPr>
                  <w:r>
                    <w:rPr>
                      <w:rFonts w:ascii="Times New Roman" w:hAnsi="Times New Roman" w:eastAsia="宋体" w:cs="Times New Roman"/>
                      <w:color w:val="auto"/>
                      <w:spacing w:val="-5"/>
                      <w:lang w:eastAsia="zh-CN"/>
                    </w:rPr>
                    <w:t>第95百分位数24小时平均</w:t>
                  </w:r>
                  <w:r>
                    <w:rPr>
                      <w:rFonts w:ascii="Times New Roman" w:hAnsi="Times New Roman" w:eastAsia="宋体" w:cs="Times New Roman"/>
                      <w:color w:val="auto"/>
                      <w:spacing w:val="-3"/>
                      <w:lang w:eastAsia="zh-CN"/>
                    </w:rPr>
                    <w:t>质量浓度</w:t>
                  </w:r>
                </w:p>
              </w:tc>
              <w:tc>
                <w:tcPr>
                  <w:tcW w:w="1170" w:type="dxa"/>
                  <w:tcBorders>
                    <w:tl2br w:val="nil"/>
                    <w:tr2bl w:val="nil"/>
                  </w:tcBorders>
                  <w:vAlign w:val="center"/>
                </w:tcPr>
                <w:p w14:paraId="13C2D805">
                  <w:pPr>
                    <w:widowControl w:val="0"/>
                    <w:kinsoku/>
                    <w:adjustRightInd/>
                    <w:snapToGrid/>
                    <w:jc w:val="center"/>
                    <w:textAlignment w:val="auto"/>
                    <w:outlineLvl w:val="9"/>
                    <w:rPr>
                      <w:rFonts w:ascii="Times New Roman" w:hAnsi="Times New Roman" w:eastAsia="宋体" w:cs="Times New Roman"/>
                      <w:color w:val="auto"/>
                    </w:rPr>
                  </w:pPr>
                  <w:r>
                    <w:rPr>
                      <w:rFonts w:hint="eastAsia" w:cs="Times New Roman"/>
                      <w:color w:val="auto"/>
                      <w:lang w:val="en-US" w:eastAsia="zh-CN"/>
                    </w:rPr>
                    <w:t>0.9</w:t>
                  </w:r>
                  <w:r>
                    <w:rPr>
                      <w:rFonts w:ascii="Times New Roman" w:hAnsi="Times New Roman" w:eastAsia="宋体" w:cs="Times New Roman"/>
                      <w:color w:val="auto"/>
                    </w:rPr>
                    <w:t>mg/m</w:t>
                  </w:r>
                  <w:r>
                    <w:rPr>
                      <w:rFonts w:ascii="Times New Roman" w:hAnsi="Times New Roman" w:eastAsia="宋体" w:cs="Times New Roman"/>
                      <w:color w:val="auto"/>
                      <w:vertAlign w:val="superscript"/>
                    </w:rPr>
                    <w:t>3</w:t>
                  </w:r>
                </w:p>
              </w:tc>
              <w:tc>
                <w:tcPr>
                  <w:tcW w:w="1106" w:type="dxa"/>
                  <w:tcBorders>
                    <w:tl2br w:val="nil"/>
                    <w:tr2bl w:val="nil"/>
                  </w:tcBorders>
                  <w:vAlign w:val="center"/>
                </w:tcPr>
                <w:p w14:paraId="18BB9520">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4mg/m</w:t>
                  </w:r>
                  <w:r>
                    <w:rPr>
                      <w:rFonts w:ascii="Times New Roman" w:hAnsi="Times New Roman" w:eastAsia="宋体" w:cs="Times New Roman"/>
                      <w:color w:val="auto"/>
                      <w:vertAlign w:val="superscript"/>
                    </w:rPr>
                    <w:t>3</w:t>
                  </w:r>
                </w:p>
              </w:tc>
              <w:tc>
                <w:tcPr>
                  <w:tcW w:w="1157" w:type="dxa"/>
                  <w:tcBorders>
                    <w:tl2br w:val="nil"/>
                    <w:tr2bl w:val="nil"/>
                  </w:tcBorders>
                  <w:vAlign w:val="center"/>
                </w:tcPr>
                <w:p w14:paraId="59B00BC8">
                  <w:pPr>
                    <w:widowControl w:val="0"/>
                    <w:kinsoku/>
                    <w:adjustRightInd/>
                    <w:snapToGrid/>
                    <w:jc w:val="center"/>
                    <w:textAlignment w:val="auto"/>
                    <w:outlineLvl w:val="9"/>
                    <w:rPr>
                      <w:rFonts w:hint="default" w:ascii="Times New Roman" w:hAnsi="Times New Roman" w:eastAsia="宋体" w:cs="Times New Roman"/>
                      <w:color w:val="auto"/>
                      <w:lang w:val="en-US" w:eastAsia="zh-CN"/>
                    </w:rPr>
                  </w:pPr>
                  <w:r>
                    <w:rPr>
                      <w:rFonts w:hint="eastAsia" w:cs="Times New Roman"/>
                      <w:color w:val="auto"/>
                      <w:lang w:val="en-US" w:eastAsia="zh-CN"/>
                    </w:rPr>
                    <w:t>22.5</w:t>
                  </w:r>
                </w:p>
              </w:tc>
              <w:tc>
                <w:tcPr>
                  <w:tcW w:w="1085" w:type="dxa"/>
                  <w:tcBorders>
                    <w:tl2br w:val="nil"/>
                    <w:tr2bl w:val="nil"/>
                  </w:tcBorders>
                  <w:vAlign w:val="center"/>
                </w:tcPr>
                <w:p w14:paraId="09BC9CFB">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rPr>
                    <w:t>达标</w:t>
                  </w:r>
                </w:p>
              </w:tc>
            </w:tr>
            <w:tr w14:paraId="16FDB6B9">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7" w:hRule="atLeast"/>
                <w:jc w:val="center"/>
              </w:trPr>
              <w:tc>
                <w:tcPr>
                  <w:tcW w:w="761" w:type="dxa"/>
                  <w:tcBorders>
                    <w:tl2br w:val="nil"/>
                    <w:tr2bl w:val="nil"/>
                  </w:tcBorders>
                  <w:vAlign w:val="center"/>
                </w:tcPr>
                <w:p w14:paraId="139DB250">
                  <w:pPr>
                    <w:widowControl w:val="0"/>
                    <w:kinsoku/>
                    <w:adjustRightInd/>
                    <w:snapToGrid/>
                    <w:jc w:val="center"/>
                    <w:textAlignment w:val="auto"/>
                    <w:outlineLvl w:val="9"/>
                    <w:rPr>
                      <w:rFonts w:ascii="Times New Roman" w:hAnsi="Times New Roman" w:eastAsia="宋体" w:cs="Times New Roman"/>
                      <w:color w:val="auto"/>
                    </w:rPr>
                  </w:pPr>
                  <w:r>
                    <w:rPr>
                      <w:rFonts w:ascii="Times New Roman" w:hAnsi="Times New Roman" w:eastAsia="宋体" w:cs="Times New Roman"/>
                      <w:color w:val="auto"/>
                      <w:spacing w:val="-5"/>
                    </w:rPr>
                    <w:t>O</w:t>
                  </w:r>
                  <w:r>
                    <w:rPr>
                      <w:rFonts w:ascii="Times New Roman" w:hAnsi="Times New Roman" w:eastAsia="宋体" w:cs="Times New Roman"/>
                      <w:color w:val="auto"/>
                      <w:spacing w:val="-5"/>
                      <w:vertAlign w:val="subscript"/>
                    </w:rPr>
                    <w:t>3</w:t>
                  </w:r>
                </w:p>
              </w:tc>
              <w:tc>
                <w:tcPr>
                  <w:tcW w:w="3137" w:type="dxa"/>
                  <w:tcBorders>
                    <w:tl2br w:val="nil"/>
                    <w:tr2bl w:val="nil"/>
                  </w:tcBorders>
                  <w:vAlign w:val="center"/>
                </w:tcPr>
                <w:p w14:paraId="6E1CAB37">
                  <w:pPr>
                    <w:widowControl w:val="0"/>
                    <w:kinsoku/>
                    <w:adjustRightInd/>
                    <w:snapToGrid/>
                    <w:jc w:val="center"/>
                    <w:textAlignment w:val="auto"/>
                    <w:outlineLvl w:val="9"/>
                    <w:rPr>
                      <w:rFonts w:ascii="Times New Roman" w:hAnsi="Times New Roman" w:eastAsia="宋体" w:cs="Times New Roman"/>
                      <w:color w:val="auto"/>
                      <w:lang w:eastAsia="zh-CN"/>
                    </w:rPr>
                  </w:pPr>
                  <w:r>
                    <w:rPr>
                      <w:rFonts w:ascii="Times New Roman" w:hAnsi="Times New Roman" w:eastAsia="宋体" w:cs="Times New Roman"/>
                      <w:color w:val="auto"/>
                      <w:spacing w:val="-5"/>
                      <w:lang w:eastAsia="zh-CN"/>
                    </w:rPr>
                    <w:t>第90百分位数日最大8小时</w:t>
                  </w:r>
                  <w:r>
                    <w:rPr>
                      <w:rFonts w:ascii="Times New Roman" w:hAnsi="Times New Roman" w:eastAsia="宋体" w:cs="Times New Roman"/>
                      <w:color w:val="auto"/>
                      <w:spacing w:val="-2"/>
                      <w:lang w:eastAsia="zh-CN"/>
                    </w:rPr>
                    <w:t>平均质量浓度</w:t>
                  </w:r>
                </w:p>
              </w:tc>
              <w:tc>
                <w:tcPr>
                  <w:tcW w:w="1170" w:type="dxa"/>
                  <w:tcBorders>
                    <w:tl2br w:val="nil"/>
                    <w:tr2bl w:val="nil"/>
                  </w:tcBorders>
                  <w:vAlign w:val="center"/>
                </w:tcPr>
                <w:p w14:paraId="78928690">
                  <w:pPr>
                    <w:widowControl w:val="0"/>
                    <w:kinsoku/>
                    <w:adjustRightInd/>
                    <w:snapToGrid/>
                    <w:jc w:val="center"/>
                    <w:textAlignment w:val="auto"/>
                    <w:outlineLvl w:val="9"/>
                    <w:rPr>
                      <w:rFonts w:hint="default" w:ascii="Times New Roman" w:hAnsi="Times New Roman" w:eastAsia="宋体" w:cs="Times New Roman"/>
                      <w:color w:val="auto"/>
                      <w:lang w:val="en-US" w:eastAsia="zh-CN"/>
                    </w:rPr>
                  </w:pPr>
                  <w:r>
                    <w:rPr>
                      <w:rFonts w:hint="eastAsia" w:cs="Times New Roman"/>
                      <w:color w:val="auto"/>
                      <w:lang w:val="en-US" w:eastAsia="zh-CN"/>
                    </w:rPr>
                    <w:t>115</w:t>
                  </w:r>
                </w:p>
              </w:tc>
              <w:tc>
                <w:tcPr>
                  <w:tcW w:w="1106" w:type="dxa"/>
                  <w:tcBorders>
                    <w:tl2br w:val="nil"/>
                    <w:tr2bl w:val="nil"/>
                  </w:tcBorders>
                  <w:vAlign w:val="center"/>
                </w:tcPr>
                <w:p w14:paraId="2E6FBB51">
                  <w:pPr>
                    <w:widowControl w:val="0"/>
                    <w:kinsoku/>
                    <w:adjustRightInd/>
                    <w:snapToGrid/>
                    <w:jc w:val="center"/>
                    <w:textAlignment w:val="auto"/>
                    <w:outlineLvl w:val="9"/>
                    <w:rPr>
                      <w:rFonts w:ascii="Times New Roman" w:hAnsi="Times New Roman" w:eastAsia="宋体" w:cs="Times New Roman"/>
                      <w:color w:val="auto"/>
                      <w:lang w:eastAsia="zh-CN"/>
                    </w:rPr>
                  </w:pPr>
                  <w:r>
                    <w:rPr>
                      <w:rFonts w:ascii="Times New Roman" w:hAnsi="Times New Roman" w:eastAsia="宋体" w:cs="Times New Roman"/>
                      <w:color w:val="auto"/>
                      <w:lang w:eastAsia="zh-CN"/>
                    </w:rPr>
                    <w:t>160</w:t>
                  </w:r>
                </w:p>
              </w:tc>
              <w:tc>
                <w:tcPr>
                  <w:tcW w:w="1157" w:type="dxa"/>
                  <w:tcBorders>
                    <w:tl2br w:val="nil"/>
                    <w:tr2bl w:val="nil"/>
                  </w:tcBorders>
                  <w:vAlign w:val="center"/>
                </w:tcPr>
                <w:p w14:paraId="55F3B9E1">
                  <w:pPr>
                    <w:widowControl w:val="0"/>
                    <w:kinsoku/>
                    <w:adjustRightInd/>
                    <w:snapToGrid/>
                    <w:jc w:val="center"/>
                    <w:textAlignment w:val="auto"/>
                    <w:outlineLvl w:val="9"/>
                    <w:rPr>
                      <w:rFonts w:hint="default" w:ascii="Times New Roman" w:hAnsi="Times New Roman" w:eastAsia="宋体" w:cs="Times New Roman"/>
                      <w:color w:val="auto"/>
                      <w:lang w:val="en-US" w:eastAsia="zh-CN"/>
                    </w:rPr>
                  </w:pPr>
                  <w:r>
                    <w:rPr>
                      <w:rFonts w:hint="eastAsia" w:cs="Times New Roman"/>
                      <w:color w:val="auto"/>
                      <w:lang w:val="en-US" w:eastAsia="zh-CN"/>
                    </w:rPr>
                    <w:t>71.8</w:t>
                  </w:r>
                </w:p>
              </w:tc>
              <w:tc>
                <w:tcPr>
                  <w:tcW w:w="1085" w:type="dxa"/>
                  <w:tcBorders>
                    <w:tl2br w:val="nil"/>
                    <w:tr2bl w:val="nil"/>
                  </w:tcBorders>
                  <w:vAlign w:val="center"/>
                </w:tcPr>
                <w:p w14:paraId="7D089A2C">
                  <w:pPr>
                    <w:widowControl w:val="0"/>
                    <w:kinsoku/>
                    <w:adjustRightInd/>
                    <w:snapToGrid/>
                    <w:jc w:val="center"/>
                    <w:textAlignment w:val="auto"/>
                    <w:outlineLvl w:val="9"/>
                    <w:rPr>
                      <w:rFonts w:ascii="Times New Roman" w:hAnsi="Times New Roman" w:eastAsia="宋体" w:cs="Times New Roman"/>
                      <w:color w:val="auto"/>
                      <w:lang w:eastAsia="zh-CN"/>
                    </w:rPr>
                  </w:pPr>
                  <w:r>
                    <w:rPr>
                      <w:rFonts w:ascii="Times New Roman" w:hAnsi="Times New Roman" w:eastAsia="宋体" w:cs="Times New Roman"/>
                      <w:color w:val="auto"/>
                      <w:lang w:eastAsia="zh-CN"/>
                    </w:rPr>
                    <w:t>达标</w:t>
                  </w:r>
                </w:p>
              </w:tc>
            </w:tr>
          </w:tbl>
          <w:p w14:paraId="53BC8D13">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kern w:val="21"/>
                <w:sz w:val="24"/>
                <w:szCs w:val="24"/>
                <w:highlight w:val="none"/>
              </w:rPr>
            </w:pPr>
            <w:r>
              <w:rPr>
                <w:rFonts w:hint="default" w:ascii="Times New Roman" w:hAnsi="Times New Roman" w:eastAsia="宋体" w:cs="Times New Roman"/>
                <w:color w:val="auto"/>
                <w:kern w:val="21"/>
                <w:sz w:val="24"/>
                <w:szCs w:val="24"/>
                <w:highlight w:val="none"/>
              </w:rPr>
              <w:t>根据上表数据可知，项目所在区域SO</w:t>
            </w:r>
            <w:r>
              <w:rPr>
                <w:rFonts w:hint="default" w:ascii="Times New Roman" w:hAnsi="Times New Roman" w:eastAsia="宋体" w:cs="Times New Roman"/>
                <w:color w:val="auto"/>
                <w:kern w:val="21"/>
                <w:sz w:val="24"/>
                <w:szCs w:val="24"/>
                <w:highlight w:val="none"/>
                <w:vertAlign w:val="subscript"/>
              </w:rPr>
              <w:t>2</w:t>
            </w:r>
            <w:r>
              <w:rPr>
                <w:rFonts w:hint="default" w:ascii="Times New Roman" w:hAnsi="Times New Roman" w:eastAsia="宋体" w:cs="Times New Roman"/>
                <w:color w:val="auto"/>
                <w:kern w:val="21"/>
                <w:sz w:val="24"/>
                <w:szCs w:val="24"/>
                <w:highlight w:val="none"/>
              </w:rPr>
              <w:t>、NO</w:t>
            </w:r>
            <w:r>
              <w:rPr>
                <w:rFonts w:hint="default" w:ascii="Times New Roman" w:hAnsi="Times New Roman" w:eastAsia="宋体" w:cs="Times New Roman"/>
                <w:color w:val="auto"/>
                <w:kern w:val="21"/>
                <w:sz w:val="24"/>
                <w:szCs w:val="24"/>
                <w:highlight w:val="none"/>
                <w:vertAlign w:val="subscript"/>
              </w:rPr>
              <w:t>2</w:t>
            </w:r>
            <w:r>
              <w:rPr>
                <w:rFonts w:hint="default" w:ascii="Times New Roman" w:hAnsi="Times New Roman" w:eastAsia="宋体" w:cs="Times New Roman"/>
                <w:color w:val="auto"/>
                <w:kern w:val="21"/>
                <w:sz w:val="24"/>
                <w:szCs w:val="24"/>
                <w:highlight w:val="none"/>
              </w:rPr>
              <w:t>、PM</w:t>
            </w:r>
            <w:r>
              <w:rPr>
                <w:rFonts w:hint="default" w:ascii="Times New Roman" w:hAnsi="Times New Roman" w:eastAsia="宋体" w:cs="Times New Roman"/>
                <w:color w:val="auto"/>
                <w:kern w:val="21"/>
                <w:sz w:val="24"/>
                <w:szCs w:val="24"/>
                <w:highlight w:val="none"/>
                <w:vertAlign w:val="subscript"/>
              </w:rPr>
              <w:t>10</w:t>
            </w:r>
            <w:r>
              <w:rPr>
                <w:rFonts w:hint="default" w:ascii="Times New Roman" w:hAnsi="Times New Roman" w:eastAsia="宋体" w:cs="Times New Roman"/>
                <w:color w:val="auto"/>
                <w:kern w:val="21"/>
                <w:sz w:val="24"/>
                <w:szCs w:val="24"/>
                <w:highlight w:val="none"/>
              </w:rPr>
              <w:t>、PM</w:t>
            </w:r>
            <w:r>
              <w:rPr>
                <w:rFonts w:hint="default" w:ascii="Times New Roman" w:hAnsi="Times New Roman" w:eastAsia="宋体" w:cs="Times New Roman"/>
                <w:color w:val="auto"/>
                <w:kern w:val="21"/>
                <w:sz w:val="24"/>
                <w:szCs w:val="24"/>
                <w:highlight w:val="none"/>
                <w:vertAlign w:val="subscript"/>
              </w:rPr>
              <w:t>2.5</w:t>
            </w:r>
            <w:r>
              <w:rPr>
                <w:rFonts w:hint="default" w:ascii="Times New Roman" w:hAnsi="Times New Roman" w:eastAsia="宋体" w:cs="Times New Roman"/>
                <w:color w:val="auto"/>
                <w:kern w:val="21"/>
                <w:sz w:val="24"/>
                <w:szCs w:val="24"/>
                <w:highlight w:val="none"/>
              </w:rPr>
              <w:t>、CO、O</w:t>
            </w:r>
            <w:r>
              <w:rPr>
                <w:rFonts w:hint="default" w:ascii="Times New Roman" w:hAnsi="Times New Roman" w:eastAsia="宋体" w:cs="Times New Roman"/>
                <w:color w:val="auto"/>
                <w:kern w:val="21"/>
                <w:sz w:val="24"/>
                <w:szCs w:val="24"/>
                <w:highlight w:val="none"/>
                <w:vertAlign w:val="subscript"/>
              </w:rPr>
              <w:t>3</w:t>
            </w:r>
            <w:r>
              <w:rPr>
                <w:rFonts w:hint="default" w:ascii="Times New Roman" w:hAnsi="Times New Roman" w:eastAsia="宋体" w:cs="Times New Roman"/>
                <w:color w:val="auto"/>
                <w:kern w:val="21"/>
                <w:sz w:val="24"/>
                <w:szCs w:val="24"/>
                <w:highlight w:val="none"/>
              </w:rPr>
              <w:t>的年评价指标均能达到《环境空气质量标准》（GB3095-2026）中过渡阶段二级标准限值，因此，项目所在区域为达标区。</w:t>
            </w:r>
            <w:bookmarkEnd w:id="23"/>
            <w:bookmarkEnd w:id="24"/>
            <w:bookmarkEnd w:id="25"/>
            <w:bookmarkEnd w:id="26"/>
          </w:p>
          <w:p w14:paraId="2D8CD0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2、特征污染物</w:t>
            </w:r>
          </w:p>
          <w:p w14:paraId="31C55D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根据《建设项目环境影响报告表编制技术指南（污染影响类）（试行）》（环办环评[2020]33号），</w:t>
            </w:r>
            <w:r>
              <w:rPr>
                <w:rFonts w:hint="eastAsia" w:cs="Times New Roman"/>
                <w:color w:val="auto"/>
                <w:kern w:val="0"/>
                <w:sz w:val="24"/>
                <w:highlight w:val="none"/>
                <w:lang w:eastAsia="zh-CN" w:bidi="ar"/>
              </w:rPr>
              <w:t>“</w:t>
            </w:r>
            <w:r>
              <w:rPr>
                <w:rFonts w:hint="default" w:ascii="Times New Roman" w:hAnsi="Times New Roman" w:eastAsia="宋体" w:cs="Times New Roman"/>
                <w:color w:val="auto"/>
                <w:kern w:val="0"/>
                <w:sz w:val="24"/>
                <w:highlight w:val="none"/>
                <w:lang w:bidi="ar"/>
              </w:rPr>
              <w:t>排放国家、地方环境空气质量标准中有标准限值要求的特征污染物时，引用建设项目周边5千米范围内近3年的现有监测数据，无相关数据的选择当季主导风向下风向1个点位补充不少于3天的监测数据</w:t>
            </w:r>
            <w:r>
              <w:rPr>
                <w:rFonts w:hint="eastAsia" w:cs="Times New Roman"/>
                <w:color w:val="auto"/>
                <w:kern w:val="0"/>
                <w:sz w:val="24"/>
                <w:highlight w:val="none"/>
                <w:lang w:eastAsia="zh-CN" w:bidi="ar"/>
              </w:rPr>
              <w:t>”</w:t>
            </w:r>
            <w:r>
              <w:rPr>
                <w:rFonts w:hint="default" w:ascii="Times New Roman" w:hAnsi="Times New Roman" w:eastAsia="宋体" w:cs="Times New Roman"/>
                <w:color w:val="auto"/>
                <w:kern w:val="0"/>
                <w:sz w:val="24"/>
                <w:highlight w:val="none"/>
                <w:lang w:bidi="ar"/>
              </w:rPr>
              <w:t>。</w:t>
            </w:r>
          </w:p>
          <w:p w14:paraId="7B6900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auto"/>
                <w:kern w:val="0"/>
                <w:sz w:val="24"/>
                <w:highlight w:val="none"/>
                <w:lang w:eastAsia="zh-CN" w:bidi="ar"/>
              </w:rPr>
            </w:pPr>
            <w:r>
              <w:rPr>
                <w:rFonts w:hint="default" w:ascii="Times New Roman" w:hAnsi="Times New Roman" w:eastAsia="宋体" w:cs="Times New Roman"/>
                <w:color w:val="auto"/>
                <w:kern w:val="0"/>
                <w:sz w:val="24"/>
                <w:highlight w:val="none"/>
                <w:lang w:bidi="ar"/>
              </w:rPr>
              <w:t>本项目的特征污染物为TSP。为了解项目所在区域环境空气中特征污染物质量现状，本项目引用黑龙江汉风环境检测技术有限公司于202</w:t>
            </w:r>
            <w:r>
              <w:rPr>
                <w:rFonts w:hint="eastAsia" w:cs="Times New Roman"/>
                <w:color w:val="auto"/>
                <w:kern w:val="0"/>
                <w:sz w:val="24"/>
                <w:highlight w:val="none"/>
                <w:lang w:val="en-US" w:eastAsia="zh-CN" w:bidi="ar"/>
              </w:rPr>
              <w:t>4</w:t>
            </w:r>
            <w:r>
              <w:rPr>
                <w:rFonts w:hint="default" w:ascii="Times New Roman" w:hAnsi="Times New Roman" w:eastAsia="宋体" w:cs="Times New Roman"/>
                <w:color w:val="auto"/>
                <w:kern w:val="0"/>
                <w:sz w:val="24"/>
                <w:highlight w:val="none"/>
                <w:lang w:bidi="ar"/>
              </w:rPr>
              <w:t>年</w:t>
            </w:r>
            <w:r>
              <w:rPr>
                <w:rFonts w:hint="eastAsia" w:cs="Times New Roman"/>
                <w:color w:val="auto"/>
                <w:kern w:val="0"/>
                <w:sz w:val="24"/>
                <w:highlight w:val="none"/>
                <w:lang w:val="en-US" w:eastAsia="zh-CN" w:bidi="ar"/>
              </w:rPr>
              <w:t>5</w:t>
            </w:r>
            <w:r>
              <w:rPr>
                <w:rFonts w:hint="default" w:ascii="Times New Roman" w:hAnsi="Times New Roman" w:eastAsia="宋体" w:cs="Times New Roman"/>
                <w:color w:val="auto"/>
                <w:kern w:val="0"/>
                <w:sz w:val="24"/>
                <w:highlight w:val="none"/>
                <w:lang w:bidi="ar"/>
              </w:rPr>
              <w:t>月26日至202</w:t>
            </w:r>
            <w:r>
              <w:rPr>
                <w:rFonts w:hint="eastAsia" w:cs="Times New Roman"/>
                <w:color w:val="auto"/>
                <w:kern w:val="0"/>
                <w:sz w:val="24"/>
                <w:highlight w:val="none"/>
                <w:lang w:val="en-US" w:eastAsia="zh-CN" w:bidi="ar"/>
              </w:rPr>
              <w:t>4</w:t>
            </w:r>
            <w:r>
              <w:rPr>
                <w:rFonts w:hint="default" w:ascii="Times New Roman" w:hAnsi="Times New Roman" w:eastAsia="宋体" w:cs="Times New Roman"/>
                <w:color w:val="auto"/>
                <w:kern w:val="0"/>
                <w:sz w:val="24"/>
                <w:highlight w:val="none"/>
                <w:lang w:bidi="ar"/>
              </w:rPr>
              <w:t>年</w:t>
            </w:r>
            <w:r>
              <w:rPr>
                <w:rFonts w:hint="eastAsia" w:cs="Times New Roman"/>
                <w:color w:val="auto"/>
                <w:kern w:val="0"/>
                <w:sz w:val="24"/>
                <w:highlight w:val="none"/>
                <w:lang w:val="en-US" w:eastAsia="zh-CN" w:bidi="ar"/>
              </w:rPr>
              <w:t>5</w:t>
            </w:r>
            <w:r>
              <w:rPr>
                <w:rFonts w:hint="default" w:ascii="Times New Roman" w:hAnsi="Times New Roman" w:eastAsia="宋体" w:cs="Times New Roman"/>
                <w:color w:val="auto"/>
                <w:kern w:val="0"/>
                <w:sz w:val="24"/>
                <w:highlight w:val="none"/>
                <w:lang w:bidi="ar"/>
              </w:rPr>
              <w:t>月2</w:t>
            </w:r>
            <w:r>
              <w:rPr>
                <w:rFonts w:hint="eastAsia" w:cs="Times New Roman"/>
                <w:color w:val="auto"/>
                <w:kern w:val="0"/>
                <w:sz w:val="24"/>
                <w:highlight w:val="none"/>
                <w:lang w:val="en-US" w:eastAsia="zh-CN" w:bidi="ar"/>
              </w:rPr>
              <w:t>7</w:t>
            </w:r>
            <w:r>
              <w:rPr>
                <w:rFonts w:hint="default" w:ascii="Times New Roman" w:hAnsi="Times New Roman" w:eastAsia="宋体" w:cs="Times New Roman"/>
                <w:color w:val="auto"/>
                <w:kern w:val="0"/>
                <w:sz w:val="24"/>
                <w:highlight w:val="none"/>
                <w:lang w:bidi="ar"/>
              </w:rPr>
              <w:t>日对鸡东县景利煤炭销售有限公司储煤场项目的</w:t>
            </w:r>
            <w:r>
              <w:rPr>
                <w:rFonts w:hint="eastAsia" w:cs="Times New Roman"/>
                <w:color w:val="auto"/>
                <w:kern w:val="0"/>
                <w:sz w:val="24"/>
                <w:highlight w:val="none"/>
                <w:lang w:eastAsia="zh-CN" w:bidi="ar"/>
              </w:rPr>
              <w:t>环评阶段</w:t>
            </w:r>
            <w:r>
              <w:rPr>
                <w:rFonts w:hint="default" w:ascii="Times New Roman" w:hAnsi="Times New Roman" w:eastAsia="宋体" w:cs="Times New Roman"/>
                <w:color w:val="auto"/>
                <w:kern w:val="0"/>
                <w:sz w:val="24"/>
                <w:highlight w:val="none"/>
                <w:lang w:bidi="ar"/>
              </w:rPr>
              <w:t>检测数据</w:t>
            </w:r>
            <w:r>
              <w:rPr>
                <w:rFonts w:hint="eastAsia" w:cs="Times New Roman"/>
                <w:color w:val="auto"/>
                <w:kern w:val="0"/>
                <w:sz w:val="24"/>
                <w:highlight w:val="none"/>
                <w:lang w:eastAsia="zh-CN" w:bidi="ar"/>
              </w:rPr>
              <w:t>（报告编号：</w:t>
            </w:r>
            <w:r>
              <w:rPr>
                <w:rFonts w:hint="eastAsia" w:cs="Times New Roman"/>
                <w:color w:val="auto"/>
                <w:kern w:val="0"/>
                <w:sz w:val="24"/>
                <w:highlight w:val="none"/>
                <w:lang w:val="en-US" w:eastAsia="zh-CN" w:bidi="ar"/>
              </w:rPr>
              <w:t>HFJC-TRG-240523-04</w:t>
            </w:r>
            <w:r>
              <w:rPr>
                <w:rFonts w:hint="eastAsia" w:cs="Times New Roman"/>
                <w:color w:val="auto"/>
                <w:kern w:val="0"/>
                <w:sz w:val="24"/>
                <w:highlight w:val="none"/>
                <w:lang w:eastAsia="zh-CN" w:bidi="ar"/>
              </w:rPr>
              <w:t>），引用</w:t>
            </w:r>
            <w:r>
              <w:rPr>
                <w:rFonts w:hint="default" w:ascii="Times New Roman" w:hAnsi="Times New Roman" w:eastAsia="宋体" w:cs="Times New Roman"/>
                <w:color w:val="auto"/>
                <w:kern w:val="0"/>
                <w:sz w:val="24"/>
                <w:highlight w:val="none"/>
                <w:lang w:bidi="ar"/>
              </w:rPr>
              <w:t>监测点位于本项目厂址</w:t>
            </w:r>
            <w:r>
              <w:rPr>
                <w:rFonts w:hint="eastAsia" w:cs="Times New Roman"/>
                <w:color w:val="auto"/>
                <w:kern w:val="0"/>
                <w:sz w:val="24"/>
                <w:highlight w:val="none"/>
                <w:lang w:eastAsia="zh-CN" w:bidi="ar"/>
              </w:rPr>
              <w:t>东南方向</w:t>
            </w:r>
            <w:r>
              <w:rPr>
                <w:rFonts w:hint="default" w:ascii="Times New Roman" w:hAnsi="Times New Roman" w:eastAsia="宋体" w:cs="Times New Roman"/>
                <w:color w:val="auto"/>
                <w:kern w:val="0"/>
                <w:sz w:val="24"/>
                <w:highlight w:val="none"/>
                <w:lang w:bidi="ar"/>
              </w:rPr>
              <w:t>约</w:t>
            </w:r>
            <w:r>
              <w:rPr>
                <w:rFonts w:hint="eastAsia" w:cs="Times New Roman"/>
                <w:color w:val="auto"/>
                <w:kern w:val="0"/>
                <w:sz w:val="24"/>
                <w:highlight w:val="none"/>
                <w:lang w:val="en-US" w:eastAsia="zh-CN" w:bidi="ar"/>
              </w:rPr>
              <w:t>2665</w:t>
            </w:r>
            <w:r>
              <w:rPr>
                <w:rFonts w:hint="default" w:ascii="Times New Roman" w:hAnsi="Times New Roman" w:eastAsia="宋体" w:cs="Times New Roman"/>
                <w:color w:val="auto"/>
                <w:kern w:val="0"/>
                <w:sz w:val="24"/>
                <w:highlight w:val="none"/>
                <w:lang w:bidi="ar"/>
              </w:rPr>
              <w:t>m处</w:t>
            </w:r>
            <w:r>
              <w:rPr>
                <w:rFonts w:hint="eastAsia" w:cs="Times New Roman"/>
                <w:color w:val="auto"/>
                <w:kern w:val="0"/>
                <w:sz w:val="24"/>
                <w:highlight w:val="none"/>
                <w:lang w:eastAsia="zh-CN" w:bidi="ar"/>
              </w:rPr>
              <w:t>。</w:t>
            </w:r>
          </w:p>
          <w:p w14:paraId="50E125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auto"/>
                <w:kern w:val="0"/>
                <w:sz w:val="24"/>
                <w:highlight w:val="none"/>
                <w:lang w:eastAsia="zh-CN" w:bidi="ar"/>
              </w:rPr>
            </w:pPr>
            <w:r>
              <w:rPr>
                <w:rFonts w:hint="eastAsia" w:cs="Times New Roman"/>
                <w:color w:val="auto"/>
                <w:kern w:val="0"/>
                <w:sz w:val="24"/>
                <w:highlight w:val="none"/>
                <w:lang w:eastAsia="zh-CN" w:bidi="ar"/>
              </w:rPr>
              <w:t>本项目位于鸡西市城子河区，该区域属丘陵盆地地形，四周被低山丘陵环抱，形成相对封闭的地形条件。这种地形特征对大气污染物的扩散具有明显的制约作用，容易在静风、逆温等不利气象条件下造成污染物的局地累积。所引用的监测点位位于本项目5公里范围内，且与项目场地同处于同一地理盆地和空气流域内。在区域尺度上，两者所经历的大尺度天气过程、地形导致的局地环流（如山谷风）以及空气污染物的扩散能力具有高度的一致性。因此，该监测点位所监测到的TSP背景浓度，能够有效地反映本项目所在区域由于地形影响而形成的整体环境空气质量本底值，数据引用具有充分的地形代表性。</w:t>
            </w:r>
          </w:p>
          <w:p w14:paraId="18D7DC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auto"/>
                <w:kern w:val="0"/>
                <w:sz w:val="24"/>
                <w:highlight w:val="none"/>
                <w:lang w:eastAsia="zh-CN" w:bidi="ar"/>
              </w:rPr>
            </w:pPr>
            <w:r>
              <w:rPr>
                <w:rFonts w:hint="eastAsia" w:cs="Times New Roman"/>
                <w:color w:val="auto"/>
                <w:kern w:val="0"/>
                <w:sz w:val="24"/>
                <w:highlight w:val="none"/>
                <w:lang w:eastAsia="zh-CN" w:bidi="ar"/>
              </w:rPr>
              <w:t>根据鸡西市气象站的长期观测数据，该地区主导风向为偏西风，所引用的监测点位位于本项目主导风向的侧风向。这意味着，影响监测点的气团和风场条件与影响本项目场地的气团和风场条件同源。此外，两者距离小于5公里，在气象学上属于同一中尺度气象场，所经历的温度、湿度、降水、混合层高度等主要气象要素基本相同。因此，在不利气象条件（如静风、逆温）发生时，两地的大气污染物扩散能力均会同步减弱，TSP浓度水平会同步升高。</w:t>
            </w:r>
          </w:p>
          <w:p w14:paraId="499D1E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yellow"/>
                <w:lang w:bidi="ar"/>
              </w:rPr>
            </w:pPr>
            <w:r>
              <w:rPr>
                <w:rFonts w:hint="eastAsia" w:cs="Times New Roman"/>
                <w:color w:val="auto"/>
                <w:kern w:val="0"/>
                <w:sz w:val="24"/>
                <w:highlight w:val="none"/>
                <w:lang w:eastAsia="zh-CN" w:bidi="ar"/>
              </w:rPr>
              <w:t>综上所述，该监测点位的数据能够真实地反映出本项目所在地在相同气象条件下可能出现的TSP浓度水平，数据引用在气象条件上具有适用性。</w:t>
            </w:r>
            <w:r>
              <w:rPr>
                <w:rFonts w:hint="default" w:ascii="Times New Roman" w:hAnsi="Times New Roman" w:eastAsia="宋体" w:cs="Times New Roman"/>
                <w:color w:val="auto"/>
                <w:kern w:val="0"/>
                <w:sz w:val="24"/>
                <w:highlight w:val="none"/>
                <w:lang w:bidi="ar"/>
              </w:rPr>
              <w:t>项目引用数据时间、点位合理可行，引用环境空气质量现状监测点位与本项目位置关系图见图</w:t>
            </w:r>
            <w:r>
              <w:rPr>
                <w:rFonts w:hint="eastAsia" w:cs="Times New Roman"/>
                <w:color w:val="auto"/>
                <w:kern w:val="0"/>
                <w:sz w:val="24"/>
                <w:highlight w:val="none"/>
                <w:lang w:val="en-US" w:eastAsia="zh-CN" w:bidi="ar"/>
              </w:rPr>
              <w:t>3-1</w:t>
            </w:r>
            <w:r>
              <w:rPr>
                <w:rFonts w:hint="default" w:ascii="Times New Roman" w:hAnsi="Times New Roman" w:eastAsia="宋体" w:cs="Times New Roman"/>
                <w:color w:val="auto"/>
                <w:kern w:val="0"/>
                <w:sz w:val="24"/>
                <w:highlight w:val="none"/>
                <w:lang w:bidi="ar"/>
              </w:rPr>
              <w:t>。引用检测报告见附件</w:t>
            </w:r>
            <w:r>
              <w:rPr>
                <w:rFonts w:hint="eastAsia" w:cs="Times New Roman"/>
                <w:color w:val="auto"/>
                <w:kern w:val="0"/>
                <w:sz w:val="24"/>
                <w:highlight w:val="none"/>
                <w:lang w:val="en-US" w:eastAsia="zh-CN" w:bidi="ar"/>
              </w:rPr>
              <w:t>4</w:t>
            </w:r>
            <w:r>
              <w:rPr>
                <w:rFonts w:hint="default" w:ascii="Times New Roman" w:hAnsi="Times New Roman" w:eastAsia="宋体" w:cs="Times New Roman"/>
                <w:color w:val="auto"/>
                <w:kern w:val="0"/>
                <w:sz w:val="24"/>
                <w:highlight w:val="none"/>
                <w:lang w:bidi="ar"/>
              </w:rPr>
              <w:t>。</w:t>
            </w:r>
          </w:p>
          <w:p w14:paraId="4B3A603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①监测时间和频次</w:t>
            </w:r>
          </w:p>
          <w:p w14:paraId="19038B1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监测时间为2024年5月26日至2024年5月27日，连续监测3天，TSP取日均值。</w:t>
            </w:r>
          </w:p>
          <w:p w14:paraId="07C38A3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②补充监测点布设</w:t>
            </w:r>
          </w:p>
          <w:p w14:paraId="639FA89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补充监测点位坐标等信息见下表。</w:t>
            </w:r>
          </w:p>
          <w:p w14:paraId="4CA42E20">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p>
          <w:p w14:paraId="7BE7BE4F">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p>
          <w:p w14:paraId="36368C07">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p>
          <w:p w14:paraId="5F123D46">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表3-2 其他污染物补充监测点位基本信息</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7"/>
              <w:gridCol w:w="1586"/>
              <w:gridCol w:w="1457"/>
              <w:gridCol w:w="871"/>
              <w:gridCol w:w="989"/>
              <w:gridCol w:w="1796"/>
              <w:gridCol w:w="740"/>
            </w:tblGrid>
            <w:tr w14:paraId="34645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977" w:type="dxa"/>
                  <w:vMerge w:val="restart"/>
                  <w:noWrap w:val="0"/>
                  <w:vAlign w:val="center"/>
                </w:tcPr>
                <w:p w14:paraId="7FA58487">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监测点名称</w:t>
                  </w:r>
                </w:p>
              </w:tc>
              <w:tc>
                <w:tcPr>
                  <w:tcW w:w="3043" w:type="dxa"/>
                  <w:gridSpan w:val="2"/>
                  <w:noWrap w:val="0"/>
                  <w:vAlign w:val="center"/>
                </w:tcPr>
                <w:p w14:paraId="073597DB">
                  <w:pPr>
                    <w:pStyle w:val="66"/>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监测点坐标/°</w:t>
                  </w:r>
                </w:p>
              </w:tc>
              <w:tc>
                <w:tcPr>
                  <w:tcW w:w="871" w:type="dxa"/>
                  <w:vMerge w:val="restart"/>
                  <w:noWrap w:val="0"/>
                  <w:vAlign w:val="center"/>
                </w:tcPr>
                <w:p w14:paraId="3170D1DA">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相对厂址方位</w:t>
                  </w:r>
                </w:p>
              </w:tc>
              <w:tc>
                <w:tcPr>
                  <w:tcW w:w="989" w:type="dxa"/>
                  <w:vMerge w:val="restart"/>
                  <w:noWrap w:val="0"/>
                  <w:vAlign w:val="center"/>
                </w:tcPr>
                <w:p w14:paraId="483CDFF0">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相对厂界距离/m</w:t>
                  </w:r>
                </w:p>
              </w:tc>
              <w:tc>
                <w:tcPr>
                  <w:tcW w:w="1796" w:type="dxa"/>
                  <w:vMerge w:val="restart"/>
                  <w:noWrap w:val="0"/>
                  <w:vAlign w:val="center"/>
                </w:tcPr>
                <w:p w14:paraId="1F310712">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监测时间</w:t>
                  </w:r>
                </w:p>
              </w:tc>
              <w:tc>
                <w:tcPr>
                  <w:tcW w:w="740" w:type="dxa"/>
                  <w:vMerge w:val="restart"/>
                  <w:noWrap w:val="0"/>
                  <w:vAlign w:val="center"/>
                </w:tcPr>
                <w:p w14:paraId="60A002D6">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监测因子</w:t>
                  </w:r>
                </w:p>
              </w:tc>
            </w:tr>
            <w:tr w14:paraId="44EC60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7" w:type="dxa"/>
                  <w:vMerge w:val="continue"/>
                  <w:noWrap w:val="0"/>
                  <w:vAlign w:val="center"/>
                </w:tcPr>
                <w:p w14:paraId="374FAEE5">
                  <w:pPr>
                    <w:keepNext w:val="0"/>
                    <w:keepLines w:val="0"/>
                    <w:pageBreakBefore w:val="0"/>
                    <w:widowControl/>
                    <w:kinsoku/>
                    <w:wordWrap/>
                    <w:overflowPunct/>
                    <w:topLinePunct w:val="0"/>
                    <w:bidi w:val="0"/>
                    <w:adjustRightInd/>
                    <w:snapToGrid/>
                    <w:jc w:val="center"/>
                    <w:rPr>
                      <w:rFonts w:hint="default" w:ascii="Times New Roman" w:hAnsi="Times New Roman" w:eastAsia="宋体" w:cs="Times New Roman"/>
                      <w:color w:val="auto"/>
                      <w:sz w:val="21"/>
                      <w:szCs w:val="21"/>
                      <w:highlight w:val="none"/>
                    </w:rPr>
                  </w:pPr>
                </w:p>
              </w:tc>
              <w:tc>
                <w:tcPr>
                  <w:tcW w:w="1586" w:type="dxa"/>
                  <w:noWrap w:val="0"/>
                  <w:vAlign w:val="center"/>
                </w:tcPr>
                <w:p w14:paraId="31513979">
                  <w:pPr>
                    <w:pStyle w:val="66"/>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经度</w:t>
                  </w:r>
                </w:p>
              </w:tc>
              <w:tc>
                <w:tcPr>
                  <w:tcW w:w="1457" w:type="dxa"/>
                  <w:noWrap w:val="0"/>
                  <w:vAlign w:val="center"/>
                </w:tcPr>
                <w:p w14:paraId="341133A7">
                  <w:pPr>
                    <w:pStyle w:val="66"/>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纬度</w:t>
                  </w:r>
                </w:p>
              </w:tc>
              <w:tc>
                <w:tcPr>
                  <w:tcW w:w="871" w:type="dxa"/>
                  <w:vMerge w:val="continue"/>
                  <w:noWrap w:val="0"/>
                  <w:vAlign w:val="center"/>
                </w:tcPr>
                <w:p w14:paraId="44852818">
                  <w:pPr>
                    <w:keepNext w:val="0"/>
                    <w:keepLines w:val="0"/>
                    <w:pageBreakBefore w:val="0"/>
                    <w:widowControl/>
                    <w:kinsoku/>
                    <w:wordWrap/>
                    <w:overflowPunct/>
                    <w:topLinePunct w:val="0"/>
                    <w:bidi w:val="0"/>
                    <w:adjustRightInd/>
                    <w:snapToGrid/>
                    <w:jc w:val="center"/>
                    <w:rPr>
                      <w:rFonts w:hint="default" w:ascii="Times New Roman" w:hAnsi="Times New Roman" w:eastAsia="宋体" w:cs="Times New Roman"/>
                      <w:color w:val="auto"/>
                      <w:sz w:val="21"/>
                      <w:szCs w:val="21"/>
                      <w:highlight w:val="none"/>
                    </w:rPr>
                  </w:pPr>
                </w:p>
              </w:tc>
              <w:tc>
                <w:tcPr>
                  <w:tcW w:w="989" w:type="dxa"/>
                  <w:vMerge w:val="continue"/>
                  <w:noWrap w:val="0"/>
                  <w:vAlign w:val="center"/>
                </w:tcPr>
                <w:p w14:paraId="6E241931">
                  <w:pPr>
                    <w:keepNext w:val="0"/>
                    <w:keepLines w:val="0"/>
                    <w:pageBreakBefore w:val="0"/>
                    <w:widowControl/>
                    <w:kinsoku/>
                    <w:wordWrap/>
                    <w:overflowPunct/>
                    <w:topLinePunct w:val="0"/>
                    <w:bidi w:val="0"/>
                    <w:adjustRightInd/>
                    <w:snapToGrid/>
                    <w:jc w:val="center"/>
                    <w:rPr>
                      <w:rFonts w:hint="default" w:ascii="Times New Roman" w:hAnsi="Times New Roman" w:eastAsia="宋体" w:cs="Times New Roman"/>
                      <w:color w:val="auto"/>
                      <w:sz w:val="21"/>
                      <w:szCs w:val="21"/>
                      <w:highlight w:val="none"/>
                    </w:rPr>
                  </w:pPr>
                </w:p>
              </w:tc>
              <w:tc>
                <w:tcPr>
                  <w:tcW w:w="1796" w:type="dxa"/>
                  <w:vMerge w:val="continue"/>
                  <w:noWrap w:val="0"/>
                  <w:vAlign w:val="center"/>
                </w:tcPr>
                <w:p w14:paraId="28E1C5A9">
                  <w:pPr>
                    <w:keepNext w:val="0"/>
                    <w:keepLines w:val="0"/>
                    <w:pageBreakBefore w:val="0"/>
                    <w:widowControl/>
                    <w:kinsoku/>
                    <w:wordWrap/>
                    <w:overflowPunct/>
                    <w:topLinePunct w:val="0"/>
                    <w:bidi w:val="0"/>
                    <w:adjustRightInd/>
                    <w:snapToGrid/>
                    <w:jc w:val="center"/>
                    <w:rPr>
                      <w:rFonts w:hint="default" w:ascii="Times New Roman" w:hAnsi="Times New Roman" w:eastAsia="宋体" w:cs="Times New Roman"/>
                      <w:color w:val="auto"/>
                      <w:sz w:val="21"/>
                      <w:szCs w:val="21"/>
                      <w:highlight w:val="none"/>
                    </w:rPr>
                  </w:pPr>
                </w:p>
              </w:tc>
              <w:tc>
                <w:tcPr>
                  <w:tcW w:w="740" w:type="dxa"/>
                  <w:vMerge w:val="continue"/>
                  <w:noWrap w:val="0"/>
                  <w:vAlign w:val="center"/>
                </w:tcPr>
                <w:p w14:paraId="5CC95311">
                  <w:pPr>
                    <w:keepNext w:val="0"/>
                    <w:keepLines w:val="0"/>
                    <w:pageBreakBefore w:val="0"/>
                    <w:widowControl/>
                    <w:kinsoku/>
                    <w:wordWrap/>
                    <w:overflowPunct/>
                    <w:topLinePunct w:val="0"/>
                    <w:bidi w:val="0"/>
                    <w:adjustRightInd/>
                    <w:snapToGrid/>
                    <w:jc w:val="center"/>
                    <w:rPr>
                      <w:rFonts w:hint="default" w:ascii="Times New Roman" w:hAnsi="Times New Roman" w:eastAsia="宋体" w:cs="Times New Roman"/>
                      <w:color w:val="auto"/>
                      <w:sz w:val="21"/>
                      <w:szCs w:val="21"/>
                      <w:highlight w:val="none"/>
                    </w:rPr>
                  </w:pPr>
                </w:p>
              </w:tc>
            </w:tr>
            <w:tr w14:paraId="021168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7" w:type="dxa"/>
                  <w:noWrap w:val="0"/>
                  <w:vAlign w:val="center"/>
                </w:tcPr>
                <w:p w14:paraId="6DB15361">
                  <w:pPr>
                    <w:pStyle w:val="67"/>
                    <w:keepNext w:val="0"/>
                    <w:keepLines w:val="0"/>
                    <w:pageBreakBefore w:val="0"/>
                    <w:tabs>
                      <w:tab w:val="left" w:pos="567"/>
                    </w:tabs>
                    <w:kinsoku/>
                    <w:wordWrap/>
                    <w:overflowPunct/>
                    <w:topLinePunct w:val="0"/>
                    <w:autoSpaceDE w:val="0"/>
                    <w:autoSpaceDN w:val="0"/>
                    <w:bidi w:val="0"/>
                    <w:adjustRightInd/>
                    <w:snapToGrid/>
                    <w:spacing w:line="240" w:lineRule="auto"/>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大气监测点位</w:t>
                  </w:r>
                </w:p>
              </w:tc>
              <w:tc>
                <w:tcPr>
                  <w:tcW w:w="1586" w:type="dxa"/>
                  <w:noWrap w:val="0"/>
                  <w:vAlign w:val="center"/>
                </w:tcPr>
                <w:p w14:paraId="29B4F48E">
                  <w:pPr>
                    <w:pStyle w:val="66"/>
                    <w:keepNext w:val="0"/>
                    <w:keepLines w:val="0"/>
                    <w:pageBreakBefore w:val="0"/>
                    <w:kinsoku/>
                    <w:wordWrap/>
                    <w:overflowPunct/>
                    <w:topLinePunct w:val="0"/>
                    <w:bidi w:val="0"/>
                    <w:adjustRightInd/>
                    <w:snapToGrid/>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131.112671700</w:t>
                  </w:r>
                </w:p>
              </w:tc>
              <w:tc>
                <w:tcPr>
                  <w:tcW w:w="1457" w:type="dxa"/>
                  <w:noWrap w:val="0"/>
                  <w:vAlign w:val="center"/>
                </w:tcPr>
                <w:p w14:paraId="5F8BB771">
                  <w:pPr>
                    <w:pStyle w:val="66"/>
                    <w:keepNext w:val="0"/>
                    <w:keepLines w:val="0"/>
                    <w:pageBreakBefore w:val="0"/>
                    <w:kinsoku/>
                    <w:wordWrap/>
                    <w:overflowPunct/>
                    <w:topLinePunct w:val="0"/>
                    <w:bidi w:val="0"/>
                    <w:adjustRightInd/>
                    <w:snapToGrid/>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45.342987075</w:t>
                  </w:r>
                </w:p>
              </w:tc>
              <w:tc>
                <w:tcPr>
                  <w:tcW w:w="871" w:type="dxa"/>
                  <w:noWrap w:val="0"/>
                  <w:vAlign w:val="center"/>
                </w:tcPr>
                <w:p w14:paraId="0DDB18F8">
                  <w:pPr>
                    <w:keepNext w:val="0"/>
                    <w:keepLines w:val="0"/>
                    <w:pageBreakBefore w:val="0"/>
                    <w:kinsoku/>
                    <w:wordWrap/>
                    <w:overflowPunct/>
                    <w:topLinePunct w:val="0"/>
                    <w:bidi w:val="0"/>
                    <w:adjustRightInd/>
                    <w:snapToGrid/>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东南</w:t>
                  </w:r>
                </w:p>
              </w:tc>
              <w:tc>
                <w:tcPr>
                  <w:tcW w:w="989" w:type="dxa"/>
                  <w:noWrap w:val="0"/>
                  <w:vAlign w:val="center"/>
                </w:tcPr>
                <w:p w14:paraId="57B6E763">
                  <w:pPr>
                    <w:keepNext w:val="0"/>
                    <w:keepLines w:val="0"/>
                    <w:pageBreakBefore w:val="0"/>
                    <w:kinsoku/>
                    <w:wordWrap/>
                    <w:overflowPunct/>
                    <w:topLinePunct w:val="0"/>
                    <w:bidi w:val="0"/>
                    <w:adjustRightInd/>
                    <w:snapToGrid/>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2665</w:t>
                  </w:r>
                </w:p>
              </w:tc>
              <w:tc>
                <w:tcPr>
                  <w:tcW w:w="1796" w:type="dxa"/>
                  <w:noWrap w:val="0"/>
                  <w:vAlign w:val="center"/>
                </w:tcPr>
                <w:p w14:paraId="4B0A313E">
                  <w:pPr>
                    <w:keepNext w:val="0"/>
                    <w:keepLines w:val="0"/>
                    <w:pageBreakBefore w:val="0"/>
                    <w:kinsoku/>
                    <w:wordWrap/>
                    <w:overflowPunct/>
                    <w:topLinePunct w:val="0"/>
                    <w:bidi w:val="0"/>
                    <w:adjustRightInd/>
                    <w:snapToGrid/>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2024年5月26日至2024年5月27日</w:t>
                  </w:r>
                </w:p>
              </w:tc>
              <w:tc>
                <w:tcPr>
                  <w:tcW w:w="740" w:type="dxa"/>
                  <w:noWrap w:val="0"/>
                  <w:vAlign w:val="center"/>
                </w:tcPr>
                <w:p w14:paraId="25720C65">
                  <w:pPr>
                    <w:keepNext w:val="0"/>
                    <w:keepLines w:val="0"/>
                    <w:pageBreakBefore w:val="0"/>
                    <w:kinsoku/>
                    <w:wordWrap/>
                    <w:overflowPunct/>
                    <w:topLinePunct w:val="0"/>
                    <w:bidi w:val="0"/>
                    <w:adjustRightInd/>
                    <w:snapToGrid/>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r>
          </w:tbl>
          <w:p w14:paraId="5EB0D827">
            <w:pPr>
              <w:pStyle w:val="64"/>
              <w:keepNext w:val="0"/>
              <w:keepLines w:val="0"/>
              <w:pageBreakBefore w:val="0"/>
              <w:widowControl/>
              <w:kinsoku/>
              <w:wordWrap/>
              <w:overflowPunct/>
              <w:topLinePunct w:val="0"/>
              <w:autoSpaceDE/>
              <w:autoSpaceDN/>
              <w:bidi w:val="0"/>
              <w:adjustRightInd/>
              <w:snapToGrid/>
              <w:spacing w:before="157" w:beforeLines="50" w:line="360" w:lineRule="auto"/>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③补充监测结果</w:t>
            </w:r>
          </w:p>
          <w:p w14:paraId="25C65143">
            <w:pPr>
              <w:pStyle w:val="64"/>
              <w:keepNext w:val="0"/>
              <w:keepLines w:val="0"/>
              <w:pageBreakBefore w:val="0"/>
              <w:widowControl/>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补充监测结果详见下表。</w:t>
            </w:r>
          </w:p>
          <w:p w14:paraId="461FFB66">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表3-3其他污染物环境质量现状监测结果表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5"/>
              <w:gridCol w:w="789"/>
              <w:gridCol w:w="717"/>
              <w:gridCol w:w="666"/>
              <w:gridCol w:w="791"/>
              <w:gridCol w:w="1185"/>
              <w:gridCol w:w="1212"/>
              <w:gridCol w:w="756"/>
              <w:gridCol w:w="757"/>
              <w:gridCol w:w="661"/>
            </w:tblGrid>
            <w:tr w14:paraId="775DB3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9" w:type="dxa"/>
                  <w:vMerge w:val="restart"/>
                  <w:noWrap w:val="0"/>
                  <w:vAlign w:val="center"/>
                </w:tcPr>
                <w:p w14:paraId="76441862">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监测点名称</w:t>
                  </w:r>
                </w:p>
              </w:tc>
              <w:tc>
                <w:tcPr>
                  <w:tcW w:w="1426" w:type="dxa"/>
                  <w:gridSpan w:val="2"/>
                  <w:noWrap w:val="0"/>
                  <w:vAlign w:val="center"/>
                </w:tcPr>
                <w:p w14:paraId="6ADE488D">
                  <w:pPr>
                    <w:pStyle w:val="66"/>
                    <w:keepNext w:val="0"/>
                    <w:keepLines w:val="0"/>
                    <w:pageBreakBefore w:val="0"/>
                    <w:kinsoku/>
                    <w:wordWrap/>
                    <w:overflowPunct/>
                    <w:topLinePunct w:val="0"/>
                    <w:bidi w:val="0"/>
                    <w:adjustRightInd/>
                    <w:snapToGrid/>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监测点坐标/°</w:t>
                  </w:r>
                </w:p>
              </w:tc>
              <w:tc>
                <w:tcPr>
                  <w:tcW w:w="631" w:type="dxa"/>
                  <w:vMerge w:val="restart"/>
                  <w:noWrap w:val="0"/>
                  <w:vAlign w:val="center"/>
                </w:tcPr>
                <w:p w14:paraId="031629E6">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749" w:type="dxa"/>
                  <w:vMerge w:val="restart"/>
                  <w:noWrap w:val="0"/>
                  <w:vAlign w:val="center"/>
                </w:tcPr>
                <w:p w14:paraId="3094C021">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平均</w:t>
                  </w:r>
                </w:p>
                <w:p w14:paraId="10F10B2A">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时间</w:t>
                  </w:r>
                </w:p>
              </w:tc>
              <w:tc>
                <w:tcPr>
                  <w:tcW w:w="1122" w:type="dxa"/>
                  <w:vMerge w:val="restart"/>
                  <w:noWrap w:val="0"/>
                  <w:vAlign w:val="center"/>
                </w:tcPr>
                <w:p w14:paraId="51585948">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评价标准（μg/m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w:t>
                  </w:r>
                </w:p>
              </w:tc>
              <w:tc>
                <w:tcPr>
                  <w:tcW w:w="1148" w:type="dxa"/>
                  <w:vMerge w:val="restart"/>
                  <w:noWrap w:val="0"/>
                  <w:vAlign w:val="center"/>
                </w:tcPr>
                <w:p w14:paraId="31FCC66D">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监测浓度范围（μg/m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rPr>
                    <w:t>）</w:t>
                  </w:r>
                </w:p>
              </w:tc>
              <w:tc>
                <w:tcPr>
                  <w:tcW w:w="716" w:type="dxa"/>
                  <w:vMerge w:val="restart"/>
                  <w:noWrap w:val="0"/>
                  <w:vAlign w:val="center"/>
                </w:tcPr>
                <w:p w14:paraId="03DDB75B">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最大浓度占标率%</w:t>
                  </w:r>
                </w:p>
              </w:tc>
              <w:tc>
                <w:tcPr>
                  <w:tcW w:w="717" w:type="dxa"/>
                  <w:vMerge w:val="restart"/>
                  <w:noWrap w:val="0"/>
                  <w:vAlign w:val="center"/>
                </w:tcPr>
                <w:p w14:paraId="194AC3C9">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超标率%</w:t>
                  </w:r>
                </w:p>
              </w:tc>
              <w:tc>
                <w:tcPr>
                  <w:tcW w:w="626" w:type="dxa"/>
                  <w:vMerge w:val="restart"/>
                  <w:noWrap w:val="0"/>
                  <w:vAlign w:val="center"/>
                </w:tcPr>
                <w:p w14:paraId="0B555150">
                  <w:pPr>
                    <w:keepNext w:val="0"/>
                    <w:keepLines w:val="0"/>
                    <w:pageBreakBefore w:val="0"/>
                    <w:kinsoku/>
                    <w:wordWrap/>
                    <w:overflowPunct/>
                    <w:topLinePunct w:val="0"/>
                    <w:bidi w:val="0"/>
                    <w:adjustRightInd/>
                    <w:snapToGrid/>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达标情况</w:t>
                  </w:r>
                </w:p>
              </w:tc>
            </w:tr>
            <w:tr w14:paraId="469F0E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9" w:type="dxa"/>
                  <w:vMerge w:val="continue"/>
                  <w:noWrap w:val="0"/>
                  <w:vAlign w:val="center"/>
                </w:tcPr>
                <w:p w14:paraId="1F8A61DA">
                  <w:pPr>
                    <w:keepNext w:val="0"/>
                    <w:keepLines w:val="0"/>
                    <w:pageBreakBefore w:val="0"/>
                    <w:widowControl/>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p>
              </w:tc>
              <w:tc>
                <w:tcPr>
                  <w:tcW w:w="747" w:type="dxa"/>
                  <w:noWrap w:val="0"/>
                  <w:vAlign w:val="center"/>
                </w:tcPr>
                <w:p w14:paraId="68C6A5C7">
                  <w:pPr>
                    <w:pStyle w:val="66"/>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经度</w:t>
                  </w:r>
                </w:p>
              </w:tc>
              <w:tc>
                <w:tcPr>
                  <w:tcW w:w="679" w:type="dxa"/>
                  <w:noWrap w:val="0"/>
                  <w:vAlign w:val="center"/>
                </w:tcPr>
                <w:p w14:paraId="3EAE206F">
                  <w:pPr>
                    <w:pStyle w:val="66"/>
                    <w:keepNext w:val="0"/>
                    <w:keepLines w:val="0"/>
                    <w:pageBreakBefore w:val="0"/>
                    <w:kinsoku/>
                    <w:wordWrap/>
                    <w:overflowPunct/>
                    <w:topLinePunct w:val="0"/>
                    <w:bidi w:val="0"/>
                    <w:adjustRightInd/>
                    <w:snapToGrid/>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纬度</w:t>
                  </w:r>
                </w:p>
              </w:tc>
              <w:tc>
                <w:tcPr>
                  <w:tcW w:w="631" w:type="dxa"/>
                  <w:vMerge w:val="continue"/>
                  <w:noWrap w:val="0"/>
                  <w:vAlign w:val="center"/>
                </w:tcPr>
                <w:p w14:paraId="60051B9A">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p>
              </w:tc>
              <w:tc>
                <w:tcPr>
                  <w:tcW w:w="749" w:type="dxa"/>
                  <w:vMerge w:val="continue"/>
                  <w:noWrap w:val="0"/>
                  <w:vAlign w:val="center"/>
                </w:tcPr>
                <w:p w14:paraId="485F7D11">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p>
              </w:tc>
              <w:tc>
                <w:tcPr>
                  <w:tcW w:w="1122" w:type="dxa"/>
                  <w:vMerge w:val="continue"/>
                  <w:noWrap w:val="0"/>
                  <w:vAlign w:val="center"/>
                </w:tcPr>
                <w:p w14:paraId="33CBDB02">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p>
              </w:tc>
              <w:tc>
                <w:tcPr>
                  <w:tcW w:w="1148" w:type="dxa"/>
                  <w:vMerge w:val="continue"/>
                  <w:noWrap w:val="0"/>
                  <w:vAlign w:val="center"/>
                </w:tcPr>
                <w:p w14:paraId="7C5CB592">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p>
              </w:tc>
              <w:tc>
                <w:tcPr>
                  <w:tcW w:w="716" w:type="dxa"/>
                  <w:vMerge w:val="continue"/>
                  <w:noWrap w:val="0"/>
                  <w:vAlign w:val="center"/>
                </w:tcPr>
                <w:p w14:paraId="14873146">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p>
              </w:tc>
              <w:tc>
                <w:tcPr>
                  <w:tcW w:w="717" w:type="dxa"/>
                  <w:vMerge w:val="continue"/>
                  <w:noWrap w:val="0"/>
                  <w:vAlign w:val="center"/>
                </w:tcPr>
                <w:p w14:paraId="1A52504C">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p>
              </w:tc>
              <w:tc>
                <w:tcPr>
                  <w:tcW w:w="626" w:type="dxa"/>
                  <w:vMerge w:val="continue"/>
                  <w:noWrap w:val="0"/>
                  <w:vAlign w:val="center"/>
                </w:tcPr>
                <w:p w14:paraId="1F7DF74C">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p>
              </w:tc>
            </w:tr>
            <w:tr w14:paraId="66D89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9" w:type="dxa"/>
                  <w:noWrap w:val="0"/>
                  <w:vAlign w:val="center"/>
                </w:tcPr>
                <w:p w14:paraId="3D0A1629">
                  <w:pPr>
                    <w:pStyle w:val="67"/>
                    <w:keepNext w:val="0"/>
                    <w:keepLines w:val="0"/>
                    <w:pageBreakBefore w:val="0"/>
                    <w:tabs>
                      <w:tab w:val="left" w:pos="567"/>
                    </w:tabs>
                    <w:kinsoku/>
                    <w:wordWrap/>
                    <w:overflowPunct/>
                    <w:topLinePunct w:val="0"/>
                    <w:autoSpaceDE w:val="0"/>
                    <w:autoSpaceDN w:val="0"/>
                    <w:bidi w:val="0"/>
                    <w:adjustRightInd/>
                    <w:snapToGrid/>
                    <w:spacing w:line="240" w:lineRule="auto"/>
                    <w:jc w:val="center"/>
                    <w:textAlignment w:val="bottom"/>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大气监测点位</w:t>
                  </w:r>
                </w:p>
              </w:tc>
              <w:tc>
                <w:tcPr>
                  <w:tcW w:w="747" w:type="dxa"/>
                  <w:noWrap w:val="0"/>
                  <w:vAlign w:val="center"/>
                </w:tcPr>
                <w:p w14:paraId="78BF5242">
                  <w:pPr>
                    <w:pStyle w:val="66"/>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131.112671700</w:t>
                  </w:r>
                </w:p>
              </w:tc>
              <w:tc>
                <w:tcPr>
                  <w:tcW w:w="679" w:type="dxa"/>
                  <w:noWrap w:val="0"/>
                  <w:vAlign w:val="center"/>
                </w:tcPr>
                <w:p w14:paraId="45DA3304">
                  <w:pPr>
                    <w:pStyle w:val="66"/>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45.342987075</w:t>
                  </w:r>
                </w:p>
              </w:tc>
              <w:tc>
                <w:tcPr>
                  <w:tcW w:w="631" w:type="dxa"/>
                  <w:noWrap w:val="0"/>
                  <w:vAlign w:val="center"/>
                </w:tcPr>
                <w:p w14:paraId="4BC69596">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TSP</w:t>
                  </w:r>
                </w:p>
              </w:tc>
              <w:tc>
                <w:tcPr>
                  <w:tcW w:w="749" w:type="dxa"/>
                  <w:noWrap w:val="0"/>
                  <w:vAlign w:val="center"/>
                </w:tcPr>
                <w:p w14:paraId="33F7E285">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日均值</w:t>
                  </w:r>
                </w:p>
              </w:tc>
              <w:tc>
                <w:tcPr>
                  <w:tcW w:w="1122" w:type="dxa"/>
                  <w:noWrap w:val="0"/>
                  <w:vAlign w:val="center"/>
                </w:tcPr>
                <w:p w14:paraId="6C045B9D">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300</w:t>
                  </w:r>
                </w:p>
              </w:tc>
              <w:tc>
                <w:tcPr>
                  <w:tcW w:w="1148" w:type="dxa"/>
                  <w:noWrap w:val="0"/>
                  <w:vAlign w:val="center"/>
                </w:tcPr>
                <w:p w14:paraId="048677A6">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83</w:t>
                  </w:r>
                  <w:r>
                    <w:rPr>
                      <w:rFonts w:hint="default" w:ascii="Times New Roman" w:hAnsi="Times New Roman" w:eastAsia="宋体" w:cs="Times New Roman"/>
                      <w:bCs/>
                      <w:color w:val="auto"/>
                      <w:sz w:val="21"/>
                      <w:szCs w:val="21"/>
                      <w:highlight w:val="none"/>
                    </w:rPr>
                    <w:t>-</w:t>
                  </w:r>
                  <w:r>
                    <w:rPr>
                      <w:rFonts w:hint="eastAsia" w:cs="Times New Roman"/>
                      <w:bCs/>
                      <w:color w:val="auto"/>
                      <w:sz w:val="21"/>
                      <w:szCs w:val="21"/>
                      <w:highlight w:val="none"/>
                      <w:lang w:val="en-US" w:eastAsia="zh-CN"/>
                    </w:rPr>
                    <w:t>90</w:t>
                  </w:r>
                </w:p>
              </w:tc>
              <w:tc>
                <w:tcPr>
                  <w:tcW w:w="716" w:type="dxa"/>
                  <w:noWrap w:val="0"/>
                  <w:vAlign w:val="center"/>
                </w:tcPr>
                <w:p w14:paraId="6A093C25">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30</w:t>
                  </w:r>
                </w:p>
              </w:tc>
              <w:tc>
                <w:tcPr>
                  <w:tcW w:w="717" w:type="dxa"/>
                  <w:noWrap w:val="0"/>
                  <w:vAlign w:val="center"/>
                </w:tcPr>
                <w:p w14:paraId="33958A1B">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w:t>
                  </w:r>
                </w:p>
              </w:tc>
              <w:tc>
                <w:tcPr>
                  <w:tcW w:w="626" w:type="dxa"/>
                  <w:noWrap w:val="0"/>
                  <w:vAlign w:val="center"/>
                </w:tcPr>
                <w:p w14:paraId="29D6315E">
                  <w:pPr>
                    <w:keepNext w:val="0"/>
                    <w:keepLines w:val="0"/>
                    <w:pageBreakBefore w:val="0"/>
                    <w:kinsoku/>
                    <w:wordWrap/>
                    <w:overflowPunct/>
                    <w:topLinePunct w:val="0"/>
                    <w:bidi w:val="0"/>
                    <w:adjustRightInd/>
                    <w:snapToGrid/>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达标</w:t>
                  </w:r>
                </w:p>
              </w:tc>
            </w:tr>
          </w:tbl>
          <w:p w14:paraId="270D7F1A">
            <w:pPr>
              <w:spacing w:before="120" w:beforeLines="50"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由上表可知，项目所在区域TSP现状监测结果满足《环境空气质量标准》（GB3095-2026）中过渡阶段二级标准限值。项目所在区域环境空气质量良好，环境空气质量良好。</w:t>
            </w:r>
          </w:p>
          <w:p w14:paraId="23F4E38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kern w:val="0"/>
                <w:sz w:val="24"/>
                <w:szCs w:val="24"/>
                <w:highlight w:val="none"/>
                <w:lang w:bidi="ar"/>
              </w:rPr>
            </w:pPr>
            <w:r>
              <w:rPr>
                <w:color w:val="auto"/>
              </w:rPr>
              <w:drawing>
                <wp:inline distT="0" distB="0" distL="114300" distR="114300">
                  <wp:extent cx="4256405" cy="3126740"/>
                  <wp:effectExtent l="0" t="0" r="10795" b="16510"/>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18"/>
                          <a:stretch>
                            <a:fillRect/>
                          </a:stretch>
                        </pic:blipFill>
                        <pic:spPr>
                          <a:xfrm>
                            <a:off x="0" y="0"/>
                            <a:ext cx="4256405" cy="3126740"/>
                          </a:xfrm>
                          <a:prstGeom prst="rect">
                            <a:avLst/>
                          </a:prstGeom>
                          <a:noFill/>
                          <a:ln>
                            <a:noFill/>
                          </a:ln>
                        </pic:spPr>
                      </pic:pic>
                    </a:graphicData>
                  </a:graphic>
                </wp:inline>
              </w:drawing>
            </w:r>
          </w:p>
          <w:p w14:paraId="751E97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bidi="ar"/>
              </w:rPr>
            </w:pPr>
            <w:r>
              <w:rPr>
                <w:rFonts w:hint="eastAsia" w:cs="Times New Roman"/>
                <w:b/>
                <w:bCs/>
                <w:color w:val="auto"/>
                <w:kern w:val="0"/>
                <w:sz w:val="21"/>
                <w:szCs w:val="21"/>
                <w:highlight w:val="none"/>
                <w:lang w:eastAsia="zh-CN" w:bidi="ar"/>
              </w:rPr>
              <w:t>图</w:t>
            </w:r>
            <w:r>
              <w:rPr>
                <w:rFonts w:hint="eastAsia" w:cs="Times New Roman"/>
                <w:b/>
                <w:bCs/>
                <w:color w:val="auto"/>
                <w:kern w:val="0"/>
                <w:sz w:val="21"/>
                <w:szCs w:val="21"/>
                <w:highlight w:val="none"/>
                <w:lang w:val="en-US" w:eastAsia="zh-CN" w:bidi="ar"/>
              </w:rPr>
              <w:t>3-1 大气环境监测点位图</w:t>
            </w:r>
          </w:p>
          <w:p w14:paraId="7AE8D74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kern w:val="0"/>
                <w:sz w:val="24"/>
                <w:szCs w:val="24"/>
                <w:highlight w:val="none"/>
                <w:lang w:bidi="ar"/>
              </w:rPr>
            </w:pPr>
            <w:r>
              <w:rPr>
                <w:rFonts w:hint="default" w:ascii="Times New Roman" w:hAnsi="Times New Roman" w:eastAsia="宋体" w:cs="Times New Roman"/>
                <w:b/>
                <w:bCs/>
                <w:color w:val="auto"/>
                <w:kern w:val="0"/>
                <w:sz w:val="24"/>
                <w:szCs w:val="24"/>
                <w:highlight w:val="none"/>
                <w:lang w:bidi="ar"/>
              </w:rPr>
              <w:t>二、水环境质量现状</w:t>
            </w:r>
          </w:p>
          <w:p w14:paraId="2FD8CDB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sz w:val="24"/>
                <w:szCs w:val="24"/>
                <w:highlight w:val="none"/>
                <w:lang w:val="en-US" w:eastAsia="zh-CN"/>
              </w:rPr>
              <w:t>所在</w:t>
            </w:r>
            <w:r>
              <w:rPr>
                <w:rFonts w:hint="default" w:ascii="Times New Roman" w:hAnsi="Times New Roman" w:cs="Times New Roman"/>
                <w:color w:val="auto"/>
                <w:sz w:val="24"/>
                <w:szCs w:val="24"/>
                <w:highlight w:val="none"/>
              </w:rPr>
              <w:t>区域</w:t>
            </w:r>
            <w:r>
              <w:rPr>
                <w:rFonts w:hint="eastAsia" w:cs="Times New Roman"/>
                <w:color w:val="auto"/>
                <w:sz w:val="24"/>
                <w:szCs w:val="24"/>
                <w:highlight w:val="none"/>
                <w:lang w:eastAsia="zh-CN"/>
              </w:rPr>
              <w:t>距离最近</w:t>
            </w:r>
            <w:r>
              <w:rPr>
                <w:rFonts w:hint="default" w:ascii="Times New Roman" w:hAnsi="Times New Roman" w:cs="Times New Roman"/>
                <w:color w:val="auto"/>
                <w:sz w:val="24"/>
                <w:szCs w:val="24"/>
                <w:highlight w:val="none"/>
              </w:rPr>
              <w:t>地表水体为</w:t>
            </w:r>
            <w:r>
              <w:rPr>
                <w:rFonts w:hint="eastAsia" w:cs="Times New Roman"/>
                <w:color w:val="auto"/>
                <w:sz w:val="24"/>
                <w:szCs w:val="24"/>
                <w:highlight w:val="none"/>
                <w:lang w:eastAsia="zh-CN"/>
              </w:rPr>
              <w:t>城子河，距离为</w:t>
            </w:r>
            <w:r>
              <w:rPr>
                <w:rFonts w:hint="eastAsia" w:cs="Times New Roman"/>
                <w:color w:val="auto"/>
                <w:sz w:val="24"/>
                <w:szCs w:val="24"/>
                <w:highlight w:val="none"/>
                <w:lang w:val="en-US" w:eastAsia="zh-CN"/>
              </w:rPr>
              <w:t>4833米</w:t>
            </w:r>
            <w:r>
              <w:rPr>
                <w:rFonts w:hint="default" w:ascii="Times New Roman" w:hAnsi="Times New Roman" w:cs="Times New Roman"/>
                <w:color w:val="auto"/>
                <w:sz w:val="24"/>
                <w:szCs w:val="24"/>
                <w:highlight w:val="none"/>
                <w:lang w:eastAsia="zh-CN"/>
              </w:rPr>
              <w:t>，无水质目标。</w:t>
            </w:r>
            <w:r>
              <w:rPr>
                <w:rFonts w:hint="eastAsia" w:cs="Times New Roman"/>
                <w:color w:val="auto"/>
                <w:sz w:val="24"/>
                <w:szCs w:val="24"/>
                <w:highlight w:val="none"/>
                <w:lang w:eastAsia="zh-CN"/>
              </w:rPr>
              <w:t>城子河</w:t>
            </w:r>
            <w:r>
              <w:rPr>
                <w:rFonts w:hint="default" w:ascii="Times New Roman" w:hAnsi="Times New Roman" w:cs="Times New Roman"/>
                <w:color w:val="auto"/>
                <w:sz w:val="24"/>
                <w:szCs w:val="24"/>
                <w:highlight w:val="none"/>
                <w:lang w:eastAsia="zh-CN"/>
              </w:rPr>
              <w:t>为穆棱河支流，因此参照穆棱河水质</w:t>
            </w:r>
            <w:r>
              <w:rPr>
                <w:rFonts w:hint="default" w:ascii="Times New Roman" w:hAnsi="Times New Roman" w:cs="Times New Roman"/>
                <w:color w:val="auto"/>
                <w:sz w:val="24"/>
                <w:szCs w:val="24"/>
                <w:highlight w:val="none"/>
              </w:rPr>
              <w:t>。根据《全国重要江河湖泊水功能区划（2011</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2030年）》，穆棱河鸡西市境内河段水质分为206省道公路桥-东胜村，长度2.2km，为排污</w:t>
            </w:r>
            <w:r>
              <w:rPr>
                <w:rFonts w:hint="default" w:ascii="Times New Roman" w:hAnsi="Times New Roman" w:eastAsia="宋体" w:cs="Times New Roman"/>
                <w:color w:val="auto"/>
                <w:sz w:val="24"/>
                <w:szCs w:val="24"/>
                <w:highlight w:val="none"/>
              </w:rPr>
              <w:t>段，无水质目标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东胜村</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鸡古路西100m，长度14.5km，为</w:t>
            </w:r>
            <w:r>
              <w:rPr>
                <w:rFonts w:hint="default" w:ascii="Times New Roman" w:hAnsi="Times New Roman" w:cs="Times New Roman"/>
                <w:color w:val="auto"/>
                <w:sz w:val="24"/>
                <w:szCs w:val="24"/>
                <w:highlight w:val="none"/>
                <w:lang w:eastAsia="zh-CN"/>
              </w:rPr>
              <w:t>过渡段</w:t>
            </w:r>
            <w:r>
              <w:rPr>
                <w:rFonts w:hint="default" w:ascii="Times New Roman" w:hAnsi="Times New Roman" w:eastAsia="宋体" w:cs="Times New Roman"/>
                <w:color w:val="auto"/>
                <w:sz w:val="24"/>
                <w:szCs w:val="24"/>
                <w:highlight w:val="none"/>
              </w:rPr>
              <w:t>，水质目标为Ⅳ类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鸡古路西100m</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凯北站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水质目标为Ⅲ类水体，执行《地表水环境质量标准》（GB3838-2002）中Ⅲ类标准。根据鸡西市生态环境局网站公布的202</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年1月～1</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月《鸡西市地表水国控考核断面水质信息公开》，</w:t>
            </w:r>
            <w:r>
              <w:rPr>
                <w:rFonts w:hint="eastAsia" w:ascii="Times New Roman" w:hAnsi="Times New Roman" w:eastAsia="宋体" w:cs="Times New Roman"/>
                <w:color w:val="auto"/>
                <w:sz w:val="24"/>
                <w:szCs w:val="24"/>
                <w:highlight w:val="none"/>
                <w:lang w:eastAsia="zh-CN"/>
              </w:rPr>
              <w:t>穆棱河口内</w:t>
            </w:r>
            <w:r>
              <w:rPr>
                <w:rFonts w:hint="default" w:ascii="Times New Roman" w:hAnsi="Times New Roman"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知一桥</w:t>
            </w:r>
            <w:r>
              <w:rPr>
                <w:rFonts w:hint="default" w:ascii="Times New Roman" w:hAnsi="Times New Roman" w:eastAsia="宋体" w:cs="Times New Roman"/>
                <w:color w:val="auto"/>
                <w:sz w:val="24"/>
                <w:szCs w:val="24"/>
                <w:highlight w:val="none"/>
              </w:rPr>
              <w:t>断面全年达到Ⅲ类水质类别标准。</w:t>
            </w:r>
          </w:p>
          <w:p w14:paraId="354DD944">
            <w:pPr>
              <w:jc w:val="center"/>
              <w:rPr>
                <w:rFonts w:hint="default" w:ascii="Times New Roman" w:hAnsi="Times New Roman" w:eastAsia="宋体" w:cs="Times New Roman"/>
                <w:b/>
                <w:color w:val="auto"/>
                <w:szCs w:val="21"/>
                <w:highlight w:val="none"/>
                <w:lang w:val="en-US" w:eastAsia="zh-CN"/>
              </w:rPr>
            </w:pPr>
            <w:r>
              <w:rPr>
                <w:color w:val="auto"/>
              </w:rPr>
              <w:drawing>
                <wp:inline distT="0" distB="0" distL="114300" distR="114300">
                  <wp:extent cx="5345430" cy="2724150"/>
                  <wp:effectExtent l="0" t="0" r="7620" b="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19"/>
                          <a:stretch>
                            <a:fillRect/>
                          </a:stretch>
                        </pic:blipFill>
                        <pic:spPr>
                          <a:xfrm>
                            <a:off x="0" y="0"/>
                            <a:ext cx="5345430" cy="2724150"/>
                          </a:xfrm>
                          <a:prstGeom prst="rect">
                            <a:avLst/>
                          </a:prstGeom>
                          <a:noFill/>
                          <a:ln>
                            <a:noFill/>
                          </a:ln>
                        </pic:spPr>
                      </pic:pic>
                    </a:graphicData>
                  </a:graphic>
                </wp:inline>
              </w:drawing>
            </w:r>
          </w:p>
          <w:p w14:paraId="632DB46F">
            <w:pPr>
              <w:jc w:val="center"/>
              <w:rPr>
                <w:rFonts w:hint="default" w:ascii="Times New Roman" w:hAnsi="Times New Roman" w:eastAsia="宋体" w:cs="Times New Roman"/>
                <w:b/>
                <w:color w:val="auto"/>
                <w:szCs w:val="21"/>
                <w:highlight w:val="none"/>
                <w:lang w:val="en-US" w:eastAsia="zh-CN"/>
              </w:rPr>
            </w:pPr>
            <w:r>
              <w:rPr>
                <w:rFonts w:hint="eastAsia" w:cs="Times New Roman"/>
                <w:b/>
                <w:bCs/>
                <w:color w:val="auto"/>
                <w:kern w:val="0"/>
                <w:sz w:val="21"/>
                <w:szCs w:val="21"/>
                <w:highlight w:val="none"/>
                <w:lang w:eastAsia="zh-CN" w:bidi="ar"/>
              </w:rPr>
              <w:t>图</w:t>
            </w:r>
            <w:r>
              <w:rPr>
                <w:rFonts w:hint="eastAsia" w:cs="Times New Roman"/>
                <w:b/>
                <w:bCs/>
                <w:color w:val="auto"/>
                <w:kern w:val="0"/>
                <w:sz w:val="21"/>
                <w:szCs w:val="21"/>
                <w:highlight w:val="none"/>
                <w:lang w:val="en-US" w:eastAsia="zh-CN" w:bidi="ar"/>
              </w:rPr>
              <w:t>3-2 地表水目标距离图</w:t>
            </w:r>
          </w:p>
          <w:p w14:paraId="1DAE9499">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表3-</w:t>
            </w:r>
            <w:r>
              <w:rPr>
                <w:rFonts w:hint="default" w:ascii="Times New Roman" w:hAnsi="Times New Roman" w:cs="Times New Roman"/>
                <w:b/>
                <w:color w:val="auto"/>
                <w:szCs w:val="21"/>
                <w:highlight w:val="none"/>
                <w:lang w:val="en-US" w:eastAsia="zh-CN"/>
              </w:rPr>
              <w:t>4</w:t>
            </w:r>
            <w:r>
              <w:rPr>
                <w:rFonts w:hint="default" w:ascii="Times New Roman" w:hAnsi="Times New Roman" w:eastAsia="宋体" w:cs="Times New Roman"/>
                <w:b/>
                <w:color w:val="auto"/>
                <w:szCs w:val="21"/>
                <w:highlight w:val="none"/>
                <w:lang w:val="en-US" w:eastAsia="zh-CN"/>
              </w:rPr>
              <w:t xml:space="preserve"> 鸡西市202</w:t>
            </w:r>
            <w:r>
              <w:rPr>
                <w:rFonts w:hint="eastAsia" w:ascii="Times New Roman" w:hAnsi="Times New Roman" w:eastAsia="宋体" w:cs="Times New Roman"/>
                <w:b/>
                <w:color w:val="auto"/>
                <w:szCs w:val="21"/>
                <w:highlight w:val="none"/>
                <w:lang w:val="en-US" w:eastAsia="zh-CN"/>
              </w:rPr>
              <w:t>4</w:t>
            </w:r>
            <w:r>
              <w:rPr>
                <w:rFonts w:hint="default" w:ascii="Times New Roman" w:hAnsi="Times New Roman" w:eastAsia="宋体" w:cs="Times New Roman"/>
                <w:b/>
                <w:color w:val="auto"/>
                <w:szCs w:val="21"/>
                <w:highlight w:val="none"/>
                <w:lang w:val="en-US" w:eastAsia="zh-CN"/>
              </w:rPr>
              <w:t>年地表水国控考核断面水质信息</w:t>
            </w:r>
          </w:p>
          <w:tbl>
            <w:tblPr>
              <w:tblStyle w:val="30"/>
              <w:tblW w:w="81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2"/>
              <w:gridCol w:w="1022"/>
              <w:gridCol w:w="1022"/>
              <w:gridCol w:w="1022"/>
              <w:gridCol w:w="1022"/>
              <w:gridCol w:w="1022"/>
              <w:gridCol w:w="1022"/>
              <w:gridCol w:w="1026"/>
            </w:tblGrid>
            <w:tr w14:paraId="30C9A0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24" w:type="pct"/>
                  <w:noWrap w:val="0"/>
                  <w:vAlign w:val="center"/>
                </w:tcPr>
                <w:p w14:paraId="68AE4844">
                  <w:pPr>
                    <w:adjustRightInd w:val="0"/>
                    <w:snapToGrid w:val="0"/>
                    <w:jc w:val="center"/>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cs="Times New Roman"/>
                      <w:b/>
                      <w:bCs/>
                      <w:color w:val="auto"/>
                      <w:kern w:val="21"/>
                      <w:sz w:val="21"/>
                      <w:szCs w:val="21"/>
                      <w:highlight w:val="none"/>
                      <w:lang w:val="en-US" w:eastAsia="zh-CN"/>
                    </w:rPr>
                    <w:t>断面名称</w:t>
                  </w:r>
                </w:p>
              </w:tc>
              <w:tc>
                <w:tcPr>
                  <w:tcW w:w="624" w:type="pct"/>
                  <w:noWrap w:val="0"/>
                  <w:vAlign w:val="center"/>
                </w:tcPr>
                <w:p w14:paraId="1908A66D">
                  <w:pPr>
                    <w:adjustRightInd w:val="0"/>
                    <w:snapToGrid w:val="0"/>
                    <w:jc w:val="center"/>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cs="Times New Roman"/>
                      <w:b/>
                      <w:bCs/>
                      <w:color w:val="auto"/>
                      <w:kern w:val="21"/>
                      <w:sz w:val="21"/>
                      <w:szCs w:val="21"/>
                      <w:highlight w:val="none"/>
                      <w:lang w:val="en-US" w:eastAsia="zh-CN"/>
                    </w:rPr>
                    <w:t>所在水体</w:t>
                  </w:r>
                </w:p>
              </w:tc>
              <w:tc>
                <w:tcPr>
                  <w:tcW w:w="624" w:type="pct"/>
                  <w:noWrap w:val="0"/>
                  <w:vAlign w:val="center"/>
                </w:tcPr>
                <w:p w14:paraId="0CDEC962">
                  <w:pPr>
                    <w:adjustRightInd w:val="0"/>
                    <w:snapToGrid w:val="0"/>
                    <w:jc w:val="center"/>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12月水质类别</w:t>
                  </w:r>
                </w:p>
              </w:tc>
              <w:tc>
                <w:tcPr>
                  <w:tcW w:w="624" w:type="pct"/>
                  <w:noWrap w:val="0"/>
                  <w:vAlign w:val="center"/>
                </w:tcPr>
                <w:p w14:paraId="3C0BC171">
                  <w:pPr>
                    <w:adjustRightInd w:val="0"/>
                    <w:snapToGrid w:val="0"/>
                    <w:jc w:val="center"/>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11月水质类别</w:t>
                  </w:r>
                </w:p>
              </w:tc>
              <w:tc>
                <w:tcPr>
                  <w:tcW w:w="624" w:type="pct"/>
                  <w:noWrap w:val="0"/>
                  <w:vAlign w:val="center"/>
                </w:tcPr>
                <w:p w14:paraId="198AA7A7">
                  <w:pPr>
                    <w:adjustRightInd w:val="0"/>
                    <w:snapToGrid w:val="0"/>
                    <w:jc w:val="center"/>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10月水质类别</w:t>
                  </w:r>
                </w:p>
              </w:tc>
              <w:tc>
                <w:tcPr>
                  <w:tcW w:w="624" w:type="pct"/>
                  <w:noWrap w:val="0"/>
                  <w:vAlign w:val="center"/>
                </w:tcPr>
                <w:p w14:paraId="728323B7">
                  <w:pPr>
                    <w:adjustRightInd w:val="0"/>
                    <w:snapToGrid w:val="0"/>
                    <w:jc w:val="center"/>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9月水质类别</w:t>
                  </w:r>
                </w:p>
              </w:tc>
              <w:tc>
                <w:tcPr>
                  <w:tcW w:w="624" w:type="pct"/>
                  <w:noWrap w:val="0"/>
                  <w:vAlign w:val="center"/>
                </w:tcPr>
                <w:p w14:paraId="318BE16D">
                  <w:pPr>
                    <w:adjustRightInd w:val="0"/>
                    <w:snapToGrid w:val="0"/>
                    <w:jc w:val="center"/>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8月水质类别</w:t>
                  </w:r>
                </w:p>
              </w:tc>
              <w:tc>
                <w:tcPr>
                  <w:tcW w:w="627" w:type="pct"/>
                  <w:noWrap w:val="0"/>
                  <w:vAlign w:val="center"/>
                </w:tcPr>
                <w:p w14:paraId="15B62C1A">
                  <w:pPr>
                    <w:adjustRightInd w:val="0"/>
                    <w:snapToGrid w:val="0"/>
                    <w:jc w:val="center"/>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7月水质类别</w:t>
                  </w:r>
                </w:p>
              </w:tc>
            </w:tr>
            <w:tr w14:paraId="06BF02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5" w:hRule="atLeast"/>
                <w:jc w:val="center"/>
              </w:trPr>
              <w:tc>
                <w:tcPr>
                  <w:tcW w:w="624" w:type="pct"/>
                  <w:noWrap w:val="0"/>
                  <w:vAlign w:val="center"/>
                </w:tcPr>
                <w:p w14:paraId="6CF6FD3A">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穆棱河口内</w:t>
                  </w:r>
                </w:p>
              </w:tc>
              <w:tc>
                <w:tcPr>
                  <w:tcW w:w="624" w:type="pct"/>
                  <w:noWrap w:val="0"/>
                  <w:vAlign w:val="center"/>
                </w:tcPr>
                <w:p w14:paraId="6D66D9C8">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穆棱河</w:t>
                  </w:r>
                </w:p>
              </w:tc>
              <w:tc>
                <w:tcPr>
                  <w:tcW w:w="624" w:type="pct"/>
                  <w:noWrap w:val="0"/>
                  <w:vAlign w:val="center"/>
                </w:tcPr>
                <w:p w14:paraId="1B31FDA8">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3CA9B86C">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21DD5992">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6B40E168">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3E0D063C">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c>
                <w:tcPr>
                  <w:tcW w:w="627" w:type="pct"/>
                  <w:noWrap w:val="0"/>
                  <w:vAlign w:val="center"/>
                </w:tcPr>
                <w:p w14:paraId="70230583">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r>
            <w:tr w14:paraId="35A12A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624" w:type="pct"/>
                  <w:noWrap w:val="0"/>
                  <w:vAlign w:val="center"/>
                </w:tcPr>
                <w:p w14:paraId="74E64743">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知一桥</w:t>
                  </w:r>
                </w:p>
              </w:tc>
              <w:tc>
                <w:tcPr>
                  <w:tcW w:w="624" w:type="pct"/>
                  <w:noWrap w:val="0"/>
                  <w:vAlign w:val="center"/>
                </w:tcPr>
                <w:p w14:paraId="1E87716E">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穆棱河</w:t>
                  </w:r>
                </w:p>
              </w:tc>
              <w:tc>
                <w:tcPr>
                  <w:tcW w:w="624" w:type="pct"/>
                  <w:noWrap w:val="0"/>
                  <w:vAlign w:val="center"/>
                </w:tcPr>
                <w:p w14:paraId="7CD12129">
                  <w:pPr>
                    <w:adjustRightInd w:val="0"/>
                    <w:snapToGrid w:val="0"/>
                    <w:jc w:val="center"/>
                    <w:rPr>
                      <w:rFonts w:hint="default" w:ascii="Times New Roman" w:hAnsi="Times New Roman" w:eastAsia="宋体" w:cs="Times New Roman"/>
                      <w:color w:val="auto"/>
                      <w:kern w:val="21"/>
                      <w:sz w:val="21"/>
                      <w:szCs w:val="21"/>
                      <w:highlight w:val="yellow"/>
                      <w:lang w:val="en-US" w:eastAsia="zh-CN" w:bidi="ar-SA"/>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48D47510">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3E9DF4F5">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00D12964">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4F68F88C">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c>
                <w:tcPr>
                  <w:tcW w:w="627" w:type="pct"/>
                  <w:noWrap w:val="0"/>
                  <w:vAlign w:val="center"/>
                </w:tcPr>
                <w:p w14:paraId="5E6FCA56">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r>
            <w:tr w14:paraId="3E80C6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624" w:type="pct"/>
                  <w:noWrap w:val="0"/>
                  <w:vAlign w:val="center"/>
                </w:tcPr>
                <w:p w14:paraId="790F7619">
                  <w:pPr>
                    <w:adjustRightInd w:val="0"/>
                    <w:snapToGrid w:val="0"/>
                    <w:jc w:val="center"/>
                    <w:rPr>
                      <w:rFonts w:hint="default" w:ascii="Times New Roman" w:hAnsi="Times New Roman" w:eastAsia="宋体" w:cs="Times New Roman"/>
                      <w:b/>
                      <w:bCs/>
                      <w:color w:val="auto"/>
                      <w:kern w:val="21"/>
                      <w:sz w:val="21"/>
                      <w:szCs w:val="21"/>
                      <w:highlight w:val="none"/>
                      <w:lang w:val="en-US" w:eastAsia="zh-CN" w:bidi="ar-SA"/>
                    </w:rPr>
                  </w:pPr>
                  <w:r>
                    <w:rPr>
                      <w:rFonts w:hint="default" w:ascii="Times New Roman" w:hAnsi="Times New Roman" w:cs="Times New Roman"/>
                      <w:b/>
                      <w:bCs/>
                      <w:color w:val="auto"/>
                      <w:kern w:val="21"/>
                      <w:sz w:val="21"/>
                      <w:szCs w:val="21"/>
                      <w:highlight w:val="none"/>
                      <w:lang w:val="en-US" w:eastAsia="zh-CN"/>
                    </w:rPr>
                    <w:t>断面名称</w:t>
                  </w:r>
                </w:p>
              </w:tc>
              <w:tc>
                <w:tcPr>
                  <w:tcW w:w="624" w:type="pct"/>
                  <w:noWrap w:val="0"/>
                  <w:vAlign w:val="center"/>
                </w:tcPr>
                <w:p w14:paraId="40A02019">
                  <w:pPr>
                    <w:adjustRightInd w:val="0"/>
                    <w:snapToGrid w:val="0"/>
                    <w:jc w:val="center"/>
                    <w:rPr>
                      <w:rFonts w:hint="default" w:ascii="Times New Roman" w:hAnsi="Times New Roman" w:eastAsia="宋体" w:cs="Times New Roman"/>
                      <w:b/>
                      <w:bCs/>
                      <w:color w:val="auto"/>
                      <w:kern w:val="21"/>
                      <w:sz w:val="21"/>
                      <w:szCs w:val="21"/>
                      <w:highlight w:val="none"/>
                      <w:lang w:val="en-US" w:eastAsia="zh-CN" w:bidi="ar-SA"/>
                    </w:rPr>
                  </w:pPr>
                  <w:r>
                    <w:rPr>
                      <w:rFonts w:hint="default" w:ascii="Times New Roman" w:hAnsi="Times New Roman" w:cs="Times New Roman"/>
                      <w:b/>
                      <w:bCs/>
                      <w:color w:val="auto"/>
                      <w:kern w:val="21"/>
                      <w:sz w:val="21"/>
                      <w:szCs w:val="21"/>
                      <w:highlight w:val="none"/>
                      <w:lang w:val="en-US" w:eastAsia="zh-CN"/>
                    </w:rPr>
                    <w:t>所在水体</w:t>
                  </w:r>
                </w:p>
              </w:tc>
              <w:tc>
                <w:tcPr>
                  <w:tcW w:w="624" w:type="pct"/>
                  <w:noWrap w:val="0"/>
                  <w:vAlign w:val="center"/>
                </w:tcPr>
                <w:p w14:paraId="42752B84">
                  <w:pPr>
                    <w:adjustRightInd w:val="0"/>
                    <w:snapToGrid w:val="0"/>
                    <w:jc w:val="center"/>
                    <w:rPr>
                      <w:rFonts w:hint="default" w:ascii="Times New Roman" w:hAnsi="Times New Roman" w:eastAsia="宋体" w:cs="Times New Roman"/>
                      <w:b/>
                      <w:bCs/>
                      <w:color w:val="auto"/>
                      <w:kern w:val="21"/>
                      <w:sz w:val="21"/>
                      <w:szCs w:val="21"/>
                      <w:highlight w:val="none"/>
                      <w:lang w:val="en-US" w:eastAsia="zh-CN" w:bidi="ar-SA"/>
                    </w:rPr>
                  </w:pPr>
                  <w:r>
                    <w:rPr>
                      <w:rFonts w:hint="default" w:ascii="Times New Roman" w:hAnsi="Times New Roman" w:eastAsia="宋体" w:cs="Times New Roman"/>
                      <w:b/>
                      <w:bCs/>
                      <w:color w:val="auto"/>
                      <w:kern w:val="21"/>
                      <w:sz w:val="21"/>
                      <w:szCs w:val="21"/>
                      <w:highlight w:val="none"/>
                      <w:lang w:val="en-US" w:eastAsia="zh-CN"/>
                    </w:rPr>
                    <w:t>6月水质类别</w:t>
                  </w:r>
                </w:p>
              </w:tc>
              <w:tc>
                <w:tcPr>
                  <w:tcW w:w="624" w:type="pct"/>
                  <w:noWrap w:val="0"/>
                  <w:vAlign w:val="center"/>
                </w:tcPr>
                <w:p w14:paraId="5DE6CFE9">
                  <w:pPr>
                    <w:adjustRightInd w:val="0"/>
                    <w:snapToGrid w:val="0"/>
                    <w:jc w:val="center"/>
                    <w:rPr>
                      <w:rFonts w:hint="default" w:ascii="Times New Roman" w:hAnsi="Times New Roman" w:eastAsia="宋体" w:cs="Times New Roman"/>
                      <w:b/>
                      <w:bCs/>
                      <w:color w:val="auto"/>
                      <w:kern w:val="21"/>
                      <w:sz w:val="21"/>
                      <w:szCs w:val="21"/>
                      <w:highlight w:val="none"/>
                      <w:lang w:val="en-US" w:eastAsia="zh-CN" w:bidi="ar-SA"/>
                    </w:rPr>
                  </w:pPr>
                  <w:r>
                    <w:rPr>
                      <w:rFonts w:hint="default" w:ascii="Times New Roman" w:hAnsi="Times New Roman" w:eastAsia="宋体" w:cs="Times New Roman"/>
                      <w:b/>
                      <w:bCs/>
                      <w:color w:val="auto"/>
                      <w:kern w:val="21"/>
                      <w:sz w:val="21"/>
                      <w:szCs w:val="21"/>
                      <w:highlight w:val="none"/>
                      <w:lang w:val="en-US" w:eastAsia="zh-CN"/>
                    </w:rPr>
                    <w:t>5月水质类别</w:t>
                  </w:r>
                </w:p>
              </w:tc>
              <w:tc>
                <w:tcPr>
                  <w:tcW w:w="624" w:type="pct"/>
                  <w:noWrap w:val="0"/>
                  <w:vAlign w:val="center"/>
                </w:tcPr>
                <w:p w14:paraId="2A8C6376">
                  <w:pPr>
                    <w:adjustRightInd w:val="0"/>
                    <w:snapToGrid w:val="0"/>
                    <w:jc w:val="center"/>
                    <w:rPr>
                      <w:rFonts w:hint="default" w:ascii="Times New Roman" w:hAnsi="Times New Roman" w:eastAsia="宋体" w:cs="Times New Roman"/>
                      <w:b/>
                      <w:bCs/>
                      <w:color w:val="auto"/>
                      <w:kern w:val="21"/>
                      <w:sz w:val="21"/>
                      <w:szCs w:val="21"/>
                      <w:highlight w:val="none"/>
                      <w:lang w:val="en-US" w:eastAsia="zh-CN" w:bidi="ar-SA"/>
                    </w:rPr>
                  </w:pPr>
                  <w:r>
                    <w:rPr>
                      <w:rFonts w:hint="default" w:ascii="Times New Roman" w:hAnsi="Times New Roman" w:eastAsia="宋体" w:cs="Times New Roman"/>
                      <w:b/>
                      <w:bCs/>
                      <w:color w:val="auto"/>
                      <w:kern w:val="21"/>
                      <w:sz w:val="21"/>
                      <w:szCs w:val="21"/>
                      <w:highlight w:val="none"/>
                      <w:lang w:val="en-US" w:eastAsia="zh-CN"/>
                    </w:rPr>
                    <w:t>4月水质类别</w:t>
                  </w:r>
                </w:p>
              </w:tc>
              <w:tc>
                <w:tcPr>
                  <w:tcW w:w="624" w:type="pct"/>
                  <w:noWrap w:val="0"/>
                  <w:vAlign w:val="center"/>
                </w:tcPr>
                <w:p w14:paraId="61890E48">
                  <w:pPr>
                    <w:adjustRightInd w:val="0"/>
                    <w:snapToGrid w:val="0"/>
                    <w:jc w:val="center"/>
                    <w:rPr>
                      <w:rFonts w:hint="default" w:ascii="Times New Roman" w:hAnsi="Times New Roman" w:eastAsia="宋体" w:cs="Times New Roman"/>
                      <w:b/>
                      <w:bCs/>
                      <w:color w:val="auto"/>
                      <w:kern w:val="21"/>
                      <w:sz w:val="21"/>
                      <w:szCs w:val="21"/>
                      <w:highlight w:val="none"/>
                      <w:lang w:val="en-US" w:eastAsia="zh-CN" w:bidi="ar-SA"/>
                    </w:rPr>
                  </w:pPr>
                  <w:r>
                    <w:rPr>
                      <w:rFonts w:hint="default" w:ascii="Times New Roman" w:hAnsi="Times New Roman" w:eastAsia="宋体" w:cs="Times New Roman"/>
                      <w:b/>
                      <w:bCs/>
                      <w:color w:val="auto"/>
                      <w:kern w:val="21"/>
                      <w:sz w:val="21"/>
                      <w:szCs w:val="21"/>
                      <w:highlight w:val="none"/>
                      <w:lang w:val="en-US" w:eastAsia="zh-CN"/>
                    </w:rPr>
                    <w:t>3月水质类别</w:t>
                  </w:r>
                </w:p>
              </w:tc>
              <w:tc>
                <w:tcPr>
                  <w:tcW w:w="624" w:type="pct"/>
                  <w:noWrap w:val="0"/>
                  <w:vAlign w:val="center"/>
                </w:tcPr>
                <w:p w14:paraId="7231487E">
                  <w:pPr>
                    <w:adjustRightInd w:val="0"/>
                    <w:snapToGrid w:val="0"/>
                    <w:jc w:val="center"/>
                    <w:rPr>
                      <w:rFonts w:hint="default" w:ascii="Times New Roman" w:hAnsi="Times New Roman" w:eastAsia="宋体" w:cs="Times New Roman"/>
                      <w:b/>
                      <w:bCs/>
                      <w:color w:val="auto"/>
                      <w:kern w:val="21"/>
                      <w:sz w:val="21"/>
                      <w:szCs w:val="21"/>
                      <w:highlight w:val="none"/>
                      <w:lang w:val="en-US" w:eastAsia="zh-CN" w:bidi="ar-SA"/>
                    </w:rPr>
                  </w:pPr>
                  <w:r>
                    <w:rPr>
                      <w:rFonts w:hint="default" w:ascii="Times New Roman" w:hAnsi="Times New Roman" w:eastAsia="宋体" w:cs="Times New Roman"/>
                      <w:b/>
                      <w:bCs/>
                      <w:color w:val="auto"/>
                      <w:kern w:val="21"/>
                      <w:sz w:val="21"/>
                      <w:szCs w:val="21"/>
                      <w:highlight w:val="none"/>
                      <w:lang w:val="en-US" w:eastAsia="zh-CN"/>
                    </w:rPr>
                    <w:t>2月水质类别</w:t>
                  </w:r>
                </w:p>
              </w:tc>
              <w:tc>
                <w:tcPr>
                  <w:tcW w:w="627" w:type="pct"/>
                  <w:noWrap w:val="0"/>
                  <w:vAlign w:val="center"/>
                </w:tcPr>
                <w:p w14:paraId="107BA718">
                  <w:pPr>
                    <w:adjustRightInd w:val="0"/>
                    <w:snapToGrid w:val="0"/>
                    <w:jc w:val="center"/>
                    <w:rPr>
                      <w:rFonts w:hint="default" w:ascii="Times New Roman" w:hAnsi="Times New Roman" w:eastAsia="宋体" w:cs="Times New Roman"/>
                      <w:b/>
                      <w:bCs/>
                      <w:color w:val="auto"/>
                      <w:kern w:val="21"/>
                      <w:sz w:val="21"/>
                      <w:szCs w:val="21"/>
                      <w:highlight w:val="none"/>
                      <w:lang w:val="en-US" w:eastAsia="zh-CN" w:bidi="ar-SA"/>
                    </w:rPr>
                  </w:pPr>
                  <w:r>
                    <w:rPr>
                      <w:rFonts w:hint="default" w:ascii="Times New Roman" w:hAnsi="Times New Roman" w:eastAsia="宋体" w:cs="Times New Roman"/>
                      <w:b/>
                      <w:bCs/>
                      <w:color w:val="auto"/>
                      <w:kern w:val="21"/>
                      <w:sz w:val="21"/>
                      <w:szCs w:val="21"/>
                      <w:highlight w:val="none"/>
                      <w:lang w:val="en-US" w:eastAsia="zh-CN"/>
                    </w:rPr>
                    <w:t>1月水质类别</w:t>
                  </w:r>
                </w:p>
              </w:tc>
            </w:tr>
            <w:tr w14:paraId="156F32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45" w:hRule="atLeast"/>
                <w:jc w:val="center"/>
              </w:trPr>
              <w:tc>
                <w:tcPr>
                  <w:tcW w:w="624" w:type="pct"/>
                  <w:noWrap w:val="0"/>
                  <w:vAlign w:val="center"/>
                </w:tcPr>
                <w:p w14:paraId="0156EDC2">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穆棱河口内</w:t>
                  </w:r>
                </w:p>
              </w:tc>
              <w:tc>
                <w:tcPr>
                  <w:tcW w:w="624" w:type="pct"/>
                  <w:noWrap w:val="0"/>
                  <w:vAlign w:val="center"/>
                </w:tcPr>
                <w:p w14:paraId="2B44C7FC">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穆棱河</w:t>
                  </w:r>
                </w:p>
              </w:tc>
              <w:tc>
                <w:tcPr>
                  <w:tcW w:w="624" w:type="pct"/>
                  <w:noWrap w:val="0"/>
                  <w:vAlign w:val="center"/>
                </w:tcPr>
                <w:p w14:paraId="51649B68">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570F4468">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08A8BA35">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微软雅黑" w:cs="Times New Roman"/>
                      <w:color w:val="auto"/>
                      <w:kern w:val="21"/>
                      <w:sz w:val="21"/>
                      <w:szCs w:val="21"/>
                      <w:highlight w:val="none"/>
                      <w:lang w:val="en-US" w:eastAsia="zh-CN"/>
                    </w:rPr>
                    <w:t>Ⅱ</w:t>
                  </w:r>
                  <w:r>
                    <w:rPr>
                      <w:rFonts w:hint="default" w:ascii="Times New Roman" w:hAnsi="Times New Roman" w:eastAsia="宋体" w:cs="Times New Roman"/>
                      <w:color w:val="auto"/>
                      <w:kern w:val="21"/>
                      <w:sz w:val="21"/>
                      <w:szCs w:val="21"/>
                      <w:highlight w:val="none"/>
                      <w:lang w:val="en-US" w:eastAsia="zh-CN"/>
                    </w:rPr>
                    <w:t>类</w:t>
                  </w:r>
                </w:p>
              </w:tc>
              <w:tc>
                <w:tcPr>
                  <w:tcW w:w="624" w:type="pct"/>
                  <w:noWrap w:val="0"/>
                  <w:vAlign w:val="center"/>
                </w:tcPr>
                <w:p w14:paraId="679FC2C1">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微软雅黑" w:cs="Times New Roman"/>
                      <w:color w:val="auto"/>
                      <w:kern w:val="21"/>
                      <w:sz w:val="21"/>
                      <w:szCs w:val="21"/>
                      <w:highlight w:val="none"/>
                      <w:lang w:val="en-US" w:eastAsia="zh-CN"/>
                    </w:rPr>
                    <w:t>Ⅱ</w:t>
                  </w:r>
                  <w:r>
                    <w:rPr>
                      <w:rFonts w:hint="default" w:ascii="Times New Roman" w:hAnsi="Times New Roman" w:eastAsia="宋体" w:cs="Times New Roman"/>
                      <w:color w:val="auto"/>
                      <w:kern w:val="21"/>
                      <w:sz w:val="21"/>
                      <w:szCs w:val="21"/>
                      <w:highlight w:val="none"/>
                      <w:lang w:val="en-US" w:eastAsia="zh-CN"/>
                    </w:rPr>
                    <w:t>类</w:t>
                  </w:r>
                </w:p>
              </w:tc>
              <w:tc>
                <w:tcPr>
                  <w:tcW w:w="624" w:type="pct"/>
                  <w:noWrap w:val="0"/>
                  <w:vAlign w:val="center"/>
                </w:tcPr>
                <w:p w14:paraId="6BC11C78">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微软雅黑" w:cs="Times New Roman"/>
                      <w:color w:val="auto"/>
                      <w:kern w:val="21"/>
                      <w:sz w:val="21"/>
                      <w:szCs w:val="21"/>
                      <w:highlight w:val="none"/>
                      <w:lang w:val="en-US" w:eastAsia="zh-CN"/>
                    </w:rPr>
                    <w:t>Ⅱ</w:t>
                  </w:r>
                  <w:r>
                    <w:rPr>
                      <w:rFonts w:hint="default" w:ascii="Times New Roman" w:hAnsi="Times New Roman" w:eastAsia="宋体" w:cs="Times New Roman"/>
                      <w:color w:val="auto"/>
                      <w:kern w:val="21"/>
                      <w:sz w:val="21"/>
                      <w:szCs w:val="21"/>
                      <w:highlight w:val="none"/>
                      <w:lang w:val="en-US" w:eastAsia="zh-CN"/>
                    </w:rPr>
                    <w:t>类</w:t>
                  </w:r>
                </w:p>
              </w:tc>
              <w:tc>
                <w:tcPr>
                  <w:tcW w:w="627" w:type="pct"/>
                  <w:noWrap w:val="0"/>
                  <w:vAlign w:val="center"/>
                </w:tcPr>
                <w:p w14:paraId="272A57BF">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Ⅲ类</w:t>
                  </w:r>
                </w:p>
              </w:tc>
            </w:tr>
            <w:tr w14:paraId="000605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7" w:hRule="atLeast"/>
                <w:jc w:val="center"/>
              </w:trPr>
              <w:tc>
                <w:tcPr>
                  <w:tcW w:w="624" w:type="pct"/>
                  <w:noWrap w:val="0"/>
                  <w:vAlign w:val="center"/>
                </w:tcPr>
                <w:p w14:paraId="0F91604A">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知一桥</w:t>
                  </w:r>
                </w:p>
              </w:tc>
              <w:tc>
                <w:tcPr>
                  <w:tcW w:w="624" w:type="pct"/>
                  <w:noWrap w:val="0"/>
                  <w:vAlign w:val="center"/>
                </w:tcPr>
                <w:p w14:paraId="3C67008E">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穆棱河</w:t>
                  </w:r>
                </w:p>
              </w:tc>
              <w:tc>
                <w:tcPr>
                  <w:tcW w:w="624" w:type="pct"/>
                  <w:noWrap w:val="0"/>
                  <w:vAlign w:val="center"/>
                </w:tcPr>
                <w:p w14:paraId="7C771928">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4559F65E">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555517E1">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50288B7E">
                  <w:pPr>
                    <w:adjustRightInd w:val="0"/>
                    <w:snapToGrid w:val="0"/>
                    <w:jc w:val="center"/>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rPr>
                    <w:t>Ⅲ类</w:t>
                  </w:r>
                </w:p>
              </w:tc>
              <w:tc>
                <w:tcPr>
                  <w:tcW w:w="624" w:type="pct"/>
                  <w:noWrap w:val="0"/>
                  <w:vAlign w:val="center"/>
                </w:tcPr>
                <w:p w14:paraId="21990E24">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c>
                <w:tcPr>
                  <w:tcW w:w="627" w:type="pct"/>
                  <w:noWrap w:val="0"/>
                  <w:vAlign w:val="center"/>
                </w:tcPr>
                <w:p w14:paraId="7FAA17D4">
                  <w:pPr>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Ⅲ类</w:t>
                  </w:r>
                </w:p>
              </w:tc>
            </w:tr>
          </w:tbl>
          <w:p w14:paraId="38174DB0">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b/>
                <w:bCs/>
                <w:color w:val="auto"/>
                <w:kern w:val="0"/>
                <w:sz w:val="24"/>
              </w:rPr>
              <w:t>三、声环境质量现状</w:t>
            </w:r>
          </w:p>
          <w:p w14:paraId="11B36707">
            <w:pPr>
              <w:spacing w:line="360" w:lineRule="auto"/>
              <w:ind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rPr>
              <w:t>本项目建设地点位于</w:t>
            </w:r>
            <w:r>
              <w:rPr>
                <w:rFonts w:hint="eastAsia" w:cs="Times New Roman"/>
                <w:color w:val="auto"/>
                <w:kern w:val="0"/>
                <w:sz w:val="24"/>
                <w:highlight w:val="none"/>
                <w:lang w:eastAsia="zh-CN"/>
              </w:rPr>
              <w:t>鸡西市城子河区正阳街道三号井附近</w:t>
            </w:r>
            <w:r>
              <w:rPr>
                <w:rFonts w:hint="default" w:ascii="Times New Roman" w:hAnsi="Times New Roman" w:eastAsia="宋体" w:cs="Times New Roman"/>
                <w:color w:val="auto"/>
                <w:kern w:val="0"/>
                <w:sz w:val="24"/>
                <w:highlight w:val="none"/>
              </w:rPr>
              <w:t>，选址周围50m范围内</w:t>
            </w:r>
            <w:r>
              <w:rPr>
                <w:rFonts w:hint="eastAsia" w:cs="Times New Roman"/>
                <w:color w:val="auto"/>
                <w:kern w:val="0"/>
                <w:sz w:val="24"/>
                <w:highlight w:val="none"/>
                <w:lang w:eastAsia="zh-CN"/>
              </w:rPr>
              <w:t>无</w:t>
            </w:r>
            <w:r>
              <w:rPr>
                <w:rFonts w:hint="default" w:ascii="Times New Roman" w:hAnsi="Times New Roman" w:eastAsia="宋体" w:cs="Times New Roman"/>
                <w:color w:val="auto"/>
                <w:kern w:val="0"/>
                <w:sz w:val="24"/>
                <w:highlight w:val="none"/>
              </w:rPr>
              <w:t>声环境保护目标，</w:t>
            </w:r>
            <w:r>
              <w:rPr>
                <w:rFonts w:hint="default" w:ascii="Times New Roman" w:hAnsi="Times New Roman" w:cs="Times New Roman"/>
                <w:color w:val="auto"/>
                <w:sz w:val="24"/>
                <w:szCs w:val="24"/>
                <w:highlight w:val="none"/>
              </w:rPr>
              <w:t>根据《建设项目环境影响报告表编制技术指南</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污染影响类</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》要求厂界外周边50m存在声环境保护目标的建设项目，应监测保护目标声环境质量现状并评价达标情况，根据现场调查结果，本项目50m范围内没有声环境敏感保护目标，不再对声环境进行监测。</w:t>
            </w:r>
          </w:p>
          <w:p w14:paraId="5131FF09">
            <w:pPr>
              <w:spacing w:line="360" w:lineRule="auto"/>
              <w:ind w:firstLine="482" w:firstLineChars="200"/>
              <w:rPr>
                <w:rFonts w:hint="default" w:ascii="Times New Roman" w:hAnsi="Times New Roman" w:eastAsia="宋体" w:cs="Times New Roman"/>
                <w:color w:val="auto"/>
                <w:sz w:val="24"/>
              </w:rPr>
            </w:pPr>
            <w:r>
              <w:rPr>
                <w:rFonts w:hint="default" w:ascii="Times New Roman" w:hAnsi="Times New Roman" w:eastAsia="宋体" w:cs="Times New Roman"/>
                <w:b/>
                <w:bCs/>
                <w:color w:val="auto"/>
                <w:sz w:val="24"/>
              </w:rPr>
              <w:t>四、生态环境</w:t>
            </w:r>
          </w:p>
          <w:p w14:paraId="25D3BF70">
            <w:pPr>
              <w:adjustRightInd w:val="0"/>
              <w:snapToGrid w:val="0"/>
              <w:spacing w:line="360" w:lineRule="auto"/>
              <w:ind w:firstLine="480" w:firstLineChars="200"/>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kern w:val="0"/>
                <w:sz w:val="24"/>
              </w:rPr>
              <w:t>本项目用地</w:t>
            </w:r>
            <w:r>
              <w:rPr>
                <w:rFonts w:hint="eastAsia" w:cs="Times New Roman"/>
                <w:color w:val="auto"/>
                <w:kern w:val="0"/>
                <w:sz w:val="24"/>
                <w:lang w:val="en-US" w:eastAsia="zh-CN"/>
              </w:rPr>
              <w:t>10558</w:t>
            </w:r>
            <w:r>
              <w:rPr>
                <w:rFonts w:hint="default" w:ascii="Times New Roman" w:hAnsi="Times New Roman" w:eastAsia="宋体" w:cs="Times New Roman"/>
                <w:color w:val="auto"/>
                <w:kern w:val="0"/>
                <w:sz w:val="24"/>
              </w:rPr>
              <w:t>平方米，</w:t>
            </w:r>
            <w:r>
              <w:rPr>
                <w:rFonts w:hint="eastAsia" w:cs="Times New Roman"/>
                <w:color w:val="auto"/>
                <w:kern w:val="0"/>
                <w:sz w:val="24"/>
                <w:lang w:eastAsia="zh-CN"/>
              </w:rPr>
              <w:t>占地类型</w:t>
            </w:r>
            <w:r>
              <w:rPr>
                <w:rFonts w:hint="default" w:ascii="Times New Roman" w:hAnsi="Times New Roman" w:eastAsia="宋体" w:cs="Times New Roman"/>
                <w:color w:val="auto"/>
                <w:kern w:val="0"/>
                <w:sz w:val="24"/>
              </w:rPr>
              <w:t>为</w:t>
            </w:r>
            <w:r>
              <w:rPr>
                <w:rFonts w:hint="eastAsia" w:cs="Times New Roman"/>
                <w:color w:val="auto"/>
                <w:kern w:val="0"/>
                <w:sz w:val="24"/>
                <w:lang w:eastAsia="zh-CN"/>
              </w:rPr>
              <w:t>采矿</w:t>
            </w:r>
            <w:r>
              <w:rPr>
                <w:rFonts w:hint="default" w:ascii="Times New Roman" w:hAnsi="Times New Roman" w:eastAsia="宋体" w:cs="Times New Roman"/>
                <w:color w:val="auto"/>
                <w:kern w:val="0"/>
                <w:sz w:val="24"/>
              </w:rPr>
              <w:t>用地，地表无植被覆盖，本项</w:t>
            </w:r>
            <w:r>
              <w:rPr>
                <w:rFonts w:hint="default" w:ascii="Times New Roman" w:hAnsi="Times New Roman" w:eastAsia="宋体" w:cs="Times New Roman"/>
                <w:color w:val="auto"/>
                <w:kern w:val="0"/>
                <w:sz w:val="24"/>
                <w:highlight w:val="none"/>
              </w:rPr>
              <w:t>目周边无国家级、省级、市级名胜古迹、自然保护区，生态敏感、脆弱区，</w:t>
            </w:r>
            <w:r>
              <w:rPr>
                <w:rFonts w:hint="default" w:ascii="Times New Roman" w:hAnsi="Times New Roman" w:eastAsia="宋体" w:cs="Times New Roman"/>
                <w:color w:val="auto"/>
                <w:kern w:val="0"/>
                <w:sz w:val="24"/>
              </w:rPr>
              <w:t>故本项目不开展生态环境现状调查。</w:t>
            </w:r>
          </w:p>
          <w:p w14:paraId="4F071D80">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综上所述，项目选址周边环境空气质量、地表水环境质量、声环境质量符合功能区划的要求，区域内生态环境现状良好。因此，项目所在区域整体环境质量良好。</w:t>
            </w:r>
          </w:p>
          <w:p w14:paraId="44488985">
            <w:pPr>
              <w:spacing w:line="360" w:lineRule="auto"/>
              <w:ind w:firstLine="482" w:firstLineChars="200"/>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eastAsia="zh-CN"/>
              </w:rPr>
              <w:t>五、</w:t>
            </w:r>
            <w:r>
              <w:rPr>
                <w:rFonts w:hint="default" w:ascii="Times New Roman" w:hAnsi="Times New Roman" w:eastAsia="宋体" w:cs="Times New Roman"/>
                <w:b/>
                <w:bCs/>
                <w:color w:val="auto"/>
                <w:sz w:val="24"/>
              </w:rPr>
              <w:t>地下水</w:t>
            </w:r>
            <w:r>
              <w:rPr>
                <w:rFonts w:hint="eastAsia" w:cs="Times New Roman"/>
                <w:b/>
                <w:bCs/>
                <w:color w:val="auto"/>
                <w:sz w:val="24"/>
                <w:lang w:eastAsia="zh-CN"/>
              </w:rPr>
              <w:t>、土壤</w:t>
            </w:r>
          </w:p>
          <w:p w14:paraId="3098A8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rPr>
            </w:pPr>
            <w:r>
              <w:rPr>
                <w:rFonts w:hint="eastAsia"/>
                <w:color w:val="auto"/>
                <w:kern w:val="21"/>
                <w:sz w:val="24"/>
                <w:szCs w:val="24"/>
                <w:highlight w:val="none"/>
              </w:rPr>
              <w:t>本项目位于鸡西市城子河区正阳街道三号井附近。本项目按要求对厂区内地面进行防渗硬化，采取措施后，不存在明显的土壤、地下水污染途径，根据《建设项目环境影响报告表编制技术指南（污染影响类）》（试行），未开展地下水、土壤环境现状调查。</w:t>
            </w:r>
          </w:p>
          <w:p w14:paraId="23E4C0C4">
            <w:pPr>
              <w:autoSpaceDE w:val="0"/>
              <w:autoSpaceDN w:val="0"/>
              <w:adjustRightInd w:val="0"/>
              <w:spacing w:line="360" w:lineRule="auto"/>
              <w:ind w:firstLine="482" w:firstLineChars="200"/>
              <w:jc w:val="left"/>
              <w:rPr>
                <w:rFonts w:hint="default" w:ascii="Times New Roman" w:hAnsi="Times New Roman" w:eastAsia="宋体" w:cs="Times New Roman"/>
                <w:b/>
                <w:bCs/>
                <w:color w:val="auto"/>
                <w:sz w:val="24"/>
              </w:rPr>
            </w:pPr>
            <w:r>
              <w:rPr>
                <w:rFonts w:hint="eastAsia" w:cs="Times New Roman"/>
                <w:b/>
                <w:bCs/>
                <w:color w:val="auto"/>
                <w:sz w:val="24"/>
                <w:lang w:eastAsia="zh-CN"/>
              </w:rPr>
              <w:t>六</w:t>
            </w:r>
            <w:r>
              <w:rPr>
                <w:rFonts w:hint="default" w:ascii="Times New Roman" w:hAnsi="Times New Roman" w:eastAsia="宋体" w:cs="Times New Roman"/>
                <w:b/>
                <w:bCs/>
                <w:color w:val="auto"/>
                <w:sz w:val="24"/>
              </w:rPr>
              <w:t>、电磁辐射</w:t>
            </w:r>
          </w:p>
          <w:p w14:paraId="627D60D9">
            <w:pPr>
              <w:adjustRightInd w:val="0"/>
              <w:snapToGrid w:val="0"/>
              <w:spacing w:line="360" w:lineRule="auto"/>
              <w:ind w:firstLine="480" w:firstLineChars="200"/>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sz w:val="24"/>
              </w:rPr>
              <w:t>本项目不涉及电磁辐射。</w:t>
            </w:r>
          </w:p>
        </w:tc>
      </w:tr>
      <w:tr w14:paraId="6775EB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426" w:type="dxa"/>
            <w:noWrap w:val="0"/>
            <w:vAlign w:val="center"/>
          </w:tcPr>
          <w:p w14:paraId="46F22919">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环境</w:t>
            </w:r>
          </w:p>
          <w:p w14:paraId="4B586889">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保护</w:t>
            </w:r>
          </w:p>
          <w:p w14:paraId="740777A8">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目标</w:t>
            </w:r>
          </w:p>
        </w:tc>
        <w:tc>
          <w:tcPr>
            <w:tcW w:w="8635" w:type="dxa"/>
            <w:noWrap w:val="0"/>
            <w:vAlign w:val="top"/>
          </w:tcPr>
          <w:p w14:paraId="37E55E97">
            <w:pPr>
              <w:keepNext w:val="0"/>
              <w:keepLines w:val="0"/>
              <w:pageBreakBefore w:val="0"/>
              <w:widowControl/>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rPr>
              <w:t>本项目位于</w:t>
            </w:r>
            <w:r>
              <w:rPr>
                <w:rFonts w:hint="eastAsia" w:cs="Times New Roman"/>
                <w:color w:val="auto"/>
                <w:sz w:val="24"/>
                <w:lang w:eastAsia="zh-CN"/>
              </w:rPr>
              <w:t>鸡西市城子河区正阳街道三号井附近</w:t>
            </w:r>
            <w:r>
              <w:rPr>
                <w:rFonts w:hint="default" w:ascii="Times New Roman" w:hAnsi="Times New Roman" w:eastAsia="宋体" w:cs="Times New Roman"/>
                <w:color w:val="auto"/>
                <w:sz w:val="24"/>
                <w:highlight w:val="none"/>
              </w:rPr>
              <w:t>，评价区内无国家、省、市级自然保护区、名胜古迹等敏感目标</w:t>
            </w:r>
            <w:r>
              <w:rPr>
                <w:rFonts w:hint="eastAsia" w:cs="Times New Roman"/>
                <w:color w:val="auto"/>
                <w:sz w:val="24"/>
                <w:highlight w:val="none"/>
                <w:lang w:eastAsia="zh-CN"/>
              </w:rPr>
              <w:t>，</w:t>
            </w:r>
            <w:r>
              <w:rPr>
                <w:rFonts w:hint="eastAsia" w:cs="Times New Roman"/>
                <w:color w:val="auto"/>
                <w:sz w:val="24"/>
                <w:highlight w:val="none"/>
                <w:lang w:val="en-US" w:eastAsia="zh-CN"/>
              </w:rPr>
              <w:t>故</w:t>
            </w:r>
            <w:r>
              <w:rPr>
                <w:rFonts w:hint="default" w:ascii="Times New Roman" w:hAnsi="Times New Roman" w:eastAsia="宋体" w:cs="Times New Roman"/>
                <w:color w:val="auto"/>
                <w:sz w:val="24"/>
                <w:highlight w:val="none"/>
              </w:rPr>
              <w:t>其环境保护目标主要为周围居民区等，各环境要素、环境保护目标见下表及附图</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14:paraId="60A35BE7">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表3-</w:t>
            </w:r>
            <w:r>
              <w:rPr>
                <w:rFonts w:hint="eastAsia" w:cs="Times New Roman"/>
                <w:b/>
                <w:bCs/>
                <w:color w:val="auto"/>
                <w:sz w:val="21"/>
                <w:szCs w:val="21"/>
                <w:lang w:val="en-US" w:eastAsia="zh-CN"/>
              </w:rPr>
              <w:t>5</w:t>
            </w:r>
            <w:r>
              <w:rPr>
                <w:rFonts w:hint="default" w:ascii="Times New Roman" w:hAnsi="Times New Roman" w:eastAsia="宋体" w:cs="Times New Roman"/>
                <w:b/>
                <w:bCs/>
                <w:color w:val="auto"/>
                <w:sz w:val="21"/>
                <w:szCs w:val="21"/>
              </w:rPr>
              <w:t xml:space="preserve"> 主要环境保护目标一览表</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341"/>
              <w:gridCol w:w="2861"/>
              <w:gridCol w:w="3523"/>
            </w:tblGrid>
            <w:tr w14:paraId="7809D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94" w:type="dxa"/>
                  <w:noWrap w:val="0"/>
                  <w:vAlign w:val="center"/>
                </w:tcPr>
                <w:p w14:paraId="6E680412">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341" w:type="dxa"/>
                  <w:noWrap w:val="0"/>
                  <w:vAlign w:val="center"/>
                </w:tcPr>
                <w:p w14:paraId="276E1D3F">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2861" w:type="dxa"/>
                  <w:tcBorders>
                    <w:right w:val="single" w:color="000000" w:sz="4" w:space="0"/>
                  </w:tcBorders>
                  <w:noWrap w:val="0"/>
                  <w:vAlign w:val="center"/>
                </w:tcPr>
                <w:p w14:paraId="5AA23725">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环境评价保护范围</w:t>
                  </w:r>
                </w:p>
              </w:tc>
              <w:tc>
                <w:tcPr>
                  <w:tcW w:w="3523" w:type="dxa"/>
                  <w:noWrap w:val="0"/>
                  <w:vAlign w:val="center"/>
                </w:tcPr>
                <w:p w14:paraId="63ED8C08">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环境标准</w:t>
                  </w:r>
                </w:p>
              </w:tc>
            </w:tr>
            <w:tr w14:paraId="5E7AB5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94" w:type="dxa"/>
                  <w:noWrap w:val="0"/>
                  <w:vAlign w:val="center"/>
                </w:tcPr>
                <w:p w14:paraId="0839B825">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341" w:type="dxa"/>
                  <w:noWrap w:val="0"/>
                  <w:vAlign w:val="center"/>
                </w:tcPr>
                <w:p w14:paraId="6A364D4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2861" w:type="dxa"/>
                  <w:tcBorders>
                    <w:right w:val="single" w:color="000000" w:sz="4" w:space="0"/>
                  </w:tcBorders>
                  <w:noWrap w:val="0"/>
                  <w:vAlign w:val="center"/>
                </w:tcPr>
                <w:p w14:paraId="50DD182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本项目厂界外50m范围内</w:t>
                  </w:r>
                </w:p>
              </w:tc>
              <w:tc>
                <w:tcPr>
                  <w:tcW w:w="3523" w:type="dxa"/>
                  <w:noWrap w:val="0"/>
                  <w:vAlign w:val="center"/>
                </w:tcPr>
                <w:p w14:paraId="40ABA1F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保护其满足《声环境质量标准》（GB3096-2008）中2类</w:t>
                  </w:r>
                </w:p>
              </w:tc>
            </w:tr>
            <w:tr w14:paraId="1CD8D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94" w:type="dxa"/>
                  <w:noWrap w:val="0"/>
                  <w:vAlign w:val="center"/>
                </w:tcPr>
                <w:p w14:paraId="0A262A90">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341" w:type="dxa"/>
                  <w:noWrap w:val="0"/>
                  <w:vAlign w:val="center"/>
                </w:tcPr>
                <w:p w14:paraId="2BEF5B68">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w:t>
                  </w:r>
                </w:p>
              </w:tc>
              <w:tc>
                <w:tcPr>
                  <w:tcW w:w="2861" w:type="dxa"/>
                  <w:tcBorders>
                    <w:right w:val="single" w:color="000000" w:sz="4" w:space="0"/>
                  </w:tcBorders>
                  <w:noWrap w:val="0"/>
                  <w:vAlign w:val="center"/>
                </w:tcPr>
                <w:p w14:paraId="58EADF8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厂界周边500m范围内</w:t>
                  </w:r>
                </w:p>
              </w:tc>
              <w:tc>
                <w:tcPr>
                  <w:tcW w:w="3523" w:type="dxa"/>
                  <w:noWrap w:val="0"/>
                  <w:vAlign w:val="center"/>
                </w:tcPr>
                <w:p w14:paraId="7371FA01">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保护其满足《环境空气质量标准》（GB3095-2026）中过渡阶段二级标准限值</w:t>
                  </w:r>
                </w:p>
              </w:tc>
            </w:tr>
            <w:tr w14:paraId="2BA750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94" w:type="dxa"/>
                  <w:noWrap w:val="0"/>
                  <w:vAlign w:val="center"/>
                </w:tcPr>
                <w:p w14:paraId="111B518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341" w:type="dxa"/>
                  <w:noWrap w:val="0"/>
                  <w:vAlign w:val="center"/>
                </w:tcPr>
                <w:p w14:paraId="7DE45563">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w:t>
                  </w:r>
                </w:p>
              </w:tc>
              <w:tc>
                <w:tcPr>
                  <w:tcW w:w="2861" w:type="dxa"/>
                  <w:tcBorders>
                    <w:right w:val="single" w:color="000000" w:sz="4" w:space="0"/>
                  </w:tcBorders>
                  <w:noWrap w:val="0"/>
                  <w:vAlign w:val="center"/>
                </w:tcPr>
                <w:p w14:paraId="3251BC8C">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穆棱河</w:t>
                  </w:r>
                </w:p>
              </w:tc>
              <w:tc>
                <w:tcPr>
                  <w:tcW w:w="3523" w:type="dxa"/>
                  <w:noWrap w:val="0"/>
                  <w:vAlign w:val="center"/>
                </w:tcPr>
                <w:p w14:paraId="04EEDCC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保护其满足《地表水环境质量标准》（GB3838-2002）中Ⅲ类标准</w:t>
                  </w:r>
                </w:p>
              </w:tc>
            </w:tr>
            <w:tr w14:paraId="71F62A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419" w:type="dxa"/>
                  <w:gridSpan w:val="4"/>
                  <w:noWrap w:val="0"/>
                  <w:vAlign w:val="center"/>
                </w:tcPr>
                <w:p w14:paraId="21772340">
                  <w:pPr>
                    <w:adjustRightInd w:val="0"/>
                    <w:snapToGrid w:val="0"/>
                    <w:jc w:val="both"/>
                    <w:rPr>
                      <w:rFonts w:hint="eastAsia" w:ascii="Times New Roman" w:hAnsi="Times New Roman" w:eastAsia="宋体" w:cs="Times New Roman"/>
                      <w:color w:val="auto"/>
                      <w:sz w:val="21"/>
                      <w:szCs w:val="21"/>
                      <w:lang w:eastAsia="zh-CN"/>
                    </w:rPr>
                  </w:pPr>
                  <w:r>
                    <w:rPr>
                      <w:rFonts w:hint="eastAsia" w:cs="Times New Roman"/>
                      <w:color w:val="auto"/>
                      <w:sz w:val="18"/>
                      <w:szCs w:val="18"/>
                      <w:lang w:eastAsia="zh-CN"/>
                    </w:rPr>
                    <w:t>注：本次评价环境风险评价等级为简单分析，故不列其保护目标。</w:t>
                  </w:r>
                </w:p>
              </w:tc>
            </w:tr>
          </w:tbl>
          <w:p w14:paraId="74BD6C2D">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eastAsia="宋体" w:cs="Times New Roman"/>
                <w:b/>
                <w:bCs/>
                <w:color w:val="auto"/>
                <w:sz w:val="24"/>
              </w:rPr>
            </w:pPr>
          </w:p>
          <w:p w14:paraId="5301E1F1">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eastAsia"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rPr>
              <w:t>1、声环境保护目标</w:t>
            </w:r>
          </w:p>
          <w:p w14:paraId="2CEB2647">
            <w:pPr>
              <w:pStyle w:val="41"/>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本项目厂界外50米范围内</w:t>
            </w:r>
            <w:r>
              <w:rPr>
                <w:rFonts w:hint="eastAsia" w:cs="Times New Roman"/>
                <w:color w:val="auto"/>
                <w:sz w:val="24"/>
                <w:highlight w:val="none"/>
                <w:lang w:eastAsia="zh-CN"/>
              </w:rPr>
              <w:t>不</w:t>
            </w:r>
            <w:r>
              <w:rPr>
                <w:rFonts w:hint="default" w:ascii="Times New Roman" w:hAnsi="Times New Roman" w:eastAsia="宋体" w:cs="Times New Roman"/>
                <w:color w:val="auto"/>
                <w:sz w:val="24"/>
                <w:highlight w:val="none"/>
                <w:lang w:eastAsia="zh-CN"/>
              </w:rPr>
              <w:t>存在</w:t>
            </w:r>
            <w:r>
              <w:rPr>
                <w:rFonts w:hint="default" w:ascii="Times New Roman" w:hAnsi="Times New Roman" w:eastAsia="宋体" w:cs="Times New Roman"/>
                <w:color w:val="auto"/>
                <w:sz w:val="24"/>
                <w:highlight w:val="none"/>
              </w:rPr>
              <w:t>声环境保护目标。</w:t>
            </w:r>
          </w:p>
          <w:p w14:paraId="7A380818">
            <w:pPr>
              <w:spacing w:line="360" w:lineRule="auto"/>
              <w:ind w:firstLine="482" w:firstLineChars="200"/>
              <w:rPr>
                <w:rFonts w:hint="eastAsia"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rPr>
              <w:t>2、环境空气保护目标</w:t>
            </w:r>
          </w:p>
          <w:p w14:paraId="54694FD9">
            <w:pPr>
              <w:spacing w:line="360" w:lineRule="auto"/>
              <w:ind w:firstLine="480" w:firstLineChars="200"/>
              <w:rPr>
                <w:rFonts w:hint="eastAsia" w:ascii="Times New Roman" w:hAnsi="Times New Roman" w:eastAsia="宋体" w:cs="Times New Roman"/>
                <w:color w:val="auto"/>
                <w:sz w:val="24"/>
                <w:lang w:eastAsia="zh-CN"/>
              </w:rPr>
            </w:pPr>
            <w:r>
              <w:rPr>
                <w:rFonts w:hint="default" w:ascii="Times New Roman" w:hAnsi="Times New Roman" w:eastAsia="宋体" w:cs="Times New Roman"/>
                <w:color w:val="auto"/>
                <w:sz w:val="24"/>
              </w:rPr>
              <w:t>本项目厂界外500米范围内</w:t>
            </w:r>
            <w:r>
              <w:rPr>
                <w:rFonts w:hint="eastAsia" w:cs="Times New Roman"/>
                <w:color w:val="auto"/>
                <w:sz w:val="24"/>
                <w:lang w:eastAsia="zh-CN"/>
              </w:rPr>
              <w:t>不存在</w:t>
            </w:r>
            <w:r>
              <w:rPr>
                <w:rFonts w:hint="default" w:ascii="Times New Roman" w:hAnsi="Times New Roman" w:eastAsia="宋体" w:cs="Times New Roman"/>
                <w:color w:val="auto"/>
                <w:sz w:val="24"/>
              </w:rPr>
              <w:t>环境空气保护目标</w:t>
            </w:r>
            <w:r>
              <w:rPr>
                <w:rFonts w:hint="eastAsia" w:cs="Times New Roman"/>
                <w:color w:val="auto"/>
                <w:sz w:val="24"/>
                <w:lang w:eastAsia="zh-CN"/>
              </w:rPr>
              <w:t>。</w:t>
            </w:r>
          </w:p>
          <w:p w14:paraId="46E246E7">
            <w:pPr>
              <w:spacing w:line="360" w:lineRule="auto"/>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3、地下水环境保护目标</w:t>
            </w:r>
          </w:p>
          <w:p w14:paraId="7C3DBBE1">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根据现场踏勘，本项目所在厂界500米范围内无地下水集中式饮用水水源、热水、矿泉水、温泉等特殊地下水资源。</w:t>
            </w:r>
          </w:p>
          <w:p w14:paraId="085B646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lang w:val="en-US" w:eastAsia="zh-CN"/>
              </w:rPr>
              <w:t>4</w:t>
            </w:r>
            <w:r>
              <w:rPr>
                <w:rFonts w:hint="default" w:ascii="Times New Roman" w:hAnsi="Times New Roman" w:cs="Times New Roman"/>
                <w:b/>
                <w:bCs/>
                <w:color w:val="auto"/>
                <w:sz w:val="24"/>
                <w:highlight w:val="none"/>
              </w:rPr>
              <w:t>、</w:t>
            </w:r>
            <w:r>
              <w:rPr>
                <w:rFonts w:hint="default" w:ascii="Times New Roman" w:hAnsi="Times New Roman" w:cs="Times New Roman"/>
                <w:b/>
                <w:bCs/>
                <w:color w:val="auto"/>
                <w:sz w:val="24"/>
                <w:highlight w:val="none"/>
                <w:lang w:eastAsia="zh-CN"/>
              </w:rPr>
              <w:t>生态</w:t>
            </w:r>
            <w:r>
              <w:rPr>
                <w:rFonts w:hint="default" w:ascii="Times New Roman" w:hAnsi="Times New Roman" w:cs="Times New Roman"/>
                <w:b/>
                <w:bCs/>
                <w:color w:val="auto"/>
                <w:sz w:val="24"/>
                <w:highlight w:val="none"/>
              </w:rPr>
              <w:t>环境保护目标</w:t>
            </w:r>
          </w:p>
          <w:p w14:paraId="600155D0">
            <w:pPr>
              <w:adjustRightInd w:val="0"/>
              <w:snapToGrid w:val="0"/>
              <w:spacing w:line="360" w:lineRule="auto"/>
              <w:ind w:firstLine="480" w:firstLineChars="200"/>
              <w:rPr>
                <w:rFonts w:hint="eastAsia" w:ascii="Times New Roman" w:hAnsi="Times New Roman" w:eastAsia="宋体" w:cs="Times New Roman"/>
                <w:color w:val="auto"/>
                <w:kern w:val="0"/>
                <w:szCs w:val="21"/>
                <w:lang w:val="en-US" w:eastAsia="zh-CN"/>
              </w:rPr>
            </w:pPr>
            <w:r>
              <w:rPr>
                <w:rFonts w:hint="default" w:ascii="Times New Roman" w:hAnsi="Times New Roman" w:cs="Times New Roman"/>
                <w:color w:val="auto"/>
                <w:sz w:val="24"/>
                <w:highlight w:val="none"/>
              </w:rPr>
              <w:t>本项目占地范围内无特殊生态敏感区及重要生态敏感区等生态环境保护目标，项目所在地无国家级、省、市级自然保护区、风景名胜区、文物保护对象。</w:t>
            </w:r>
          </w:p>
        </w:tc>
      </w:tr>
      <w:tr w14:paraId="67D1CF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dxa"/>
            <w:noWrap w:val="0"/>
            <w:tcMar>
              <w:left w:w="28" w:type="dxa"/>
              <w:right w:w="28" w:type="dxa"/>
            </w:tcMar>
            <w:vAlign w:val="center"/>
          </w:tcPr>
          <w:p w14:paraId="61769757">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污染</w:t>
            </w:r>
          </w:p>
          <w:p w14:paraId="6162D023">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物排</w:t>
            </w:r>
          </w:p>
          <w:p w14:paraId="26BBFE50">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放控</w:t>
            </w:r>
          </w:p>
          <w:p w14:paraId="2866275C">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制标</w:t>
            </w:r>
          </w:p>
          <w:p w14:paraId="52CCF3D1">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准</w:t>
            </w:r>
          </w:p>
        </w:tc>
        <w:tc>
          <w:tcPr>
            <w:tcW w:w="8635" w:type="dxa"/>
            <w:noWrap w:val="0"/>
            <w:vAlign w:val="top"/>
          </w:tcPr>
          <w:p w14:paraId="641B7669">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outlineLvl w:val="1"/>
              <w:rPr>
                <w:rFonts w:hint="default" w:ascii="Times New Roman" w:hAnsi="Times New Roman" w:eastAsia="宋体" w:cs="Times New Roman"/>
                <w:color w:val="auto"/>
              </w:rPr>
            </w:pPr>
            <w:r>
              <w:rPr>
                <w:rFonts w:hint="default" w:ascii="Times New Roman" w:hAnsi="Times New Roman" w:eastAsia="宋体" w:cs="Times New Roman"/>
                <w:b/>
                <w:bCs/>
                <w:color w:val="auto"/>
                <w:sz w:val="24"/>
              </w:rPr>
              <w:t>1、废气</w:t>
            </w:r>
          </w:p>
          <w:p w14:paraId="62D4A3EB">
            <w:pPr>
              <w:tabs>
                <w:tab w:val="left" w:pos="2397"/>
              </w:tabs>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（1）施工期扬尘执行施工期：大气污染物排放标准执行《大气污染物综合排放标准》（GB16297-1996）中二级标准。</w:t>
            </w:r>
          </w:p>
          <w:p w14:paraId="3969289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表3-</w:t>
            </w:r>
            <w:r>
              <w:rPr>
                <w:rFonts w:hint="eastAsia" w:cs="Times New Roman"/>
                <w:b/>
                <w:color w:val="auto"/>
                <w:sz w:val="21"/>
                <w:szCs w:val="21"/>
                <w:lang w:val="en-US" w:eastAsia="zh-CN"/>
              </w:rPr>
              <w:t>6</w:t>
            </w:r>
            <w:r>
              <w:rPr>
                <w:rFonts w:hint="default" w:ascii="Times New Roman" w:hAnsi="Times New Roman" w:eastAsia="宋体" w:cs="Times New Roman"/>
                <w:b/>
                <w:color w:val="auto"/>
                <w:sz w:val="21"/>
                <w:szCs w:val="21"/>
              </w:rPr>
              <w:t xml:space="preserve"> 大气污染物排放标准限值mg/m</w:t>
            </w:r>
            <w:r>
              <w:rPr>
                <w:rFonts w:hint="default" w:ascii="Times New Roman" w:hAnsi="Times New Roman" w:eastAsia="宋体" w:cs="Times New Roman"/>
                <w:b/>
                <w:color w:val="auto"/>
                <w:sz w:val="21"/>
                <w:szCs w:val="21"/>
                <w:vertAlign w:val="superscript"/>
              </w:rPr>
              <w:t>3</w:t>
            </w:r>
          </w:p>
          <w:tbl>
            <w:tblPr>
              <w:tblStyle w:val="3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3"/>
              <w:gridCol w:w="746"/>
              <w:gridCol w:w="2056"/>
              <w:gridCol w:w="1291"/>
              <w:gridCol w:w="3550"/>
            </w:tblGrid>
            <w:tr w14:paraId="015FE9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9" w:type="pct"/>
                  <w:noWrap w:val="0"/>
                  <w:vAlign w:val="center"/>
                </w:tcPr>
                <w:p w14:paraId="2265058B">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时期</w:t>
                  </w:r>
                </w:p>
              </w:tc>
              <w:tc>
                <w:tcPr>
                  <w:tcW w:w="1664" w:type="pct"/>
                  <w:gridSpan w:val="2"/>
                  <w:noWrap w:val="0"/>
                  <w:vAlign w:val="center"/>
                </w:tcPr>
                <w:p w14:paraId="55DCB647">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767" w:type="pct"/>
                  <w:noWrap w:val="0"/>
                  <w:vAlign w:val="center"/>
                </w:tcPr>
                <w:p w14:paraId="5C6F164C">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w:t>
                  </w:r>
                </w:p>
              </w:tc>
              <w:tc>
                <w:tcPr>
                  <w:tcW w:w="2108" w:type="pct"/>
                  <w:noWrap w:val="0"/>
                  <w:vAlign w:val="center"/>
                </w:tcPr>
                <w:p w14:paraId="223F9F3A">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标准来源</w:t>
                  </w:r>
                </w:p>
              </w:tc>
            </w:tr>
            <w:tr w14:paraId="7516A9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9" w:type="pct"/>
                  <w:noWrap w:val="0"/>
                  <w:vAlign w:val="center"/>
                </w:tcPr>
                <w:p w14:paraId="4ED4D7E3">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施工期</w:t>
                  </w:r>
                </w:p>
              </w:tc>
              <w:tc>
                <w:tcPr>
                  <w:tcW w:w="443" w:type="pct"/>
                  <w:noWrap w:val="0"/>
                  <w:vAlign w:val="center"/>
                </w:tcPr>
                <w:p w14:paraId="68A0DFF5">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TSP</w:t>
                  </w:r>
                </w:p>
              </w:tc>
              <w:tc>
                <w:tcPr>
                  <w:tcW w:w="1221" w:type="pct"/>
                  <w:noWrap w:val="0"/>
                  <w:vAlign w:val="center"/>
                </w:tcPr>
                <w:p w14:paraId="37636271">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周界外浓度最高点（无组织）</w:t>
                  </w:r>
                </w:p>
              </w:tc>
              <w:tc>
                <w:tcPr>
                  <w:tcW w:w="767" w:type="pct"/>
                  <w:noWrap w:val="0"/>
                  <w:vAlign w:val="center"/>
                </w:tcPr>
                <w:p w14:paraId="76C03D10">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108" w:type="pct"/>
                  <w:noWrap w:val="0"/>
                  <w:vAlign w:val="center"/>
                </w:tcPr>
                <w:p w14:paraId="2289F7CD">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《大气污染物综合排放标准》（GB16297-1996）</w:t>
                  </w:r>
                </w:p>
              </w:tc>
            </w:tr>
          </w:tbl>
          <w:p w14:paraId="2593DF3D">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rPr>
              <w:t>（2）</w:t>
            </w:r>
            <w:r>
              <w:rPr>
                <w:rFonts w:hint="default" w:ascii="Times New Roman" w:hAnsi="Times New Roman" w:eastAsia="宋体" w:cs="Times New Roman"/>
                <w:color w:val="auto"/>
                <w:kern w:val="0"/>
                <w:sz w:val="24"/>
              </w:rPr>
              <w:t>本项目运营期作业场所无组织颗粒物排放标准参照执行《煤炭工业污染物排放标准》（GB20426-2006）表5煤炭工业无组织排放限值，具体排放限值详见表3-</w:t>
            </w:r>
            <w:r>
              <w:rPr>
                <w:rFonts w:hint="eastAsia" w:cs="Times New Roman"/>
                <w:color w:val="auto"/>
                <w:kern w:val="0"/>
                <w:sz w:val="24"/>
                <w:lang w:val="en-US" w:eastAsia="zh-CN"/>
              </w:rPr>
              <w:t>7</w:t>
            </w:r>
            <w:r>
              <w:rPr>
                <w:rFonts w:hint="default" w:ascii="Times New Roman" w:hAnsi="Times New Roman" w:eastAsia="宋体" w:cs="Times New Roman"/>
                <w:color w:val="auto"/>
                <w:kern w:val="0"/>
                <w:sz w:val="24"/>
              </w:rPr>
              <w:t>。</w:t>
            </w:r>
          </w:p>
          <w:p w14:paraId="25D84E7E">
            <w:pPr>
              <w:keepNext w:val="0"/>
              <w:keepLines w:val="0"/>
              <w:pageBreakBefore w:val="0"/>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表3-</w:t>
            </w:r>
            <w:r>
              <w:rPr>
                <w:rFonts w:hint="eastAsia" w:cs="Times New Roman"/>
                <w:b/>
                <w:bCs/>
                <w:color w:val="auto"/>
                <w:kern w:val="0"/>
                <w:sz w:val="21"/>
                <w:szCs w:val="21"/>
                <w:lang w:val="en-US" w:eastAsia="zh-CN"/>
              </w:rPr>
              <w:t xml:space="preserve">7 </w:t>
            </w:r>
            <w:r>
              <w:rPr>
                <w:rFonts w:hint="default" w:ascii="Times New Roman" w:hAnsi="Times New Roman" w:eastAsia="宋体" w:cs="Times New Roman"/>
                <w:b/>
                <w:bCs/>
                <w:color w:val="auto"/>
                <w:kern w:val="0"/>
                <w:sz w:val="21"/>
                <w:szCs w:val="21"/>
              </w:rPr>
              <w:t>《煤炭工业污染物排放标准》（GB20426-2006）</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1"/>
              <w:gridCol w:w="1163"/>
              <w:gridCol w:w="3087"/>
              <w:gridCol w:w="3088"/>
            </w:tblGrid>
            <w:tr w14:paraId="204494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19" w:type="dxa"/>
                  <w:gridSpan w:val="4"/>
                  <w:noWrap w:val="0"/>
                  <w:vAlign w:val="center"/>
                </w:tcPr>
                <w:p w14:paraId="5774AC3B">
                  <w:pPr>
                    <w:keepNext w:val="0"/>
                    <w:keepLines w:val="0"/>
                    <w:pageBreakBefore w:val="0"/>
                    <w:widowControl/>
                    <w:kinsoku/>
                    <w:wordWrap/>
                    <w:overflowPunct/>
                    <w:topLinePunct w:val="0"/>
                    <w:autoSpaceDE/>
                    <w:autoSpaceDN/>
                    <w:bidi w:val="0"/>
                    <w:adjustRightInd/>
                    <w:snapToGrid/>
                    <w:spacing w:beforeAutospacing="0" w:afterAutospacing="0" w:line="240" w:lineRule="auto"/>
                    <w:jc w:val="center"/>
                    <w:textAlignment w:val="auto"/>
                    <w:rPr>
                      <w:rFonts w:hint="eastAsia" w:ascii="Times New Roman" w:hAnsi="Times New Roman" w:eastAsia="宋体" w:cs="Times New Roman"/>
                      <w:bCs/>
                      <w:color w:val="auto"/>
                      <w:kern w:val="0"/>
                      <w:sz w:val="21"/>
                      <w:szCs w:val="21"/>
                      <w:lang w:val="en-US" w:eastAsia="zh-CN"/>
                    </w:rPr>
                  </w:pPr>
                  <w:r>
                    <w:rPr>
                      <w:rFonts w:hint="eastAsia" w:ascii="Times New Roman" w:hAnsi="Times New Roman" w:eastAsia="宋体" w:cs="Times New Roman"/>
                      <w:b/>
                      <w:bCs w:val="0"/>
                      <w:color w:val="auto"/>
                      <w:kern w:val="0"/>
                      <w:sz w:val="21"/>
                      <w:szCs w:val="21"/>
                      <w:lang w:val="en-US" w:eastAsia="zh-CN"/>
                    </w:rPr>
                    <w:t>无组织排放限值</w:t>
                  </w:r>
                </w:p>
              </w:tc>
            </w:tr>
            <w:tr w14:paraId="3C478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081" w:type="dxa"/>
                  <w:noWrap w:val="0"/>
                  <w:vAlign w:val="center"/>
                </w:tcPr>
                <w:p w14:paraId="56D15AF2">
                  <w:pPr>
                    <w:keepNext w:val="0"/>
                    <w:keepLines w:val="0"/>
                    <w:pageBreakBefore w:val="0"/>
                    <w:widowControl/>
                    <w:kinsoku/>
                    <w:wordWrap/>
                    <w:overflowPunct/>
                    <w:topLinePunct w:val="0"/>
                    <w:autoSpaceDE/>
                    <w:autoSpaceDN/>
                    <w:bidi w:val="0"/>
                    <w:adjustRightInd/>
                    <w:snapToGrid/>
                    <w:spacing w:beforeAutospacing="0" w:afterAutospacing="0" w:line="240" w:lineRule="auto"/>
                    <w:contextualSpacing/>
                    <w:jc w:val="center"/>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污染物</w:t>
                  </w:r>
                </w:p>
              </w:tc>
              <w:tc>
                <w:tcPr>
                  <w:tcW w:w="1163" w:type="dxa"/>
                  <w:noWrap w:val="0"/>
                  <w:vAlign w:val="center"/>
                </w:tcPr>
                <w:p w14:paraId="726D8460">
                  <w:pPr>
                    <w:keepNext w:val="0"/>
                    <w:keepLines w:val="0"/>
                    <w:pageBreakBefore w:val="0"/>
                    <w:widowControl/>
                    <w:kinsoku/>
                    <w:wordWrap/>
                    <w:overflowPunct/>
                    <w:topLinePunct w:val="0"/>
                    <w:autoSpaceDE/>
                    <w:autoSpaceDN/>
                    <w:bidi w:val="0"/>
                    <w:adjustRightInd/>
                    <w:snapToGrid/>
                    <w:spacing w:beforeAutospacing="0" w:afterAutospacing="0" w:line="240" w:lineRule="auto"/>
                    <w:contextualSpacing/>
                    <w:jc w:val="center"/>
                    <w:textAlignment w:val="auto"/>
                    <w:rPr>
                      <w:rFonts w:hint="eastAsia" w:ascii="Times New Roman" w:hAnsi="Times New Roman" w:eastAsia="宋体" w:cs="Times New Roman"/>
                      <w:bCs/>
                      <w:color w:val="auto"/>
                      <w:kern w:val="0"/>
                      <w:sz w:val="21"/>
                      <w:szCs w:val="21"/>
                      <w:lang w:eastAsia="zh-CN"/>
                    </w:rPr>
                  </w:pPr>
                  <w:r>
                    <w:rPr>
                      <w:rFonts w:hint="eastAsia" w:ascii="Times New Roman" w:hAnsi="Times New Roman" w:eastAsia="宋体" w:cs="Times New Roman"/>
                      <w:bCs/>
                      <w:color w:val="auto"/>
                      <w:kern w:val="0"/>
                      <w:sz w:val="21"/>
                      <w:szCs w:val="21"/>
                      <w:lang w:eastAsia="zh-CN"/>
                    </w:rPr>
                    <w:t>监控点</w:t>
                  </w:r>
                </w:p>
              </w:tc>
              <w:tc>
                <w:tcPr>
                  <w:tcW w:w="3087" w:type="dxa"/>
                  <w:noWrap w:val="0"/>
                  <w:vAlign w:val="center"/>
                </w:tcPr>
                <w:p w14:paraId="5EF266AF">
                  <w:pPr>
                    <w:keepNext w:val="0"/>
                    <w:keepLines w:val="0"/>
                    <w:pageBreakBefore w:val="0"/>
                    <w:widowControl/>
                    <w:kinsoku/>
                    <w:wordWrap/>
                    <w:overflowPunct/>
                    <w:topLinePunct w:val="0"/>
                    <w:autoSpaceDE/>
                    <w:autoSpaceDN/>
                    <w:bidi w:val="0"/>
                    <w:adjustRightInd/>
                    <w:snapToGrid/>
                    <w:spacing w:beforeAutospacing="0" w:afterAutospacing="0" w:line="240" w:lineRule="auto"/>
                    <w:contextualSpacing/>
                    <w:jc w:val="center"/>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煤炭工业所属装卸场所无组织排放监控浓度</w:t>
                  </w:r>
                </w:p>
              </w:tc>
              <w:tc>
                <w:tcPr>
                  <w:tcW w:w="3088" w:type="dxa"/>
                  <w:noWrap w:val="0"/>
                  <w:vAlign w:val="center"/>
                </w:tcPr>
                <w:p w14:paraId="0248C162">
                  <w:pPr>
                    <w:keepNext w:val="0"/>
                    <w:keepLines w:val="0"/>
                    <w:pageBreakBefore w:val="0"/>
                    <w:widowControl/>
                    <w:kinsoku/>
                    <w:wordWrap/>
                    <w:overflowPunct/>
                    <w:topLinePunct w:val="0"/>
                    <w:autoSpaceDE/>
                    <w:autoSpaceDN/>
                    <w:bidi w:val="0"/>
                    <w:adjustRightInd/>
                    <w:snapToGrid/>
                    <w:spacing w:beforeAutospacing="0" w:afterAutospacing="0" w:line="240" w:lineRule="auto"/>
                    <w:contextualSpacing/>
                    <w:jc w:val="center"/>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煤炭贮存场所、煤矸石堆置场无组织排放监控浓度限值</w:t>
                  </w:r>
                </w:p>
              </w:tc>
            </w:tr>
            <w:tr w14:paraId="453A74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1" w:type="dxa"/>
                  <w:noWrap w:val="0"/>
                  <w:vAlign w:val="center"/>
                </w:tcPr>
                <w:p w14:paraId="04C3B58A">
                  <w:pPr>
                    <w:keepNext w:val="0"/>
                    <w:keepLines w:val="0"/>
                    <w:pageBreakBefore w:val="0"/>
                    <w:widowControl/>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颗粒物</w:t>
                  </w:r>
                </w:p>
              </w:tc>
              <w:tc>
                <w:tcPr>
                  <w:tcW w:w="1163" w:type="dxa"/>
                  <w:vMerge w:val="restart"/>
                  <w:noWrap w:val="0"/>
                  <w:vAlign w:val="center"/>
                </w:tcPr>
                <w:p w14:paraId="5FB3DEF0">
                  <w:pPr>
                    <w:keepNext w:val="0"/>
                    <w:keepLines w:val="0"/>
                    <w:pageBreakBefore w:val="0"/>
                    <w:widowControl/>
                    <w:kinsoku/>
                    <w:wordWrap/>
                    <w:overflowPunct/>
                    <w:topLinePunct w:val="0"/>
                    <w:autoSpaceDE/>
                    <w:autoSpaceDN/>
                    <w:bidi w:val="0"/>
                    <w:adjustRightInd/>
                    <w:snapToGrid/>
                    <w:spacing w:beforeAutospacing="0" w:afterAutospacing="0" w:line="240" w:lineRule="auto"/>
                    <w:jc w:val="center"/>
                    <w:textAlignment w:val="auto"/>
                    <w:rPr>
                      <w:rFonts w:hint="eastAsia" w:ascii="Times New Roman" w:hAnsi="Times New Roman" w:eastAsia="宋体" w:cs="Times New Roman"/>
                      <w:bCs/>
                      <w:color w:val="auto"/>
                      <w:kern w:val="0"/>
                      <w:sz w:val="21"/>
                      <w:szCs w:val="21"/>
                      <w:lang w:eastAsia="zh-CN"/>
                    </w:rPr>
                  </w:pPr>
                  <w:r>
                    <w:rPr>
                      <w:rFonts w:hint="eastAsia" w:ascii="Times New Roman" w:hAnsi="Times New Roman" w:eastAsia="宋体" w:cs="Times New Roman"/>
                      <w:bCs/>
                      <w:color w:val="auto"/>
                      <w:kern w:val="0"/>
                      <w:sz w:val="21"/>
                      <w:szCs w:val="21"/>
                      <w:lang w:eastAsia="zh-CN"/>
                    </w:rPr>
                    <w:t>周界外质量浓度最高点</w:t>
                  </w:r>
                </w:p>
              </w:tc>
              <w:tc>
                <w:tcPr>
                  <w:tcW w:w="3087" w:type="dxa"/>
                  <w:noWrap w:val="0"/>
                  <w:vAlign w:val="center"/>
                </w:tcPr>
                <w:p w14:paraId="1DFB11E8">
                  <w:pPr>
                    <w:keepNext w:val="0"/>
                    <w:keepLines w:val="0"/>
                    <w:pageBreakBefore w:val="0"/>
                    <w:widowControl/>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1.0mg/m</w:t>
                  </w:r>
                  <w:r>
                    <w:rPr>
                      <w:rFonts w:hint="default" w:ascii="Times New Roman" w:hAnsi="Times New Roman" w:eastAsia="宋体" w:cs="Times New Roman"/>
                      <w:bCs/>
                      <w:color w:val="auto"/>
                      <w:kern w:val="0"/>
                      <w:sz w:val="21"/>
                      <w:szCs w:val="21"/>
                      <w:vertAlign w:val="superscript"/>
                    </w:rPr>
                    <w:t>3</w:t>
                  </w:r>
                </w:p>
              </w:tc>
              <w:tc>
                <w:tcPr>
                  <w:tcW w:w="3088" w:type="dxa"/>
                  <w:noWrap w:val="0"/>
                  <w:vAlign w:val="center"/>
                </w:tcPr>
                <w:p w14:paraId="0C41BC1A">
                  <w:pPr>
                    <w:keepNext w:val="0"/>
                    <w:keepLines w:val="0"/>
                    <w:pageBreakBefore w:val="0"/>
                    <w:widowControl/>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1.0mg/m</w:t>
                  </w:r>
                  <w:r>
                    <w:rPr>
                      <w:rFonts w:hint="default" w:ascii="Times New Roman" w:hAnsi="Times New Roman" w:eastAsia="宋体" w:cs="Times New Roman"/>
                      <w:bCs/>
                      <w:color w:val="auto"/>
                      <w:kern w:val="0"/>
                      <w:sz w:val="21"/>
                      <w:szCs w:val="21"/>
                      <w:vertAlign w:val="superscript"/>
                    </w:rPr>
                    <w:t>3</w:t>
                  </w:r>
                </w:p>
              </w:tc>
            </w:tr>
            <w:tr w14:paraId="3D1C8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1" w:type="dxa"/>
                  <w:noWrap w:val="0"/>
                  <w:vAlign w:val="center"/>
                </w:tcPr>
                <w:p w14:paraId="567F8E29">
                  <w:pPr>
                    <w:keepNext w:val="0"/>
                    <w:keepLines w:val="0"/>
                    <w:pageBreakBefore w:val="0"/>
                    <w:widowControl/>
                    <w:kinsoku/>
                    <w:wordWrap/>
                    <w:overflowPunct/>
                    <w:topLinePunct w:val="0"/>
                    <w:autoSpaceDE/>
                    <w:autoSpaceDN/>
                    <w:bidi w:val="0"/>
                    <w:adjustRightInd/>
                    <w:snapToGrid/>
                    <w:spacing w:beforeAutospacing="0" w:afterAutospacing="0" w:line="240" w:lineRule="auto"/>
                    <w:jc w:val="center"/>
                    <w:textAlignment w:val="auto"/>
                    <w:rPr>
                      <w:rFonts w:hint="eastAsia" w:ascii="Times New Roman" w:hAnsi="Times New Roman" w:eastAsia="宋体" w:cs="Times New Roman"/>
                      <w:bCs/>
                      <w:color w:val="auto"/>
                      <w:kern w:val="0"/>
                      <w:sz w:val="21"/>
                      <w:szCs w:val="21"/>
                      <w:lang w:eastAsia="zh-CN"/>
                    </w:rPr>
                  </w:pPr>
                  <w:r>
                    <w:rPr>
                      <w:rFonts w:hint="eastAsia" w:cs="Times New Roman"/>
                      <w:bCs/>
                      <w:color w:val="auto"/>
                      <w:kern w:val="0"/>
                      <w:sz w:val="21"/>
                      <w:szCs w:val="21"/>
                      <w:lang w:eastAsia="zh-CN"/>
                    </w:rPr>
                    <w:t>二氧化硫</w:t>
                  </w:r>
                </w:p>
              </w:tc>
              <w:tc>
                <w:tcPr>
                  <w:tcW w:w="1163" w:type="dxa"/>
                  <w:vMerge w:val="continue"/>
                  <w:noWrap w:val="0"/>
                  <w:vAlign w:val="center"/>
                </w:tcPr>
                <w:p w14:paraId="18805C41">
                  <w:pPr>
                    <w:keepNext w:val="0"/>
                    <w:keepLines w:val="0"/>
                    <w:pageBreakBefore w:val="0"/>
                    <w:widowControl/>
                    <w:kinsoku/>
                    <w:wordWrap/>
                    <w:overflowPunct/>
                    <w:topLinePunct w:val="0"/>
                    <w:autoSpaceDE/>
                    <w:autoSpaceDN/>
                    <w:bidi w:val="0"/>
                    <w:adjustRightInd/>
                    <w:snapToGrid/>
                    <w:spacing w:beforeAutospacing="0" w:afterAutospacing="0" w:line="240" w:lineRule="auto"/>
                    <w:jc w:val="center"/>
                    <w:textAlignment w:val="auto"/>
                    <w:rPr>
                      <w:rFonts w:hint="eastAsia" w:ascii="Times New Roman" w:hAnsi="Times New Roman" w:eastAsia="宋体" w:cs="Times New Roman"/>
                      <w:bCs/>
                      <w:color w:val="auto"/>
                      <w:kern w:val="0"/>
                      <w:sz w:val="21"/>
                      <w:szCs w:val="21"/>
                      <w:lang w:eastAsia="zh-CN"/>
                    </w:rPr>
                  </w:pPr>
                </w:p>
              </w:tc>
              <w:tc>
                <w:tcPr>
                  <w:tcW w:w="3087" w:type="dxa"/>
                  <w:noWrap w:val="0"/>
                  <w:vAlign w:val="center"/>
                </w:tcPr>
                <w:p w14:paraId="4740DFF6">
                  <w:pPr>
                    <w:keepNext w:val="0"/>
                    <w:keepLines w:val="0"/>
                    <w:pageBreakBefore w:val="0"/>
                    <w:widowControl/>
                    <w:kinsoku/>
                    <w:wordWrap/>
                    <w:overflowPunct/>
                    <w:topLinePunct w:val="0"/>
                    <w:autoSpaceDE/>
                    <w:autoSpaceDN/>
                    <w:bidi w:val="0"/>
                    <w:adjustRightInd/>
                    <w:snapToGrid/>
                    <w:spacing w:beforeAutospacing="0" w:afterAutospacing="0" w:line="240" w:lineRule="auto"/>
                    <w:jc w:val="center"/>
                    <w:textAlignment w:val="auto"/>
                    <w:rPr>
                      <w:rFonts w:hint="eastAsia" w:ascii="Times New Roman" w:hAnsi="Times New Roman" w:eastAsia="宋体" w:cs="Times New Roman"/>
                      <w:bCs/>
                      <w:color w:val="auto"/>
                      <w:kern w:val="0"/>
                      <w:sz w:val="21"/>
                      <w:szCs w:val="21"/>
                      <w:lang w:val="en-US" w:eastAsia="zh-CN"/>
                    </w:rPr>
                  </w:pPr>
                  <w:r>
                    <w:rPr>
                      <w:rFonts w:hint="eastAsia" w:cs="Times New Roman"/>
                      <w:bCs/>
                      <w:color w:val="auto"/>
                      <w:kern w:val="0"/>
                      <w:sz w:val="21"/>
                      <w:szCs w:val="21"/>
                      <w:lang w:val="en-US" w:eastAsia="zh-CN"/>
                    </w:rPr>
                    <w:t>-</w:t>
                  </w:r>
                </w:p>
              </w:tc>
              <w:tc>
                <w:tcPr>
                  <w:tcW w:w="3088" w:type="dxa"/>
                  <w:noWrap w:val="0"/>
                  <w:vAlign w:val="center"/>
                </w:tcPr>
                <w:p w14:paraId="397EAA37">
                  <w:pPr>
                    <w:keepNext w:val="0"/>
                    <w:keepLines w:val="0"/>
                    <w:pageBreakBefore w:val="0"/>
                    <w:widowControl/>
                    <w:kinsoku/>
                    <w:wordWrap/>
                    <w:overflowPunct/>
                    <w:topLinePunct w:val="0"/>
                    <w:autoSpaceDE/>
                    <w:autoSpaceDN/>
                    <w:bidi w:val="0"/>
                    <w:adjustRightInd/>
                    <w:snapToGrid/>
                    <w:spacing w:beforeAutospacing="0" w:afterAutospacing="0" w:line="240" w:lineRule="auto"/>
                    <w:jc w:val="center"/>
                    <w:textAlignment w:val="auto"/>
                    <w:rPr>
                      <w:rFonts w:hint="default" w:ascii="Times New Roman" w:hAnsi="Times New Roman" w:eastAsia="宋体" w:cs="Times New Roman"/>
                      <w:bCs/>
                      <w:color w:val="auto"/>
                      <w:kern w:val="0"/>
                      <w:sz w:val="21"/>
                      <w:szCs w:val="21"/>
                      <w:lang w:val="en-US" w:eastAsia="zh-CN"/>
                    </w:rPr>
                  </w:pPr>
                  <w:r>
                    <w:rPr>
                      <w:rFonts w:hint="eastAsia" w:cs="Times New Roman"/>
                      <w:bCs/>
                      <w:color w:val="auto"/>
                      <w:kern w:val="0"/>
                      <w:sz w:val="21"/>
                      <w:szCs w:val="21"/>
                      <w:lang w:val="en-US" w:eastAsia="zh-CN"/>
                    </w:rPr>
                    <w:t>0.4</w:t>
                  </w:r>
                </w:p>
              </w:tc>
            </w:tr>
          </w:tbl>
          <w:p w14:paraId="730B4944">
            <w:pPr>
              <w:spacing w:before="120" w:beforeLines="50" w:line="360" w:lineRule="auto"/>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2、噪声</w:t>
            </w:r>
          </w:p>
          <w:p w14:paraId="600A422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rPr>
            </w:pPr>
            <w:r>
              <w:rPr>
                <w:rFonts w:hint="default" w:ascii="Times New Roman" w:hAnsi="Times New Roman" w:eastAsia="宋体" w:cs="Times New Roman"/>
                <w:color w:val="auto"/>
                <w:sz w:val="24"/>
              </w:rPr>
              <w:t>施工期噪声执行</w:t>
            </w:r>
            <w:r>
              <w:rPr>
                <w:rFonts w:hint="default" w:ascii="Times New Roman" w:hAnsi="Times New Roman" w:eastAsia="宋体" w:cs="Times New Roman"/>
                <w:color w:val="auto"/>
                <w:sz w:val="24"/>
              </w:rPr>
              <w:t>《建筑施工噪声排放标准》（GB12523-2025）</w:t>
            </w:r>
            <w:r>
              <w:rPr>
                <w:rFonts w:hint="default" w:ascii="Times New Roman" w:hAnsi="Times New Roman" w:eastAsia="宋体" w:cs="Times New Roman"/>
                <w:color w:val="auto"/>
                <w:sz w:val="24"/>
              </w:rPr>
              <w:t>，</w:t>
            </w:r>
            <w:r>
              <w:rPr>
                <w:rFonts w:hint="default" w:ascii="Times New Roman" w:hAnsi="Times New Roman" w:eastAsia="宋体" w:cs="Times New Roman"/>
                <w:color w:val="auto"/>
                <w:kern w:val="0"/>
                <w:sz w:val="24"/>
              </w:rPr>
              <w:t>运营期厂界四周噪声执行</w:t>
            </w:r>
            <w:r>
              <w:rPr>
                <w:rFonts w:hint="default" w:ascii="Times New Roman" w:hAnsi="Times New Roman" w:eastAsia="宋体" w:cs="Times New Roman"/>
                <w:color w:val="auto"/>
                <w:sz w:val="24"/>
              </w:rPr>
              <w:t>《工业企业厂界环境噪声排放标准》（GB12348-2008）中2</w:t>
            </w:r>
            <w:r>
              <w:rPr>
                <w:rFonts w:hint="default" w:ascii="Times New Roman" w:hAnsi="Times New Roman" w:eastAsia="宋体" w:cs="Times New Roman"/>
                <w:color w:val="auto"/>
                <w:sz w:val="24"/>
                <w:lang w:eastAsia="zh-Hans"/>
              </w:rPr>
              <w:t>类标准</w:t>
            </w:r>
            <w:r>
              <w:rPr>
                <w:rFonts w:hint="default" w:ascii="Times New Roman" w:hAnsi="Times New Roman" w:eastAsia="宋体" w:cs="Times New Roman"/>
                <w:color w:val="auto"/>
                <w:kern w:val="0"/>
                <w:sz w:val="24"/>
              </w:rPr>
              <w:t>。具体标准值见下表。</w:t>
            </w:r>
          </w:p>
          <w:p w14:paraId="4CDEF1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表3-</w:t>
            </w:r>
            <w:r>
              <w:rPr>
                <w:rFonts w:hint="eastAsia" w:cs="Times New Roman"/>
                <w:b/>
                <w:color w:val="auto"/>
                <w:sz w:val="21"/>
                <w:szCs w:val="21"/>
                <w:lang w:val="en-US" w:eastAsia="zh-CN"/>
              </w:rPr>
              <w:t>8</w:t>
            </w:r>
            <w:r>
              <w:rPr>
                <w:rFonts w:hint="default" w:ascii="Times New Roman" w:hAnsi="Times New Roman" w:eastAsia="宋体" w:cs="Times New Roman"/>
                <w:b/>
                <w:color w:val="auto"/>
                <w:sz w:val="21"/>
                <w:szCs w:val="21"/>
              </w:rPr>
              <w:t xml:space="preserve"> 噪声排放执行标准</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8" w:space="0"/>
              </w:tblBorders>
              <w:tblLayout w:type="fixed"/>
              <w:tblCellMar>
                <w:top w:w="0" w:type="dxa"/>
                <w:left w:w="108" w:type="dxa"/>
                <w:bottom w:w="0" w:type="dxa"/>
                <w:right w:w="108" w:type="dxa"/>
              </w:tblCellMar>
            </w:tblPr>
            <w:tblGrid>
              <w:gridCol w:w="1683"/>
              <w:gridCol w:w="1684"/>
              <w:gridCol w:w="1684"/>
              <w:gridCol w:w="1684"/>
              <w:gridCol w:w="1684"/>
            </w:tblGrid>
            <w:tr w14:paraId="4B146AEE">
              <w:tblPrEx>
                <w:tblBorders>
                  <w:top w:val="single" w:color="auto" w:sz="12" w:space="0"/>
                  <w:left w:val="none" w:color="auto" w:sz="0" w:space="0"/>
                  <w:bottom w:val="single" w:color="auto" w:sz="12" w:space="0"/>
                  <w:right w:val="none" w:color="auto" w:sz="0" w:space="0"/>
                  <w:insideH w:val="single" w:color="auto" w:sz="6" w:space="0"/>
                  <w:insideV w:val="single" w:color="auto" w:sz="8" w:space="0"/>
                </w:tblBorders>
                <w:tblCellMar>
                  <w:top w:w="0" w:type="dxa"/>
                  <w:left w:w="108" w:type="dxa"/>
                  <w:bottom w:w="0" w:type="dxa"/>
                  <w:right w:w="108" w:type="dxa"/>
                </w:tblCellMar>
              </w:tblPrEx>
              <w:trPr>
                <w:trHeight w:val="340" w:hRule="atLeast"/>
                <w:jc w:val="center"/>
              </w:trPr>
              <w:tc>
                <w:tcPr>
                  <w:tcW w:w="1608" w:type="dxa"/>
                  <w:noWrap w:val="0"/>
                  <w:vAlign w:val="center"/>
                </w:tcPr>
                <w:p w14:paraId="35F141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评价时段</w:t>
                  </w:r>
                </w:p>
              </w:tc>
              <w:tc>
                <w:tcPr>
                  <w:tcW w:w="1608" w:type="dxa"/>
                  <w:noWrap w:val="0"/>
                  <w:vAlign w:val="center"/>
                </w:tcPr>
                <w:p w14:paraId="0F4308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类别</w:t>
                  </w:r>
                </w:p>
              </w:tc>
              <w:tc>
                <w:tcPr>
                  <w:tcW w:w="1608" w:type="dxa"/>
                  <w:noWrap w:val="0"/>
                  <w:vAlign w:val="center"/>
                </w:tcPr>
                <w:p w14:paraId="51C797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单位</w:t>
                  </w:r>
                </w:p>
              </w:tc>
              <w:tc>
                <w:tcPr>
                  <w:tcW w:w="1608" w:type="dxa"/>
                  <w:noWrap w:val="0"/>
                  <w:vAlign w:val="center"/>
                </w:tcPr>
                <w:p w14:paraId="71E065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昼间</w:t>
                  </w:r>
                </w:p>
              </w:tc>
              <w:tc>
                <w:tcPr>
                  <w:tcW w:w="1608" w:type="dxa"/>
                  <w:noWrap w:val="0"/>
                  <w:vAlign w:val="center"/>
                </w:tcPr>
                <w:p w14:paraId="3A1971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夜间</w:t>
                  </w:r>
                </w:p>
              </w:tc>
            </w:tr>
            <w:tr w14:paraId="23314BDE">
              <w:tblPrEx>
                <w:tblBorders>
                  <w:top w:val="single" w:color="auto" w:sz="12" w:space="0"/>
                  <w:left w:val="none" w:color="auto" w:sz="0" w:space="0"/>
                  <w:bottom w:val="single" w:color="auto" w:sz="12" w:space="0"/>
                  <w:right w:val="none" w:color="auto" w:sz="0" w:space="0"/>
                  <w:insideH w:val="single" w:color="auto" w:sz="6" w:space="0"/>
                  <w:insideV w:val="single" w:color="auto" w:sz="8" w:space="0"/>
                </w:tblBorders>
                <w:tblCellMar>
                  <w:top w:w="0" w:type="dxa"/>
                  <w:left w:w="108" w:type="dxa"/>
                  <w:bottom w:w="0" w:type="dxa"/>
                  <w:right w:w="108" w:type="dxa"/>
                </w:tblCellMar>
              </w:tblPrEx>
              <w:trPr>
                <w:trHeight w:val="340" w:hRule="atLeast"/>
                <w:jc w:val="center"/>
              </w:trPr>
              <w:tc>
                <w:tcPr>
                  <w:tcW w:w="1608" w:type="dxa"/>
                  <w:noWrap w:val="0"/>
                  <w:vAlign w:val="center"/>
                </w:tcPr>
                <w:p w14:paraId="5C9B5E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施工期</w:t>
                  </w:r>
                </w:p>
              </w:tc>
              <w:tc>
                <w:tcPr>
                  <w:tcW w:w="1608" w:type="dxa"/>
                  <w:noWrap w:val="0"/>
                  <w:vAlign w:val="center"/>
                </w:tcPr>
                <w:p w14:paraId="4671B1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1608" w:type="dxa"/>
                  <w:noWrap w:val="0"/>
                  <w:vAlign w:val="center"/>
                </w:tcPr>
                <w:p w14:paraId="031399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dB</w:t>
                  </w:r>
                  <w:r>
                    <w:rPr>
                      <w:rFonts w:hint="eastAsia" w:cs="Times New Roman"/>
                      <w:color w:val="auto"/>
                      <w:kern w:val="0"/>
                      <w:sz w:val="21"/>
                      <w:szCs w:val="21"/>
                      <w:lang w:eastAsia="zh-CN"/>
                    </w:rPr>
                    <w:t>（</w:t>
                  </w:r>
                  <w:r>
                    <w:rPr>
                      <w:rFonts w:hint="default" w:ascii="Times New Roman" w:hAnsi="Times New Roman" w:eastAsia="宋体" w:cs="Times New Roman"/>
                      <w:color w:val="auto"/>
                      <w:kern w:val="0"/>
                      <w:sz w:val="21"/>
                      <w:szCs w:val="21"/>
                    </w:rPr>
                    <w:t>A</w:t>
                  </w:r>
                  <w:r>
                    <w:rPr>
                      <w:rFonts w:hint="eastAsia" w:cs="Times New Roman"/>
                      <w:color w:val="auto"/>
                      <w:kern w:val="0"/>
                      <w:sz w:val="21"/>
                      <w:szCs w:val="21"/>
                      <w:lang w:eastAsia="zh-CN"/>
                    </w:rPr>
                    <w:t>）</w:t>
                  </w:r>
                </w:p>
              </w:tc>
              <w:tc>
                <w:tcPr>
                  <w:tcW w:w="1608" w:type="dxa"/>
                  <w:noWrap w:val="0"/>
                  <w:vAlign w:val="center"/>
                </w:tcPr>
                <w:p w14:paraId="11F301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70</w:t>
                  </w:r>
                </w:p>
              </w:tc>
              <w:tc>
                <w:tcPr>
                  <w:tcW w:w="1608" w:type="dxa"/>
                  <w:noWrap w:val="0"/>
                  <w:vAlign w:val="center"/>
                </w:tcPr>
                <w:p w14:paraId="3E4FF0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55</w:t>
                  </w:r>
                </w:p>
              </w:tc>
            </w:tr>
            <w:tr w14:paraId="143DC0AD">
              <w:tblPrEx>
                <w:tblBorders>
                  <w:top w:val="single" w:color="auto" w:sz="12" w:space="0"/>
                  <w:left w:val="none" w:color="auto" w:sz="0" w:space="0"/>
                  <w:bottom w:val="single" w:color="auto" w:sz="12" w:space="0"/>
                  <w:right w:val="none" w:color="auto" w:sz="0" w:space="0"/>
                  <w:insideH w:val="single" w:color="auto" w:sz="6" w:space="0"/>
                  <w:insideV w:val="single" w:color="auto" w:sz="8" w:space="0"/>
                </w:tblBorders>
                <w:tblCellMar>
                  <w:top w:w="0" w:type="dxa"/>
                  <w:left w:w="108" w:type="dxa"/>
                  <w:bottom w:w="0" w:type="dxa"/>
                  <w:right w:w="108" w:type="dxa"/>
                </w:tblCellMar>
              </w:tblPrEx>
              <w:trPr>
                <w:trHeight w:val="340" w:hRule="atLeast"/>
                <w:jc w:val="center"/>
              </w:trPr>
              <w:tc>
                <w:tcPr>
                  <w:tcW w:w="1608" w:type="dxa"/>
                  <w:noWrap w:val="0"/>
                  <w:vAlign w:val="center"/>
                </w:tcPr>
                <w:p w14:paraId="195315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运营期</w:t>
                  </w:r>
                </w:p>
              </w:tc>
              <w:tc>
                <w:tcPr>
                  <w:tcW w:w="1608" w:type="dxa"/>
                  <w:noWrap w:val="0"/>
                  <w:vAlign w:val="center"/>
                </w:tcPr>
                <w:p w14:paraId="4DC01F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2类</w:t>
                  </w:r>
                </w:p>
              </w:tc>
              <w:tc>
                <w:tcPr>
                  <w:tcW w:w="1608" w:type="dxa"/>
                  <w:noWrap w:val="0"/>
                  <w:vAlign w:val="center"/>
                </w:tcPr>
                <w:p w14:paraId="03CBF1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dB</w:t>
                  </w:r>
                  <w:r>
                    <w:rPr>
                      <w:rFonts w:hint="eastAsia" w:cs="Times New Roman"/>
                      <w:color w:val="auto"/>
                      <w:kern w:val="0"/>
                      <w:sz w:val="21"/>
                      <w:szCs w:val="21"/>
                      <w:lang w:eastAsia="zh-CN"/>
                    </w:rPr>
                    <w:t>（</w:t>
                  </w:r>
                  <w:r>
                    <w:rPr>
                      <w:rFonts w:hint="default" w:ascii="Times New Roman" w:hAnsi="Times New Roman" w:eastAsia="宋体" w:cs="Times New Roman"/>
                      <w:color w:val="auto"/>
                      <w:kern w:val="0"/>
                      <w:sz w:val="21"/>
                      <w:szCs w:val="21"/>
                    </w:rPr>
                    <w:t>A</w:t>
                  </w:r>
                  <w:r>
                    <w:rPr>
                      <w:rFonts w:hint="eastAsia" w:cs="Times New Roman"/>
                      <w:color w:val="auto"/>
                      <w:kern w:val="0"/>
                      <w:sz w:val="21"/>
                      <w:szCs w:val="21"/>
                      <w:lang w:eastAsia="zh-CN"/>
                    </w:rPr>
                    <w:t>）</w:t>
                  </w:r>
                </w:p>
              </w:tc>
              <w:tc>
                <w:tcPr>
                  <w:tcW w:w="1608" w:type="dxa"/>
                  <w:noWrap w:val="0"/>
                  <w:vAlign w:val="center"/>
                </w:tcPr>
                <w:p w14:paraId="3F8432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60</w:t>
                  </w:r>
                </w:p>
              </w:tc>
              <w:tc>
                <w:tcPr>
                  <w:tcW w:w="1608" w:type="dxa"/>
                  <w:noWrap w:val="0"/>
                  <w:vAlign w:val="center"/>
                </w:tcPr>
                <w:p w14:paraId="10E9D6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50</w:t>
                  </w:r>
                </w:p>
              </w:tc>
            </w:tr>
          </w:tbl>
          <w:p w14:paraId="2BA99BE8">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3、固体废物</w:t>
            </w:r>
          </w:p>
          <w:p w14:paraId="0366AB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一般固废参照执行《一般工业固体废物贮存和填埋污染控制标准》（GB18599-2020）</w:t>
            </w:r>
            <w:r>
              <w:rPr>
                <w:rFonts w:hint="eastAsia" w:cs="Times New Roman"/>
                <w:color w:val="auto"/>
                <w:sz w:val="24"/>
                <w:lang w:eastAsia="zh-CN"/>
              </w:rPr>
              <w:t>以及《固体废物分类与代码目录》（</w:t>
            </w:r>
            <w:r>
              <w:rPr>
                <w:rFonts w:hint="eastAsia" w:cs="Times New Roman"/>
                <w:color w:val="auto"/>
                <w:sz w:val="24"/>
                <w:lang w:val="en-US" w:eastAsia="zh-CN"/>
              </w:rPr>
              <w:t>2024年第4号</w:t>
            </w:r>
            <w:r>
              <w:rPr>
                <w:rFonts w:hint="eastAsia" w:cs="Times New Roman"/>
                <w:color w:val="auto"/>
                <w:sz w:val="24"/>
                <w:lang w:eastAsia="zh-CN"/>
              </w:rPr>
              <w:t>）</w:t>
            </w:r>
            <w:r>
              <w:rPr>
                <w:rFonts w:hint="default" w:ascii="Times New Roman" w:hAnsi="Times New Roman" w:eastAsia="宋体" w:cs="Times New Roman"/>
                <w:color w:val="auto"/>
                <w:sz w:val="24"/>
              </w:rPr>
              <w:t>中的相关规定</w:t>
            </w:r>
            <w:r>
              <w:rPr>
                <w:rFonts w:hint="default" w:ascii="Times New Roman" w:hAnsi="Times New Roman" w:eastAsia="宋体" w:cs="Times New Roman"/>
                <w:color w:val="auto"/>
                <w:sz w:val="24"/>
                <w:lang w:val="zh-CN"/>
              </w:rPr>
              <w:t>。</w:t>
            </w:r>
          </w:p>
          <w:p w14:paraId="5A27521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4、废水</w:t>
            </w:r>
          </w:p>
          <w:p w14:paraId="1DF28C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Cs w:val="21"/>
                <w:lang w:val="en-US"/>
              </w:rPr>
            </w:pPr>
            <w:r>
              <w:rPr>
                <w:rFonts w:hint="default" w:ascii="Times New Roman" w:hAnsi="Times New Roman" w:eastAsia="宋体" w:cs="Times New Roman"/>
                <w:color w:val="auto"/>
                <w:sz w:val="24"/>
              </w:rPr>
              <w:t>本项目无生产废水，生活污水排入防渗旱厕，定期清掏外运。</w:t>
            </w:r>
          </w:p>
        </w:tc>
      </w:tr>
      <w:tr w14:paraId="66A4FA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41" w:hRule="atLeast"/>
          <w:jc w:val="center"/>
        </w:trPr>
        <w:tc>
          <w:tcPr>
            <w:tcW w:w="426" w:type="dxa"/>
            <w:noWrap w:val="0"/>
            <w:vAlign w:val="center"/>
          </w:tcPr>
          <w:p w14:paraId="697F9C50">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总量</w:t>
            </w:r>
          </w:p>
          <w:p w14:paraId="5F717C63">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控制</w:t>
            </w:r>
          </w:p>
          <w:p w14:paraId="0B0CD968">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指标</w:t>
            </w:r>
          </w:p>
        </w:tc>
        <w:tc>
          <w:tcPr>
            <w:tcW w:w="8635" w:type="dxa"/>
            <w:noWrap w:val="0"/>
            <w:vAlign w:val="center"/>
          </w:tcPr>
          <w:p w14:paraId="7A067C6E">
            <w:pPr>
              <w:pStyle w:val="91"/>
              <w:ind w:firstLine="480"/>
              <w:jc w:val="left"/>
              <w:rPr>
                <w:rFonts w:hint="eastAsia" w:cs="Times New Roman"/>
                <w:color w:val="auto"/>
                <w:kern w:val="0"/>
                <w:szCs w:val="21"/>
                <w:lang w:val="en-US" w:eastAsia="zh-CN"/>
              </w:rPr>
            </w:pPr>
            <w:r>
              <w:rPr>
                <w:rFonts w:hint="eastAsia" w:ascii="Times New Roman" w:hAnsi="Times New Roman" w:cs="Times New Roman"/>
                <w:color w:val="auto"/>
                <w:lang w:eastAsia="zh-CN"/>
              </w:rPr>
              <w:t>根据国家规定的总量控制污染物种类，综合考虑本项目的排污特点、所在区域的环境质量现状等因素，本环评不需要设置污染物总量控制指标。</w:t>
            </w:r>
          </w:p>
          <w:p w14:paraId="580E5820">
            <w:pPr>
              <w:pStyle w:val="91"/>
              <w:ind w:firstLine="480"/>
              <w:jc w:val="left"/>
              <w:rPr>
                <w:rFonts w:hint="eastAsia" w:cs="Times New Roman"/>
                <w:color w:val="auto"/>
                <w:kern w:val="0"/>
                <w:szCs w:val="21"/>
                <w:lang w:val="en-US" w:eastAsia="zh-CN"/>
              </w:rPr>
            </w:pPr>
          </w:p>
          <w:p w14:paraId="7035AF86">
            <w:pPr>
              <w:pStyle w:val="91"/>
              <w:ind w:firstLine="480"/>
              <w:jc w:val="left"/>
              <w:rPr>
                <w:rFonts w:hint="eastAsia" w:cs="Times New Roman"/>
                <w:color w:val="auto"/>
                <w:kern w:val="0"/>
                <w:szCs w:val="21"/>
                <w:lang w:val="en-US" w:eastAsia="zh-CN"/>
              </w:rPr>
            </w:pPr>
          </w:p>
          <w:p w14:paraId="7FB25B9E">
            <w:pPr>
              <w:pStyle w:val="91"/>
              <w:ind w:firstLine="480"/>
              <w:jc w:val="left"/>
              <w:rPr>
                <w:rFonts w:hint="eastAsia" w:cs="Times New Roman"/>
                <w:color w:val="auto"/>
                <w:kern w:val="0"/>
                <w:szCs w:val="21"/>
                <w:lang w:val="en-US" w:eastAsia="zh-CN"/>
              </w:rPr>
            </w:pPr>
          </w:p>
          <w:p w14:paraId="5F7E5766">
            <w:pPr>
              <w:pStyle w:val="91"/>
              <w:ind w:firstLine="480"/>
              <w:jc w:val="left"/>
              <w:rPr>
                <w:rFonts w:hint="eastAsia" w:cs="Times New Roman"/>
                <w:color w:val="auto"/>
                <w:kern w:val="0"/>
                <w:szCs w:val="21"/>
                <w:lang w:val="en-US" w:eastAsia="zh-CN"/>
              </w:rPr>
            </w:pPr>
          </w:p>
          <w:p w14:paraId="7D9E6FA6">
            <w:pPr>
              <w:pStyle w:val="91"/>
              <w:ind w:firstLine="480"/>
              <w:jc w:val="left"/>
              <w:rPr>
                <w:rFonts w:hint="eastAsia" w:cs="Times New Roman"/>
                <w:color w:val="auto"/>
                <w:kern w:val="0"/>
                <w:szCs w:val="21"/>
                <w:lang w:val="en-US" w:eastAsia="zh-CN"/>
              </w:rPr>
            </w:pPr>
          </w:p>
          <w:p w14:paraId="7F0DC4FE">
            <w:pPr>
              <w:pStyle w:val="91"/>
              <w:ind w:firstLine="480"/>
              <w:jc w:val="left"/>
              <w:rPr>
                <w:rFonts w:hint="eastAsia" w:cs="Times New Roman"/>
                <w:color w:val="auto"/>
                <w:kern w:val="0"/>
                <w:szCs w:val="21"/>
                <w:lang w:val="en-US" w:eastAsia="zh-CN"/>
              </w:rPr>
            </w:pPr>
          </w:p>
          <w:p w14:paraId="66E56B91">
            <w:pPr>
              <w:pStyle w:val="91"/>
              <w:ind w:firstLine="480"/>
              <w:jc w:val="left"/>
              <w:rPr>
                <w:rFonts w:hint="eastAsia" w:cs="Times New Roman"/>
                <w:color w:val="auto"/>
                <w:kern w:val="0"/>
                <w:szCs w:val="21"/>
                <w:lang w:val="en-US" w:eastAsia="zh-CN"/>
              </w:rPr>
            </w:pPr>
          </w:p>
          <w:p w14:paraId="63C616CE">
            <w:pPr>
              <w:pStyle w:val="91"/>
              <w:ind w:firstLine="480"/>
              <w:jc w:val="left"/>
              <w:rPr>
                <w:rFonts w:hint="eastAsia" w:cs="Times New Roman"/>
                <w:color w:val="auto"/>
                <w:kern w:val="0"/>
                <w:szCs w:val="21"/>
                <w:lang w:val="en-US" w:eastAsia="zh-CN"/>
              </w:rPr>
            </w:pPr>
          </w:p>
          <w:p w14:paraId="5A93AEDE">
            <w:pPr>
              <w:pStyle w:val="91"/>
              <w:ind w:firstLine="480"/>
              <w:jc w:val="left"/>
              <w:rPr>
                <w:rFonts w:hint="eastAsia" w:cs="Times New Roman"/>
                <w:color w:val="auto"/>
                <w:kern w:val="0"/>
                <w:szCs w:val="21"/>
                <w:lang w:val="en-US" w:eastAsia="zh-CN"/>
              </w:rPr>
            </w:pPr>
          </w:p>
          <w:p w14:paraId="080A0F14">
            <w:pPr>
              <w:pStyle w:val="91"/>
              <w:ind w:firstLine="480"/>
              <w:jc w:val="left"/>
              <w:rPr>
                <w:rFonts w:hint="eastAsia" w:cs="Times New Roman"/>
                <w:color w:val="auto"/>
                <w:kern w:val="0"/>
                <w:szCs w:val="21"/>
                <w:lang w:val="en-US" w:eastAsia="zh-CN"/>
              </w:rPr>
            </w:pPr>
          </w:p>
          <w:p w14:paraId="09DD29F4">
            <w:pPr>
              <w:pStyle w:val="91"/>
              <w:ind w:firstLine="480"/>
              <w:jc w:val="left"/>
              <w:rPr>
                <w:rFonts w:hint="eastAsia" w:cs="Times New Roman"/>
                <w:color w:val="auto"/>
                <w:kern w:val="0"/>
                <w:szCs w:val="21"/>
                <w:lang w:val="en-US" w:eastAsia="zh-CN"/>
              </w:rPr>
            </w:pPr>
          </w:p>
          <w:p w14:paraId="3A8F2713">
            <w:pPr>
              <w:pStyle w:val="91"/>
              <w:ind w:firstLine="480"/>
              <w:jc w:val="left"/>
              <w:rPr>
                <w:rFonts w:hint="eastAsia" w:cs="Times New Roman"/>
                <w:color w:val="auto"/>
                <w:kern w:val="0"/>
                <w:szCs w:val="21"/>
                <w:lang w:val="en-US" w:eastAsia="zh-CN"/>
              </w:rPr>
            </w:pPr>
          </w:p>
          <w:p w14:paraId="2191F42E">
            <w:pPr>
              <w:pStyle w:val="91"/>
              <w:ind w:firstLine="480"/>
              <w:jc w:val="left"/>
              <w:rPr>
                <w:rFonts w:hint="eastAsia" w:cs="Times New Roman"/>
                <w:color w:val="auto"/>
                <w:kern w:val="0"/>
                <w:szCs w:val="21"/>
                <w:lang w:val="en-US" w:eastAsia="zh-CN"/>
              </w:rPr>
            </w:pPr>
          </w:p>
          <w:p w14:paraId="1DAE8A07">
            <w:pPr>
              <w:pStyle w:val="91"/>
              <w:ind w:firstLine="480"/>
              <w:jc w:val="left"/>
              <w:rPr>
                <w:rFonts w:hint="eastAsia" w:cs="Times New Roman"/>
                <w:color w:val="auto"/>
                <w:kern w:val="0"/>
                <w:szCs w:val="21"/>
                <w:lang w:val="en-US" w:eastAsia="zh-CN"/>
              </w:rPr>
            </w:pPr>
          </w:p>
          <w:p w14:paraId="3F1C3C63">
            <w:pPr>
              <w:pStyle w:val="91"/>
              <w:ind w:firstLine="480"/>
              <w:jc w:val="left"/>
              <w:rPr>
                <w:rFonts w:hint="eastAsia" w:cs="Times New Roman"/>
                <w:color w:val="auto"/>
                <w:kern w:val="0"/>
                <w:szCs w:val="21"/>
                <w:lang w:val="en-US" w:eastAsia="zh-CN"/>
              </w:rPr>
            </w:pPr>
          </w:p>
          <w:p w14:paraId="5C4F7E4E">
            <w:pPr>
              <w:pStyle w:val="91"/>
              <w:ind w:firstLine="480"/>
              <w:jc w:val="left"/>
              <w:rPr>
                <w:rFonts w:hint="default" w:ascii="Times New Roman" w:hAnsi="Times New Roman" w:eastAsia="宋体" w:cs="Times New Roman"/>
                <w:color w:val="auto"/>
                <w:kern w:val="0"/>
                <w:szCs w:val="21"/>
                <w:lang w:val="en-US" w:eastAsia="zh-CN"/>
              </w:rPr>
            </w:pPr>
            <w:r>
              <w:rPr>
                <w:rFonts w:hint="eastAsia" w:cs="Times New Roman"/>
                <w:color w:val="auto"/>
                <w:kern w:val="0"/>
                <w:szCs w:val="21"/>
                <w:lang w:val="en-US" w:eastAsia="zh-CN"/>
              </w:rPr>
              <w:t xml:space="preserve"> </w:t>
            </w:r>
          </w:p>
        </w:tc>
      </w:tr>
    </w:tbl>
    <w:p w14:paraId="1E641F6A">
      <w:pPr>
        <w:pStyle w:val="26"/>
        <w:jc w:val="center"/>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6"/>
          <w:szCs w:val="36"/>
        </w:rPr>
        <w:br w:type="page"/>
      </w:r>
      <w:bookmarkStart w:id="27" w:name="_Toc17812"/>
      <w:r>
        <w:rPr>
          <w:rFonts w:hint="default" w:ascii="Times New Roman" w:hAnsi="Times New Roman" w:eastAsia="宋体" w:cs="Times New Roman"/>
          <w:snapToGrid w:val="0"/>
          <w:color w:val="auto"/>
          <w:sz w:val="30"/>
          <w:szCs w:val="30"/>
        </w:rPr>
        <w:t>四、主要环境影响和保护措施</w:t>
      </w:r>
      <w:bookmarkEnd w:id="27"/>
    </w:p>
    <w:tbl>
      <w:tblPr>
        <w:tblStyle w:val="30"/>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5"/>
        <w:gridCol w:w="8396"/>
      </w:tblGrid>
      <w:tr w14:paraId="503640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1" w:hRule="atLeast"/>
          <w:jc w:val="center"/>
        </w:trPr>
        <w:tc>
          <w:tcPr>
            <w:tcW w:w="585" w:type="dxa"/>
            <w:noWrap w:val="0"/>
            <w:tcMar>
              <w:left w:w="28" w:type="dxa"/>
              <w:right w:w="28" w:type="dxa"/>
            </w:tcMar>
            <w:vAlign w:val="center"/>
          </w:tcPr>
          <w:p w14:paraId="3FED1335">
            <w:pPr>
              <w:pStyle w:val="26"/>
              <w:adjustRightInd w:val="0"/>
              <w:snapToGrid w:val="0"/>
              <w:spacing w:before="0" w:beforeAutospacing="0" w:after="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施工</w:t>
            </w:r>
          </w:p>
          <w:p w14:paraId="43C3CD55">
            <w:pPr>
              <w:pStyle w:val="26"/>
              <w:adjustRightInd w:val="0"/>
              <w:snapToGrid w:val="0"/>
              <w:spacing w:before="0" w:beforeAutospacing="0" w:after="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期环</w:t>
            </w:r>
          </w:p>
          <w:p w14:paraId="750BF20B">
            <w:pPr>
              <w:pStyle w:val="26"/>
              <w:adjustRightInd w:val="0"/>
              <w:snapToGrid w:val="0"/>
              <w:spacing w:before="0" w:beforeAutospacing="0" w:after="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境保</w:t>
            </w:r>
          </w:p>
          <w:p w14:paraId="05E0ADFA">
            <w:pPr>
              <w:pStyle w:val="26"/>
              <w:adjustRightInd w:val="0"/>
              <w:snapToGrid w:val="0"/>
              <w:spacing w:before="0" w:beforeAutospacing="0" w:after="0" w:afterAutospacing="0"/>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护措</w:t>
            </w:r>
          </w:p>
          <w:p w14:paraId="16B12805">
            <w:pPr>
              <w:pStyle w:val="26"/>
              <w:adjustRightInd w:val="0"/>
              <w:snapToGrid w:val="0"/>
              <w:spacing w:before="0" w:beforeAutospacing="0" w:after="0" w:afterAutospacing="0"/>
              <w:jc w:val="center"/>
              <w:rPr>
                <w:rFonts w:hint="default" w:ascii="Times New Roman" w:hAnsi="Times New Roman" w:eastAsia="宋体" w:cs="Times New Roman"/>
                <w:bCs/>
                <w:color w:val="auto"/>
                <w:kern w:val="2"/>
                <w:sz w:val="21"/>
                <w:szCs w:val="21"/>
              </w:rPr>
            </w:pPr>
            <w:r>
              <w:rPr>
                <w:rFonts w:hint="default" w:ascii="Times New Roman" w:hAnsi="Times New Roman" w:eastAsia="宋体" w:cs="Times New Roman"/>
                <w:color w:val="auto"/>
                <w:kern w:val="2"/>
                <w:sz w:val="21"/>
                <w:szCs w:val="21"/>
              </w:rPr>
              <w:t>施</w:t>
            </w:r>
          </w:p>
        </w:tc>
        <w:tc>
          <w:tcPr>
            <w:tcW w:w="8396" w:type="dxa"/>
            <w:noWrap w:val="0"/>
            <w:vAlign w:val="top"/>
          </w:tcPr>
          <w:p w14:paraId="0321DEFB">
            <w:pPr>
              <w:widowControl/>
              <w:spacing w:line="360" w:lineRule="auto"/>
              <w:ind w:firstLine="482"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b/>
                <w:bCs/>
                <w:color w:val="auto"/>
                <w:sz w:val="24"/>
              </w:rPr>
              <w:t>一、废气</w:t>
            </w:r>
          </w:p>
          <w:p w14:paraId="004062C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本项目施工期间涉及废气主要</w:t>
            </w:r>
            <w:r>
              <w:rPr>
                <w:rFonts w:hint="default" w:ascii="Times New Roman" w:hAnsi="Times New Roman" w:cs="Times New Roman"/>
                <w:color w:val="auto"/>
                <w:sz w:val="24"/>
                <w:highlight w:val="none"/>
                <w:lang w:eastAsia="zh-CN"/>
              </w:rPr>
              <w:t>来自项目</w:t>
            </w:r>
            <w:r>
              <w:rPr>
                <w:rFonts w:hint="default" w:ascii="Times New Roman" w:hAnsi="Times New Roman" w:cs="Times New Roman"/>
                <w:color w:val="auto"/>
                <w:sz w:val="24"/>
                <w:highlight w:val="none"/>
              </w:rPr>
              <w:t>建设期间场地平整、</w:t>
            </w:r>
            <w:r>
              <w:rPr>
                <w:rFonts w:hint="default" w:ascii="Times New Roman" w:hAnsi="Times New Roman" w:cs="Times New Roman"/>
                <w:color w:val="auto"/>
                <w:sz w:val="24"/>
                <w:highlight w:val="none"/>
                <w:lang w:eastAsia="zh-CN"/>
              </w:rPr>
              <w:t>地面硬化</w:t>
            </w:r>
            <w:r>
              <w:rPr>
                <w:rFonts w:hint="default" w:ascii="Times New Roman" w:hAnsi="Times New Roman" w:cs="Times New Roman"/>
                <w:color w:val="auto"/>
                <w:sz w:val="24"/>
                <w:highlight w:val="none"/>
              </w:rPr>
              <w:t>、装卸和运输等过程中产生的扬尘及运输过程中产生的二次扬尘，其次是运输车辆产生的扬尘、车辆产生的尾气、施工机械废气以及装修废气。</w:t>
            </w:r>
          </w:p>
          <w:p w14:paraId="6AB26C7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highlight w:val="none"/>
                <w:lang w:eastAsia="zh-CN"/>
              </w:rPr>
            </w:pPr>
            <w:r>
              <w:rPr>
                <w:rFonts w:hint="eastAsia" w:cs="Times New Roman"/>
                <w:color w:val="auto"/>
                <w:sz w:val="24"/>
                <w:highlight w:val="none"/>
                <w:lang w:eastAsia="zh-CN"/>
              </w:rPr>
              <w:t>治理措施：</w:t>
            </w:r>
          </w:p>
          <w:p w14:paraId="5F69A5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1）施工扬尘</w:t>
            </w:r>
          </w:p>
          <w:p w14:paraId="7597B6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①装修及设备安装产生少量粉尘，制定合理的施工计划，采取集中力量逐段施工方法，缩短施工周期，减少施工现场的工作面，减轻施工扬尘对环境的影响。</w:t>
            </w:r>
          </w:p>
          <w:p w14:paraId="772175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③施工车辆运输路线选择尽量避绕人口密集区、学校、医院等敏感点。</w:t>
            </w:r>
          </w:p>
          <w:p w14:paraId="12D24AB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④在施工场地上设置专人负责建筑垃圾、建筑材料的处置、清运和堆放，堆放场地加盖篷布，防止扬尘。</w:t>
            </w:r>
          </w:p>
          <w:p w14:paraId="70C25FA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⑤对建筑垃圾应及时处理、清运、以减少占地，防止扬尘污染，改善施工场地的环境。</w:t>
            </w:r>
          </w:p>
          <w:p w14:paraId="0A415A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2）机械设备、车辆燃油废气防治措施如下：</w:t>
            </w:r>
          </w:p>
          <w:p w14:paraId="5AF071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①选用先进的施工机械，减少油耗和燃油废气污染；</w:t>
            </w:r>
          </w:p>
          <w:p w14:paraId="64EA44C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②尽量使用电气化设备，少使用燃油设备；</w:t>
            </w:r>
          </w:p>
          <w:p w14:paraId="5EF94C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③做好设备的维修和养护工作，使机械设备处于良好的工作状态，减少油耗，同时降低污染。</w:t>
            </w:r>
          </w:p>
          <w:p w14:paraId="22C749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采取上述措施后，</w:t>
            </w:r>
            <w:r>
              <w:rPr>
                <w:rFonts w:hint="default" w:ascii="Times New Roman" w:hAnsi="Times New Roman" w:cs="Times New Roman"/>
                <w:bCs/>
                <w:color w:val="auto"/>
                <w:sz w:val="24"/>
                <w:highlight w:val="none"/>
                <w:lang w:val="en-US" w:eastAsia="zh-CN"/>
              </w:rPr>
              <w:t>施工期废气可</w:t>
            </w:r>
            <w:r>
              <w:rPr>
                <w:rFonts w:hint="default" w:ascii="Times New Roman" w:hAnsi="Times New Roman" w:cs="Times New Roman"/>
                <w:bCs/>
                <w:color w:val="auto"/>
                <w:sz w:val="24"/>
                <w:highlight w:val="none"/>
              </w:rPr>
              <w:t>排放浓度符合《大气污染物综合排放标准》（GB16297-1996）表2无组织排放限值要求。</w:t>
            </w:r>
          </w:p>
          <w:p w14:paraId="7F4EB506">
            <w:pPr>
              <w:widowControl/>
              <w:spacing w:line="360" w:lineRule="auto"/>
              <w:ind w:firstLine="482" w:firstLineChars="200"/>
              <w:jc w:val="lef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二、废水</w:t>
            </w:r>
          </w:p>
          <w:p w14:paraId="763BE11E">
            <w:pPr>
              <w:adjustRightInd w:val="0"/>
              <w:snapToGrid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cs="Times New Roman"/>
                <w:color w:val="auto"/>
                <w:sz w:val="24"/>
                <w:highlight w:val="none"/>
                <w:lang w:eastAsia="zh-CN"/>
              </w:rPr>
              <w:t>（</w:t>
            </w:r>
            <w:r>
              <w:rPr>
                <w:rFonts w:hint="eastAsia" w:cs="Times New Roman"/>
                <w:color w:val="auto"/>
                <w:sz w:val="24"/>
                <w:highlight w:val="none"/>
                <w:lang w:val="en-US" w:eastAsia="zh-CN"/>
              </w:rPr>
              <w:t>1</w:t>
            </w:r>
            <w:r>
              <w:rPr>
                <w:rFonts w:hint="eastAsia" w:cs="Times New Roman"/>
                <w:color w:val="auto"/>
                <w:sz w:val="24"/>
                <w:highlight w:val="none"/>
                <w:lang w:eastAsia="zh-CN"/>
              </w:rPr>
              <w:t>）施工废水</w:t>
            </w:r>
          </w:p>
          <w:p w14:paraId="536D4B9B">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施工废水来源于施工机械冲洗废水及车辆冲洗陵水和施工阶段产生的泥浆废水。施工机械冲洗废水排放量小，冲洗废水主要是水泥碎粒、沙土构成的悬浮物污染。</w:t>
            </w:r>
            <w:r>
              <w:rPr>
                <w:rFonts w:hint="eastAsia" w:cs="Times New Roman"/>
                <w:color w:val="auto"/>
                <w:sz w:val="24"/>
                <w:highlight w:val="none"/>
                <w:lang w:eastAsia="zh-CN"/>
              </w:rPr>
              <w:t>冲洗</w:t>
            </w:r>
            <w:r>
              <w:rPr>
                <w:rFonts w:hint="default" w:ascii="Times New Roman" w:hAnsi="Times New Roman" w:cs="Times New Roman"/>
                <w:color w:val="auto"/>
                <w:sz w:val="24"/>
                <w:highlight w:val="none"/>
              </w:rPr>
              <w:t>废水</w:t>
            </w:r>
            <w:r>
              <w:rPr>
                <w:rFonts w:hint="default" w:ascii="Times New Roman" w:hAnsi="Times New Roman" w:cs="Times New Roman"/>
                <w:color w:val="auto"/>
                <w:sz w:val="24"/>
                <w:highlight w:val="none"/>
              </w:rPr>
              <w:t>是一种含有微细颗粒的悬浮混浊液体，外观呈土灰色，比重0.480</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rPr>
              <w:t>1.46，含泥量30%~50%，pH 值约 6</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rPr>
              <w:t>7</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其水量不大，如果施工阶段不进行严格管理，将对施工现场及排放水体产生一定影响。为减少施工期间废水的污染，施工人员进入现场后，</w:t>
            </w:r>
            <w:r>
              <w:rPr>
                <w:rFonts w:hint="eastAsia" w:cs="Times New Roman"/>
                <w:color w:val="auto"/>
                <w:sz w:val="24"/>
                <w:highlight w:val="none"/>
                <w:lang w:eastAsia="zh-CN"/>
              </w:rPr>
              <w:t>所产生的冲洗废水排入</w:t>
            </w:r>
            <w:r>
              <w:rPr>
                <w:rFonts w:hint="default" w:ascii="Times New Roman" w:hAnsi="Times New Roman" w:cs="Times New Roman"/>
                <w:color w:val="auto"/>
                <w:sz w:val="24"/>
                <w:highlight w:val="none"/>
              </w:rPr>
              <w:t>沉淀池集中收集沉淀后，回用于</w:t>
            </w:r>
            <w:r>
              <w:rPr>
                <w:rFonts w:hint="eastAsia" w:cs="Times New Roman"/>
                <w:color w:val="auto"/>
                <w:sz w:val="24"/>
                <w:highlight w:val="none"/>
                <w:lang w:eastAsia="zh-CN"/>
              </w:rPr>
              <w:t>洒水</w:t>
            </w:r>
            <w:r>
              <w:rPr>
                <w:rFonts w:hint="default" w:ascii="Times New Roman" w:hAnsi="Times New Roman" w:cs="Times New Roman"/>
                <w:color w:val="auto"/>
                <w:sz w:val="24"/>
                <w:highlight w:val="none"/>
              </w:rPr>
              <w:t>、降尘等，不外排。</w:t>
            </w:r>
          </w:p>
          <w:p w14:paraId="4EC8F82D">
            <w:pPr>
              <w:adjustRightInd w:val="0"/>
              <w:snapToGrid w:val="0"/>
              <w:spacing w:line="360" w:lineRule="auto"/>
              <w:ind w:firstLine="480" w:firstLineChars="200"/>
              <w:rPr>
                <w:rFonts w:hint="eastAsia" w:ascii="Times New Roman" w:hAnsi="Times New Roman" w:eastAsia="宋体" w:cs="Times New Roman"/>
                <w:color w:val="auto"/>
                <w:sz w:val="24"/>
                <w:lang w:eastAsia="zh-CN"/>
              </w:rPr>
            </w:pPr>
            <w:r>
              <w:rPr>
                <w:rFonts w:hint="eastAsia" w:cs="Times New Roman"/>
                <w:color w:val="auto"/>
                <w:sz w:val="24"/>
                <w:lang w:eastAsia="zh-CN"/>
              </w:rPr>
              <w:t>（</w:t>
            </w:r>
            <w:r>
              <w:rPr>
                <w:rFonts w:hint="eastAsia" w:cs="Times New Roman"/>
                <w:color w:val="auto"/>
                <w:sz w:val="24"/>
                <w:lang w:val="en-US" w:eastAsia="zh-CN"/>
              </w:rPr>
              <w:t>2</w:t>
            </w:r>
            <w:r>
              <w:rPr>
                <w:rFonts w:hint="eastAsia" w:cs="Times New Roman"/>
                <w:color w:val="auto"/>
                <w:sz w:val="24"/>
                <w:lang w:eastAsia="zh-CN"/>
              </w:rPr>
              <w:t>）生活污水</w:t>
            </w:r>
          </w:p>
          <w:p w14:paraId="290C47FB">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施工期间施工人员</w:t>
            </w:r>
            <w:r>
              <w:rPr>
                <w:rFonts w:hint="eastAsia" w:cs="Times New Roman"/>
                <w:color w:val="auto"/>
                <w:sz w:val="24"/>
                <w:lang w:val="en-US" w:eastAsia="zh-CN"/>
              </w:rPr>
              <w:t>1</w:t>
            </w:r>
            <w:r>
              <w:rPr>
                <w:rFonts w:hint="default" w:ascii="Times New Roman" w:hAnsi="Times New Roman" w:eastAsia="宋体" w:cs="Times New Roman"/>
                <w:color w:val="auto"/>
                <w:sz w:val="24"/>
                <w:lang w:val="en-US" w:eastAsia="zh-CN"/>
              </w:rPr>
              <w:t>0</w:t>
            </w:r>
            <w:r>
              <w:rPr>
                <w:rFonts w:hint="default" w:ascii="Times New Roman" w:hAnsi="Times New Roman" w:eastAsia="宋体" w:cs="Times New Roman"/>
                <w:color w:val="auto"/>
                <w:sz w:val="24"/>
              </w:rPr>
              <w:t>人</w:t>
            </w:r>
            <w:r>
              <w:rPr>
                <w:rFonts w:hint="eastAsia" w:cs="Times New Roman"/>
                <w:color w:val="auto"/>
                <w:sz w:val="24"/>
                <w:lang w:eastAsia="zh-CN"/>
              </w:rPr>
              <w:t>，施工时间约</w:t>
            </w:r>
            <w:r>
              <w:rPr>
                <w:rFonts w:hint="eastAsia" w:cs="Times New Roman"/>
                <w:color w:val="auto"/>
                <w:sz w:val="24"/>
                <w:lang w:val="en-US" w:eastAsia="zh-CN"/>
              </w:rPr>
              <w:t>1个月（30d）</w:t>
            </w:r>
            <w:r>
              <w:rPr>
                <w:rFonts w:hint="default" w:ascii="Times New Roman" w:hAnsi="Times New Roman" w:eastAsia="宋体" w:cs="Times New Roman"/>
                <w:color w:val="auto"/>
                <w:sz w:val="24"/>
              </w:rPr>
              <w:t>，</w:t>
            </w:r>
            <w:r>
              <w:rPr>
                <w:color w:val="auto"/>
                <w:sz w:val="24"/>
                <w:highlight w:val="none"/>
              </w:rPr>
              <w:t>根据《黑龙江省地方标准 用水定额》（DB23/T727-2021）规定的用水量，按照</w:t>
            </w:r>
            <w:r>
              <w:rPr>
                <w:rFonts w:hint="eastAsia"/>
                <w:color w:val="auto"/>
                <w:sz w:val="24"/>
                <w:highlight w:val="none"/>
              </w:rPr>
              <w:t>4</w:t>
            </w:r>
            <w:r>
              <w:rPr>
                <w:color w:val="auto"/>
                <w:sz w:val="24"/>
                <w:highlight w:val="none"/>
              </w:rPr>
              <w:t>0L/（人•d）计算</w:t>
            </w:r>
            <w:r>
              <w:rPr>
                <w:rFonts w:hint="default" w:ascii="Times New Roman" w:hAnsi="Times New Roman" w:eastAsia="宋体" w:cs="Times New Roman"/>
                <w:color w:val="auto"/>
                <w:sz w:val="24"/>
              </w:rPr>
              <w:t>生活</w:t>
            </w:r>
            <w:r>
              <w:rPr>
                <w:rFonts w:hint="eastAsia" w:cs="Times New Roman"/>
                <w:color w:val="auto"/>
                <w:sz w:val="24"/>
                <w:lang w:eastAsia="zh-CN"/>
              </w:rPr>
              <w:t>用水</w:t>
            </w:r>
            <w:r>
              <w:rPr>
                <w:rFonts w:hint="default" w:ascii="Times New Roman" w:hAnsi="Times New Roman" w:eastAsia="宋体" w:cs="Times New Roman"/>
                <w:color w:val="auto"/>
                <w:sz w:val="24"/>
              </w:rPr>
              <w:t>量为</w:t>
            </w:r>
            <w:r>
              <w:rPr>
                <w:rFonts w:hint="eastAsia" w:cs="Times New Roman"/>
                <w:color w:val="auto"/>
                <w:sz w:val="24"/>
                <w:lang w:val="en-US" w:eastAsia="zh-CN"/>
              </w:rPr>
              <w:t>12</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default" w:ascii="Times New Roman" w:hAnsi="Times New Roman" w:eastAsia="宋体" w:cs="Times New Roman"/>
                <w:color w:val="auto"/>
                <w:sz w:val="24"/>
              </w:rPr>
              <w:t>，</w:t>
            </w:r>
            <w:r>
              <w:rPr>
                <w:color w:val="auto"/>
                <w:sz w:val="24"/>
                <w:highlight w:val="none"/>
              </w:rPr>
              <w:t>排水量约为用水量的</w:t>
            </w:r>
            <w:r>
              <w:rPr>
                <w:rFonts w:hint="eastAsia"/>
                <w:color w:val="auto"/>
                <w:sz w:val="24"/>
                <w:highlight w:val="none"/>
              </w:rPr>
              <w:t>8</w:t>
            </w:r>
            <w:r>
              <w:rPr>
                <w:color w:val="auto"/>
                <w:sz w:val="24"/>
                <w:highlight w:val="none"/>
              </w:rPr>
              <w:t>0%，生活污水的排放量为</w:t>
            </w:r>
            <w:r>
              <w:rPr>
                <w:rFonts w:hint="eastAsia"/>
                <w:color w:val="auto"/>
                <w:sz w:val="24"/>
                <w:highlight w:val="none"/>
                <w:lang w:val="en-US" w:eastAsia="zh-CN"/>
              </w:rPr>
              <w:t>9.6</w:t>
            </w:r>
            <w:r>
              <w:rPr>
                <w:rFonts w:hint="default" w:ascii="Times New Roman" w:hAnsi="Times New Roman" w:eastAsia="宋体" w:cs="Times New Roman"/>
                <w:color w:val="auto"/>
                <w:sz w:val="24"/>
              </w:rPr>
              <w:t>m</w:t>
            </w:r>
            <w:r>
              <w:rPr>
                <w:rFonts w:hint="default" w:ascii="Times New Roman" w:hAnsi="Times New Roman" w:eastAsia="宋体" w:cs="Times New Roman"/>
                <w:color w:val="auto"/>
                <w:sz w:val="24"/>
                <w:vertAlign w:val="superscript"/>
              </w:rPr>
              <w:t>3</w:t>
            </w:r>
            <w:r>
              <w:rPr>
                <w:rFonts w:hint="eastAsia"/>
                <w:color w:val="auto"/>
                <w:sz w:val="24"/>
                <w:highlight w:val="none"/>
                <w:lang w:eastAsia="zh-CN"/>
              </w:rPr>
              <w:t>，</w:t>
            </w:r>
            <w:r>
              <w:rPr>
                <w:rFonts w:hint="default" w:ascii="Times New Roman" w:hAnsi="Times New Roman" w:eastAsia="宋体" w:cs="Times New Roman"/>
                <w:color w:val="auto"/>
                <w:sz w:val="24"/>
              </w:rPr>
              <w:t>生活污水排入临时防渗旱厕，定期清掏外运堆肥，不外排。</w:t>
            </w:r>
          </w:p>
          <w:p w14:paraId="7D3D076C">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因此施工期间生产的废水对地表水环境产生影响很小。</w:t>
            </w:r>
          </w:p>
          <w:p w14:paraId="08874818">
            <w:pPr>
              <w:widowControl/>
              <w:spacing w:line="360" w:lineRule="auto"/>
              <w:ind w:firstLine="482" w:firstLineChars="200"/>
              <w:jc w:val="lef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三、噪声</w:t>
            </w:r>
          </w:p>
          <w:p w14:paraId="405D565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施工期间噪声主要来源于施工现场的各类机械设备和物料运输的交通噪声。在5米范围内一般为70—90dB(A)。</w:t>
            </w:r>
          </w:p>
          <w:p w14:paraId="359C9B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合理安排施工时间，严禁夜间施工。</w:t>
            </w:r>
          </w:p>
          <w:p w14:paraId="703DA0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降低设备声级。设备选型上尽量采用低噪声设备，如以液压机械代替燃油机械，低频振捣器采用高频振捣器等</w:t>
            </w:r>
            <w:r>
              <w:rPr>
                <w:rFonts w:hint="eastAsia" w:ascii="Times New Roman" w:hAnsi="Times New Roman" w:cs="Times New Roman"/>
                <w:color w:val="auto"/>
                <w:sz w:val="24"/>
                <w:highlight w:val="none"/>
                <w:lang w:eastAsia="zh-CN"/>
              </w:rPr>
              <w:t>；对</w:t>
            </w:r>
            <w:r>
              <w:rPr>
                <w:rFonts w:hint="default" w:ascii="Times New Roman" w:hAnsi="Times New Roman" w:cs="Times New Roman"/>
                <w:color w:val="auto"/>
                <w:sz w:val="24"/>
                <w:highlight w:val="none"/>
              </w:rPr>
              <w:t>高噪声、高振动设备采取减振措施；维护不良的设备常因松动部件的振动或消声器的损坏而增加其工作噪声级，因此要对动力机械设备进行定期的维修、养护；闲置不用的设备应立即关闭。</w:t>
            </w:r>
          </w:p>
          <w:p w14:paraId="0C062F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降低人为噪声。按照规定操作机械设备，在挡板、支架拆卸过程中，应遵守作业规定，减少碰撞噪声。</w:t>
            </w:r>
          </w:p>
          <w:p w14:paraId="09BCF3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选用低噪声施工机械设备，采取减振、隔声措施，夜间禁止施工。</w:t>
            </w:r>
          </w:p>
          <w:p w14:paraId="12C7FDB0">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color w:val="auto"/>
                <w:sz w:val="24"/>
                <w:highlight w:val="none"/>
              </w:rPr>
              <w:t>上述降噪措施都是目前建筑施工单位普遍采用的措施，简单易行，只要施工单位认真执行，就能有效地减缓施工噪声的污染影响。</w:t>
            </w:r>
          </w:p>
          <w:p w14:paraId="5AC88769">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eastAsia="zh-CN"/>
              </w:rPr>
              <w:t>采</w:t>
            </w:r>
            <w:r>
              <w:rPr>
                <w:rFonts w:hint="default" w:ascii="Times New Roman" w:hAnsi="Times New Roman" w:cs="Times New Roman"/>
                <w:bCs/>
                <w:color w:val="auto"/>
                <w:sz w:val="24"/>
                <w:highlight w:val="none"/>
              </w:rPr>
              <w:t>取上述措施后，施工期声环境影响控制在施工厂界范围内，对外环境影响小，满足</w:t>
            </w:r>
            <w:r>
              <w:rPr>
                <w:rFonts w:hint="default" w:ascii="Times New Roman" w:hAnsi="Times New Roman" w:cs="Times New Roman"/>
                <w:bCs/>
                <w:color w:val="auto"/>
                <w:sz w:val="24"/>
                <w:highlight w:val="none"/>
              </w:rPr>
              <w:t>《建筑施工噪声排放标准》（GB12523-2025）</w:t>
            </w:r>
            <w:r>
              <w:rPr>
                <w:rFonts w:hint="default" w:ascii="Times New Roman" w:hAnsi="Times New Roman" w:cs="Times New Roman"/>
                <w:bCs/>
                <w:color w:val="auto"/>
                <w:sz w:val="24"/>
                <w:highlight w:val="none"/>
              </w:rPr>
              <w:t>要求。</w:t>
            </w:r>
          </w:p>
          <w:p w14:paraId="7DBBA8DE">
            <w:pPr>
              <w:widowControl/>
              <w:spacing w:line="360" w:lineRule="auto"/>
              <w:ind w:firstLine="482" w:firstLineChars="200"/>
              <w:jc w:val="left"/>
              <w:rPr>
                <w:rFonts w:hint="default" w:ascii="Times New Roman" w:hAnsi="Times New Roman" w:eastAsia="宋体" w:cs="Times New Roman"/>
                <w:b/>
                <w:bCs/>
                <w:color w:val="auto"/>
                <w:sz w:val="24"/>
              </w:rPr>
            </w:pPr>
          </w:p>
          <w:p w14:paraId="1BE80D34">
            <w:pPr>
              <w:widowControl/>
              <w:spacing w:line="360" w:lineRule="auto"/>
              <w:ind w:firstLine="482" w:firstLineChars="200"/>
              <w:jc w:val="left"/>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四、固体废物</w:t>
            </w:r>
          </w:p>
          <w:p w14:paraId="25AEAF1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施工期的固废主要为土建施工产生的建筑垃圾、施工人员产生的生活垃圾等。</w:t>
            </w:r>
          </w:p>
          <w:p w14:paraId="45BAA0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eastAsia" w:cs="Times New Roman"/>
                <w:color w:val="auto"/>
                <w:sz w:val="24"/>
                <w:lang w:val="en-US" w:eastAsia="zh-CN"/>
              </w:rPr>
              <w:t>1、施工</w:t>
            </w:r>
            <w:r>
              <w:rPr>
                <w:rFonts w:hint="default" w:ascii="Times New Roman" w:hAnsi="Times New Roman" w:eastAsia="宋体" w:cs="Times New Roman"/>
                <w:color w:val="auto"/>
                <w:sz w:val="24"/>
              </w:rPr>
              <w:t>建筑垃圾</w:t>
            </w:r>
          </w:p>
          <w:p w14:paraId="21BFE3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本项目施工期固废主要为建筑垃圾，本项目产生的建筑垃圾应及时清运至指定地点处置，防止建筑垃圾对外环境的影响。</w:t>
            </w:r>
          </w:p>
          <w:p w14:paraId="42E6CFE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2、生活垃圾</w:t>
            </w:r>
          </w:p>
          <w:p w14:paraId="0E793B4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施工人员产生的生活垃圾若随意堆放，不仅影响施工区环境景观，而且影施工区环境卫生，夏秋季易造成蚊、蝇滋生或鼠类繁殖，导致疾病流行，进而威胁施工人员身体健康。收集后交环卫部门统一清运。</w:t>
            </w:r>
          </w:p>
          <w:p w14:paraId="265CE4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3、其他固体废物</w:t>
            </w:r>
          </w:p>
          <w:p w14:paraId="791D684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期产生的其他固体废物，如废弃材料、纸张、塑料薄膜及时送垃圾填埋场和废品站处理，运输车辆应采用封闭式，在运输过程中，杜绝沿途撒落。评价认为本项目施工产生的固体废物经妥善、及时处置后不会产生影响。通过在施工场地设置生活垃圾收集设施，统一收集后，定期由环卫部门清运集中处理。</w:t>
            </w:r>
          </w:p>
          <w:p w14:paraId="66E65B4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因此，只要加强管理，施工期的固废对当地环境影响较小。</w:t>
            </w:r>
          </w:p>
          <w:p w14:paraId="5FC0924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所述，施工活动将对项目周围环境产生一定程度的不利影响，主要影响因素是施工扬尘和噪声，在采取相应的防治措施后，其影响程度将大大减轻并局限在一定范围之内，同时绝大多数不利影响将随着工程施工活动的结束而消失。</w:t>
            </w:r>
          </w:p>
          <w:p w14:paraId="10A1D47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p>
          <w:p w14:paraId="3B00B04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p>
          <w:p w14:paraId="2AEEC2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p>
          <w:p w14:paraId="4249F8D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p>
          <w:p w14:paraId="39B7909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p>
          <w:p w14:paraId="363A63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p>
          <w:p w14:paraId="42262A9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spacing w:val="-10"/>
                <w:szCs w:val="21"/>
                <w:lang w:val="en-US" w:eastAsia="zh-CN"/>
              </w:rPr>
            </w:pPr>
            <w:r>
              <w:rPr>
                <w:rFonts w:hint="eastAsia" w:cs="Times New Roman"/>
                <w:color w:val="auto"/>
                <w:sz w:val="24"/>
                <w:lang w:val="en-US" w:eastAsia="zh-CN"/>
              </w:rPr>
              <w:t xml:space="preserve"> </w:t>
            </w:r>
          </w:p>
        </w:tc>
      </w:tr>
      <w:tr w14:paraId="39D56A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23" w:hRule="atLeast"/>
          <w:jc w:val="center"/>
        </w:trPr>
        <w:tc>
          <w:tcPr>
            <w:tcW w:w="585" w:type="dxa"/>
            <w:noWrap w:val="0"/>
            <w:tcMar>
              <w:left w:w="28" w:type="dxa"/>
              <w:right w:w="28" w:type="dxa"/>
            </w:tcMar>
            <w:vAlign w:val="center"/>
          </w:tcPr>
          <w:p w14:paraId="6B830019">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运营</w:t>
            </w:r>
          </w:p>
          <w:p w14:paraId="1D2BD0C2">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期环</w:t>
            </w:r>
          </w:p>
          <w:p w14:paraId="336040B3">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境影</w:t>
            </w:r>
          </w:p>
          <w:p w14:paraId="4C140333">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响和</w:t>
            </w:r>
          </w:p>
          <w:p w14:paraId="7C61EF0F">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保护</w:t>
            </w:r>
          </w:p>
          <w:p w14:paraId="347C0012">
            <w:pPr>
              <w:adjustRightInd w:val="0"/>
              <w:snapToGri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措施</w:t>
            </w:r>
          </w:p>
        </w:tc>
        <w:tc>
          <w:tcPr>
            <w:tcW w:w="8396" w:type="dxa"/>
            <w:noWrap w:val="0"/>
            <w:vAlign w:val="top"/>
          </w:tcPr>
          <w:p w14:paraId="79072DE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一、废气</w:t>
            </w:r>
          </w:p>
          <w:p w14:paraId="2440A6EF">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废气产生情况</w:t>
            </w:r>
          </w:p>
          <w:p w14:paraId="5495DD9F">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本项目</w:t>
            </w:r>
            <w:r>
              <w:rPr>
                <w:rFonts w:hint="eastAsia" w:cs="Times New Roman"/>
                <w:color w:val="auto"/>
                <w:sz w:val="24"/>
                <w:highlight w:val="none"/>
                <w:lang w:val="en-US" w:eastAsia="zh-CN"/>
              </w:rPr>
              <w:t>煤炭</w:t>
            </w:r>
            <w:r>
              <w:rPr>
                <w:rFonts w:hint="default" w:ascii="Times New Roman" w:hAnsi="Times New Roman" w:cs="Times New Roman"/>
                <w:color w:val="auto"/>
                <w:sz w:val="24"/>
                <w:highlight w:val="none"/>
                <w:lang w:val="en-US" w:eastAsia="zh-CN"/>
              </w:rPr>
              <w:t>运输均采用公路运输</w:t>
            </w:r>
            <w:r>
              <w:rPr>
                <w:rFonts w:hint="default" w:ascii="Times New Roman" w:hAnsi="Times New Roman" w:eastAsia="宋体" w:cs="Times New Roman"/>
                <w:color w:val="auto"/>
                <w:sz w:val="24"/>
                <w:highlight w:val="none"/>
                <w:lang w:val="en-US" w:eastAsia="zh-CN"/>
              </w:rPr>
              <w:t>，储煤</w:t>
            </w:r>
            <w:r>
              <w:rPr>
                <w:rFonts w:hint="default" w:ascii="Times New Roman" w:hAnsi="Times New Roman" w:cs="Times New Roman"/>
                <w:color w:val="auto"/>
                <w:sz w:val="24"/>
                <w:highlight w:val="none"/>
                <w:lang w:val="en-US" w:eastAsia="zh-CN"/>
              </w:rPr>
              <w:t>场设置约</w:t>
            </w:r>
            <w:r>
              <w:rPr>
                <w:rFonts w:hint="eastAsia" w:cs="Times New Roman"/>
                <w:color w:val="auto"/>
                <w:sz w:val="24"/>
                <w:highlight w:val="none"/>
                <w:lang w:val="en-US" w:eastAsia="zh-CN"/>
              </w:rPr>
              <w:t>180</w:t>
            </w:r>
            <w:r>
              <w:rPr>
                <w:rFonts w:hint="default" w:ascii="Times New Roman" w:hAnsi="Times New Roman" w:cs="Times New Roman"/>
                <w:color w:val="auto"/>
                <w:sz w:val="24"/>
                <w:highlight w:val="none"/>
                <w:lang w:val="en-US" w:eastAsia="zh-CN"/>
              </w:rPr>
              <w:t>m长</w:t>
            </w:r>
            <w:r>
              <w:rPr>
                <w:rFonts w:hint="eastAsia" w:cs="Times New Roman"/>
                <w:color w:val="auto"/>
                <w:sz w:val="24"/>
                <w:highlight w:val="none"/>
                <w:lang w:val="en-US" w:eastAsia="zh-CN"/>
              </w:rPr>
              <w:t>4.5</w:t>
            </w:r>
            <w:r>
              <w:rPr>
                <w:rFonts w:hint="default" w:ascii="Times New Roman" w:hAnsi="Times New Roman" w:cs="Times New Roman"/>
                <w:color w:val="auto"/>
                <w:sz w:val="24"/>
                <w:highlight w:val="none"/>
                <w:lang w:val="en-US" w:eastAsia="zh-CN"/>
              </w:rPr>
              <w:t>m高金属材质防风抑尘网并在</w:t>
            </w:r>
            <w:r>
              <w:rPr>
                <w:rFonts w:hint="eastAsia" w:cs="Times New Roman"/>
                <w:color w:val="auto"/>
                <w:sz w:val="24"/>
                <w:highlight w:val="none"/>
                <w:lang w:val="en-US" w:eastAsia="zh-CN"/>
              </w:rPr>
              <w:t>堆场</w:t>
            </w:r>
            <w:r>
              <w:rPr>
                <w:rFonts w:hint="default" w:ascii="Times New Roman" w:hAnsi="Times New Roman" w:cs="Times New Roman"/>
                <w:color w:val="auto"/>
                <w:sz w:val="24"/>
                <w:highlight w:val="none"/>
                <w:lang w:val="en-US" w:eastAsia="zh-CN"/>
              </w:rPr>
              <w:t>顶部苫盖苫布</w:t>
            </w: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采用洒水车定期洒水降尘</w:t>
            </w:r>
            <w:r>
              <w:rPr>
                <w:rFonts w:hint="default" w:ascii="Times New Roman" w:hAnsi="Times New Roman" w:eastAsia="宋体" w:cs="Times New Roman"/>
                <w:color w:val="auto"/>
                <w:sz w:val="24"/>
                <w:highlight w:val="none"/>
                <w:lang w:val="en-US" w:eastAsia="zh-CN"/>
              </w:rPr>
              <w:t>，因此项目运营期会有少量颗粒物产生。故颗粒物产生量及排放量计算过程如下：</w:t>
            </w:r>
          </w:p>
          <w:p w14:paraId="6175C579">
            <w:pPr>
              <w:pStyle w:val="2"/>
              <w:adjustRightInd w:val="0"/>
              <w:spacing w:before="0" w:after="0" w:line="360" w:lineRule="auto"/>
              <w:ind w:right="0"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）运输废气</w:t>
            </w:r>
          </w:p>
          <w:p w14:paraId="43E66F80">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本项目煤炭在运输过程中会产生粉尘，在长期运行过程中，会不可避免地逸散至车间外及进出道路。</w:t>
            </w:r>
            <w:r>
              <w:rPr>
                <w:rFonts w:hint="default" w:ascii="Times New Roman" w:hAnsi="Times New Roman" w:eastAsia="宋体" w:cs="Times New Roman"/>
                <w:color w:val="auto"/>
                <w:sz w:val="24"/>
                <w:highlight w:val="none"/>
                <w:lang w:eastAsia="zh-CN"/>
              </w:rPr>
              <w:t>运输粉尘主要为</w:t>
            </w:r>
            <w:r>
              <w:rPr>
                <w:rFonts w:hint="default" w:ascii="Times New Roman" w:hAnsi="Times New Roman" w:eastAsia="宋体" w:cs="Times New Roman"/>
                <w:color w:val="auto"/>
                <w:sz w:val="24"/>
                <w:highlight w:val="none"/>
              </w:rPr>
              <w:t>汽车在有散状物料的道路上行驶的扬尘，选用上海港环境保护中心和武汉水运工程学院提出的经验公式估算，经验公式为：</w:t>
            </w:r>
          </w:p>
          <w:p w14:paraId="31F1CC1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Cs w:val="24"/>
                <w:highlight w:val="none"/>
              </w:rPr>
              <w:drawing>
                <wp:inline distT="0" distB="0" distL="114300" distR="114300">
                  <wp:extent cx="2610485" cy="480060"/>
                  <wp:effectExtent l="0" t="0" r="18415" b="15240"/>
                  <wp:docPr id="8" name="图片 9" descr="96c32d7d20a4e6b5ed58b5772af5b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descr="96c32d7d20a4e6b5ed58b5772af5bcf"/>
                          <pic:cNvPicPr>
                            <a:picLocks noChangeAspect="1"/>
                          </pic:cNvPicPr>
                        </pic:nvPicPr>
                        <pic:blipFill>
                          <a:blip r:embed="rId20"/>
                          <a:stretch>
                            <a:fillRect/>
                          </a:stretch>
                        </pic:blipFill>
                        <pic:spPr>
                          <a:xfrm>
                            <a:off x="0" y="0"/>
                            <a:ext cx="2610485" cy="480060"/>
                          </a:xfrm>
                          <a:prstGeom prst="rect">
                            <a:avLst/>
                          </a:prstGeom>
                          <a:noFill/>
                          <a:ln>
                            <a:noFill/>
                          </a:ln>
                        </pic:spPr>
                      </pic:pic>
                    </a:graphicData>
                  </a:graphic>
                </wp:inline>
              </w:drawing>
            </w:r>
          </w:p>
          <w:p w14:paraId="7D3E3337">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式中：Q</w:t>
            </w:r>
            <w:r>
              <w:rPr>
                <w:rFonts w:hint="default" w:ascii="Times New Roman" w:hAnsi="Times New Roman" w:eastAsia="宋体" w:cs="Times New Roman"/>
                <w:color w:val="auto"/>
                <w:sz w:val="24"/>
                <w:highlight w:val="none"/>
                <w:vertAlign w:val="subscript"/>
              </w:rPr>
              <w:t>p</w:t>
            </w:r>
            <w:r>
              <w:rPr>
                <w:rFonts w:hint="default" w:ascii="Times New Roman" w:hAnsi="Times New Roman" w:eastAsia="宋体" w:cs="Times New Roman"/>
                <w:color w:val="auto"/>
                <w:sz w:val="24"/>
                <w:highlight w:val="none"/>
              </w:rPr>
              <w:t>——道路扬尘量（kg/km·辆）；</w:t>
            </w:r>
          </w:p>
          <w:p w14:paraId="36C954F2">
            <w:pPr>
              <w:adjustRightInd w:val="0"/>
              <w:snapToGrid w:val="0"/>
              <w:spacing w:line="360" w:lineRule="auto"/>
              <w:ind w:firstLine="480" w:firstLineChars="200"/>
              <w:jc w:val="left"/>
              <w:rPr>
                <w:rFonts w:hint="default" w:ascii="Times New Roman" w:hAnsi="Times New Roman" w:cs="Times New Roman"/>
                <w:color w:val="auto"/>
                <w:highlight w:val="none"/>
              </w:rPr>
            </w:pP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p</w:t>
            </w:r>
            <w:r>
              <w:rPr>
                <w:rFonts w:hint="default" w:ascii="Times New Roman" w:hAnsi="Times New Roman" w:eastAsia="宋体" w:cs="Times New Roman"/>
                <w:color w:val="auto"/>
                <w:sz w:val="24"/>
                <w:highlight w:val="none"/>
                <w:vertAlign w:val="superscript"/>
              </w:rPr>
              <w:t>1</w:t>
            </w:r>
            <w:r>
              <w:rPr>
                <w:rFonts w:hint="default" w:ascii="Times New Roman" w:hAnsi="Times New Roman" w:eastAsia="宋体" w:cs="Times New Roman"/>
                <w:color w:val="auto"/>
                <w:sz w:val="24"/>
                <w:highlight w:val="none"/>
              </w:rPr>
              <w:t>——总扬尘量（kg/a）；</w:t>
            </w:r>
          </w:p>
          <w:p w14:paraId="5013855B">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V——车辆速度（km/h）；</w:t>
            </w:r>
          </w:p>
          <w:p w14:paraId="3ADFAFAB">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M——车辆载重（t/辆）；</w:t>
            </w:r>
          </w:p>
          <w:p w14:paraId="12F237B3">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P——道路灰尘覆盖量（kg/m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p>
          <w:p w14:paraId="5F90B1FC">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L——运输距离（km）；</w:t>
            </w:r>
          </w:p>
          <w:p w14:paraId="5346BCFD">
            <w:pPr>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Q——运输量（t/a）。</w:t>
            </w:r>
          </w:p>
          <w:p w14:paraId="3405E152">
            <w:pPr>
              <w:pStyle w:val="2"/>
              <w:adjustRightInd w:val="0"/>
              <w:spacing w:before="0" w:after="0" w:line="360" w:lineRule="auto"/>
              <w:ind w:right="0"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本项目采用</w:t>
            </w:r>
            <w:r>
              <w:rPr>
                <w:rFonts w:hint="eastAsia" w:cs="Times New Roman"/>
                <w:color w:val="auto"/>
                <w:sz w:val="24"/>
                <w:highlight w:val="none"/>
                <w:lang w:val="en-US" w:eastAsia="zh-CN"/>
              </w:rPr>
              <w:t>32</w:t>
            </w:r>
            <w:r>
              <w:rPr>
                <w:rFonts w:hint="default" w:ascii="Times New Roman" w:hAnsi="Times New Roman" w:eastAsia="宋体" w:cs="Times New Roman"/>
                <w:color w:val="auto"/>
                <w:sz w:val="24"/>
                <w:highlight w:val="none"/>
              </w:rPr>
              <w:t>t的载重车辆运输，运输车辆速度约20km/h，道路灰尘覆盖量P取0.15kg/m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，厂区道路长约</w:t>
            </w:r>
            <w:r>
              <w:rPr>
                <w:rFonts w:hint="default" w:ascii="Times New Roman" w:hAnsi="Times New Roman" w:eastAsia="宋体" w:cs="Times New Roman"/>
                <w:color w:val="auto"/>
                <w:sz w:val="24"/>
                <w:highlight w:val="none"/>
                <w:lang w:val="en-US" w:eastAsia="zh-CN"/>
              </w:rPr>
              <w:t>0.</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rPr>
              <w:t>km，</w:t>
            </w:r>
            <w:r>
              <w:rPr>
                <w:rFonts w:hint="default" w:ascii="Times New Roman" w:hAnsi="Times New Roman" w:eastAsia="宋体" w:cs="Times New Roman"/>
                <w:color w:val="auto"/>
                <w:sz w:val="24"/>
                <w:highlight w:val="none"/>
                <w:lang w:eastAsia="zh-CN"/>
              </w:rPr>
              <w:t>本</w:t>
            </w:r>
            <w:r>
              <w:rPr>
                <w:rFonts w:hint="default" w:ascii="Times New Roman" w:hAnsi="Times New Roman" w:eastAsia="宋体" w:cs="Times New Roman"/>
                <w:color w:val="auto"/>
                <w:sz w:val="24"/>
                <w:highlight w:val="none"/>
              </w:rPr>
              <w:t>项目原料和成品</w:t>
            </w:r>
            <w:r>
              <w:rPr>
                <w:rFonts w:hint="default" w:ascii="Times New Roman" w:hAnsi="Times New Roman" w:eastAsia="宋体" w:cs="Times New Roman"/>
                <w:color w:val="auto"/>
                <w:sz w:val="24"/>
                <w:highlight w:val="none"/>
                <w:lang w:eastAsia="zh-CN"/>
              </w:rPr>
              <w:t>需要汽车运输，</w:t>
            </w:r>
            <w:r>
              <w:rPr>
                <w:rFonts w:hint="default" w:ascii="Times New Roman" w:hAnsi="Times New Roman" w:eastAsia="宋体" w:cs="Times New Roman"/>
                <w:color w:val="auto"/>
                <w:sz w:val="24"/>
                <w:highlight w:val="none"/>
              </w:rPr>
              <w:t>总运输量</w:t>
            </w:r>
            <w:r>
              <w:rPr>
                <w:rFonts w:hint="default" w:ascii="Times New Roman" w:hAnsi="Times New Roman" w:eastAsia="宋体" w:cs="Times New Roman"/>
                <w:color w:val="auto"/>
                <w:sz w:val="24"/>
                <w:highlight w:val="none"/>
                <w:lang w:eastAsia="zh-CN"/>
              </w:rPr>
              <w:t>按</w:t>
            </w:r>
            <w:r>
              <w:rPr>
                <w:rFonts w:hint="eastAsia" w:cs="Times New Roman"/>
                <w:color w:val="auto"/>
                <w:sz w:val="24"/>
                <w:highlight w:val="none"/>
                <w:lang w:val="en-US" w:eastAsia="zh-CN"/>
              </w:rPr>
              <w:t>12</w:t>
            </w:r>
            <w:r>
              <w:rPr>
                <w:rFonts w:hint="default" w:ascii="Times New Roman" w:hAnsi="Times New Roman" w:cs="Times New Roman"/>
                <w:color w:val="auto"/>
                <w:sz w:val="24"/>
                <w:highlight w:val="none"/>
                <w:lang w:val="en-US" w:eastAsia="zh-CN"/>
              </w:rPr>
              <w:t>0000</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color w:val="auto"/>
                <w:sz w:val="24"/>
                <w:highlight w:val="none"/>
                <w:lang w:eastAsia="zh-CN"/>
              </w:rPr>
              <w:t>计</w:t>
            </w:r>
            <w:r>
              <w:rPr>
                <w:rFonts w:hint="default" w:ascii="Times New Roman" w:hAnsi="Times New Roman" w:eastAsia="宋体" w:cs="Times New Roman"/>
                <w:color w:val="auto"/>
                <w:sz w:val="24"/>
                <w:highlight w:val="none"/>
              </w:rPr>
              <w:t>，则道路总扬尘量为</w:t>
            </w:r>
            <w:r>
              <w:rPr>
                <w:rFonts w:hint="eastAsia" w:cs="Times New Roman"/>
                <w:color w:val="auto"/>
                <w:sz w:val="24"/>
                <w:highlight w:val="none"/>
                <w:lang w:val="en-US" w:eastAsia="zh-CN"/>
              </w:rPr>
              <w:t>867.74</w:t>
            </w:r>
            <w:r>
              <w:rPr>
                <w:rFonts w:hint="default" w:ascii="Times New Roman" w:hAnsi="Times New Roman" w:eastAsia="宋体" w:cs="Times New Roman"/>
                <w:color w:val="auto"/>
                <w:sz w:val="24"/>
                <w:highlight w:val="none"/>
              </w:rPr>
              <w:t>kg/a，即</w:t>
            </w:r>
            <w:r>
              <w:rPr>
                <w:rFonts w:hint="eastAsia" w:cs="Times New Roman"/>
                <w:color w:val="auto"/>
                <w:sz w:val="24"/>
                <w:highlight w:val="none"/>
                <w:lang w:val="en-US" w:eastAsia="zh-CN"/>
              </w:rPr>
              <w:t>0.868</w:t>
            </w:r>
            <w:r>
              <w:rPr>
                <w:rFonts w:hint="default" w:ascii="Times New Roman" w:hAnsi="Times New Roman" w:eastAsia="宋体" w:cs="Times New Roman"/>
                <w:color w:val="auto"/>
                <w:sz w:val="24"/>
                <w:highlight w:val="none"/>
              </w:rPr>
              <w:t>t/a</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0.362</w:t>
            </w:r>
            <w:r>
              <w:rPr>
                <w:rFonts w:hint="default" w:ascii="Times New Roman" w:hAnsi="Times New Roman" w:eastAsia="宋体" w:cs="Times New Roman"/>
                <w:color w:val="auto"/>
                <w:sz w:val="24"/>
                <w:highlight w:val="none"/>
                <w:lang w:val="en-US" w:eastAsia="zh-CN"/>
              </w:rPr>
              <w:t>kg/h</w:t>
            </w:r>
            <w:r>
              <w:rPr>
                <w:rFonts w:hint="default" w:ascii="Times New Roman" w:hAnsi="Times New Roman" w:eastAsia="宋体" w:cs="Times New Roman"/>
                <w:color w:val="auto"/>
                <w:sz w:val="24"/>
                <w:highlight w:val="none"/>
              </w:rPr>
              <w:t>。通过道路硬化，及时清扫地面并在运输道路路面和两侧洒水，可以减少</w:t>
            </w:r>
            <w:r>
              <w:rPr>
                <w:rFonts w:hint="default" w:ascii="Times New Roman" w:hAnsi="Times New Roman" w:cs="Times New Roman"/>
                <w:color w:val="auto"/>
                <w:sz w:val="24"/>
                <w:highlight w:val="none"/>
                <w:lang w:val="en-US" w:eastAsia="zh-CN"/>
              </w:rPr>
              <w:t>8</w:t>
            </w:r>
            <w:r>
              <w:rPr>
                <w:rFonts w:hint="default" w:ascii="Times New Roman" w:hAnsi="Times New Roman" w:eastAsia="宋体" w:cs="Times New Roman"/>
                <w:color w:val="auto"/>
                <w:sz w:val="24"/>
                <w:highlight w:val="none"/>
              </w:rPr>
              <w:t>0%以上的逸散性扬尘，则运输扬尘量</w:t>
            </w:r>
            <w:r>
              <w:rPr>
                <w:rFonts w:hint="default" w:ascii="Times New Roman" w:hAnsi="Times New Roman" w:eastAsia="宋体" w:cs="Times New Roman"/>
                <w:color w:val="auto"/>
                <w:sz w:val="24"/>
                <w:highlight w:val="none"/>
                <w:lang w:eastAsia="zh-CN"/>
              </w:rPr>
              <w:t>约</w:t>
            </w:r>
            <w:r>
              <w:rPr>
                <w:rFonts w:hint="default" w:ascii="Times New Roman" w:hAnsi="Times New Roman" w:eastAsia="宋体" w:cs="Times New Roman"/>
                <w:color w:val="auto"/>
                <w:sz w:val="24"/>
                <w:highlight w:val="none"/>
              </w:rPr>
              <w:t>为</w:t>
            </w:r>
            <w:r>
              <w:rPr>
                <w:rFonts w:hint="eastAsia" w:cs="Times New Roman"/>
                <w:color w:val="auto"/>
                <w:sz w:val="24"/>
                <w:highlight w:val="none"/>
                <w:lang w:val="en-US" w:eastAsia="zh-CN"/>
              </w:rPr>
              <w:t>0.174</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color w:val="auto"/>
                <w:sz w:val="24"/>
                <w:highlight w:val="none"/>
                <w:lang w:eastAsia="zh-CN"/>
              </w:rPr>
              <w:t>，即</w:t>
            </w:r>
            <w:r>
              <w:rPr>
                <w:rFonts w:hint="eastAsia" w:cs="Times New Roman"/>
                <w:color w:val="auto"/>
                <w:sz w:val="24"/>
                <w:highlight w:val="none"/>
                <w:lang w:val="en-US" w:eastAsia="zh-CN"/>
              </w:rPr>
              <w:t>0.072</w:t>
            </w:r>
            <w:r>
              <w:rPr>
                <w:rFonts w:hint="default" w:ascii="Times New Roman" w:hAnsi="Times New Roman" w:eastAsia="宋体" w:cs="Times New Roman"/>
                <w:color w:val="auto"/>
                <w:sz w:val="24"/>
                <w:highlight w:val="none"/>
                <w:lang w:val="en-US" w:eastAsia="zh-CN"/>
              </w:rPr>
              <w:t>kg/h</w:t>
            </w:r>
            <w:r>
              <w:rPr>
                <w:rFonts w:hint="default" w:ascii="Times New Roman" w:hAnsi="Times New Roman" w:eastAsia="宋体" w:cs="Times New Roman"/>
                <w:color w:val="auto"/>
                <w:sz w:val="24"/>
                <w:highlight w:val="none"/>
              </w:rPr>
              <w:t>。</w:t>
            </w:r>
          </w:p>
          <w:p w14:paraId="5D3CE5EF">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原料</w:t>
            </w:r>
            <w:r>
              <w:rPr>
                <w:rFonts w:hint="default" w:ascii="Times New Roman" w:hAnsi="Times New Roman" w:cs="Times New Roman"/>
                <w:color w:val="auto"/>
                <w:sz w:val="24"/>
                <w:highlight w:val="none"/>
                <w:lang w:eastAsia="zh-CN"/>
              </w:rPr>
              <w:t>装卸</w:t>
            </w:r>
            <w:r>
              <w:rPr>
                <w:rFonts w:hint="default" w:ascii="Times New Roman" w:hAnsi="Times New Roman" w:cs="Times New Roman"/>
                <w:color w:val="auto"/>
                <w:sz w:val="24"/>
                <w:highlight w:val="none"/>
              </w:rPr>
              <w:t>产生扬尘</w:t>
            </w:r>
          </w:p>
          <w:p w14:paraId="0339AC8C">
            <w:pPr>
              <w:pStyle w:val="71"/>
              <w:rPr>
                <w:rFonts w:hint="default" w:ascii="Times New Roman" w:hAnsi="Times New Roman" w:cs="Times New Roman"/>
                <w:color w:val="auto"/>
                <w:highlight w:val="none"/>
              </w:rPr>
            </w:pPr>
            <w:r>
              <w:rPr>
                <w:rFonts w:hint="default" w:ascii="Times New Roman" w:hAnsi="Times New Roman" w:cs="Times New Roman"/>
                <w:color w:val="auto"/>
                <w:highlight w:val="none"/>
              </w:rPr>
              <w:t>汽车煤炭</w:t>
            </w:r>
            <w:r>
              <w:rPr>
                <w:rFonts w:hint="default" w:ascii="Times New Roman" w:hAnsi="Times New Roman" w:cs="Times New Roman"/>
                <w:color w:val="auto"/>
                <w:highlight w:val="none"/>
                <w:lang w:eastAsia="zh-CN"/>
              </w:rPr>
              <w:t>装卸</w:t>
            </w:r>
            <w:r>
              <w:rPr>
                <w:rFonts w:hint="default" w:ascii="Times New Roman" w:hAnsi="Times New Roman" w:cs="Times New Roman"/>
                <w:color w:val="auto"/>
                <w:highlight w:val="none"/>
              </w:rPr>
              <w:t>扬尘量采用西安冶金建筑学院的起尘量推荐公式：</w:t>
            </w:r>
          </w:p>
          <w:p w14:paraId="08CE470F">
            <w:pPr>
              <w:spacing w:line="360" w:lineRule="auto"/>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drawing>
                <wp:inline distT="0" distB="0" distL="114300" distR="114300">
                  <wp:extent cx="1974215" cy="454025"/>
                  <wp:effectExtent l="0" t="0" r="6985" b="3175"/>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21"/>
                          <a:stretch>
                            <a:fillRect/>
                          </a:stretch>
                        </pic:blipFill>
                        <pic:spPr>
                          <a:xfrm>
                            <a:off x="0" y="0"/>
                            <a:ext cx="1974215" cy="454025"/>
                          </a:xfrm>
                          <a:prstGeom prst="rect">
                            <a:avLst/>
                          </a:prstGeom>
                          <a:noFill/>
                          <a:ln>
                            <a:noFill/>
                          </a:ln>
                        </pic:spPr>
                      </pic:pic>
                    </a:graphicData>
                  </a:graphic>
                </wp:inline>
              </w:drawing>
            </w:r>
          </w:p>
          <w:p w14:paraId="664717A0">
            <w:pPr>
              <w:spacing w:line="360" w:lineRule="auto"/>
              <w:ind w:left="1199" w:leftChars="228" w:hanging="720" w:hangingChars="3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w:t>
            </w:r>
            <w:r>
              <w:rPr>
                <w:rFonts w:hint="default" w:ascii="Times New Roman" w:hAnsi="Times New Roman" w:cs="Times New Roman"/>
                <w:i/>
                <w:color w:val="auto"/>
                <w:sz w:val="24"/>
                <w:highlight w:val="none"/>
              </w:rPr>
              <w:t>Q</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rPr>
              <w:t>煤装卸扬尘量，（mg/次）；</w:t>
            </w:r>
          </w:p>
          <w:p w14:paraId="0551244F">
            <w:pPr>
              <w:spacing w:line="360" w:lineRule="auto"/>
              <w:ind w:left="1199" w:leftChars="228" w:hanging="720" w:hangingChars="300"/>
              <w:rPr>
                <w:rFonts w:hint="default" w:ascii="Times New Roman" w:hAnsi="Times New Roman" w:cs="Times New Roman"/>
                <w:color w:val="auto"/>
                <w:sz w:val="24"/>
                <w:highlight w:val="none"/>
              </w:rPr>
            </w:pPr>
            <w:r>
              <w:rPr>
                <w:rFonts w:hint="default" w:ascii="Times New Roman" w:hAnsi="Times New Roman" w:cs="Times New Roman"/>
                <w:i/>
                <w:color w:val="auto"/>
                <w:sz w:val="24"/>
                <w:highlight w:val="none"/>
              </w:rPr>
              <w:t>u</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rPr>
              <w:t>起尘风速（m/s），本项目取当地全年平均风速</w:t>
            </w:r>
            <w:r>
              <w:rPr>
                <w:rFonts w:hint="default" w:ascii="Times New Roman" w:hAnsi="Times New Roman" w:cs="Times New Roman"/>
                <w:color w:val="auto"/>
                <w:sz w:val="24"/>
                <w:highlight w:val="none"/>
                <w:lang w:eastAsia="zh-CN"/>
              </w:rPr>
              <w:t>5m</w:t>
            </w:r>
            <w:r>
              <w:rPr>
                <w:rFonts w:hint="default" w:ascii="Times New Roman" w:hAnsi="Times New Roman" w:cs="Times New Roman"/>
                <w:color w:val="auto"/>
                <w:sz w:val="24"/>
                <w:highlight w:val="none"/>
              </w:rPr>
              <w:t>/s；</w:t>
            </w:r>
          </w:p>
          <w:p w14:paraId="11603CC5">
            <w:pPr>
              <w:spacing w:line="360" w:lineRule="auto"/>
              <w:ind w:left="1199" w:leftChars="228" w:hanging="720" w:hangingChars="300"/>
              <w:rPr>
                <w:rFonts w:hint="default" w:ascii="Times New Roman" w:hAnsi="Times New Roman" w:cs="Times New Roman"/>
                <w:color w:val="auto"/>
                <w:sz w:val="24"/>
                <w:highlight w:val="none"/>
              </w:rPr>
            </w:pPr>
            <w:r>
              <w:rPr>
                <w:rFonts w:hint="default" w:ascii="Times New Roman" w:hAnsi="Times New Roman" w:cs="Times New Roman"/>
                <w:i/>
                <w:color w:val="auto"/>
                <w:sz w:val="24"/>
                <w:highlight w:val="none"/>
              </w:rPr>
              <w:t>M</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rPr>
              <w:t>车辆吨位，t（取</w:t>
            </w:r>
            <w:r>
              <w:rPr>
                <w:rFonts w:hint="eastAsia" w:cs="Times New Roman"/>
                <w:color w:val="auto"/>
                <w:sz w:val="24"/>
                <w:highlight w:val="none"/>
                <w:lang w:val="en-US" w:eastAsia="zh-CN"/>
              </w:rPr>
              <w:t>32</w:t>
            </w:r>
            <w:r>
              <w:rPr>
                <w:rFonts w:hint="default" w:ascii="Times New Roman" w:hAnsi="Times New Roman" w:cs="Times New Roman"/>
                <w:color w:val="auto"/>
                <w:sz w:val="24"/>
                <w:highlight w:val="none"/>
              </w:rPr>
              <w:t>t）；</w:t>
            </w:r>
          </w:p>
          <w:p w14:paraId="30959FC3">
            <w:pPr>
              <w:spacing w:line="360" w:lineRule="auto"/>
              <w:ind w:left="1199" w:leftChars="228" w:hanging="720" w:hangingChars="300"/>
              <w:rPr>
                <w:rFonts w:hint="default" w:ascii="Times New Roman" w:hAnsi="Times New Roman" w:cs="Times New Roman"/>
                <w:color w:val="auto"/>
                <w:sz w:val="24"/>
                <w:highlight w:val="none"/>
              </w:rPr>
            </w:pPr>
            <w:r>
              <w:rPr>
                <w:rFonts w:hint="default" w:ascii="Times New Roman" w:hAnsi="Times New Roman" w:cs="Times New Roman"/>
                <w:i/>
                <w:color w:val="auto"/>
                <w:sz w:val="24"/>
                <w:highlight w:val="none"/>
              </w:rPr>
              <w:t>H</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rPr>
              <w:t>煤装卸高度，</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m。</w:t>
            </w:r>
          </w:p>
          <w:p w14:paraId="06C2B1C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经计算，每车次</w:t>
            </w:r>
            <w:r>
              <w:rPr>
                <w:rFonts w:hint="default" w:ascii="Times New Roman" w:hAnsi="Times New Roman" w:cs="Times New Roman"/>
                <w:color w:val="auto"/>
                <w:sz w:val="24"/>
                <w:highlight w:val="none"/>
                <w:lang w:eastAsia="zh-CN"/>
              </w:rPr>
              <w:t>装卸</w:t>
            </w:r>
            <w:r>
              <w:rPr>
                <w:rFonts w:hint="default" w:ascii="Times New Roman" w:hAnsi="Times New Roman" w:cs="Times New Roman"/>
                <w:color w:val="auto"/>
                <w:sz w:val="24"/>
                <w:highlight w:val="none"/>
              </w:rPr>
              <w:t>时产生的扬尘量为</w:t>
            </w:r>
            <w:r>
              <w:rPr>
                <w:rFonts w:hint="eastAsia" w:cs="Times New Roman"/>
                <w:color w:val="auto"/>
                <w:sz w:val="24"/>
                <w:highlight w:val="none"/>
                <w:lang w:val="en-US" w:eastAsia="zh-CN"/>
              </w:rPr>
              <w:t>40.40</w:t>
            </w:r>
            <w:r>
              <w:rPr>
                <w:rFonts w:hint="default" w:ascii="Times New Roman" w:hAnsi="Times New Roman" w:cs="Times New Roman"/>
                <w:color w:val="auto"/>
                <w:sz w:val="24"/>
                <w:highlight w:val="none"/>
              </w:rPr>
              <w:t>g，</w:t>
            </w:r>
            <w:r>
              <w:rPr>
                <w:rFonts w:hint="default" w:ascii="Times New Roman" w:hAnsi="Times New Roman" w:cs="Times New Roman"/>
                <w:color w:val="auto"/>
                <w:sz w:val="24"/>
                <w:highlight w:val="none"/>
                <w:lang w:eastAsia="zh-CN"/>
              </w:rPr>
              <w:t>平均</w:t>
            </w:r>
            <w:r>
              <w:rPr>
                <w:rFonts w:hint="default" w:ascii="Times New Roman" w:hAnsi="Times New Roman" w:cs="Times New Roman"/>
                <w:color w:val="auto"/>
                <w:sz w:val="24"/>
                <w:highlight w:val="none"/>
              </w:rPr>
              <w:t>按</w:t>
            </w:r>
            <w:r>
              <w:rPr>
                <w:rFonts w:hint="eastAsia" w:cs="Times New Roman"/>
                <w:color w:val="auto"/>
                <w:sz w:val="24"/>
                <w:highlight w:val="none"/>
                <w:lang w:eastAsia="zh-CN"/>
              </w:rPr>
              <w:t>煤炭</w:t>
            </w:r>
            <w:r>
              <w:rPr>
                <w:rFonts w:hint="default" w:ascii="Times New Roman" w:hAnsi="Times New Roman" w:cs="Times New Roman"/>
                <w:color w:val="auto"/>
                <w:sz w:val="24"/>
                <w:highlight w:val="none"/>
              </w:rPr>
              <w:t>装卸车辆运输每天</w:t>
            </w:r>
            <w:r>
              <w:rPr>
                <w:rFonts w:hint="eastAsia" w:cs="Times New Roman"/>
                <w:color w:val="auto"/>
                <w:sz w:val="24"/>
                <w:highlight w:val="none"/>
                <w:lang w:val="en-US" w:eastAsia="zh-CN"/>
              </w:rPr>
              <w:t>13.5</w:t>
            </w:r>
            <w:r>
              <w:rPr>
                <w:rFonts w:hint="default" w:ascii="Times New Roman" w:hAnsi="Times New Roman" w:cs="Times New Roman"/>
                <w:color w:val="auto"/>
                <w:sz w:val="24"/>
                <w:highlight w:val="none"/>
              </w:rPr>
              <w:t>车次，则扬尘量约为</w:t>
            </w:r>
            <w:r>
              <w:rPr>
                <w:rFonts w:hint="eastAsia" w:cs="Times New Roman"/>
                <w:color w:val="auto"/>
                <w:sz w:val="24"/>
                <w:highlight w:val="none"/>
                <w:lang w:val="en-US" w:eastAsia="zh-CN"/>
              </w:rPr>
              <w:t>0.565</w:t>
            </w:r>
            <w:r>
              <w:rPr>
                <w:rFonts w:hint="default" w:ascii="Times New Roman" w:hAnsi="Times New Roman" w:cs="Times New Roman"/>
                <w:color w:val="auto"/>
                <w:sz w:val="24"/>
                <w:highlight w:val="none"/>
              </w:rPr>
              <w:t>kg/d，即</w:t>
            </w:r>
            <w:r>
              <w:rPr>
                <w:rFonts w:hint="eastAsia" w:cs="Times New Roman"/>
                <w:color w:val="auto"/>
                <w:sz w:val="24"/>
                <w:highlight w:val="none"/>
                <w:lang w:val="en-US" w:eastAsia="zh-CN"/>
              </w:rPr>
              <w:t>0.071</w:t>
            </w:r>
            <w:r>
              <w:rPr>
                <w:rFonts w:hint="default" w:ascii="Times New Roman" w:hAnsi="Times New Roman" w:cs="Times New Roman"/>
                <w:color w:val="auto"/>
                <w:sz w:val="24"/>
                <w:highlight w:val="none"/>
              </w:rPr>
              <w:t>kg/h、</w:t>
            </w:r>
            <w:r>
              <w:rPr>
                <w:rFonts w:hint="default" w:ascii="Times New Roman" w:hAnsi="Times New Roman" w:cs="Times New Roman"/>
                <w:color w:val="auto"/>
                <w:sz w:val="24"/>
                <w:highlight w:val="none"/>
                <w:lang w:val="en-US" w:eastAsia="zh-CN"/>
              </w:rPr>
              <w:t>0.</w:t>
            </w:r>
            <w:r>
              <w:rPr>
                <w:rFonts w:hint="eastAsia" w:cs="Times New Roman"/>
                <w:color w:val="auto"/>
                <w:sz w:val="24"/>
                <w:highlight w:val="none"/>
                <w:lang w:val="en-US" w:eastAsia="zh-CN"/>
              </w:rPr>
              <w:t>169</w:t>
            </w:r>
            <w:r>
              <w:rPr>
                <w:rFonts w:hint="default" w:ascii="Times New Roman" w:hAnsi="Times New Roman" w:cs="Times New Roman"/>
                <w:color w:val="auto"/>
                <w:sz w:val="24"/>
                <w:highlight w:val="none"/>
              </w:rPr>
              <w:t>t/a。本项目采取洒水降尘措施，且在防风抑尘网内进行，粉尘排放量约减少</w:t>
            </w:r>
            <w:r>
              <w:rPr>
                <w:rFonts w:hint="default"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rPr>
              <w:t>0%，粉尘排放量约为</w:t>
            </w:r>
            <w:r>
              <w:rPr>
                <w:rFonts w:hint="eastAsia" w:cs="Times New Roman"/>
                <w:color w:val="auto"/>
                <w:sz w:val="24"/>
                <w:highlight w:val="none"/>
                <w:lang w:val="en-US" w:eastAsia="zh-CN"/>
              </w:rPr>
              <w:t>0.014</w:t>
            </w:r>
            <w:r>
              <w:rPr>
                <w:rFonts w:hint="default" w:ascii="Times New Roman" w:hAnsi="Times New Roman" w:cs="Times New Roman"/>
                <w:color w:val="auto"/>
                <w:sz w:val="24"/>
                <w:highlight w:val="none"/>
              </w:rPr>
              <w:t>kg/h、</w:t>
            </w:r>
            <w:r>
              <w:rPr>
                <w:rFonts w:hint="eastAsia" w:cs="Times New Roman"/>
                <w:color w:val="auto"/>
                <w:sz w:val="24"/>
                <w:highlight w:val="none"/>
                <w:lang w:val="en-US" w:eastAsia="zh-CN"/>
              </w:rPr>
              <w:t>0.034</w:t>
            </w:r>
            <w:r>
              <w:rPr>
                <w:rFonts w:hint="default" w:ascii="Times New Roman" w:hAnsi="Times New Roman" w:cs="Times New Roman"/>
                <w:color w:val="auto"/>
                <w:sz w:val="24"/>
                <w:highlight w:val="none"/>
              </w:rPr>
              <w:t>t/a。</w:t>
            </w:r>
          </w:p>
          <w:p w14:paraId="53A8446C">
            <w:pPr>
              <w:widowControl/>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lang w:eastAsia="zh-CN" w:bidi="ar"/>
              </w:rPr>
            </w:pPr>
            <w:r>
              <w:rPr>
                <w:rFonts w:hint="default" w:ascii="Times New Roman" w:hAnsi="Times New Roman" w:eastAsia="宋体" w:cs="Times New Roman"/>
                <w:color w:val="auto"/>
                <w:kern w:val="0"/>
                <w:sz w:val="24"/>
                <w:highlight w:val="none"/>
                <w:lang w:val="en-US" w:eastAsia="zh-CN" w:bidi="ar"/>
              </w:rPr>
              <w:t>3</w:t>
            </w:r>
            <w:r>
              <w:rPr>
                <w:rFonts w:hint="default" w:ascii="Times New Roman" w:hAnsi="Times New Roman" w:eastAsia="宋体" w:cs="Times New Roman"/>
                <w:color w:val="auto"/>
                <w:kern w:val="0"/>
                <w:sz w:val="24"/>
                <w:highlight w:val="none"/>
                <w:lang w:eastAsia="zh-CN" w:bidi="ar"/>
              </w:rPr>
              <w:t>）</w:t>
            </w:r>
            <w:r>
              <w:rPr>
                <w:rFonts w:hint="default" w:ascii="Times New Roman" w:hAnsi="Times New Roman" w:cs="Times New Roman"/>
                <w:color w:val="auto"/>
                <w:kern w:val="0"/>
                <w:sz w:val="24"/>
                <w:highlight w:val="none"/>
                <w:lang w:eastAsia="zh-CN" w:bidi="ar"/>
              </w:rPr>
              <w:t>堆场</w:t>
            </w:r>
            <w:r>
              <w:rPr>
                <w:rFonts w:hint="default" w:ascii="Times New Roman" w:hAnsi="Times New Roman" w:eastAsia="宋体" w:cs="Times New Roman"/>
                <w:color w:val="auto"/>
                <w:kern w:val="0"/>
                <w:sz w:val="24"/>
                <w:highlight w:val="none"/>
                <w:lang w:eastAsia="zh-CN" w:bidi="ar"/>
              </w:rPr>
              <w:t>废气</w:t>
            </w:r>
          </w:p>
          <w:p w14:paraId="2F540CB1">
            <w:pPr>
              <w:widowControl/>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根据《固体物料堆存颗粒物产排污核算系数手册》，工业企业固体物料</w:t>
            </w:r>
            <w:r>
              <w:rPr>
                <w:rFonts w:hint="eastAsia" w:cs="Times New Roman"/>
                <w:color w:val="auto"/>
                <w:kern w:val="0"/>
                <w:sz w:val="24"/>
                <w:highlight w:val="none"/>
                <w:lang w:eastAsia="zh-CN" w:bidi="ar"/>
              </w:rPr>
              <w:t>堆存</w:t>
            </w:r>
            <w:r>
              <w:rPr>
                <w:rFonts w:hint="default" w:ascii="Times New Roman" w:hAnsi="Times New Roman" w:eastAsia="宋体" w:cs="Times New Roman"/>
                <w:color w:val="auto"/>
                <w:kern w:val="0"/>
                <w:sz w:val="24"/>
                <w:highlight w:val="none"/>
                <w:lang w:bidi="ar"/>
              </w:rPr>
              <w:t>颗粒物产生量核算公式如下：</w:t>
            </w:r>
          </w:p>
          <w:p w14:paraId="6DFA16FE">
            <w:pPr>
              <w:widowControl/>
              <w:adjustRightInd w:val="0"/>
              <w:snapToGrid w:val="0"/>
              <w:spacing w:line="360" w:lineRule="auto"/>
              <w:jc w:val="center"/>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drawing>
                <wp:inline distT="0" distB="0" distL="114300" distR="114300">
                  <wp:extent cx="3752850" cy="333375"/>
                  <wp:effectExtent l="0" t="0" r="0" b="9525"/>
                  <wp:docPr id="50" name="图片 7" descr="1642149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7" descr="1642149954(1)"/>
                          <pic:cNvPicPr>
                            <a:picLocks noChangeAspect="1"/>
                          </pic:cNvPicPr>
                        </pic:nvPicPr>
                        <pic:blipFill>
                          <a:blip r:embed="rId22"/>
                          <a:stretch>
                            <a:fillRect/>
                          </a:stretch>
                        </pic:blipFill>
                        <pic:spPr>
                          <a:xfrm>
                            <a:off x="0" y="0"/>
                            <a:ext cx="3752850" cy="333375"/>
                          </a:xfrm>
                          <a:prstGeom prst="rect">
                            <a:avLst/>
                          </a:prstGeom>
                          <a:noFill/>
                          <a:ln>
                            <a:noFill/>
                          </a:ln>
                        </pic:spPr>
                      </pic:pic>
                    </a:graphicData>
                  </a:graphic>
                </wp:inline>
              </w:drawing>
            </w:r>
          </w:p>
          <w:p w14:paraId="5D6FC957">
            <w:pPr>
              <w:widowControl/>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式中：P</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颗粒物产生量（单位：吨）；</w:t>
            </w:r>
          </w:p>
          <w:p w14:paraId="3856A9FB">
            <w:pPr>
              <w:widowControl/>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ZC</w:t>
            </w:r>
            <w:r>
              <w:rPr>
                <w:rFonts w:hint="default" w:ascii="Times New Roman" w:hAnsi="Times New Roman" w:eastAsia="宋体" w:cs="Times New Roman"/>
                <w:color w:val="auto"/>
                <w:kern w:val="0"/>
                <w:sz w:val="24"/>
                <w:highlight w:val="none"/>
                <w:vertAlign w:val="subscript"/>
                <w:lang w:bidi="ar"/>
              </w:rPr>
              <w:t>y</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装卸扬尘产生量（单位：吨）；</w:t>
            </w:r>
          </w:p>
          <w:p w14:paraId="339481FE">
            <w:pPr>
              <w:widowControl/>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FC</w:t>
            </w:r>
            <w:r>
              <w:rPr>
                <w:rFonts w:hint="default" w:ascii="Times New Roman" w:hAnsi="Times New Roman" w:eastAsia="宋体" w:cs="Times New Roman"/>
                <w:color w:val="auto"/>
                <w:kern w:val="0"/>
                <w:sz w:val="24"/>
                <w:highlight w:val="none"/>
                <w:vertAlign w:val="subscript"/>
                <w:lang w:bidi="ar"/>
              </w:rPr>
              <w:t>y</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风蚀扬尘产生量（单位：吨）；</w:t>
            </w:r>
          </w:p>
          <w:p w14:paraId="62517808">
            <w:pPr>
              <w:widowControl/>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N</w:t>
            </w:r>
            <w:r>
              <w:rPr>
                <w:rFonts w:hint="default" w:ascii="Times New Roman" w:hAnsi="Times New Roman" w:eastAsia="宋体" w:cs="Times New Roman"/>
                <w:color w:val="auto"/>
                <w:kern w:val="0"/>
                <w:sz w:val="24"/>
                <w:highlight w:val="none"/>
                <w:vertAlign w:val="subscript"/>
                <w:lang w:bidi="ar"/>
              </w:rPr>
              <w:t>c</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年物料运载车次（单位：车）；</w:t>
            </w:r>
            <w:r>
              <w:rPr>
                <w:rFonts w:hint="default" w:ascii="Times New Roman" w:hAnsi="Times New Roman" w:cs="Times New Roman"/>
                <w:color w:val="auto"/>
                <w:kern w:val="0"/>
                <w:sz w:val="24"/>
                <w:highlight w:val="none"/>
                <w:lang w:eastAsia="zh-CN" w:bidi="ar"/>
              </w:rPr>
              <w:t>共</w:t>
            </w:r>
            <w:r>
              <w:rPr>
                <w:rFonts w:hint="default" w:ascii="Times New Roman" w:hAnsi="Times New Roman" w:eastAsia="宋体" w:cs="Times New Roman"/>
                <w:color w:val="auto"/>
                <w:kern w:val="0"/>
                <w:sz w:val="24"/>
                <w:highlight w:val="none"/>
                <w:lang w:bidi="ar"/>
              </w:rPr>
              <w:t>取</w:t>
            </w:r>
            <w:r>
              <w:rPr>
                <w:rFonts w:hint="eastAsia" w:cs="Times New Roman"/>
                <w:color w:val="auto"/>
                <w:kern w:val="0"/>
                <w:sz w:val="24"/>
                <w:highlight w:val="none"/>
                <w:lang w:val="en-US" w:eastAsia="zh-CN" w:bidi="ar"/>
              </w:rPr>
              <w:t>3750</w:t>
            </w:r>
            <w:r>
              <w:rPr>
                <w:rFonts w:hint="default" w:ascii="Times New Roman" w:hAnsi="Times New Roman" w:eastAsia="宋体" w:cs="Times New Roman"/>
                <w:color w:val="auto"/>
                <w:kern w:val="0"/>
                <w:sz w:val="24"/>
                <w:highlight w:val="none"/>
                <w:lang w:bidi="ar"/>
              </w:rPr>
              <w:t>车。</w:t>
            </w:r>
          </w:p>
          <w:p w14:paraId="1514336F">
            <w:pPr>
              <w:widowControl/>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D</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单车平均运载量（单位：吨/车）；</w:t>
            </w:r>
            <w:r>
              <w:rPr>
                <w:rFonts w:hint="eastAsia" w:cs="Times New Roman"/>
                <w:color w:val="auto"/>
                <w:kern w:val="0"/>
                <w:sz w:val="24"/>
                <w:highlight w:val="none"/>
                <w:lang w:eastAsia="zh-CN" w:bidi="ar"/>
              </w:rPr>
              <w:t>煤炭</w:t>
            </w:r>
            <w:r>
              <w:rPr>
                <w:rFonts w:hint="default" w:ascii="Times New Roman" w:hAnsi="Times New Roman" w:eastAsia="宋体" w:cs="Times New Roman"/>
                <w:color w:val="auto"/>
                <w:kern w:val="0"/>
                <w:sz w:val="24"/>
                <w:highlight w:val="none"/>
                <w:lang w:bidi="ar"/>
              </w:rPr>
              <w:t>取</w:t>
            </w:r>
            <w:r>
              <w:rPr>
                <w:rFonts w:hint="eastAsia" w:cs="Times New Roman"/>
                <w:color w:val="auto"/>
                <w:kern w:val="0"/>
                <w:sz w:val="24"/>
                <w:highlight w:val="none"/>
                <w:lang w:val="en-US" w:eastAsia="zh-CN" w:bidi="ar"/>
              </w:rPr>
              <w:t>32</w:t>
            </w:r>
            <w:r>
              <w:rPr>
                <w:rFonts w:hint="default" w:ascii="Times New Roman" w:hAnsi="Times New Roman" w:eastAsia="宋体" w:cs="Times New Roman"/>
                <w:color w:val="auto"/>
                <w:kern w:val="0"/>
                <w:sz w:val="24"/>
                <w:highlight w:val="none"/>
                <w:lang w:bidi="ar"/>
              </w:rPr>
              <w:t>吨/车</w:t>
            </w:r>
            <w:r>
              <w:rPr>
                <w:rFonts w:hint="default" w:ascii="Times New Roman" w:hAnsi="Times New Roman" w:eastAsia="宋体" w:cs="Times New Roman"/>
                <w:color w:val="auto"/>
                <w:kern w:val="0"/>
                <w:sz w:val="24"/>
                <w:highlight w:val="none"/>
                <w:lang w:eastAsia="zh-CN" w:bidi="ar"/>
              </w:rPr>
              <w:t>（按载重计算）</w:t>
            </w:r>
            <w:r>
              <w:rPr>
                <w:rFonts w:hint="default" w:ascii="Times New Roman" w:hAnsi="Times New Roman" w:eastAsia="宋体" w:cs="Times New Roman"/>
                <w:color w:val="auto"/>
                <w:kern w:val="0"/>
                <w:sz w:val="24"/>
                <w:highlight w:val="none"/>
                <w:lang w:bidi="ar"/>
              </w:rPr>
              <w:t>。</w:t>
            </w:r>
          </w:p>
          <w:p w14:paraId="5DCE8C7A">
            <w:pPr>
              <w:widowControl/>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cs="Times New Roman"/>
                <w:color w:val="auto"/>
                <w:kern w:val="0"/>
                <w:sz w:val="24"/>
                <w:highlight w:val="none"/>
                <w:lang w:eastAsia="zh-CN" w:bidi="ar"/>
              </w:rPr>
              <w:t>（</w:t>
            </w:r>
            <w:r>
              <w:rPr>
                <w:rFonts w:hint="default" w:ascii="Times New Roman" w:hAnsi="Times New Roman" w:eastAsia="宋体" w:cs="Times New Roman"/>
                <w:color w:val="auto"/>
                <w:kern w:val="0"/>
                <w:sz w:val="24"/>
                <w:highlight w:val="none"/>
                <w:lang w:bidi="ar"/>
              </w:rPr>
              <w:t>a/b）</w:t>
            </w:r>
            <w:r>
              <w:rPr>
                <w:rFonts w:hint="default" w:ascii="Times New Roman" w:hAnsi="Times New Roman" w:cs="Times New Roman"/>
                <w:color w:val="auto"/>
                <w:kern w:val="0"/>
                <w:sz w:val="24"/>
                <w:highlight w:val="none"/>
                <w:lang w:eastAsia="zh-CN" w:bidi="ar"/>
              </w:rPr>
              <w:t>—</w:t>
            </w:r>
            <w:r>
              <w:rPr>
                <w:rFonts w:hint="default" w:ascii="Times New Roman" w:hAnsi="Times New Roman" w:eastAsia="宋体" w:cs="Times New Roman"/>
                <w:color w:val="auto"/>
                <w:kern w:val="0"/>
                <w:sz w:val="24"/>
                <w:highlight w:val="none"/>
                <w:lang w:bidi="ar"/>
              </w:rPr>
              <w:t>装卸扬尘概化系数（单位：千克/吨），</w:t>
            </w:r>
            <w:r>
              <w:rPr>
                <w:rFonts w:hint="default" w:ascii="Times New Roman" w:hAnsi="Times New Roman" w:cs="Times New Roman"/>
                <w:i w:val="0"/>
                <w:iCs w:val="0"/>
                <w:color w:val="auto"/>
                <w:kern w:val="0"/>
                <w:sz w:val="24"/>
                <w:highlight w:val="none"/>
                <w:lang w:val="en-US" w:eastAsia="zh-CN" w:bidi="ar"/>
              </w:rPr>
              <w:t>a</w:t>
            </w:r>
            <w:r>
              <w:rPr>
                <w:rFonts w:hint="default" w:ascii="Times New Roman" w:hAnsi="Times New Roman" w:eastAsia="宋体" w:cs="Times New Roman"/>
                <w:color w:val="auto"/>
                <w:kern w:val="0"/>
                <w:sz w:val="24"/>
                <w:highlight w:val="none"/>
                <w:lang w:bidi="ar"/>
              </w:rPr>
              <w:t>指各省风速概化系数，取0.00</w:t>
            </w:r>
            <w:r>
              <w:rPr>
                <w:rFonts w:hint="default" w:ascii="Times New Roman" w:hAnsi="Times New Roman" w:cs="Times New Roman"/>
                <w:color w:val="auto"/>
                <w:kern w:val="0"/>
                <w:sz w:val="24"/>
                <w:highlight w:val="none"/>
                <w:lang w:val="en-US" w:eastAsia="zh-CN" w:bidi="ar"/>
              </w:rPr>
              <w:t>15</w:t>
            </w:r>
            <w:r>
              <w:rPr>
                <w:rFonts w:hint="default" w:ascii="Times New Roman" w:hAnsi="Times New Roman" w:eastAsia="宋体" w:cs="Times New Roman"/>
                <w:color w:val="auto"/>
                <w:kern w:val="0"/>
                <w:sz w:val="24"/>
                <w:highlight w:val="none"/>
                <w:lang w:bidi="ar"/>
              </w:rPr>
              <w:t>，</w:t>
            </w:r>
            <w:r>
              <w:rPr>
                <w:rFonts w:hint="default" w:ascii="Times New Roman" w:hAnsi="Times New Roman" w:eastAsia="宋体" w:cs="Times New Roman"/>
                <w:i w:val="0"/>
                <w:iCs w:val="0"/>
                <w:color w:val="auto"/>
                <w:kern w:val="0"/>
                <w:sz w:val="24"/>
                <w:highlight w:val="none"/>
                <w:lang w:bidi="ar"/>
              </w:rPr>
              <w:t>b</w:t>
            </w:r>
            <w:r>
              <w:rPr>
                <w:rFonts w:hint="default" w:ascii="Times New Roman" w:hAnsi="Times New Roman" w:eastAsia="宋体" w:cs="Times New Roman"/>
                <w:color w:val="auto"/>
                <w:kern w:val="0"/>
                <w:sz w:val="24"/>
                <w:highlight w:val="none"/>
                <w:lang w:bidi="ar"/>
              </w:rPr>
              <w:t>指物料含水率概化系</w:t>
            </w:r>
            <w:r>
              <w:rPr>
                <w:rFonts w:hint="default" w:ascii="Times New Roman" w:hAnsi="Times New Roman" w:eastAsia="宋体" w:cs="Times New Roman"/>
                <w:color w:val="auto"/>
                <w:sz w:val="24"/>
                <w:highlight w:val="none"/>
              </w:rPr>
              <w:t>数，取0.0054</w:t>
            </w:r>
            <w:r>
              <w:rPr>
                <w:rFonts w:hint="default" w:ascii="Times New Roman" w:hAnsi="Times New Roman" w:eastAsia="宋体" w:cs="Times New Roman"/>
                <w:color w:val="auto"/>
                <w:kern w:val="0"/>
                <w:sz w:val="24"/>
                <w:highlight w:val="none"/>
                <w:lang w:bidi="ar"/>
              </w:rPr>
              <w:t>；</w:t>
            </w:r>
          </w:p>
          <w:p w14:paraId="5F383C27">
            <w:pPr>
              <w:widowControl/>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E</w:t>
            </w:r>
            <w:r>
              <w:rPr>
                <w:rFonts w:hint="default" w:ascii="Times New Roman" w:hAnsi="Times New Roman" w:eastAsia="宋体" w:cs="Times New Roman"/>
                <w:color w:val="auto"/>
                <w:kern w:val="0"/>
                <w:sz w:val="24"/>
                <w:highlight w:val="none"/>
                <w:vertAlign w:val="subscript"/>
                <w:lang w:bidi="ar"/>
              </w:rPr>
              <w:t>f</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堆场风蚀扬尘概化系数，取31.1418（单位：千克/平方米）；</w:t>
            </w:r>
          </w:p>
          <w:p w14:paraId="0C6B90E7">
            <w:pPr>
              <w:widowControl/>
              <w:adjustRightInd w:val="0"/>
              <w:snapToGrid w:val="0"/>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bidi="ar"/>
              </w:rPr>
              <w:t>S</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堆场占地面积（单位：平方米）</w:t>
            </w:r>
            <w:r>
              <w:rPr>
                <w:rFonts w:hint="default" w:ascii="Times New Roman" w:hAnsi="Times New Roman" w:cs="Times New Roman"/>
                <w:color w:val="auto"/>
                <w:kern w:val="0"/>
                <w:sz w:val="24"/>
                <w:highlight w:val="none"/>
                <w:lang w:eastAsia="zh-CN" w:bidi="ar"/>
              </w:rPr>
              <w:t>储煤场</w:t>
            </w:r>
            <w:r>
              <w:rPr>
                <w:rFonts w:hint="default" w:ascii="Times New Roman" w:hAnsi="Times New Roman" w:eastAsia="宋体" w:cs="Times New Roman"/>
                <w:color w:val="auto"/>
                <w:sz w:val="24"/>
                <w:highlight w:val="none"/>
                <w:lang w:val="en-US" w:eastAsia="zh-CN"/>
              </w:rPr>
              <w:t>面积约为</w:t>
            </w:r>
            <w:r>
              <w:rPr>
                <w:rFonts w:hint="eastAsia" w:cs="Times New Roman"/>
                <w:color w:val="auto"/>
                <w:sz w:val="24"/>
                <w:highlight w:val="none"/>
                <w:lang w:val="en-US" w:eastAsia="zh-CN"/>
              </w:rPr>
              <w:t>5000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，年周转煤炭量可达</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lang w:val="en-US" w:eastAsia="zh-CN"/>
              </w:rPr>
              <w:t>万吨</w:t>
            </w:r>
            <w:r>
              <w:rPr>
                <w:rFonts w:hint="default" w:ascii="Times New Roman" w:hAnsi="Times New Roman" w:eastAsia="宋体" w:cs="Times New Roman"/>
                <w:color w:val="auto"/>
                <w:sz w:val="24"/>
                <w:highlight w:val="none"/>
                <w:lang w:val="en-US" w:eastAsia="zh-CN"/>
              </w:rPr>
              <w:t>。</w:t>
            </w:r>
          </w:p>
          <w:p w14:paraId="4D175706">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根据以上公式计算</w:t>
            </w:r>
            <w:r>
              <w:rPr>
                <w:rFonts w:hint="default" w:ascii="Times New Roman" w:hAnsi="Times New Roman" w:eastAsia="宋体" w:cs="Times New Roman"/>
                <w:color w:val="auto"/>
                <w:sz w:val="24"/>
                <w:highlight w:val="none"/>
                <w:lang w:eastAsia="zh-CN"/>
              </w:rPr>
              <w:t>本项目</w:t>
            </w:r>
            <w:r>
              <w:rPr>
                <w:rFonts w:hint="default" w:ascii="Times New Roman" w:hAnsi="Times New Roman" w:cs="Times New Roman"/>
                <w:color w:val="auto"/>
                <w:sz w:val="24"/>
                <w:highlight w:val="none"/>
                <w:lang w:eastAsia="zh-CN"/>
              </w:rPr>
              <w:t>堆场</w:t>
            </w:r>
            <w:r>
              <w:rPr>
                <w:rFonts w:hint="default" w:ascii="Times New Roman" w:hAnsi="Times New Roman" w:eastAsia="宋体" w:cs="Times New Roman"/>
                <w:color w:val="auto"/>
                <w:sz w:val="24"/>
                <w:highlight w:val="none"/>
              </w:rPr>
              <w:t>颗粒物产生量为</w:t>
            </w:r>
            <w:r>
              <w:rPr>
                <w:rFonts w:hint="eastAsia" w:cs="Times New Roman"/>
                <w:color w:val="auto"/>
                <w:sz w:val="24"/>
                <w:highlight w:val="none"/>
                <w:lang w:val="en-US" w:eastAsia="zh-CN"/>
              </w:rPr>
              <w:t>157.9</w:t>
            </w:r>
            <w:r>
              <w:rPr>
                <w:rFonts w:hint="default" w:ascii="Times New Roman" w:hAnsi="Times New Roman" w:eastAsia="宋体" w:cs="Times New Roman"/>
                <w:color w:val="auto"/>
                <w:sz w:val="24"/>
                <w:highlight w:val="none"/>
                <w:lang w:val="en-US" w:eastAsia="zh-CN"/>
              </w:rPr>
              <w:t>t/a，即</w:t>
            </w:r>
            <w:r>
              <w:rPr>
                <w:rFonts w:hint="eastAsia" w:cs="Times New Roman"/>
                <w:color w:val="auto"/>
                <w:sz w:val="24"/>
                <w:highlight w:val="none"/>
                <w:lang w:val="en-US" w:eastAsia="zh-CN"/>
              </w:rPr>
              <w:t>143.646</w:t>
            </w:r>
            <w:r>
              <w:rPr>
                <w:rFonts w:hint="default" w:ascii="Times New Roman" w:hAnsi="Times New Roman" w:eastAsia="宋体" w:cs="Times New Roman"/>
                <w:color w:val="auto"/>
                <w:sz w:val="24"/>
                <w:highlight w:val="none"/>
                <w:lang w:val="en-US" w:eastAsia="zh-CN"/>
              </w:rPr>
              <w:t>kg/h</w:t>
            </w:r>
            <w:r>
              <w:rPr>
                <w:rFonts w:hint="default" w:ascii="Times New Roman" w:hAnsi="Times New Roman" w:eastAsia="宋体" w:cs="Times New Roman"/>
                <w:color w:val="auto"/>
                <w:sz w:val="24"/>
                <w:highlight w:val="none"/>
              </w:rPr>
              <w:t>。</w:t>
            </w:r>
          </w:p>
          <w:p w14:paraId="3552E752">
            <w:pPr>
              <w:widowControl/>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根据《固体物料堆存颗粒物产排污核算系数手册》，工业企业固体物料堆场颗粒物排放量核算公式如下：</w:t>
            </w:r>
          </w:p>
          <w:p w14:paraId="544E20E5">
            <w:pPr>
              <w:widowControl/>
              <w:adjustRightInd w:val="0"/>
              <w:snapToGrid w:val="0"/>
              <w:spacing w:line="360" w:lineRule="auto"/>
              <w:jc w:val="center"/>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drawing>
                <wp:inline distT="0" distB="0" distL="114300" distR="114300">
                  <wp:extent cx="2495550" cy="304800"/>
                  <wp:effectExtent l="0" t="0" r="0" b="0"/>
                  <wp:docPr id="51" name="图片 8" descr="9e41ade2b3b4fac6a8b3eb053e32b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 descr="9e41ade2b3b4fac6a8b3eb053e32b7b"/>
                          <pic:cNvPicPr>
                            <a:picLocks noChangeAspect="1"/>
                          </pic:cNvPicPr>
                        </pic:nvPicPr>
                        <pic:blipFill>
                          <a:blip r:embed="rId23"/>
                          <a:stretch>
                            <a:fillRect/>
                          </a:stretch>
                        </pic:blipFill>
                        <pic:spPr>
                          <a:xfrm>
                            <a:off x="0" y="0"/>
                            <a:ext cx="2495550" cy="304800"/>
                          </a:xfrm>
                          <a:prstGeom prst="rect">
                            <a:avLst/>
                          </a:prstGeom>
                          <a:noFill/>
                          <a:ln>
                            <a:noFill/>
                          </a:ln>
                        </pic:spPr>
                      </pic:pic>
                    </a:graphicData>
                  </a:graphic>
                </wp:inline>
              </w:drawing>
            </w:r>
          </w:p>
          <w:p w14:paraId="6F7AF93B">
            <w:pPr>
              <w:widowControl/>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式中：U</w:t>
            </w:r>
            <w:r>
              <w:rPr>
                <w:rFonts w:hint="default" w:ascii="Times New Roman" w:hAnsi="Times New Roman" w:eastAsia="宋体" w:cs="Times New Roman"/>
                <w:color w:val="auto"/>
                <w:kern w:val="0"/>
                <w:sz w:val="24"/>
                <w:highlight w:val="none"/>
                <w:vertAlign w:val="subscript"/>
                <w:lang w:bidi="ar"/>
              </w:rPr>
              <w:t>c</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颗粒物排放量（单位：吨）；</w:t>
            </w:r>
          </w:p>
          <w:p w14:paraId="407483D6">
            <w:pPr>
              <w:pStyle w:val="29"/>
              <w:keepNext w:val="0"/>
              <w:keepLines w:val="0"/>
              <w:pageBreakBefore w:val="0"/>
              <w:widowControl/>
              <w:kinsoku/>
              <w:wordWrap/>
              <w:overflowPunct/>
              <w:topLinePunct w:val="0"/>
              <w:autoSpaceDE/>
              <w:autoSpaceDN/>
              <w:bidi w:val="0"/>
              <w:snapToGrid w:val="0"/>
              <w:spacing w:before="0" w:after="0" w:line="360" w:lineRule="auto"/>
              <w:ind w:righ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0"/>
                <w:sz w:val="24"/>
                <w:highlight w:val="none"/>
                <w:lang w:bidi="ar"/>
              </w:rPr>
              <w:t>P</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颗粒物产生量（单位：吨）</w:t>
            </w:r>
            <w:r>
              <w:rPr>
                <w:rFonts w:hint="default" w:ascii="Times New Roman" w:hAnsi="Times New Roman" w:cs="Times New Roman"/>
                <w:color w:val="auto"/>
                <w:kern w:val="0"/>
                <w:sz w:val="24"/>
                <w:highlight w:val="none"/>
                <w:lang w:eastAsia="zh-CN" w:bidi="ar"/>
              </w:rPr>
              <w:t>，本项目堆场颗粒物产生量为</w:t>
            </w:r>
            <w:r>
              <w:rPr>
                <w:rFonts w:hint="eastAsia" w:cs="Times New Roman"/>
                <w:color w:val="auto"/>
                <w:kern w:val="0"/>
                <w:sz w:val="24"/>
                <w:highlight w:val="none"/>
                <w:lang w:val="en-US" w:eastAsia="zh-CN" w:bidi="ar"/>
              </w:rPr>
              <w:t>157.9</w:t>
            </w:r>
            <w:r>
              <w:rPr>
                <w:rFonts w:hint="default" w:ascii="Times New Roman" w:hAnsi="Times New Roman" w:cs="Times New Roman"/>
                <w:color w:val="auto"/>
                <w:kern w:val="0"/>
                <w:sz w:val="24"/>
                <w:highlight w:val="none"/>
                <w:lang w:val="en-US" w:eastAsia="zh-CN" w:bidi="ar"/>
              </w:rPr>
              <w:t>吨；</w:t>
            </w:r>
          </w:p>
          <w:p w14:paraId="247F3354">
            <w:pPr>
              <w:keepNext w:val="0"/>
              <w:keepLines w:val="0"/>
              <w:pageBreakBefore w:val="0"/>
              <w:widowControl/>
              <w:kinsoku/>
              <w:wordWrap/>
              <w:overflowPunct/>
              <w:topLinePunct w:val="0"/>
              <w:autoSpaceDE/>
              <w:autoSpaceDN/>
              <w:bidi w:val="0"/>
              <w:adjustRightInd w:val="0"/>
              <w:snapToGrid w:val="0"/>
              <w:spacing w:line="360" w:lineRule="auto"/>
              <w:ind w:right="0" w:firstLine="480" w:firstLineChars="200"/>
              <w:jc w:val="left"/>
              <w:textAlignment w:val="auto"/>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C</w:t>
            </w:r>
            <w:r>
              <w:rPr>
                <w:rFonts w:hint="default" w:ascii="Times New Roman" w:hAnsi="Times New Roman" w:eastAsia="宋体" w:cs="Times New Roman"/>
                <w:color w:val="auto"/>
                <w:kern w:val="0"/>
                <w:sz w:val="24"/>
                <w:highlight w:val="none"/>
                <w:vertAlign w:val="subscript"/>
                <w:lang w:bidi="ar"/>
              </w:rPr>
              <w:t>m</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颗粒物控制措施控制效率（单位：%），本项目采取</w:t>
            </w:r>
            <w:r>
              <w:rPr>
                <w:rFonts w:hint="default" w:ascii="Times New Roman" w:hAnsi="Times New Roman" w:cs="Times New Roman"/>
                <w:color w:val="auto"/>
                <w:kern w:val="0"/>
                <w:sz w:val="24"/>
                <w:highlight w:val="none"/>
                <w:lang w:eastAsia="zh-CN" w:bidi="ar"/>
              </w:rPr>
              <w:t>苫布苫盖</w:t>
            </w:r>
            <w:r>
              <w:rPr>
                <w:rFonts w:hint="default" w:ascii="Times New Roman" w:hAnsi="Times New Roman" w:eastAsia="宋体" w:cs="Times New Roman"/>
                <w:color w:val="auto"/>
                <w:kern w:val="0"/>
                <w:sz w:val="24"/>
                <w:highlight w:val="none"/>
                <w:lang w:bidi="ar"/>
              </w:rPr>
              <w:t>等措施，取</w:t>
            </w:r>
            <w:r>
              <w:rPr>
                <w:rFonts w:hint="eastAsia" w:cs="Times New Roman"/>
                <w:color w:val="auto"/>
                <w:kern w:val="0"/>
                <w:sz w:val="24"/>
                <w:highlight w:val="none"/>
                <w:lang w:val="en-US" w:eastAsia="zh-CN" w:bidi="ar"/>
              </w:rPr>
              <w:t>86</w:t>
            </w:r>
            <w:r>
              <w:rPr>
                <w:rFonts w:hint="default" w:ascii="Times New Roman" w:hAnsi="Times New Roman" w:eastAsia="宋体" w:cs="Times New Roman"/>
                <w:color w:val="auto"/>
                <w:kern w:val="0"/>
                <w:sz w:val="24"/>
                <w:highlight w:val="none"/>
                <w:lang w:bidi="ar"/>
              </w:rPr>
              <w:t>%；</w:t>
            </w:r>
          </w:p>
          <w:p w14:paraId="430A8702">
            <w:pPr>
              <w:widowControl/>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T</w:t>
            </w:r>
            <w:r>
              <w:rPr>
                <w:rFonts w:hint="default" w:ascii="Times New Roman" w:hAnsi="Times New Roman" w:eastAsia="宋体" w:cs="Times New Roman"/>
                <w:color w:val="auto"/>
                <w:kern w:val="0"/>
                <w:sz w:val="24"/>
                <w:highlight w:val="none"/>
                <w:vertAlign w:val="subscript"/>
                <w:lang w:bidi="ar"/>
              </w:rPr>
              <w:t>m</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highlight w:val="none"/>
                <w:lang w:bidi="ar"/>
              </w:rPr>
              <w:t>堆场类型控制效率（单位：%），本项目</w:t>
            </w:r>
            <w:r>
              <w:rPr>
                <w:rFonts w:hint="eastAsia" w:cs="Times New Roman"/>
                <w:color w:val="auto"/>
                <w:kern w:val="0"/>
                <w:sz w:val="24"/>
                <w:highlight w:val="none"/>
                <w:lang w:eastAsia="zh-CN" w:bidi="ar"/>
              </w:rPr>
              <w:t>煤炭</w:t>
            </w:r>
            <w:r>
              <w:rPr>
                <w:rFonts w:hint="default" w:ascii="Times New Roman" w:hAnsi="Times New Roman" w:eastAsia="宋体" w:cs="Times New Roman"/>
                <w:color w:val="auto"/>
                <w:kern w:val="0"/>
                <w:sz w:val="24"/>
                <w:highlight w:val="none"/>
                <w:lang w:bidi="ar"/>
              </w:rPr>
              <w:t>为</w:t>
            </w:r>
            <w:r>
              <w:rPr>
                <w:rFonts w:hint="default" w:ascii="Times New Roman" w:hAnsi="Times New Roman" w:cs="Times New Roman"/>
                <w:color w:val="auto"/>
                <w:kern w:val="0"/>
                <w:sz w:val="24"/>
                <w:highlight w:val="none"/>
                <w:lang w:eastAsia="zh-CN" w:bidi="ar"/>
              </w:rPr>
              <w:t>敞开</w:t>
            </w:r>
            <w:r>
              <w:rPr>
                <w:rFonts w:hint="default" w:ascii="Times New Roman" w:hAnsi="Times New Roman" w:eastAsia="宋体" w:cs="Times New Roman"/>
                <w:color w:val="auto"/>
                <w:kern w:val="0"/>
                <w:sz w:val="24"/>
                <w:highlight w:val="none"/>
                <w:lang w:bidi="ar"/>
              </w:rPr>
              <w:t>式堆场，取</w:t>
            </w:r>
            <w:r>
              <w:rPr>
                <w:rFonts w:hint="default" w:ascii="Times New Roman" w:hAnsi="Times New Roman" w:cs="Times New Roman"/>
                <w:color w:val="auto"/>
                <w:kern w:val="0"/>
                <w:sz w:val="24"/>
                <w:highlight w:val="none"/>
                <w:lang w:val="en-US" w:eastAsia="zh-CN" w:bidi="ar"/>
              </w:rPr>
              <w:t>0</w:t>
            </w:r>
            <w:r>
              <w:rPr>
                <w:rFonts w:hint="default" w:ascii="Times New Roman" w:hAnsi="Times New Roman" w:eastAsia="宋体" w:cs="Times New Roman"/>
                <w:color w:val="auto"/>
                <w:kern w:val="0"/>
                <w:sz w:val="24"/>
                <w:highlight w:val="none"/>
                <w:lang w:bidi="ar"/>
              </w:rPr>
              <w:t>%。</w:t>
            </w:r>
          </w:p>
          <w:p w14:paraId="07D117DD">
            <w:pPr>
              <w:widowControl/>
              <w:adjustRightInd w:val="0"/>
              <w:snapToGrid w:val="0"/>
              <w:spacing w:line="360" w:lineRule="auto"/>
              <w:ind w:firstLine="480" w:firstLineChars="200"/>
              <w:jc w:val="left"/>
              <w:rPr>
                <w:rFonts w:hint="default" w:ascii="Times New Roman" w:hAnsi="Times New Roman" w:eastAsia="宋体" w:cs="Times New Roman"/>
                <w:color w:val="auto"/>
                <w:kern w:val="0"/>
                <w:sz w:val="24"/>
                <w:highlight w:val="none"/>
                <w:lang w:val="en-US" w:bidi="ar"/>
              </w:rPr>
            </w:pPr>
            <w:r>
              <w:rPr>
                <w:rFonts w:hint="default" w:ascii="Times New Roman" w:hAnsi="Times New Roman" w:eastAsia="宋体" w:cs="Times New Roman"/>
                <w:color w:val="auto"/>
                <w:sz w:val="24"/>
                <w:highlight w:val="none"/>
              </w:rPr>
              <w:t>根据以上公式计算</w:t>
            </w:r>
            <w:r>
              <w:rPr>
                <w:rFonts w:hint="default" w:ascii="Times New Roman" w:hAnsi="Times New Roman" w:cs="Times New Roman"/>
                <w:color w:val="auto"/>
                <w:sz w:val="24"/>
                <w:highlight w:val="none"/>
                <w:lang w:val="en-US" w:eastAsia="zh-CN"/>
              </w:rPr>
              <w:t>储煤场</w:t>
            </w:r>
            <w:r>
              <w:rPr>
                <w:rFonts w:hint="default" w:ascii="Times New Roman" w:hAnsi="Times New Roman" w:eastAsia="宋体" w:cs="Times New Roman"/>
                <w:color w:val="auto"/>
                <w:sz w:val="24"/>
                <w:highlight w:val="none"/>
                <w:lang w:eastAsia="zh-CN"/>
              </w:rPr>
              <w:t>（面积约为</w:t>
            </w:r>
            <w:r>
              <w:rPr>
                <w:rFonts w:hint="eastAsia" w:cs="Times New Roman"/>
                <w:color w:val="auto"/>
                <w:sz w:val="24"/>
                <w:highlight w:val="none"/>
                <w:lang w:val="en-US" w:eastAsia="zh-CN"/>
              </w:rPr>
              <w:t>5000</w:t>
            </w:r>
            <w:r>
              <w:rPr>
                <w:rFonts w:hint="default" w:ascii="Times New Roman" w:hAnsi="Times New Roman" w:cs="Times New Roman"/>
                <w:color w:val="auto"/>
                <w:sz w:val="24"/>
                <w:highlight w:val="none"/>
                <w:lang w:val="en-US" w:eastAsia="zh-CN"/>
              </w:rPr>
              <w:t>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颗粒物排放量为</w:t>
            </w:r>
            <w:r>
              <w:rPr>
                <w:rFonts w:hint="eastAsia" w:cs="Times New Roman"/>
                <w:color w:val="auto"/>
                <w:sz w:val="24"/>
                <w:highlight w:val="none"/>
                <w:lang w:val="en-US" w:eastAsia="zh-CN"/>
              </w:rPr>
              <w:t>22.106</w:t>
            </w:r>
            <w:r>
              <w:rPr>
                <w:rFonts w:hint="default" w:ascii="Times New Roman" w:hAnsi="Times New Roman" w:eastAsia="宋体" w:cs="Times New Roman"/>
                <w:color w:val="auto"/>
                <w:sz w:val="24"/>
                <w:highlight w:val="none"/>
                <w:lang w:val="en-US" w:eastAsia="zh-CN"/>
              </w:rPr>
              <w:t>t/a，年工作时间为</w:t>
            </w:r>
            <w:r>
              <w:rPr>
                <w:rFonts w:hint="default" w:ascii="Times New Roman" w:hAnsi="Times New Roman" w:cs="Times New Roman"/>
                <w:color w:val="auto"/>
                <w:sz w:val="24"/>
                <w:highlight w:val="none"/>
                <w:lang w:val="en-US" w:eastAsia="zh-CN"/>
              </w:rPr>
              <w:t>300天</w:t>
            </w:r>
            <w:r>
              <w:rPr>
                <w:rFonts w:hint="default" w:ascii="Times New Roman" w:hAnsi="Times New Roman" w:eastAsia="宋体" w:cs="Times New Roman"/>
                <w:color w:val="auto"/>
                <w:sz w:val="24"/>
                <w:highlight w:val="none"/>
                <w:lang w:val="en-US" w:eastAsia="zh-CN"/>
              </w:rPr>
              <w:t>，故无组织排放速率为</w:t>
            </w:r>
            <w:r>
              <w:rPr>
                <w:rFonts w:hint="eastAsia" w:cs="Times New Roman"/>
                <w:color w:val="auto"/>
                <w:sz w:val="24"/>
                <w:highlight w:val="none"/>
                <w:lang w:val="en-US" w:eastAsia="zh-CN"/>
              </w:rPr>
              <w:t>9.21</w:t>
            </w:r>
            <w:r>
              <w:rPr>
                <w:rFonts w:hint="default" w:ascii="Times New Roman" w:hAnsi="Times New Roman" w:eastAsia="宋体" w:cs="Times New Roman"/>
                <w:color w:val="auto"/>
                <w:sz w:val="24"/>
                <w:highlight w:val="none"/>
                <w:lang w:val="en-US" w:eastAsia="zh-CN"/>
              </w:rPr>
              <w:t>kg/h。</w:t>
            </w:r>
          </w:p>
          <w:p w14:paraId="0CD4C53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eastAsia="宋体" w:cs="Times New Roman"/>
                <w:color w:val="auto"/>
                <w:sz w:val="24"/>
                <w:highlight w:val="none"/>
              </w:rPr>
              <w:t>排放情况见下表。</w:t>
            </w:r>
          </w:p>
          <w:p w14:paraId="78380C83">
            <w:pPr>
              <w:pStyle w:val="77"/>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表4-</w:t>
            </w:r>
            <w:r>
              <w:rPr>
                <w:rFonts w:hint="eastAsia" w:ascii="Times New Roman" w:hAnsi="Times New Roman" w:cs="Times New Roman"/>
                <w:b/>
                <w:bCs w:val="0"/>
                <w:color w:val="auto"/>
                <w:sz w:val="21"/>
                <w:szCs w:val="21"/>
                <w:highlight w:val="none"/>
                <w:lang w:val="en-US" w:eastAsia="zh-CN"/>
              </w:rPr>
              <w:t>3</w:t>
            </w:r>
            <w:r>
              <w:rPr>
                <w:rFonts w:hint="default" w:ascii="Times New Roman" w:hAnsi="Times New Roman" w:cs="Times New Roman"/>
                <w:b/>
                <w:bCs w:val="0"/>
                <w:color w:val="auto"/>
                <w:sz w:val="21"/>
                <w:szCs w:val="21"/>
                <w:highlight w:val="none"/>
                <w:lang w:val="en-US" w:eastAsia="zh-CN"/>
              </w:rPr>
              <w:t xml:space="preserve"> 本项目</w:t>
            </w:r>
            <w:r>
              <w:rPr>
                <w:rFonts w:hint="default" w:ascii="Times New Roman" w:hAnsi="Times New Roman" w:cs="Times New Roman"/>
                <w:b/>
                <w:bCs w:val="0"/>
                <w:color w:val="auto"/>
                <w:sz w:val="21"/>
                <w:szCs w:val="21"/>
                <w:highlight w:val="none"/>
              </w:rPr>
              <w:t>废气污染源源强核算结果及相关参数一览表</w:t>
            </w:r>
          </w:p>
          <w:tbl>
            <w:tblPr>
              <w:tblStyle w:val="30"/>
              <w:tblW w:w="79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2"/>
              <w:gridCol w:w="671"/>
              <w:gridCol w:w="909"/>
              <w:gridCol w:w="911"/>
              <w:gridCol w:w="1596"/>
              <w:gridCol w:w="641"/>
              <w:gridCol w:w="1074"/>
              <w:gridCol w:w="810"/>
              <w:gridCol w:w="473"/>
            </w:tblGrid>
            <w:tr w14:paraId="3BD90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92" w:type="dxa"/>
                  <w:vMerge w:val="restart"/>
                  <w:tcBorders>
                    <w:tl2br w:val="nil"/>
                    <w:tr2bl w:val="nil"/>
                  </w:tcBorders>
                  <w:vAlign w:val="center"/>
                </w:tcPr>
                <w:p w14:paraId="63CFBE0A">
                  <w:pPr>
                    <w:pStyle w:val="7"/>
                    <w:spacing w:line="240" w:lineRule="atLeast"/>
                    <w:ind w:firstLine="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产生环节</w:t>
                  </w:r>
                </w:p>
              </w:tc>
              <w:tc>
                <w:tcPr>
                  <w:tcW w:w="671" w:type="dxa"/>
                  <w:vMerge w:val="restart"/>
                  <w:tcBorders>
                    <w:tl2br w:val="nil"/>
                    <w:tr2bl w:val="nil"/>
                  </w:tcBorders>
                  <w:vAlign w:val="center"/>
                </w:tcPr>
                <w:p w14:paraId="16F5CB21">
                  <w:pPr>
                    <w:pStyle w:val="7"/>
                    <w:spacing w:line="240" w:lineRule="atLeast"/>
                    <w:ind w:firstLine="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产污因子</w:t>
                  </w:r>
                </w:p>
              </w:tc>
              <w:tc>
                <w:tcPr>
                  <w:tcW w:w="1820" w:type="dxa"/>
                  <w:gridSpan w:val="2"/>
                  <w:tcBorders>
                    <w:tl2br w:val="nil"/>
                    <w:tr2bl w:val="nil"/>
                  </w:tcBorders>
                  <w:vAlign w:val="center"/>
                </w:tcPr>
                <w:p w14:paraId="18A8A5CE">
                  <w:pPr>
                    <w:pStyle w:val="7"/>
                    <w:spacing w:line="240" w:lineRule="atLeast"/>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污染物产生</w:t>
                  </w:r>
                </w:p>
              </w:tc>
              <w:tc>
                <w:tcPr>
                  <w:tcW w:w="2237" w:type="dxa"/>
                  <w:gridSpan w:val="2"/>
                  <w:tcBorders>
                    <w:tl2br w:val="nil"/>
                    <w:tr2bl w:val="nil"/>
                  </w:tcBorders>
                  <w:vAlign w:val="center"/>
                </w:tcPr>
                <w:p w14:paraId="3ED2FE95">
                  <w:pPr>
                    <w:pStyle w:val="7"/>
                    <w:spacing w:line="240" w:lineRule="atLeast"/>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治理措施</w:t>
                  </w:r>
                </w:p>
              </w:tc>
              <w:tc>
                <w:tcPr>
                  <w:tcW w:w="1884" w:type="dxa"/>
                  <w:gridSpan w:val="2"/>
                  <w:tcBorders>
                    <w:tl2br w:val="nil"/>
                    <w:tr2bl w:val="nil"/>
                  </w:tcBorders>
                  <w:vAlign w:val="center"/>
                </w:tcPr>
                <w:p w14:paraId="2FBD29CC">
                  <w:pPr>
                    <w:pStyle w:val="7"/>
                    <w:spacing w:line="240" w:lineRule="atLeast"/>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污染物排放</w:t>
                  </w:r>
                </w:p>
              </w:tc>
              <w:tc>
                <w:tcPr>
                  <w:tcW w:w="473" w:type="dxa"/>
                  <w:vMerge w:val="restart"/>
                  <w:tcBorders>
                    <w:tl2br w:val="nil"/>
                    <w:tr2bl w:val="nil"/>
                  </w:tcBorders>
                  <w:vAlign w:val="center"/>
                </w:tcPr>
                <w:p w14:paraId="7DCCBB4D">
                  <w:pPr>
                    <w:pStyle w:val="7"/>
                    <w:spacing w:line="240" w:lineRule="atLeast"/>
                    <w:ind w:firstLine="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排放形式</w:t>
                  </w:r>
                </w:p>
              </w:tc>
            </w:tr>
            <w:tr w14:paraId="3F9426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892" w:type="dxa"/>
                  <w:vMerge w:val="continue"/>
                  <w:tcBorders>
                    <w:tl2br w:val="nil"/>
                    <w:tr2bl w:val="nil"/>
                  </w:tcBorders>
                  <w:vAlign w:val="center"/>
                </w:tcPr>
                <w:p w14:paraId="5F843408">
                  <w:pPr>
                    <w:pStyle w:val="7"/>
                    <w:spacing w:line="240" w:lineRule="atLeast"/>
                    <w:ind w:firstLine="0"/>
                    <w:jc w:val="center"/>
                    <w:rPr>
                      <w:rFonts w:hint="default" w:ascii="Times New Roman" w:hAnsi="Times New Roman" w:cs="Times New Roman"/>
                      <w:b/>
                      <w:bCs/>
                      <w:color w:val="auto"/>
                      <w:sz w:val="21"/>
                      <w:szCs w:val="21"/>
                      <w:highlight w:val="none"/>
                    </w:rPr>
                  </w:pPr>
                </w:p>
              </w:tc>
              <w:tc>
                <w:tcPr>
                  <w:tcW w:w="671" w:type="dxa"/>
                  <w:vMerge w:val="continue"/>
                  <w:tcBorders>
                    <w:tl2br w:val="nil"/>
                    <w:tr2bl w:val="nil"/>
                  </w:tcBorders>
                  <w:vAlign w:val="center"/>
                </w:tcPr>
                <w:p w14:paraId="3F866558">
                  <w:pPr>
                    <w:pStyle w:val="7"/>
                    <w:spacing w:line="240" w:lineRule="atLeast"/>
                    <w:ind w:firstLine="0"/>
                    <w:jc w:val="center"/>
                    <w:rPr>
                      <w:rFonts w:hint="default" w:ascii="Times New Roman" w:hAnsi="Times New Roman" w:cs="Times New Roman"/>
                      <w:b/>
                      <w:bCs/>
                      <w:color w:val="auto"/>
                      <w:sz w:val="21"/>
                      <w:szCs w:val="21"/>
                      <w:highlight w:val="none"/>
                    </w:rPr>
                  </w:pPr>
                </w:p>
              </w:tc>
              <w:tc>
                <w:tcPr>
                  <w:tcW w:w="909" w:type="dxa"/>
                  <w:tcBorders>
                    <w:tl2br w:val="nil"/>
                    <w:tr2bl w:val="nil"/>
                  </w:tcBorders>
                  <w:vAlign w:val="center"/>
                </w:tcPr>
                <w:p w14:paraId="2CE7EF38">
                  <w:pPr>
                    <w:pStyle w:val="7"/>
                    <w:spacing w:line="200" w:lineRule="atLeast"/>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产生速率kg/h</w:t>
                  </w:r>
                </w:p>
              </w:tc>
              <w:tc>
                <w:tcPr>
                  <w:tcW w:w="911" w:type="dxa"/>
                  <w:tcBorders>
                    <w:tl2br w:val="nil"/>
                    <w:tr2bl w:val="nil"/>
                  </w:tcBorders>
                  <w:vAlign w:val="center"/>
                </w:tcPr>
                <w:p w14:paraId="167EFC17">
                  <w:pPr>
                    <w:pStyle w:val="7"/>
                    <w:spacing w:line="200" w:lineRule="atLeast"/>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产生量t/a</w:t>
                  </w:r>
                </w:p>
              </w:tc>
              <w:tc>
                <w:tcPr>
                  <w:tcW w:w="1596" w:type="dxa"/>
                  <w:tcBorders>
                    <w:tl2br w:val="nil"/>
                    <w:tr2bl w:val="nil"/>
                  </w:tcBorders>
                  <w:vAlign w:val="center"/>
                </w:tcPr>
                <w:p w14:paraId="6B02F01B">
                  <w:pPr>
                    <w:pStyle w:val="7"/>
                    <w:spacing w:line="200" w:lineRule="atLeast"/>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工艺</w:t>
                  </w:r>
                </w:p>
              </w:tc>
              <w:tc>
                <w:tcPr>
                  <w:tcW w:w="641" w:type="dxa"/>
                  <w:tcBorders>
                    <w:tl2br w:val="nil"/>
                    <w:tr2bl w:val="nil"/>
                  </w:tcBorders>
                  <w:vAlign w:val="center"/>
                </w:tcPr>
                <w:p w14:paraId="42FF4BBB">
                  <w:pPr>
                    <w:pStyle w:val="7"/>
                    <w:spacing w:line="200" w:lineRule="atLeast"/>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效率</w:t>
                  </w:r>
                </w:p>
                <w:p w14:paraId="6545F7B3">
                  <w:pPr>
                    <w:pStyle w:val="7"/>
                    <w:spacing w:line="200" w:lineRule="atLeast"/>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w:t>
                  </w:r>
                </w:p>
              </w:tc>
              <w:tc>
                <w:tcPr>
                  <w:tcW w:w="1074" w:type="dxa"/>
                  <w:tcBorders>
                    <w:tl2br w:val="nil"/>
                    <w:tr2bl w:val="nil"/>
                  </w:tcBorders>
                  <w:vAlign w:val="center"/>
                </w:tcPr>
                <w:p w14:paraId="50EB4F97">
                  <w:pPr>
                    <w:pStyle w:val="7"/>
                    <w:spacing w:line="200" w:lineRule="atLeast"/>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排放速率kg/h</w:t>
                  </w:r>
                </w:p>
              </w:tc>
              <w:tc>
                <w:tcPr>
                  <w:tcW w:w="810" w:type="dxa"/>
                  <w:tcBorders>
                    <w:tl2br w:val="nil"/>
                    <w:tr2bl w:val="nil"/>
                  </w:tcBorders>
                  <w:vAlign w:val="center"/>
                </w:tcPr>
                <w:p w14:paraId="362DC094">
                  <w:pPr>
                    <w:pStyle w:val="7"/>
                    <w:spacing w:line="200" w:lineRule="atLeast"/>
                    <w:ind w:firstLine="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排放量t/a</w:t>
                  </w:r>
                </w:p>
              </w:tc>
              <w:tc>
                <w:tcPr>
                  <w:tcW w:w="473" w:type="dxa"/>
                  <w:vMerge w:val="continue"/>
                  <w:tcBorders>
                    <w:tl2br w:val="nil"/>
                    <w:tr2bl w:val="nil"/>
                  </w:tcBorders>
                  <w:vAlign w:val="center"/>
                </w:tcPr>
                <w:p w14:paraId="79C3DB78">
                  <w:pPr>
                    <w:pStyle w:val="7"/>
                    <w:spacing w:line="200" w:lineRule="atLeast"/>
                    <w:ind w:firstLine="0"/>
                    <w:jc w:val="center"/>
                    <w:rPr>
                      <w:rFonts w:hint="default" w:ascii="Times New Roman" w:hAnsi="Times New Roman" w:cs="Times New Roman"/>
                      <w:b/>
                      <w:bCs/>
                      <w:color w:val="auto"/>
                      <w:sz w:val="21"/>
                      <w:szCs w:val="21"/>
                      <w:highlight w:val="none"/>
                    </w:rPr>
                  </w:pPr>
                </w:p>
              </w:tc>
            </w:tr>
            <w:tr w14:paraId="753408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1" w:hRule="atLeast"/>
                <w:jc w:val="center"/>
              </w:trPr>
              <w:tc>
                <w:tcPr>
                  <w:tcW w:w="892" w:type="dxa"/>
                  <w:tcBorders>
                    <w:tl2br w:val="nil"/>
                    <w:tr2bl w:val="nil"/>
                  </w:tcBorders>
                  <w:vAlign w:val="center"/>
                </w:tcPr>
                <w:p w14:paraId="76465441">
                  <w:pPr>
                    <w:pStyle w:val="7"/>
                    <w:spacing w:line="240" w:lineRule="atLeast"/>
                    <w:ind w:firstLine="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厂区道路运输过程</w:t>
                  </w:r>
                </w:p>
              </w:tc>
              <w:tc>
                <w:tcPr>
                  <w:tcW w:w="671" w:type="dxa"/>
                  <w:vMerge w:val="restart"/>
                  <w:tcBorders>
                    <w:tl2br w:val="nil"/>
                    <w:tr2bl w:val="nil"/>
                  </w:tcBorders>
                  <w:vAlign w:val="center"/>
                </w:tcPr>
                <w:p w14:paraId="3349597E">
                  <w:pPr>
                    <w:pStyle w:val="7"/>
                    <w:spacing w:line="240" w:lineRule="atLeast"/>
                    <w:ind w:firstLine="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颗粒物</w:t>
                  </w:r>
                </w:p>
              </w:tc>
              <w:tc>
                <w:tcPr>
                  <w:tcW w:w="909" w:type="dxa"/>
                  <w:tcBorders>
                    <w:tl2br w:val="nil"/>
                    <w:tr2bl w:val="nil"/>
                  </w:tcBorders>
                  <w:vAlign w:val="center"/>
                </w:tcPr>
                <w:p w14:paraId="6433F7A5">
                  <w:pPr>
                    <w:pStyle w:val="7"/>
                    <w:spacing w:line="200" w:lineRule="atLeast"/>
                    <w:ind w:firstLine="0"/>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0.362</w:t>
                  </w:r>
                </w:p>
              </w:tc>
              <w:tc>
                <w:tcPr>
                  <w:tcW w:w="911" w:type="dxa"/>
                  <w:tcBorders>
                    <w:tl2br w:val="nil"/>
                    <w:tr2bl w:val="nil"/>
                  </w:tcBorders>
                  <w:vAlign w:val="center"/>
                </w:tcPr>
                <w:p w14:paraId="46079293">
                  <w:pPr>
                    <w:pStyle w:val="7"/>
                    <w:spacing w:line="20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0.868</w:t>
                  </w:r>
                </w:p>
              </w:tc>
              <w:tc>
                <w:tcPr>
                  <w:tcW w:w="1596" w:type="dxa"/>
                  <w:tcBorders>
                    <w:tl2br w:val="nil"/>
                    <w:tr2bl w:val="nil"/>
                  </w:tcBorders>
                  <w:vAlign w:val="center"/>
                </w:tcPr>
                <w:p w14:paraId="4ACD1EEC">
                  <w:pPr>
                    <w:pStyle w:val="7"/>
                    <w:spacing w:line="200" w:lineRule="atLeast"/>
                    <w:ind w:firstLine="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道路硬化，及时清扫地面并在运输道路路面和两侧洒水</w:t>
                  </w:r>
                </w:p>
              </w:tc>
              <w:tc>
                <w:tcPr>
                  <w:tcW w:w="641" w:type="dxa"/>
                  <w:tcBorders>
                    <w:tl2br w:val="nil"/>
                    <w:tr2bl w:val="nil"/>
                  </w:tcBorders>
                  <w:vAlign w:val="center"/>
                </w:tcPr>
                <w:p w14:paraId="39F1DD71">
                  <w:pPr>
                    <w:pStyle w:val="7"/>
                    <w:spacing w:line="200" w:lineRule="atLeast"/>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w:t>
                  </w:r>
                </w:p>
              </w:tc>
              <w:tc>
                <w:tcPr>
                  <w:tcW w:w="1074" w:type="dxa"/>
                  <w:tcBorders>
                    <w:tl2br w:val="nil"/>
                    <w:tr2bl w:val="nil"/>
                  </w:tcBorders>
                  <w:vAlign w:val="center"/>
                </w:tcPr>
                <w:p w14:paraId="46A18565">
                  <w:pPr>
                    <w:pStyle w:val="7"/>
                    <w:spacing w:line="200" w:lineRule="atLeast"/>
                    <w:ind w:firstLine="0" w:firstLineChars="0"/>
                    <w:jc w:val="center"/>
                    <w:rPr>
                      <w:rFonts w:hint="default" w:ascii="Times New Roman" w:hAnsi="Times New Roman" w:cs="Times New Roman"/>
                      <w:color w:val="auto"/>
                      <w:kern w:val="21"/>
                      <w:sz w:val="21"/>
                      <w:szCs w:val="21"/>
                      <w:highlight w:val="none"/>
                      <w:lang w:val="en-US"/>
                    </w:rPr>
                  </w:pPr>
                  <w:r>
                    <w:rPr>
                      <w:rFonts w:hint="eastAsia" w:cs="Times New Roman"/>
                      <w:color w:val="auto"/>
                      <w:sz w:val="21"/>
                      <w:szCs w:val="21"/>
                      <w:highlight w:val="none"/>
                      <w:lang w:val="en-US" w:eastAsia="zh-CN"/>
                    </w:rPr>
                    <w:t>0.174</w:t>
                  </w:r>
                </w:p>
              </w:tc>
              <w:tc>
                <w:tcPr>
                  <w:tcW w:w="810" w:type="dxa"/>
                  <w:tcBorders>
                    <w:tl2br w:val="nil"/>
                    <w:tr2bl w:val="nil"/>
                  </w:tcBorders>
                  <w:vAlign w:val="center"/>
                </w:tcPr>
                <w:p w14:paraId="7416B564">
                  <w:pPr>
                    <w:spacing w:line="200" w:lineRule="atLeast"/>
                    <w:ind w:firstLine="0" w:firstLineChars="0"/>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0.072</w:t>
                  </w:r>
                </w:p>
              </w:tc>
              <w:tc>
                <w:tcPr>
                  <w:tcW w:w="473" w:type="dxa"/>
                  <w:vMerge w:val="restart"/>
                  <w:tcBorders>
                    <w:tl2br w:val="nil"/>
                    <w:tr2bl w:val="nil"/>
                  </w:tcBorders>
                  <w:vAlign w:val="center"/>
                </w:tcPr>
                <w:p w14:paraId="054A5FC6">
                  <w:pPr>
                    <w:spacing w:line="200" w:lineRule="atLeas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无组织</w:t>
                  </w:r>
                </w:p>
              </w:tc>
            </w:tr>
            <w:tr w14:paraId="190CE0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892" w:type="dxa"/>
                  <w:tcBorders>
                    <w:tl2br w:val="nil"/>
                    <w:tr2bl w:val="nil"/>
                  </w:tcBorders>
                  <w:vAlign w:val="center"/>
                </w:tcPr>
                <w:p w14:paraId="176855B1">
                  <w:pPr>
                    <w:pStyle w:val="7"/>
                    <w:spacing w:line="240" w:lineRule="atLeast"/>
                    <w:ind w:firstLine="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w:t>
                  </w:r>
                </w:p>
                <w:p w14:paraId="382E6805">
                  <w:pPr>
                    <w:pStyle w:val="7"/>
                    <w:spacing w:line="240" w:lineRule="atLeast"/>
                    <w:ind w:firstLine="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装卸</w:t>
                  </w:r>
                </w:p>
              </w:tc>
              <w:tc>
                <w:tcPr>
                  <w:tcW w:w="671" w:type="dxa"/>
                  <w:vMerge w:val="continue"/>
                  <w:tcBorders>
                    <w:tl2br w:val="nil"/>
                    <w:tr2bl w:val="nil"/>
                  </w:tcBorders>
                  <w:vAlign w:val="center"/>
                </w:tcPr>
                <w:p w14:paraId="3488C185">
                  <w:pPr>
                    <w:pStyle w:val="7"/>
                    <w:spacing w:line="240" w:lineRule="atLeast"/>
                    <w:ind w:firstLine="0"/>
                    <w:jc w:val="center"/>
                    <w:rPr>
                      <w:rFonts w:hint="default" w:ascii="Times New Roman" w:hAnsi="Times New Roman" w:cs="Times New Roman"/>
                      <w:color w:val="auto"/>
                      <w:sz w:val="21"/>
                      <w:szCs w:val="21"/>
                      <w:highlight w:val="none"/>
                    </w:rPr>
                  </w:pPr>
                </w:p>
              </w:tc>
              <w:tc>
                <w:tcPr>
                  <w:tcW w:w="909" w:type="dxa"/>
                  <w:tcBorders>
                    <w:tl2br w:val="nil"/>
                    <w:tr2bl w:val="nil"/>
                  </w:tcBorders>
                  <w:vAlign w:val="center"/>
                </w:tcPr>
                <w:p w14:paraId="00F2CA53">
                  <w:pPr>
                    <w:pStyle w:val="7"/>
                    <w:spacing w:line="200" w:lineRule="atLeast"/>
                    <w:ind w:firstLine="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071</w:t>
                  </w:r>
                </w:p>
              </w:tc>
              <w:tc>
                <w:tcPr>
                  <w:tcW w:w="911" w:type="dxa"/>
                  <w:tcBorders>
                    <w:tl2br w:val="nil"/>
                    <w:tr2bl w:val="nil"/>
                  </w:tcBorders>
                  <w:vAlign w:val="center"/>
                </w:tcPr>
                <w:p w14:paraId="50ED4A63">
                  <w:pPr>
                    <w:pStyle w:val="7"/>
                    <w:spacing w:line="200" w:lineRule="atLeas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169</w:t>
                  </w:r>
                </w:p>
              </w:tc>
              <w:tc>
                <w:tcPr>
                  <w:tcW w:w="1596" w:type="dxa"/>
                  <w:tcBorders>
                    <w:tl2br w:val="nil"/>
                    <w:tr2bl w:val="nil"/>
                  </w:tcBorders>
                  <w:vAlign w:val="center"/>
                </w:tcPr>
                <w:p w14:paraId="6230C9A5">
                  <w:pPr>
                    <w:pStyle w:val="7"/>
                    <w:spacing w:line="200" w:lineRule="atLeast"/>
                    <w:ind w:firstLine="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洒水降尘，装卸过程在防风抑尘网内进行</w:t>
                  </w:r>
                </w:p>
              </w:tc>
              <w:tc>
                <w:tcPr>
                  <w:tcW w:w="641" w:type="dxa"/>
                  <w:tcBorders>
                    <w:tl2br w:val="nil"/>
                    <w:tr2bl w:val="nil"/>
                  </w:tcBorders>
                  <w:vAlign w:val="center"/>
                </w:tcPr>
                <w:p w14:paraId="7BF17931">
                  <w:pPr>
                    <w:pStyle w:val="7"/>
                    <w:spacing w:line="200" w:lineRule="atLeast"/>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80</w:t>
                  </w:r>
                </w:p>
              </w:tc>
              <w:tc>
                <w:tcPr>
                  <w:tcW w:w="1074" w:type="dxa"/>
                  <w:tcBorders>
                    <w:tl2br w:val="nil"/>
                    <w:tr2bl w:val="nil"/>
                  </w:tcBorders>
                  <w:vAlign w:val="center"/>
                </w:tcPr>
                <w:p w14:paraId="78EA8A2D">
                  <w:pPr>
                    <w:pStyle w:val="7"/>
                    <w:spacing w:line="200" w:lineRule="atLeast"/>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0.014</w:t>
                  </w:r>
                </w:p>
              </w:tc>
              <w:tc>
                <w:tcPr>
                  <w:tcW w:w="810" w:type="dxa"/>
                  <w:tcBorders>
                    <w:tl2br w:val="nil"/>
                    <w:tr2bl w:val="nil"/>
                  </w:tcBorders>
                  <w:vAlign w:val="center"/>
                </w:tcPr>
                <w:p w14:paraId="107CA56B">
                  <w:pPr>
                    <w:spacing w:line="200" w:lineRule="atLeast"/>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034</w:t>
                  </w:r>
                </w:p>
              </w:tc>
              <w:tc>
                <w:tcPr>
                  <w:tcW w:w="473" w:type="dxa"/>
                  <w:vMerge w:val="continue"/>
                  <w:tcBorders>
                    <w:tl2br w:val="nil"/>
                    <w:tr2bl w:val="nil"/>
                  </w:tcBorders>
                  <w:vAlign w:val="center"/>
                </w:tcPr>
                <w:p w14:paraId="7B5DCECF">
                  <w:pPr>
                    <w:spacing w:line="200" w:lineRule="atLeast"/>
                    <w:ind w:firstLine="0" w:firstLineChars="0"/>
                    <w:jc w:val="center"/>
                    <w:rPr>
                      <w:rFonts w:hint="default" w:ascii="Times New Roman" w:hAnsi="Times New Roman" w:cs="Times New Roman"/>
                      <w:color w:val="auto"/>
                      <w:sz w:val="21"/>
                      <w:szCs w:val="21"/>
                      <w:highlight w:val="none"/>
                      <w:lang w:eastAsia="zh-CN"/>
                    </w:rPr>
                  </w:pPr>
                </w:p>
              </w:tc>
            </w:tr>
            <w:tr w14:paraId="34E30A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892" w:type="dxa"/>
                  <w:tcBorders>
                    <w:tl2br w:val="nil"/>
                    <w:tr2bl w:val="nil"/>
                  </w:tcBorders>
                  <w:vAlign w:val="center"/>
                </w:tcPr>
                <w:p w14:paraId="2698005C">
                  <w:pPr>
                    <w:pStyle w:val="7"/>
                    <w:spacing w:line="240" w:lineRule="atLeast"/>
                    <w:ind w:firstLine="0"/>
                    <w:jc w:val="center"/>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煤炭</w:t>
                  </w:r>
                </w:p>
                <w:p w14:paraId="383214DF">
                  <w:pPr>
                    <w:pStyle w:val="7"/>
                    <w:spacing w:line="240" w:lineRule="atLeast"/>
                    <w:ind w:firstLine="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堆场</w:t>
                  </w:r>
                </w:p>
              </w:tc>
              <w:tc>
                <w:tcPr>
                  <w:tcW w:w="671" w:type="dxa"/>
                  <w:vMerge w:val="continue"/>
                  <w:tcBorders>
                    <w:tl2br w:val="nil"/>
                    <w:tr2bl w:val="nil"/>
                  </w:tcBorders>
                  <w:vAlign w:val="center"/>
                </w:tcPr>
                <w:p w14:paraId="78DE6231">
                  <w:pPr>
                    <w:pStyle w:val="7"/>
                    <w:spacing w:line="240" w:lineRule="atLeast"/>
                    <w:ind w:firstLine="0"/>
                    <w:jc w:val="center"/>
                    <w:rPr>
                      <w:rFonts w:hint="default" w:ascii="Times New Roman" w:hAnsi="Times New Roman" w:cs="Times New Roman"/>
                      <w:color w:val="auto"/>
                      <w:sz w:val="21"/>
                      <w:szCs w:val="21"/>
                      <w:highlight w:val="none"/>
                    </w:rPr>
                  </w:pPr>
                </w:p>
              </w:tc>
              <w:tc>
                <w:tcPr>
                  <w:tcW w:w="909" w:type="dxa"/>
                  <w:tcBorders>
                    <w:tl2br w:val="nil"/>
                    <w:tr2bl w:val="nil"/>
                  </w:tcBorders>
                  <w:vAlign w:val="center"/>
                </w:tcPr>
                <w:p w14:paraId="627E5735">
                  <w:pPr>
                    <w:pStyle w:val="7"/>
                    <w:spacing w:line="200" w:lineRule="atLeast"/>
                    <w:ind w:firstLine="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65.791</w:t>
                  </w:r>
                </w:p>
              </w:tc>
              <w:tc>
                <w:tcPr>
                  <w:tcW w:w="911" w:type="dxa"/>
                  <w:tcBorders>
                    <w:tl2br w:val="nil"/>
                    <w:tr2bl w:val="nil"/>
                  </w:tcBorders>
                  <w:vAlign w:val="center"/>
                </w:tcPr>
                <w:p w14:paraId="340599FF">
                  <w:pPr>
                    <w:pStyle w:val="7"/>
                    <w:spacing w:line="200" w:lineRule="atLeast"/>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157.9</w:t>
                  </w:r>
                </w:p>
              </w:tc>
              <w:tc>
                <w:tcPr>
                  <w:tcW w:w="1596" w:type="dxa"/>
                  <w:tcBorders>
                    <w:tl2br w:val="nil"/>
                    <w:tr2bl w:val="nil"/>
                  </w:tcBorders>
                  <w:vAlign w:val="center"/>
                </w:tcPr>
                <w:p w14:paraId="24893DDA">
                  <w:pPr>
                    <w:pStyle w:val="7"/>
                    <w:spacing w:line="200" w:lineRule="atLeast"/>
                    <w:ind w:firstLine="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洒水降尘</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防风抑尘网</w:t>
                  </w:r>
                  <w:r>
                    <w:rPr>
                      <w:rFonts w:hint="default" w:ascii="Times New Roman" w:hAnsi="Times New Roman" w:cs="Times New Roman"/>
                      <w:color w:val="auto"/>
                      <w:sz w:val="21"/>
                      <w:szCs w:val="21"/>
                      <w:highlight w:val="none"/>
                      <w:lang w:eastAsia="zh-CN"/>
                    </w:rPr>
                    <w:t>和苫布苫盖</w:t>
                  </w:r>
                  <w:r>
                    <w:rPr>
                      <w:rFonts w:hint="default" w:ascii="Times New Roman" w:hAnsi="Times New Roman" w:eastAsia="宋体" w:cs="Times New Roman"/>
                      <w:color w:val="auto"/>
                      <w:sz w:val="21"/>
                      <w:szCs w:val="21"/>
                      <w:highlight w:val="none"/>
                      <w:lang w:eastAsia="zh-CN"/>
                    </w:rPr>
                    <w:t>等措施</w:t>
                  </w:r>
                </w:p>
              </w:tc>
              <w:tc>
                <w:tcPr>
                  <w:tcW w:w="641" w:type="dxa"/>
                  <w:tcBorders>
                    <w:tl2br w:val="nil"/>
                    <w:tr2bl w:val="nil"/>
                  </w:tcBorders>
                  <w:vAlign w:val="center"/>
                </w:tcPr>
                <w:p w14:paraId="1EA94986">
                  <w:pPr>
                    <w:pStyle w:val="7"/>
                    <w:spacing w:line="200" w:lineRule="atLeast"/>
                    <w:ind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86</w:t>
                  </w:r>
                </w:p>
              </w:tc>
              <w:tc>
                <w:tcPr>
                  <w:tcW w:w="1074" w:type="dxa"/>
                  <w:tcBorders>
                    <w:tl2br w:val="nil"/>
                    <w:tr2bl w:val="nil"/>
                  </w:tcBorders>
                  <w:vAlign w:val="center"/>
                </w:tcPr>
                <w:p w14:paraId="73464022">
                  <w:pPr>
                    <w:pStyle w:val="7"/>
                    <w:spacing w:line="200" w:lineRule="atLeast"/>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9.21</w:t>
                  </w:r>
                </w:p>
              </w:tc>
              <w:tc>
                <w:tcPr>
                  <w:tcW w:w="810" w:type="dxa"/>
                  <w:tcBorders>
                    <w:tl2br w:val="nil"/>
                    <w:tr2bl w:val="nil"/>
                  </w:tcBorders>
                  <w:vAlign w:val="center"/>
                </w:tcPr>
                <w:p w14:paraId="598F95EE">
                  <w:pPr>
                    <w:spacing w:line="200" w:lineRule="atLeast"/>
                    <w:ind w:firstLine="0" w:firstLine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22.106</w:t>
                  </w:r>
                </w:p>
              </w:tc>
              <w:tc>
                <w:tcPr>
                  <w:tcW w:w="473" w:type="dxa"/>
                  <w:vMerge w:val="continue"/>
                  <w:tcBorders>
                    <w:tl2br w:val="nil"/>
                    <w:tr2bl w:val="nil"/>
                  </w:tcBorders>
                  <w:vAlign w:val="center"/>
                </w:tcPr>
                <w:p w14:paraId="103D6CBB">
                  <w:pPr>
                    <w:spacing w:line="200" w:lineRule="atLeast"/>
                    <w:ind w:firstLine="0" w:firstLineChars="0"/>
                    <w:jc w:val="center"/>
                    <w:rPr>
                      <w:rFonts w:hint="default" w:ascii="Times New Roman" w:hAnsi="Times New Roman" w:cs="Times New Roman"/>
                      <w:color w:val="auto"/>
                      <w:sz w:val="21"/>
                      <w:szCs w:val="21"/>
                      <w:highlight w:val="none"/>
                      <w:lang w:eastAsia="zh-CN"/>
                    </w:rPr>
                  </w:pPr>
                </w:p>
              </w:tc>
            </w:tr>
          </w:tbl>
          <w:p w14:paraId="795F540A">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废气治理措施可行性分析</w:t>
            </w:r>
          </w:p>
          <w:p w14:paraId="20FDBF4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iCs/>
                <w:color w:val="auto"/>
                <w:sz w:val="24"/>
                <w:szCs w:val="20"/>
                <w:highlight w:val="none"/>
              </w:rPr>
            </w:pPr>
            <w:r>
              <w:rPr>
                <w:rFonts w:hint="default" w:ascii="Times New Roman" w:hAnsi="Times New Roman" w:eastAsia="宋体" w:cs="Times New Roman"/>
                <w:color w:val="auto"/>
                <w:sz w:val="24"/>
                <w:highlight w:val="none"/>
              </w:rPr>
              <w:t>由于本行业无相对应的</w:t>
            </w:r>
            <w:r>
              <w:rPr>
                <w:rFonts w:hint="eastAsia" w:ascii="Times New Roman" w:hAnsi="Times New Roman" w:cs="Times New Roman"/>
                <w:color w:val="auto"/>
                <w:kern w:val="21"/>
                <w:sz w:val="24"/>
                <w:highlight w:val="none"/>
                <w:lang w:eastAsia="zh-CN"/>
              </w:rPr>
              <w:t>“</w:t>
            </w:r>
            <w:r>
              <w:rPr>
                <w:rFonts w:hint="default" w:ascii="Times New Roman" w:hAnsi="Times New Roman" w:eastAsia="宋体" w:cs="Times New Roman"/>
                <w:color w:val="auto"/>
                <w:sz w:val="24"/>
                <w:highlight w:val="none"/>
              </w:rPr>
              <w:t>排污许可证申请与核发技术规范</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，但根据《环境空气细颗粒物污染综合防治技术政策》中</w:t>
            </w:r>
            <w:r>
              <w:rPr>
                <w:rFonts w:hint="eastAsia" w:ascii="Times New Roman" w:hAnsi="Times New Roman" w:cs="Times New Roman"/>
                <w:color w:val="auto"/>
                <w:kern w:val="21"/>
                <w:sz w:val="24"/>
                <w:highlight w:val="none"/>
                <w:lang w:eastAsia="zh-CN"/>
              </w:rPr>
              <w:t>“</w:t>
            </w:r>
            <w:r>
              <w:rPr>
                <w:rFonts w:hint="default" w:ascii="Times New Roman" w:hAnsi="Times New Roman" w:eastAsia="宋体" w:cs="Times New Roman"/>
                <w:color w:val="auto"/>
                <w:sz w:val="24"/>
                <w:highlight w:val="none"/>
              </w:rPr>
              <w:t>无组织排放颗粒物和前体污染物治理技术，包括适用于大气颗粒物及其前体物污染控制的密闭生产技术、粉状物料堆放场的遮风与抑尘技术</w:t>
            </w:r>
            <w:r>
              <w:rPr>
                <w:rFonts w:hint="eastAsia"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扬尘污染防治技术包括遮风技术（适用于各种露天堆场和施工工地遮挡措施）；抑尘技术（包括喷洒水雾和抑尘剂，适用于施工场所、堆场、装卸作业等场地）；施工物料运输车辆清洗技术（适用于上路行驶的物料、渣土运输车辆）；道路清扫技术（包括人工清扫、机械清扫）。</w:t>
            </w:r>
            <w:r>
              <w:rPr>
                <w:rFonts w:hint="default" w:ascii="Times New Roman" w:hAnsi="Times New Roman" w:eastAsia="宋体" w:cs="Times New Roman"/>
                <w:iCs/>
                <w:color w:val="auto"/>
                <w:sz w:val="24"/>
                <w:szCs w:val="20"/>
                <w:highlight w:val="none"/>
              </w:rPr>
              <w:t>本项目采用</w:t>
            </w:r>
            <w:r>
              <w:rPr>
                <w:rFonts w:hint="default" w:ascii="Times New Roman" w:hAnsi="Times New Roman" w:cs="Times New Roman"/>
                <w:iCs/>
                <w:color w:val="auto"/>
                <w:sz w:val="24"/>
                <w:szCs w:val="20"/>
                <w:highlight w:val="none"/>
                <w:lang w:val="en-US" w:eastAsia="zh-CN"/>
              </w:rPr>
              <w:t>设置防风抑尘网并在堆场顶部苫盖苫布、堆场及</w:t>
            </w:r>
            <w:r>
              <w:rPr>
                <w:rFonts w:hint="default" w:ascii="Times New Roman" w:hAnsi="Times New Roman" w:eastAsia="宋体" w:cs="Times New Roman"/>
                <w:iCs/>
                <w:color w:val="auto"/>
                <w:sz w:val="24"/>
                <w:szCs w:val="20"/>
                <w:highlight w:val="none"/>
                <w:lang w:eastAsia="zh-CN"/>
              </w:rPr>
              <w:t>道路采用</w:t>
            </w:r>
            <w:r>
              <w:rPr>
                <w:rFonts w:hint="default" w:ascii="Times New Roman" w:hAnsi="Times New Roman" w:eastAsia="宋体" w:cs="Times New Roman"/>
                <w:iCs/>
                <w:color w:val="auto"/>
                <w:sz w:val="24"/>
                <w:szCs w:val="20"/>
                <w:highlight w:val="none"/>
              </w:rPr>
              <w:t>洒水抑尘</w:t>
            </w:r>
            <w:r>
              <w:rPr>
                <w:rFonts w:hint="default" w:ascii="Times New Roman" w:hAnsi="Times New Roman" w:cs="Times New Roman"/>
                <w:iCs/>
                <w:color w:val="auto"/>
                <w:sz w:val="24"/>
                <w:szCs w:val="20"/>
                <w:highlight w:val="none"/>
                <w:lang w:eastAsia="zh-CN"/>
              </w:rPr>
              <w:t>、道路硬化、及时清扫路面</w:t>
            </w:r>
            <w:r>
              <w:rPr>
                <w:rFonts w:hint="default" w:ascii="Times New Roman" w:hAnsi="Times New Roman" w:eastAsia="宋体" w:cs="Times New Roman"/>
                <w:iCs/>
                <w:color w:val="auto"/>
                <w:sz w:val="24"/>
                <w:szCs w:val="20"/>
                <w:highlight w:val="none"/>
              </w:rPr>
              <w:t>等方式处理颗粒物废气</w:t>
            </w:r>
            <w:r>
              <w:rPr>
                <w:rFonts w:hint="eastAsia" w:cs="Times New Roman"/>
                <w:iCs/>
                <w:color w:val="auto"/>
                <w:sz w:val="24"/>
                <w:szCs w:val="20"/>
                <w:highlight w:val="none"/>
                <w:lang w:eastAsia="zh-CN"/>
              </w:rPr>
              <w:t>，</w:t>
            </w:r>
            <w:r>
              <w:rPr>
                <w:rFonts w:hint="eastAsia" w:cs="Times New Roman"/>
                <w:iCs/>
                <w:color w:val="auto"/>
                <w:sz w:val="24"/>
                <w:szCs w:val="20"/>
                <w:highlight w:val="none"/>
                <w:lang w:eastAsia="zh-CN"/>
              </w:rPr>
              <w:t>使</w:t>
            </w:r>
            <w:r>
              <w:rPr>
                <w:rFonts w:hint="eastAsia" w:cs="Times New Roman"/>
                <w:color w:val="auto"/>
                <w:sz w:val="24"/>
                <w:highlight w:val="none"/>
                <w:lang w:val="en-US" w:eastAsia="zh-CN"/>
              </w:rPr>
              <w:t>无组织颗粒物排放浓度</w:t>
            </w:r>
            <w:r>
              <w:rPr>
                <w:rFonts w:hint="default" w:ascii="Times New Roman" w:hAnsi="Times New Roman" w:eastAsia="宋体" w:cs="Times New Roman"/>
                <w:color w:val="auto"/>
                <w:sz w:val="24"/>
                <w:highlight w:val="none"/>
                <w:lang w:val="en-US" w:eastAsia="zh-CN"/>
              </w:rPr>
              <w:t>排放能够满足</w:t>
            </w:r>
            <w:r>
              <w:rPr>
                <w:rFonts w:hint="default" w:ascii="Times New Roman" w:hAnsi="Times New Roman" w:eastAsia="宋体" w:cs="Times New Roman"/>
                <w:color w:val="auto"/>
                <w:sz w:val="24"/>
                <w:highlight w:val="none"/>
                <w:lang w:val="zh-CN" w:eastAsia="zh-CN"/>
              </w:rPr>
              <w:t>《煤炭工业污染物排放标准》（GB20426-2006）中表5限值</w:t>
            </w:r>
            <w:r>
              <w:rPr>
                <w:rFonts w:hint="default" w:ascii="Times New Roman" w:hAnsi="Times New Roman" w:eastAsia="宋体" w:cs="Times New Roman"/>
                <w:iCs/>
                <w:color w:val="auto"/>
                <w:sz w:val="24"/>
                <w:szCs w:val="20"/>
                <w:highlight w:val="none"/>
              </w:rPr>
              <w:t>，</w:t>
            </w:r>
            <w:r>
              <w:rPr>
                <w:rFonts w:hint="default" w:ascii="Times New Roman" w:hAnsi="Times New Roman" w:eastAsia="宋体" w:cs="Times New Roman"/>
                <w:iCs/>
                <w:color w:val="auto"/>
                <w:sz w:val="24"/>
                <w:szCs w:val="20"/>
                <w:highlight w:val="none"/>
              </w:rPr>
              <w:t>因此，本评价认为项目采用的废气污染防治技术为可行技术。</w:t>
            </w:r>
          </w:p>
          <w:p w14:paraId="34CF081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（3）废气排放达标分析</w:t>
            </w:r>
          </w:p>
          <w:p w14:paraId="5BB9B85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根据项目所在区域环境质量现状可知，区域内常规污染物PM</w:t>
            </w:r>
            <w:r>
              <w:rPr>
                <w:rFonts w:hint="default" w:ascii="Times New Roman" w:hAnsi="Times New Roman" w:eastAsia="宋体" w:cs="Times New Roman"/>
                <w:color w:val="auto"/>
                <w:sz w:val="24"/>
                <w:highlight w:val="none"/>
                <w:vertAlign w:val="subscript"/>
                <w:lang w:val="en-US" w:eastAsia="zh-CN"/>
              </w:rPr>
              <w:t>10</w:t>
            </w:r>
            <w:r>
              <w:rPr>
                <w:rFonts w:hint="default" w:ascii="Times New Roman" w:hAnsi="Times New Roman" w:eastAsia="宋体" w:cs="Times New Roman"/>
                <w:color w:val="auto"/>
                <w:sz w:val="24"/>
                <w:highlight w:val="none"/>
                <w:lang w:val="en-US" w:eastAsia="zh-CN"/>
              </w:rPr>
              <w:t>、PM</w:t>
            </w:r>
            <w:r>
              <w:rPr>
                <w:rFonts w:hint="default" w:ascii="Times New Roman" w:hAnsi="Times New Roman" w:eastAsia="宋体" w:cs="Times New Roman"/>
                <w:color w:val="auto"/>
                <w:sz w:val="24"/>
                <w:highlight w:val="none"/>
                <w:vertAlign w:val="subscript"/>
                <w:lang w:val="en-US" w:eastAsia="zh-CN"/>
              </w:rPr>
              <w:t>2.5</w:t>
            </w:r>
            <w:r>
              <w:rPr>
                <w:rFonts w:hint="default" w:ascii="Times New Roman" w:hAnsi="Times New Roman" w:eastAsia="宋体" w:cs="Times New Roman"/>
                <w:color w:val="auto"/>
                <w:sz w:val="24"/>
                <w:highlight w:val="none"/>
                <w:lang w:val="en-US" w:eastAsia="zh-CN"/>
              </w:rPr>
              <w:t>年平均浓度能满足《环境空气质量标准》（GB3095-2026）中过渡阶段二级标准限值。本项目产生的废气都为无组织废气，在采取了设置防风抑尘网并在堆场顶部</w:t>
            </w:r>
            <w:r>
              <w:rPr>
                <w:rFonts w:hint="default" w:ascii="Times New Roman" w:hAnsi="Times New Roman" w:cs="Times New Roman"/>
                <w:color w:val="auto"/>
                <w:sz w:val="24"/>
                <w:highlight w:val="none"/>
                <w:lang w:val="en-US" w:eastAsia="zh-CN"/>
              </w:rPr>
              <w:t>苫盖苫布</w:t>
            </w:r>
            <w:r>
              <w:rPr>
                <w:rFonts w:hint="default" w:ascii="Times New Roman" w:hAnsi="Times New Roman" w:eastAsia="宋体" w:cs="Times New Roman"/>
                <w:color w:val="auto"/>
                <w:sz w:val="24"/>
                <w:highlight w:val="none"/>
                <w:lang w:val="en-US" w:eastAsia="zh-CN"/>
              </w:rPr>
              <w:t>、堆场及道路采用洒水抑尘、道路硬化、及时清扫路面等措施后，</w:t>
            </w:r>
            <w:r>
              <w:rPr>
                <w:rFonts w:hint="eastAsia" w:cs="Times New Roman"/>
                <w:color w:val="auto"/>
                <w:sz w:val="24"/>
                <w:highlight w:val="none"/>
                <w:lang w:val="en-US" w:eastAsia="zh-CN"/>
              </w:rPr>
              <w:t>无组织颗粒物排放浓度</w:t>
            </w:r>
            <w:r>
              <w:rPr>
                <w:rFonts w:hint="default" w:ascii="Times New Roman" w:hAnsi="Times New Roman" w:eastAsia="宋体" w:cs="Times New Roman"/>
                <w:color w:val="auto"/>
                <w:sz w:val="24"/>
                <w:highlight w:val="none"/>
                <w:lang w:val="en-US" w:eastAsia="zh-CN"/>
              </w:rPr>
              <w:t>排放能够满足</w:t>
            </w:r>
            <w:r>
              <w:rPr>
                <w:rFonts w:hint="default" w:ascii="Times New Roman" w:hAnsi="Times New Roman" w:eastAsia="宋体" w:cs="Times New Roman"/>
                <w:color w:val="auto"/>
                <w:sz w:val="24"/>
                <w:highlight w:val="none"/>
                <w:lang w:val="zh-CN" w:eastAsia="zh-CN"/>
              </w:rPr>
              <w:t>《煤炭工业污染物排放标准》（GB20426-2006）中表5限值，</w:t>
            </w:r>
            <w:r>
              <w:rPr>
                <w:rFonts w:hint="default" w:ascii="Times New Roman" w:hAnsi="Times New Roman" w:eastAsia="宋体" w:cs="Times New Roman"/>
                <w:color w:val="auto"/>
                <w:sz w:val="24"/>
                <w:highlight w:val="none"/>
                <w:lang w:val="en-US" w:eastAsia="zh-CN"/>
              </w:rPr>
              <w:t>不会降低项目所在区域环境质量现状，对周围大气环境及周边环境保护目标的影响较小。</w:t>
            </w:r>
          </w:p>
          <w:p w14:paraId="7143E0C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（4）废气监测计划</w:t>
            </w:r>
          </w:p>
          <w:p w14:paraId="1258426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 xml:space="preserve">根据《固定污染源排污许可分类管理名录》（2019年版）、《排污单位自行监测技术指南 </w:t>
            </w:r>
            <w:r>
              <w:rPr>
                <w:rFonts w:hint="default" w:ascii="Times New Roman" w:hAnsi="Times New Roman" w:eastAsia="宋体" w:cs="Times New Roman"/>
                <w:color w:val="auto"/>
                <w:sz w:val="24"/>
                <w:highlight w:val="none"/>
                <w:lang w:val="en-US" w:eastAsia="zh-CN"/>
              </w:rPr>
              <w:t>总则</w:t>
            </w:r>
            <w:r>
              <w:rPr>
                <w:rFonts w:hint="default" w:ascii="Times New Roman" w:hAnsi="Times New Roman" w:eastAsia="宋体" w:cs="Times New Roman"/>
                <w:color w:val="auto"/>
                <w:sz w:val="24"/>
                <w:highlight w:val="none"/>
              </w:rPr>
              <w:t>》（HJ</w:t>
            </w:r>
            <w:r>
              <w:rPr>
                <w:rFonts w:hint="default" w:ascii="Times New Roman" w:hAnsi="Times New Roman" w:eastAsia="宋体" w:cs="Times New Roman"/>
                <w:color w:val="auto"/>
                <w:sz w:val="24"/>
                <w:highlight w:val="none"/>
                <w:lang w:val="en-US" w:eastAsia="zh-CN"/>
              </w:rPr>
              <w:t>819</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color w:val="auto"/>
                <w:sz w:val="24"/>
                <w:highlight w:val="none"/>
                <w:lang w:val="en-US" w:eastAsia="zh-CN"/>
              </w:rPr>
              <w:t>17</w:t>
            </w:r>
            <w:r>
              <w:rPr>
                <w:rFonts w:hint="default" w:ascii="Times New Roman" w:hAnsi="Times New Roman" w:eastAsia="宋体" w:cs="Times New Roman"/>
                <w:color w:val="auto"/>
                <w:sz w:val="24"/>
                <w:highlight w:val="none"/>
              </w:rPr>
              <w:t>），制定废气监测计划如下：</w:t>
            </w:r>
          </w:p>
          <w:p w14:paraId="168AA74C">
            <w:pPr>
              <w:pStyle w:val="77"/>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表4</w:t>
            </w:r>
            <w:r>
              <w:rPr>
                <w:rFonts w:hint="default" w:ascii="Times New Roman" w:hAnsi="Times New Roman" w:eastAsia="宋体" w:cs="Times New Roman"/>
                <w:b/>
                <w:bCs w:val="0"/>
                <w:color w:val="auto"/>
                <w:sz w:val="21"/>
                <w:szCs w:val="21"/>
                <w:highlight w:val="none"/>
                <w:lang w:val="en-US" w:eastAsia="zh-CN"/>
              </w:rPr>
              <w:t>-</w:t>
            </w:r>
            <w:r>
              <w:rPr>
                <w:rFonts w:hint="eastAsia" w:ascii="Times New Roman" w:hAnsi="Times New Roman" w:cs="Times New Roman"/>
                <w:b/>
                <w:bCs w:val="0"/>
                <w:color w:val="auto"/>
                <w:sz w:val="21"/>
                <w:szCs w:val="21"/>
                <w:highlight w:val="none"/>
                <w:lang w:val="en-US" w:eastAsia="zh-CN"/>
              </w:rPr>
              <w:t>4</w:t>
            </w:r>
            <w:r>
              <w:rPr>
                <w:rFonts w:hint="default" w:ascii="Times New Roman" w:hAnsi="Times New Roman" w:eastAsia="宋体" w:cs="Times New Roman"/>
                <w:b/>
                <w:bCs w:val="0"/>
                <w:color w:val="auto"/>
                <w:sz w:val="21"/>
                <w:szCs w:val="21"/>
                <w:highlight w:val="none"/>
              </w:rPr>
              <w:t xml:space="preserve"> 废气监测计划</w:t>
            </w:r>
          </w:p>
          <w:tbl>
            <w:tblPr>
              <w:tblStyle w:val="31"/>
              <w:tblW w:w="78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1324"/>
              <w:gridCol w:w="1198"/>
              <w:gridCol w:w="1090"/>
              <w:gridCol w:w="3116"/>
            </w:tblGrid>
            <w:tr w14:paraId="47E80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09" w:type="dxa"/>
                  <w:tcBorders>
                    <w:tl2br w:val="nil"/>
                    <w:tr2bl w:val="nil"/>
                  </w:tcBorders>
                  <w:noWrap w:val="0"/>
                  <w:vAlign w:val="center"/>
                </w:tcPr>
                <w:p w14:paraId="627FE64A">
                  <w:pPr>
                    <w:tabs>
                      <w:tab w:val="left" w:pos="1215"/>
                    </w:tabs>
                    <w:adjustRightInd w:val="0"/>
                    <w:snapToGrid w:val="0"/>
                    <w:spacing w:line="240" w:lineRule="auto"/>
                    <w:jc w:val="center"/>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sz w:val="21"/>
                      <w:szCs w:val="21"/>
                      <w:highlight w:val="none"/>
                    </w:rPr>
                    <w:t>排放形式</w:t>
                  </w:r>
                </w:p>
              </w:tc>
              <w:tc>
                <w:tcPr>
                  <w:tcW w:w="1324" w:type="dxa"/>
                  <w:tcBorders>
                    <w:tl2br w:val="nil"/>
                    <w:tr2bl w:val="nil"/>
                  </w:tcBorders>
                  <w:noWrap w:val="0"/>
                  <w:vAlign w:val="center"/>
                </w:tcPr>
                <w:p w14:paraId="51165EE1">
                  <w:pPr>
                    <w:tabs>
                      <w:tab w:val="left" w:pos="1215"/>
                    </w:tabs>
                    <w:adjustRightInd w:val="0"/>
                    <w:snapToGrid w:val="0"/>
                    <w:spacing w:line="240" w:lineRule="auto"/>
                    <w:jc w:val="center"/>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sz w:val="21"/>
                      <w:szCs w:val="21"/>
                      <w:highlight w:val="none"/>
                    </w:rPr>
                    <w:t>监测点位</w:t>
                  </w:r>
                </w:p>
              </w:tc>
              <w:tc>
                <w:tcPr>
                  <w:tcW w:w="1198" w:type="dxa"/>
                  <w:tcBorders>
                    <w:tl2br w:val="nil"/>
                    <w:tr2bl w:val="nil"/>
                  </w:tcBorders>
                  <w:noWrap w:val="0"/>
                  <w:vAlign w:val="center"/>
                </w:tcPr>
                <w:p w14:paraId="46F39E9C">
                  <w:pPr>
                    <w:tabs>
                      <w:tab w:val="left" w:pos="1215"/>
                    </w:tabs>
                    <w:adjustRightInd w:val="0"/>
                    <w:snapToGrid w:val="0"/>
                    <w:spacing w:line="240" w:lineRule="auto"/>
                    <w:jc w:val="center"/>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sz w:val="21"/>
                      <w:szCs w:val="21"/>
                      <w:highlight w:val="none"/>
                    </w:rPr>
                    <w:t>监测指标</w:t>
                  </w:r>
                </w:p>
              </w:tc>
              <w:tc>
                <w:tcPr>
                  <w:tcW w:w="1090" w:type="dxa"/>
                  <w:tcBorders>
                    <w:tl2br w:val="nil"/>
                    <w:tr2bl w:val="nil"/>
                  </w:tcBorders>
                  <w:noWrap w:val="0"/>
                  <w:vAlign w:val="center"/>
                </w:tcPr>
                <w:p w14:paraId="0C944312">
                  <w:pPr>
                    <w:tabs>
                      <w:tab w:val="left" w:pos="1215"/>
                    </w:tabs>
                    <w:adjustRightInd w:val="0"/>
                    <w:snapToGrid w:val="0"/>
                    <w:spacing w:line="240" w:lineRule="auto"/>
                    <w:jc w:val="center"/>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sz w:val="21"/>
                      <w:szCs w:val="21"/>
                      <w:highlight w:val="none"/>
                    </w:rPr>
                    <w:t>监测频次</w:t>
                  </w:r>
                </w:p>
              </w:tc>
              <w:tc>
                <w:tcPr>
                  <w:tcW w:w="3116" w:type="dxa"/>
                  <w:tcBorders>
                    <w:tl2br w:val="nil"/>
                    <w:tr2bl w:val="nil"/>
                  </w:tcBorders>
                  <w:noWrap w:val="0"/>
                  <w:vAlign w:val="center"/>
                </w:tcPr>
                <w:p w14:paraId="0B5FE23B">
                  <w:pPr>
                    <w:tabs>
                      <w:tab w:val="left" w:pos="1215"/>
                    </w:tabs>
                    <w:adjustRightInd w:val="0"/>
                    <w:snapToGrid w:val="0"/>
                    <w:spacing w:line="240" w:lineRule="auto"/>
                    <w:jc w:val="center"/>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sz w:val="21"/>
                      <w:szCs w:val="21"/>
                      <w:highlight w:val="none"/>
                    </w:rPr>
                    <w:t>执行标准</w:t>
                  </w:r>
                </w:p>
              </w:tc>
            </w:tr>
            <w:tr w14:paraId="1A770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1109" w:type="dxa"/>
                  <w:tcBorders>
                    <w:tl2br w:val="nil"/>
                    <w:tr2bl w:val="nil"/>
                  </w:tcBorders>
                  <w:noWrap w:val="0"/>
                  <w:vAlign w:val="center"/>
                </w:tcPr>
                <w:p w14:paraId="7F247F57">
                  <w:pPr>
                    <w:tabs>
                      <w:tab w:val="left" w:pos="1215"/>
                    </w:tabs>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无组织</w:t>
                  </w:r>
                </w:p>
              </w:tc>
              <w:tc>
                <w:tcPr>
                  <w:tcW w:w="1324" w:type="dxa"/>
                  <w:tcBorders>
                    <w:tl2br w:val="nil"/>
                    <w:tr2bl w:val="nil"/>
                  </w:tcBorders>
                  <w:noWrap w:val="0"/>
                  <w:vAlign w:val="center"/>
                </w:tcPr>
                <w:p w14:paraId="6B193D4A">
                  <w:pPr>
                    <w:tabs>
                      <w:tab w:val="left" w:pos="1215"/>
                    </w:tabs>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厂界下风向</w:t>
                  </w:r>
                </w:p>
              </w:tc>
              <w:tc>
                <w:tcPr>
                  <w:tcW w:w="1198" w:type="dxa"/>
                  <w:tcBorders>
                    <w:tl2br w:val="nil"/>
                    <w:tr2bl w:val="nil"/>
                  </w:tcBorders>
                  <w:noWrap w:val="0"/>
                  <w:vAlign w:val="center"/>
                </w:tcPr>
                <w:p w14:paraId="110C1289">
                  <w:pPr>
                    <w:tabs>
                      <w:tab w:val="left" w:pos="1215"/>
                    </w:tabs>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颗粒物</w:t>
                  </w:r>
                </w:p>
              </w:tc>
              <w:tc>
                <w:tcPr>
                  <w:tcW w:w="1090" w:type="dxa"/>
                  <w:tcBorders>
                    <w:tl2br w:val="nil"/>
                    <w:tr2bl w:val="nil"/>
                  </w:tcBorders>
                  <w:noWrap w:val="0"/>
                  <w:vAlign w:val="center"/>
                </w:tcPr>
                <w:p w14:paraId="782ED173">
                  <w:pPr>
                    <w:tabs>
                      <w:tab w:val="left" w:pos="1215"/>
                    </w:tabs>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1次/年</w:t>
                  </w:r>
                </w:p>
              </w:tc>
              <w:tc>
                <w:tcPr>
                  <w:tcW w:w="3116" w:type="dxa"/>
                  <w:tcBorders>
                    <w:tl2br w:val="nil"/>
                    <w:tr2bl w:val="nil"/>
                  </w:tcBorders>
                  <w:noWrap w:val="0"/>
                  <w:vAlign w:val="center"/>
                </w:tcPr>
                <w:p w14:paraId="66421C71">
                  <w:pPr>
                    <w:tabs>
                      <w:tab w:val="left" w:pos="1215"/>
                    </w:tabs>
                    <w:adjustRightInd w:val="0"/>
                    <w:snapToGrid w:val="0"/>
                    <w:spacing w:line="240" w:lineRule="auto"/>
                    <w:jc w:val="center"/>
                    <w:rPr>
                      <w:rFonts w:hint="default" w:ascii="Times New Roman" w:hAnsi="Times New Roman" w:eastAsia="宋体" w:cs="Times New Roman"/>
                      <w:bCs/>
                      <w:color w:val="auto"/>
                      <w:sz w:val="21"/>
                      <w:szCs w:val="21"/>
                      <w:highlight w:val="none"/>
                      <w:vertAlign w:val="baseline"/>
                    </w:rPr>
                  </w:pPr>
                  <w:r>
                    <w:rPr>
                      <w:rFonts w:hint="default" w:ascii="Times New Roman" w:hAnsi="Times New Roman" w:eastAsia="宋体" w:cs="Times New Roman"/>
                      <w:color w:val="auto"/>
                      <w:sz w:val="21"/>
                      <w:szCs w:val="21"/>
                      <w:highlight w:val="none"/>
                      <w:lang w:val="zh-CN"/>
                    </w:rPr>
                    <w:t>《煤炭工业污染物排放标准》（GB20426-2006）中表5限值</w:t>
                  </w:r>
                </w:p>
              </w:tc>
            </w:tr>
          </w:tbl>
          <w:p w14:paraId="3FCDEB97">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5</w:t>
            </w:r>
            <w:r>
              <w:rPr>
                <w:rFonts w:hint="eastAsia" w:ascii="Times New Roman" w:hAnsi="Times New Roman" w:eastAsia="宋体" w:cs="Times New Roman"/>
                <w:color w:val="auto"/>
                <w:sz w:val="24"/>
                <w:highlight w:val="none"/>
                <w:lang w:val="en-US" w:eastAsia="zh-CN"/>
              </w:rPr>
              <w:t>）非正常工况</w:t>
            </w:r>
          </w:p>
          <w:p w14:paraId="28CB9B6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szCs w:val="24"/>
                <w:highlight w:val="none"/>
                <w:lang w:eastAsia="zh-CN"/>
              </w:rPr>
            </w:pPr>
            <w:r>
              <w:rPr>
                <w:rFonts w:hint="eastAsia" w:cs="Times New Roman"/>
                <w:color w:val="auto"/>
                <w:sz w:val="24"/>
                <w:highlight w:val="none"/>
                <w:lang w:val="en-US" w:eastAsia="zh-CN"/>
              </w:rPr>
              <w:t>本项目</w:t>
            </w:r>
            <w:r>
              <w:rPr>
                <w:rFonts w:hint="eastAsia" w:ascii="Times New Roman" w:hAnsi="Times New Roman" w:eastAsia="宋体" w:cs="Times New Roman"/>
                <w:color w:val="auto"/>
                <w:sz w:val="24"/>
                <w:highlight w:val="none"/>
                <w:lang w:val="en-US" w:eastAsia="zh-CN"/>
              </w:rPr>
              <w:t>可能发生最不利的非正常工况是</w:t>
            </w:r>
            <w:r>
              <w:rPr>
                <w:rFonts w:hint="eastAsia" w:cs="Times New Roman"/>
                <w:color w:val="auto"/>
                <w:sz w:val="24"/>
                <w:highlight w:val="none"/>
                <w:lang w:val="en-US" w:eastAsia="zh-CN"/>
              </w:rPr>
              <w:t>防风抑尘网</w:t>
            </w:r>
            <w:r>
              <w:rPr>
                <w:rFonts w:hint="eastAsia" w:ascii="Times New Roman" w:hAnsi="Times New Roman" w:eastAsia="宋体" w:cs="Times New Roman"/>
                <w:color w:val="auto"/>
                <w:sz w:val="24"/>
                <w:highlight w:val="none"/>
                <w:lang w:val="en-US" w:eastAsia="zh-CN"/>
              </w:rPr>
              <w:t>故障</w:t>
            </w:r>
            <w:r>
              <w:rPr>
                <w:rFonts w:hint="eastAsia" w:cs="Times New Roman"/>
                <w:color w:val="auto"/>
                <w:sz w:val="24"/>
                <w:highlight w:val="none"/>
                <w:lang w:val="en-US" w:eastAsia="zh-CN"/>
              </w:rPr>
              <w:t>，按最不利情况计算，防风抑尘网效率为0，则颗粒物排放量为65.791kg/h。本项目</w:t>
            </w:r>
            <w:r>
              <w:rPr>
                <w:rFonts w:hint="eastAsia" w:ascii="Times New Roman" w:hAnsi="Times New Roman" w:eastAsia="宋体" w:cs="Times New Roman"/>
                <w:color w:val="auto"/>
                <w:sz w:val="24"/>
                <w:highlight w:val="none"/>
                <w:lang w:val="en-US" w:eastAsia="zh-CN"/>
              </w:rPr>
              <w:t>在</w:t>
            </w:r>
            <w:r>
              <w:rPr>
                <w:rFonts w:hint="eastAsia" w:ascii="宋体" w:hAnsi="宋体" w:eastAsia="宋体" w:cs="宋体"/>
                <w:color w:val="auto"/>
                <w:sz w:val="24"/>
                <w:szCs w:val="24"/>
                <w:highlight w:val="none"/>
              </w:rPr>
              <w:t>非正常工况下</w:t>
            </w:r>
            <w:r>
              <w:rPr>
                <w:rFonts w:hint="eastAsia" w:ascii="宋体" w:hAnsi="宋体" w:eastAsia="宋体" w:cs="宋体"/>
                <w:color w:val="auto"/>
                <w:sz w:val="24"/>
                <w:szCs w:val="24"/>
                <w:highlight w:val="none"/>
                <w:lang w:eastAsia="zh-CN"/>
              </w:rPr>
              <w:t>和</w:t>
            </w:r>
            <w:r>
              <w:rPr>
                <w:rFonts w:hint="eastAsia" w:ascii="Times New Roman" w:hAnsi="Times New Roman" w:eastAsia="宋体" w:cs="Times New Roman"/>
                <w:color w:val="auto"/>
                <w:sz w:val="24"/>
                <w:highlight w:val="none"/>
                <w:lang w:val="en-US" w:eastAsia="zh-CN"/>
              </w:rPr>
              <w:t>重污染天气期间、大风天气时不进行作业</w:t>
            </w:r>
            <w:r>
              <w:rPr>
                <w:rFonts w:hint="eastAsia" w:cs="Times New Roman"/>
                <w:color w:val="auto"/>
                <w:sz w:val="24"/>
                <w:highlight w:val="none"/>
                <w:lang w:val="en-US" w:eastAsia="zh-CN"/>
              </w:rPr>
              <w:t>。</w:t>
            </w:r>
            <w:r>
              <w:rPr>
                <w:rFonts w:hint="eastAsia" w:ascii="宋体" w:hAnsi="宋体" w:eastAsia="宋体" w:cs="宋体"/>
                <w:color w:val="auto"/>
                <w:sz w:val="24"/>
                <w:szCs w:val="24"/>
                <w:highlight w:val="none"/>
              </w:rPr>
              <w:t>本项目应加强</w:t>
            </w:r>
            <w:r>
              <w:rPr>
                <w:rFonts w:hint="eastAsia" w:ascii="宋体" w:hAnsi="宋体" w:eastAsia="宋体" w:cs="宋体"/>
                <w:color w:val="auto"/>
                <w:sz w:val="24"/>
                <w:szCs w:val="24"/>
                <w:highlight w:val="none"/>
                <w:lang w:eastAsia="zh-CN"/>
              </w:rPr>
              <w:t>防风抑尘网</w:t>
            </w:r>
            <w:r>
              <w:rPr>
                <w:rFonts w:hint="eastAsia" w:ascii="宋体" w:hAnsi="宋体" w:eastAsia="宋体" w:cs="宋体"/>
                <w:color w:val="auto"/>
                <w:sz w:val="24"/>
                <w:szCs w:val="24"/>
                <w:highlight w:val="none"/>
              </w:rPr>
              <w:t>的运行维护，制订巡检制度，采取上述措施后，可有效降低非正常工况的发生概率，降低对周边环境影响</w:t>
            </w:r>
            <w:r>
              <w:rPr>
                <w:rFonts w:hint="eastAsia" w:ascii="宋体" w:hAnsi="宋体" w:eastAsia="宋体" w:cs="宋体"/>
                <w:color w:val="auto"/>
                <w:sz w:val="24"/>
                <w:szCs w:val="24"/>
                <w:highlight w:val="none"/>
                <w:lang w:eastAsia="zh-CN"/>
              </w:rPr>
              <w:t>。</w:t>
            </w:r>
          </w:p>
          <w:p w14:paraId="42E3B4E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二、废水</w:t>
            </w:r>
          </w:p>
          <w:p w14:paraId="6EB55C69">
            <w:pPr>
              <w:keepNext w:val="0"/>
              <w:keepLines w:val="0"/>
              <w:pageBreakBefore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本项目用水主要为洒水降尘用水及员工生活用水。本项目洒水降尘用水主要去向为蒸发或者进入煤炭，故废水主要为生活污水和</w:t>
            </w:r>
            <w:r>
              <w:rPr>
                <w:rFonts w:hint="default" w:ascii="Times New Roman" w:hAnsi="Times New Roman" w:cs="Times New Roman"/>
                <w:color w:val="auto"/>
                <w:kern w:val="0"/>
                <w:sz w:val="24"/>
                <w:highlight w:val="none"/>
                <w:lang w:val="en-US" w:eastAsia="zh-CN"/>
              </w:rPr>
              <w:t>雨水。</w:t>
            </w:r>
          </w:p>
          <w:p w14:paraId="4F2BF8A3">
            <w:pPr>
              <w:keepNext w:val="0"/>
              <w:keepLines w:val="0"/>
              <w:pageBreakBefore w:val="0"/>
              <w:kinsoku/>
              <w:wordWrap/>
              <w:overflowPunct/>
              <w:topLinePunct w:val="0"/>
              <w:bidi w:val="0"/>
              <w:adjustRightInd/>
              <w:snapToGrid/>
              <w:spacing w:line="360" w:lineRule="auto"/>
              <w:ind w:firstLine="480" w:firstLineChars="200"/>
              <w:jc w:val="both"/>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1</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废水产生情况</w:t>
            </w:r>
          </w:p>
          <w:p w14:paraId="2AC17C8D">
            <w:pPr>
              <w:keepNext w:val="0"/>
              <w:keepLines w:val="0"/>
              <w:pageBreakBefore w:val="0"/>
              <w:kinsoku/>
              <w:wordWrap/>
              <w:overflowPunct/>
              <w:topLinePunct w:val="0"/>
              <w:bidi w:val="0"/>
              <w:adjustRightInd/>
              <w:snapToGrid/>
              <w:spacing w:line="360" w:lineRule="auto"/>
              <w:ind w:firstLine="480" w:firstLineChars="200"/>
              <w:jc w:val="both"/>
              <w:textAlignment w:val="auto"/>
              <w:rPr>
                <w:rFonts w:hint="default" w:ascii="Times New Roman" w:hAnsi="Times New Roman"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1）生活污水</w:t>
            </w:r>
          </w:p>
          <w:p w14:paraId="0FB0FB0F">
            <w:pPr>
              <w:keepNext w:val="0"/>
              <w:keepLines w:val="0"/>
              <w:pageBreakBefore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本项目职工人数为</w:t>
            </w:r>
            <w:r>
              <w:rPr>
                <w:rFonts w:hint="eastAsia" w:cs="Times New Roman"/>
                <w:color w:val="auto"/>
                <w:sz w:val="24"/>
                <w:szCs w:val="24"/>
                <w:highlight w:val="none"/>
                <w:lang w:val="en-US" w:eastAsia="zh-CN"/>
              </w:rPr>
              <w:t>9</w:t>
            </w:r>
            <w:r>
              <w:rPr>
                <w:rFonts w:hint="default" w:ascii="Times New Roman" w:hAnsi="Times New Roman" w:cs="Times New Roman"/>
                <w:color w:val="auto"/>
                <w:sz w:val="24"/>
                <w:szCs w:val="24"/>
                <w:highlight w:val="none"/>
                <w:lang w:val="en-US" w:eastAsia="zh-CN"/>
              </w:rPr>
              <w:t>人</w:t>
            </w:r>
            <w:r>
              <w:rPr>
                <w:rFonts w:hint="default" w:ascii="Times New Roman" w:hAnsi="Times New Roman" w:cs="Times New Roman"/>
                <w:color w:val="auto"/>
                <w:sz w:val="24"/>
                <w:szCs w:val="24"/>
                <w:highlight w:val="none"/>
              </w:rPr>
              <w:t>，年工作</w:t>
            </w:r>
            <w:r>
              <w:rPr>
                <w:rFonts w:hint="default" w:ascii="Times New Roman" w:hAnsi="Times New Roman" w:cs="Times New Roman"/>
                <w:color w:val="auto"/>
                <w:sz w:val="24"/>
                <w:szCs w:val="24"/>
                <w:highlight w:val="none"/>
                <w:lang w:val="en-US" w:eastAsia="zh-CN"/>
              </w:rPr>
              <w:t>300</w:t>
            </w:r>
            <w:r>
              <w:rPr>
                <w:rFonts w:hint="default" w:ascii="Times New Roman" w:hAnsi="Times New Roman" w:cs="Times New Roman"/>
                <w:color w:val="auto"/>
                <w:sz w:val="24"/>
                <w:szCs w:val="24"/>
                <w:highlight w:val="none"/>
              </w:rPr>
              <w:t>天，根据《黑龙江：用水定额》（DB23/T 727-2021），生活用水定额按80L/人•d计，则生活用水量为</w:t>
            </w:r>
            <w:r>
              <w:rPr>
                <w:rFonts w:hint="eastAsia" w:cs="Times New Roman"/>
                <w:color w:val="auto"/>
                <w:sz w:val="24"/>
                <w:szCs w:val="24"/>
                <w:highlight w:val="none"/>
                <w:lang w:val="en-US" w:eastAsia="zh-CN"/>
              </w:rPr>
              <w:t>0.72</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rPr>
              <w:t>/d（</w:t>
            </w:r>
            <w:r>
              <w:rPr>
                <w:rFonts w:hint="eastAsia" w:cs="Times New Roman"/>
                <w:color w:val="auto"/>
                <w:sz w:val="24"/>
                <w:szCs w:val="24"/>
                <w:highlight w:val="none"/>
                <w:lang w:val="en-US" w:eastAsia="zh-CN"/>
              </w:rPr>
              <w:t>216</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/a）。生活污水产生量按用水量80%计，总计</w:t>
            </w:r>
            <w:r>
              <w:rPr>
                <w:rFonts w:hint="eastAsia" w:cs="Times New Roman"/>
                <w:color w:val="auto"/>
                <w:sz w:val="24"/>
                <w:szCs w:val="24"/>
                <w:highlight w:val="none"/>
                <w:lang w:val="en-US" w:eastAsia="zh-CN"/>
              </w:rPr>
              <w:t>0.576</w:t>
            </w:r>
            <w:r>
              <w:rPr>
                <w:rFonts w:hint="default" w:ascii="Times New Roman" w:hAnsi="Times New Roman" w:cs="Times New Roman"/>
                <w:color w:val="auto"/>
                <w:sz w:val="24"/>
                <w:szCs w:val="24"/>
                <w:highlight w:val="none"/>
                <w:lang w:eastAsia="zh-CN"/>
              </w:rPr>
              <w:t>m</w:t>
            </w:r>
            <w:r>
              <w:rPr>
                <w:rFonts w:hint="default" w:ascii="Times New Roman" w:hAnsi="Times New Roman" w:cs="Times New Roman"/>
                <w:color w:val="auto"/>
                <w:sz w:val="24"/>
                <w:szCs w:val="24"/>
                <w:highlight w:val="none"/>
              </w:rPr>
              <w:t>³/d，即</w:t>
            </w:r>
            <w:r>
              <w:rPr>
                <w:rFonts w:hint="eastAsia" w:cs="Times New Roman"/>
                <w:color w:val="auto"/>
                <w:sz w:val="24"/>
                <w:szCs w:val="24"/>
                <w:highlight w:val="none"/>
                <w:lang w:val="en-US" w:eastAsia="zh-CN"/>
              </w:rPr>
              <w:t>172.8</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rPr>
              <w:t>³/a，</w:t>
            </w:r>
            <w:r>
              <w:rPr>
                <w:rFonts w:hint="default" w:ascii="Times New Roman" w:hAnsi="Times New Roman" w:cs="Times New Roman"/>
                <w:color w:val="auto"/>
                <w:sz w:val="24"/>
                <w:szCs w:val="24"/>
                <w:highlight w:val="none"/>
                <w:lang w:val="en-US" w:eastAsia="zh-CN"/>
              </w:rPr>
              <w:t>排入防渗旱厕，定期清掏，</w:t>
            </w:r>
            <w:r>
              <w:rPr>
                <w:rFonts w:hint="eastAsia" w:cs="Times New Roman"/>
                <w:color w:val="auto"/>
                <w:sz w:val="24"/>
                <w:szCs w:val="24"/>
                <w:highlight w:val="none"/>
                <w:lang w:val="en-US" w:eastAsia="zh-CN"/>
              </w:rPr>
              <w:t>外运堆肥</w:t>
            </w:r>
            <w:r>
              <w:rPr>
                <w:rFonts w:hint="default" w:ascii="Times New Roman" w:hAnsi="Times New Roman" w:cs="Times New Roman"/>
                <w:color w:val="auto"/>
                <w:sz w:val="24"/>
                <w:szCs w:val="24"/>
                <w:highlight w:val="none"/>
              </w:rPr>
              <w:t>。</w:t>
            </w:r>
          </w:p>
          <w:p w14:paraId="1C42DB14">
            <w:pPr>
              <w:pStyle w:val="85"/>
              <w:keepNext w:val="0"/>
              <w:keepLines w:val="0"/>
              <w:pageBreakBefore w:val="0"/>
              <w:widowControl w:val="0"/>
              <w:kinsoku/>
              <w:wordWrap/>
              <w:overflowPunct/>
              <w:topLinePunct w:val="0"/>
              <w:bidi w:val="0"/>
              <w:adjustRightInd/>
              <w:snapToGrid/>
              <w:spacing w:before="0" w:beforeLines="0" w:after="0" w:afterLines="0" w:line="360" w:lineRule="auto"/>
              <w:ind w:leftChars="0" w:firstLine="480" w:firstLineChars="200"/>
              <w:textAlignment w:val="auto"/>
              <w:rPr>
                <w:rFonts w:hint="default" w:ascii="Times New Roman" w:hAnsi="Times New Roman" w:eastAsia="宋体" w:cs="Times New Roman"/>
                <w:bCs/>
                <w:color w:val="auto"/>
                <w:sz w:val="24"/>
                <w:highlight w:val="none"/>
                <w:lang w:val="en-US" w:eastAsia="zh-CN"/>
              </w:rPr>
            </w:pP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）雨水</w:t>
            </w:r>
          </w:p>
          <w:p w14:paraId="66362E0C">
            <w:pPr>
              <w:pStyle w:val="85"/>
              <w:keepNext w:val="0"/>
              <w:keepLines w:val="0"/>
              <w:pageBreakBefore w:val="0"/>
              <w:widowControl w:val="0"/>
              <w:kinsoku/>
              <w:wordWrap/>
              <w:overflowPunct/>
              <w:topLinePunct w:val="0"/>
              <w:bidi w:val="0"/>
              <w:adjustRightInd/>
              <w:snapToGrid/>
              <w:spacing w:before="0" w:beforeLines="0" w:after="0" w:afterLines="0" w:line="360" w:lineRule="auto"/>
              <w:ind w:leftChars="0" w:firstLine="480" w:firstLineChars="200"/>
              <w:textAlignment w:val="auto"/>
              <w:rPr>
                <w:rFonts w:hint="default" w:ascii="Times New Roman" w:hAnsi="Times New Roman" w:cs="Times New Roman"/>
                <w:bCs/>
                <w:color w:val="auto"/>
                <w:highlight w:val="none"/>
              </w:rPr>
            </w:pPr>
            <w:r>
              <w:rPr>
                <w:rFonts w:hint="default" w:ascii="Times New Roman" w:hAnsi="Times New Roman" w:eastAsia="宋体" w:cs="Times New Roman"/>
                <w:bCs/>
                <w:color w:val="auto"/>
                <w:sz w:val="24"/>
                <w:highlight w:val="none"/>
                <w:lang w:val="en-US" w:eastAsia="zh-CN"/>
              </w:rPr>
              <w:t>以</w:t>
            </w:r>
            <w:r>
              <w:rPr>
                <w:rFonts w:hint="default" w:ascii="Times New Roman" w:hAnsi="Times New Roman" w:cs="Times New Roman"/>
                <w:bCs/>
                <w:color w:val="auto"/>
                <w:sz w:val="24"/>
                <w:highlight w:val="none"/>
                <w:lang w:val="en-US" w:eastAsia="zh-CN"/>
              </w:rPr>
              <w:t>厂区</w:t>
            </w:r>
            <w:r>
              <w:rPr>
                <w:rFonts w:hint="default" w:ascii="Times New Roman" w:hAnsi="Times New Roman" w:eastAsia="宋体" w:cs="Times New Roman"/>
                <w:bCs/>
                <w:color w:val="auto"/>
                <w:sz w:val="24"/>
                <w:highlight w:val="none"/>
                <w:lang w:val="en-US" w:eastAsia="zh-CN"/>
              </w:rPr>
              <w:t>面积</w:t>
            </w:r>
            <w:r>
              <w:rPr>
                <w:rFonts w:hint="eastAsia" w:cs="Times New Roman"/>
                <w:bCs/>
                <w:color w:val="auto"/>
                <w:sz w:val="24"/>
                <w:highlight w:val="none"/>
                <w:lang w:val="en-US" w:eastAsia="zh-CN"/>
              </w:rPr>
              <w:t>10558</w:t>
            </w:r>
            <w:r>
              <w:rPr>
                <w:rFonts w:hint="default" w:ascii="Times New Roman" w:hAnsi="Times New Roman" w:eastAsia="宋体" w:cs="Times New Roman"/>
                <w:bCs/>
                <w:color w:val="auto"/>
                <w:sz w:val="24"/>
                <w:highlight w:val="none"/>
                <w:lang w:val="en-US" w:eastAsia="zh-CN"/>
              </w:rPr>
              <w:t>m</w:t>
            </w:r>
            <w:r>
              <w:rPr>
                <w:rFonts w:hint="default" w:ascii="Times New Roman" w:hAnsi="Times New Roman" w:eastAsia="宋体" w:cs="Times New Roman"/>
                <w:bCs/>
                <w:color w:val="auto"/>
                <w:sz w:val="24"/>
                <w:highlight w:val="none"/>
                <w:vertAlign w:val="superscript"/>
                <w:lang w:val="en-US" w:eastAsia="zh-CN"/>
              </w:rPr>
              <w:t>2</w:t>
            </w:r>
            <w:r>
              <w:rPr>
                <w:rFonts w:hint="default" w:ascii="Times New Roman" w:hAnsi="Times New Roman" w:eastAsia="宋体" w:cs="Times New Roman"/>
                <w:bCs/>
                <w:color w:val="auto"/>
                <w:sz w:val="24"/>
                <w:highlight w:val="none"/>
                <w:lang w:val="en-US" w:eastAsia="zh-CN"/>
              </w:rPr>
              <w:t>计，厂区地面硬化，</w:t>
            </w:r>
            <w:r>
              <w:rPr>
                <w:rFonts w:hint="default" w:ascii="Times New Roman" w:hAnsi="Times New Roman" w:cs="Times New Roman"/>
                <w:bCs/>
                <w:color w:val="auto"/>
                <w:sz w:val="24"/>
                <w:highlight w:val="none"/>
                <w:lang w:val="en-US" w:eastAsia="zh-CN"/>
              </w:rPr>
              <w:t>厂区</w:t>
            </w:r>
            <w:r>
              <w:rPr>
                <w:rFonts w:hint="default" w:ascii="Times New Roman" w:hAnsi="Times New Roman" w:eastAsia="宋体" w:cs="Times New Roman"/>
                <w:bCs/>
                <w:color w:val="auto"/>
                <w:sz w:val="24"/>
                <w:highlight w:val="none"/>
                <w:lang w:val="en-US" w:eastAsia="zh-CN"/>
              </w:rPr>
              <w:t>四周设置雨水收集渠，收集</w:t>
            </w:r>
            <w:r>
              <w:rPr>
                <w:rFonts w:hint="default" w:ascii="Times New Roman" w:hAnsi="Times New Roman" w:cs="Times New Roman"/>
                <w:bCs/>
                <w:color w:val="auto"/>
                <w:sz w:val="24"/>
                <w:highlight w:val="none"/>
                <w:lang w:val="en-US" w:eastAsia="zh-CN"/>
              </w:rPr>
              <w:t>雨水</w:t>
            </w:r>
            <w:r>
              <w:rPr>
                <w:rFonts w:hint="default" w:ascii="Times New Roman" w:hAnsi="Times New Roman" w:eastAsia="宋体" w:cs="Times New Roman"/>
                <w:bCs/>
                <w:color w:val="auto"/>
                <w:sz w:val="24"/>
                <w:highlight w:val="none"/>
                <w:lang w:val="en-US" w:eastAsia="zh-CN"/>
              </w:rPr>
              <w:t>进入</w:t>
            </w:r>
            <w:r>
              <w:rPr>
                <w:rFonts w:hint="default" w:ascii="Times New Roman" w:hAnsi="Times New Roman" w:cs="Times New Roman"/>
                <w:bCs/>
                <w:color w:val="auto"/>
                <w:sz w:val="24"/>
                <w:highlight w:val="none"/>
                <w:lang w:val="en-US" w:eastAsia="zh-CN"/>
              </w:rPr>
              <w:t>雨水收集池</w:t>
            </w:r>
            <w:r>
              <w:rPr>
                <w:rFonts w:hint="default" w:ascii="Times New Roman" w:hAnsi="Times New Roman" w:eastAsia="宋体" w:cs="Times New Roman"/>
                <w:bCs/>
                <w:color w:val="auto"/>
                <w:sz w:val="24"/>
                <w:highlight w:val="none"/>
                <w:lang w:val="en-US" w:eastAsia="zh-CN"/>
              </w:rPr>
              <w:t>，经沉淀后用于洒水降尘。</w:t>
            </w:r>
          </w:p>
          <w:p w14:paraId="2B3EDFDA">
            <w:pPr>
              <w:pStyle w:val="85"/>
              <w:keepNext w:val="0"/>
              <w:keepLines w:val="0"/>
              <w:pageBreakBefore w:val="0"/>
              <w:kinsoku/>
              <w:wordWrap/>
              <w:overflowPunct/>
              <w:topLinePunct w:val="0"/>
              <w:bidi w:val="0"/>
              <w:adjustRightInd/>
              <w:snapToGrid/>
              <w:spacing w:before="0" w:beforeLines="0" w:after="0" w:afterLines="0" w:line="360" w:lineRule="auto"/>
              <w:ind w:firstLine="480"/>
              <w:textAlignment w:val="auto"/>
              <w:rPr>
                <w:rFonts w:hint="default" w:ascii="Times New Roman" w:hAnsi="Times New Roman" w:cs="Times New Roman"/>
                <w:bCs/>
                <w:color w:val="auto"/>
                <w:highlight w:val="none"/>
              </w:rPr>
            </w:pPr>
            <w:r>
              <w:rPr>
                <w:rFonts w:hint="default" w:ascii="Times New Roman" w:hAnsi="Times New Roman" w:cs="Times New Roman"/>
                <w:bCs/>
                <w:color w:val="auto"/>
                <w:sz w:val="24"/>
                <w:highlight w:val="none"/>
                <w:lang w:eastAsia="zh-CN"/>
              </w:rPr>
              <w:t>根据上文给排水计算可知</w:t>
            </w:r>
            <w:r>
              <w:rPr>
                <w:rFonts w:hint="default" w:ascii="Times New Roman" w:hAnsi="Times New Roman" w:eastAsia="宋体" w:cs="Times New Roman"/>
                <w:color w:val="auto"/>
                <w:sz w:val="24"/>
                <w:highlight w:val="none"/>
              </w:rPr>
              <w:t>，</w:t>
            </w:r>
            <w:r>
              <w:rPr>
                <w:rFonts w:hint="default" w:ascii="Times New Roman" w:hAnsi="Times New Roman" w:cs="Times New Roman"/>
                <w:bCs/>
                <w:color w:val="auto"/>
                <w:sz w:val="24"/>
                <w:highlight w:val="none"/>
              </w:rPr>
              <w:t>目区暴雨强度为</w:t>
            </w:r>
            <w:r>
              <w:rPr>
                <w:rFonts w:hint="default" w:ascii="Times New Roman" w:hAnsi="Times New Roman" w:cs="Times New Roman"/>
                <w:color w:val="auto"/>
                <w:sz w:val="24"/>
                <w:szCs w:val="24"/>
                <w:highlight w:val="none"/>
                <w:lang w:val="en-US" w:eastAsia="zh-CN"/>
              </w:rPr>
              <w:t>182.47</w:t>
            </w:r>
            <w:r>
              <w:rPr>
                <w:rFonts w:hint="default" w:ascii="Times New Roman" w:hAnsi="Times New Roman" w:cs="Times New Roman"/>
                <w:bCs/>
                <w:color w:val="auto"/>
                <w:sz w:val="24"/>
                <w:highlight w:val="none"/>
              </w:rPr>
              <w:t>L/s.hm</w:t>
            </w:r>
            <w:r>
              <w:rPr>
                <w:rFonts w:hint="default" w:ascii="Times New Roman" w:hAnsi="Times New Roman" w:cs="Times New Roman"/>
                <w:bCs/>
                <w:color w:val="auto"/>
                <w:sz w:val="24"/>
                <w:highlight w:val="none"/>
                <w:vertAlign w:val="superscript"/>
              </w:rPr>
              <w:t>2</w:t>
            </w:r>
            <w:r>
              <w:rPr>
                <w:rFonts w:hint="default" w:ascii="Times New Roman" w:hAnsi="Times New Roman" w:cs="Times New Roman"/>
                <w:bCs/>
                <w:color w:val="auto"/>
                <w:sz w:val="24"/>
                <w:highlight w:val="none"/>
              </w:rPr>
              <w:t>，雨水流量为</w:t>
            </w:r>
            <w:r>
              <w:rPr>
                <w:rFonts w:hint="eastAsia" w:cs="Times New Roman"/>
                <w:color w:val="auto"/>
                <w:sz w:val="24"/>
                <w:highlight w:val="none"/>
                <w:lang w:val="en-US" w:eastAsia="zh-CN"/>
              </w:rPr>
              <w:t>173.39</w:t>
            </w:r>
            <w:r>
              <w:rPr>
                <w:rFonts w:hint="default" w:ascii="Times New Roman" w:hAnsi="Times New Roman" w:eastAsia="宋体" w:cs="Times New Roman"/>
                <w:color w:val="auto"/>
                <w:sz w:val="24"/>
                <w:highlight w:val="none"/>
              </w:rPr>
              <w:t>L/s</w:t>
            </w:r>
            <w:r>
              <w:rPr>
                <w:rFonts w:hint="default" w:ascii="Times New Roman" w:hAnsi="Times New Roman" w:eastAsia="宋体" w:cs="Times New Roman"/>
                <w:color w:val="auto"/>
                <w:sz w:val="24"/>
                <w:highlight w:val="none"/>
                <w:lang w:eastAsia="zh-CN"/>
              </w:rPr>
              <w:t>，雨水</w:t>
            </w:r>
            <w:r>
              <w:rPr>
                <w:rFonts w:hint="default" w:ascii="Times New Roman" w:hAnsi="Times New Roman" w:eastAsia="宋体" w:cs="Times New Roman"/>
                <w:color w:val="auto"/>
                <w:sz w:val="24"/>
                <w:highlight w:val="none"/>
              </w:rPr>
              <w:t>15min汇水量为</w:t>
            </w:r>
            <w:r>
              <w:rPr>
                <w:rFonts w:hint="eastAsia" w:cs="Times New Roman"/>
                <w:color w:val="auto"/>
                <w:sz w:val="24"/>
                <w:highlight w:val="none"/>
                <w:lang w:val="en-US" w:eastAsia="zh-CN"/>
              </w:rPr>
              <w:t>156.05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cs="Times New Roman"/>
                <w:bCs/>
                <w:color w:val="auto"/>
                <w:sz w:val="24"/>
                <w:highlight w:val="none"/>
              </w:rPr>
              <w:t>暴雨天数按5次/年计算，每年最大雨水量为</w:t>
            </w:r>
            <w:r>
              <w:rPr>
                <w:rFonts w:hint="eastAsia" w:cs="Times New Roman"/>
                <w:bCs/>
                <w:color w:val="auto"/>
                <w:sz w:val="24"/>
                <w:highlight w:val="none"/>
                <w:lang w:val="en-US" w:eastAsia="zh-CN"/>
              </w:rPr>
              <w:t>780.25</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w:t>
            </w:r>
            <w:r>
              <w:rPr>
                <w:rFonts w:hint="default" w:ascii="Times New Roman" w:hAnsi="Times New Roman" w:cs="Times New Roman"/>
                <w:bCs/>
                <w:color w:val="auto"/>
                <w:sz w:val="24"/>
                <w:highlight w:val="none"/>
                <w:lang w:eastAsia="zh-CN"/>
              </w:rPr>
              <w:t>夏季</w:t>
            </w:r>
            <w:r>
              <w:rPr>
                <w:rFonts w:hint="default" w:ascii="Times New Roman" w:hAnsi="Times New Roman" w:cs="Times New Roman"/>
                <w:bCs/>
                <w:color w:val="auto"/>
                <w:sz w:val="24"/>
                <w:highlight w:val="none"/>
                <w:lang w:val="en-US" w:eastAsia="zh-CN"/>
              </w:rPr>
              <w:t>185天。</w:t>
            </w:r>
            <w:r>
              <w:rPr>
                <w:rFonts w:hint="default" w:ascii="Times New Roman" w:hAnsi="Times New Roman" w:cs="Times New Roman"/>
                <w:bCs/>
                <w:color w:val="auto"/>
                <w:sz w:val="24"/>
                <w:highlight w:val="none"/>
              </w:rPr>
              <w:t>本项目设有容积为</w:t>
            </w:r>
            <w:r>
              <w:rPr>
                <w:rFonts w:hint="eastAsia" w:cs="Times New Roman"/>
                <w:bCs/>
                <w:color w:val="auto"/>
                <w:sz w:val="24"/>
                <w:highlight w:val="none"/>
                <w:lang w:val="en-US" w:eastAsia="zh-CN"/>
              </w:rPr>
              <w:t>180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的</w:t>
            </w:r>
            <w:r>
              <w:rPr>
                <w:rFonts w:hint="default" w:ascii="Times New Roman" w:hAnsi="Times New Roman" w:cs="Times New Roman"/>
                <w:bCs/>
                <w:color w:val="auto"/>
                <w:sz w:val="24"/>
                <w:highlight w:val="none"/>
                <w:lang w:eastAsia="zh-CN"/>
              </w:rPr>
              <w:t>雨水收集池</w:t>
            </w:r>
            <w:r>
              <w:rPr>
                <w:rFonts w:hint="default" w:ascii="Times New Roman" w:hAnsi="Times New Roman" w:cs="Times New Roman"/>
                <w:bCs/>
                <w:color w:val="auto"/>
                <w:sz w:val="24"/>
                <w:highlight w:val="none"/>
              </w:rPr>
              <w:t>，可以容纳暴雨天的</w:t>
            </w:r>
            <w:r>
              <w:rPr>
                <w:rFonts w:hint="default" w:ascii="Times New Roman" w:hAnsi="Times New Roman" w:cs="Times New Roman"/>
                <w:bCs/>
                <w:color w:val="auto"/>
                <w:sz w:val="24"/>
                <w:highlight w:val="none"/>
                <w:lang w:eastAsia="zh-CN"/>
              </w:rPr>
              <w:t>雨水</w:t>
            </w:r>
            <w:r>
              <w:rPr>
                <w:rFonts w:hint="default" w:ascii="Times New Roman" w:hAnsi="Times New Roman" w:cs="Times New Roman"/>
                <w:bCs/>
                <w:color w:val="auto"/>
                <w:sz w:val="24"/>
                <w:highlight w:val="none"/>
              </w:rPr>
              <w:t>，储存量设置符合项目需求。</w:t>
            </w:r>
          </w:p>
          <w:p w14:paraId="29368F77">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eastAsia="宋体" w:cs="Times New Roman"/>
                <w:color w:val="auto"/>
                <w:kern w:val="0"/>
                <w:sz w:val="24"/>
                <w:highlight w:val="none"/>
                <w:lang w:eastAsia="zh-CN"/>
              </w:rPr>
            </w:pP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2</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废水治理措施</w:t>
            </w:r>
            <w:r>
              <w:rPr>
                <w:rFonts w:hint="default" w:ascii="Times New Roman" w:hAnsi="Times New Roman" w:cs="Times New Roman"/>
                <w:color w:val="auto"/>
                <w:kern w:val="0"/>
                <w:sz w:val="24"/>
                <w:highlight w:val="none"/>
                <w:lang w:eastAsia="zh-CN"/>
              </w:rPr>
              <w:t>可行性分析</w:t>
            </w:r>
          </w:p>
          <w:p w14:paraId="5D7F233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cs="Times New Roman"/>
                <w:bCs/>
                <w:color w:val="auto"/>
                <w:kern w:val="0"/>
                <w:sz w:val="24"/>
                <w:szCs w:val="20"/>
                <w:highlight w:val="none"/>
              </w:rPr>
            </w:pPr>
            <w:r>
              <w:rPr>
                <w:rFonts w:hint="default" w:ascii="Times New Roman" w:hAnsi="Times New Roman" w:cs="Times New Roman"/>
                <w:bCs/>
                <w:color w:val="auto"/>
                <w:kern w:val="0"/>
                <w:sz w:val="24"/>
                <w:szCs w:val="20"/>
                <w:highlight w:val="none"/>
              </w:rPr>
              <w:t>本项目员工</w:t>
            </w:r>
            <w:r>
              <w:rPr>
                <w:rFonts w:hint="eastAsia" w:cs="Times New Roman"/>
                <w:bCs/>
                <w:color w:val="auto"/>
                <w:kern w:val="0"/>
                <w:sz w:val="24"/>
                <w:szCs w:val="20"/>
                <w:highlight w:val="none"/>
                <w:lang w:val="en-US" w:eastAsia="zh-CN"/>
              </w:rPr>
              <w:t>9</w:t>
            </w:r>
            <w:r>
              <w:rPr>
                <w:rFonts w:hint="default" w:ascii="Times New Roman" w:hAnsi="Times New Roman" w:cs="Times New Roman"/>
                <w:bCs/>
                <w:color w:val="auto"/>
                <w:kern w:val="0"/>
                <w:sz w:val="24"/>
                <w:szCs w:val="20"/>
                <w:highlight w:val="none"/>
                <w:lang w:val="en-US" w:eastAsia="zh-CN"/>
              </w:rPr>
              <w:t>人</w:t>
            </w:r>
            <w:r>
              <w:rPr>
                <w:rFonts w:hint="default" w:ascii="Times New Roman" w:hAnsi="Times New Roman" w:cs="Times New Roman"/>
                <w:bCs/>
                <w:color w:val="auto"/>
                <w:kern w:val="0"/>
                <w:sz w:val="24"/>
                <w:szCs w:val="20"/>
                <w:highlight w:val="none"/>
              </w:rPr>
              <w:t>，</w:t>
            </w:r>
            <w:r>
              <w:rPr>
                <w:rFonts w:hint="default" w:ascii="Times New Roman" w:hAnsi="Times New Roman" w:cs="Times New Roman"/>
                <w:bCs/>
                <w:color w:val="auto"/>
                <w:kern w:val="0"/>
                <w:sz w:val="24"/>
                <w:szCs w:val="20"/>
                <w:highlight w:val="none"/>
                <w:lang w:eastAsia="zh-CN"/>
              </w:rPr>
              <w:t>生活污水排入防渗旱厕，定期清掏，</w:t>
            </w:r>
            <w:r>
              <w:rPr>
                <w:rFonts w:hint="eastAsia" w:cs="Times New Roman"/>
                <w:bCs/>
                <w:color w:val="auto"/>
                <w:kern w:val="0"/>
                <w:sz w:val="24"/>
                <w:szCs w:val="20"/>
                <w:highlight w:val="none"/>
                <w:lang w:eastAsia="zh-CN"/>
              </w:rPr>
              <w:t>外运堆肥</w:t>
            </w:r>
            <w:r>
              <w:rPr>
                <w:rFonts w:hint="default" w:ascii="Times New Roman" w:hAnsi="Times New Roman" w:cs="Times New Roman"/>
                <w:bCs/>
                <w:color w:val="auto"/>
                <w:kern w:val="0"/>
                <w:sz w:val="24"/>
                <w:szCs w:val="20"/>
                <w:highlight w:val="none"/>
              </w:rPr>
              <w:t>。</w:t>
            </w: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eastAsia="zh-CN"/>
              </w:rPr>
              <w:t>煤场</w:t>
            </w:r>
            <w:r>
              <w:rPr>
                <w:rFonts w:hint="default" w:ascii="Times New Roman" w:hAnsi="Times New Roman" w:eastAsia="宋体" w:cs="Times New Roman"/>
                <w:color w:val="auto"/>
                <w:sz w:val="24"/>
                <w:highlight w:val="none"/>
              </w:rPr>
              <w:t>四周设置雨水收集渠，收集</w:t>
            </w:r>
            <w:r>
              <w:rPr>
                <w:rFonts w:hint="default" w:ascii="Times New Roman" w:hAnsi="Times New Roman" w:cs="Times New Roman"/>
                <w:color w:val="auto"/>
                <w:sz w:val="24"/>
                <w:highlight w:val="none"/>
                <w:lang w:eastAsia="zh-CN"/>
              </w:rPr>
              <w:t>到</w:t>
            </w:r>
            <w:r>
              <w:rPr>
                <w:rFonts w:hint="default" w:ascii="Times New Roman" w:hAnsi="Times New Roman" w:eastAsia="宋体" w:cs="Times New Roman"/>
                <w:color w:val="auto"/>
                <w:sz w:val="24"/>
                <w:highlight w:val="none"/>
              </w:rPr>
              <w:t>雨水</w:t>
            </w:r>
            <w:r>
              <w:rPr>
                <w:rFonts w:hint="default" w:ascii="Times New Roman" w:hAnsi="Times New Roman" w:cs="Times New Roman"/>
                <w:color w:val="auto"/>
                <w:sz w:val="24"/>
                <w:highlight w:val="none"/>
                <w:lang w:eastAsia="zh-CN"/>
              </w:rPr>
              <w:t>收集</w:t>
            </w:r>
            <w:r>
              <w:rPr>
                <w:rFonts w:hint="default" w:ascii="Times New Roman" w:hAnsi="Times New Roman" w:eastAsia="宋体" w:cs="Times New Roman"/>
                <w:color w:val="auto"/>
                <w:sz w:val="24"/>
                <w:highlight w:val="none"/>
              </w:rPr>
              <w:t>池，经沉淀处理后</w:t>
            </w:r>
            <w:r>
              <w:rPr>
                <w:rFonts w:hint="default" w:ascii="Times New Roman" w:hAnsi="Times New Roman" w:eastAsia="宋体" w:cs="Times New Roman"/>
                <w:color w:val="auto"/>
                <w:sz w:val="24"/>
                <w:highlight w:val="none"/>
                <w:lang w:eastAsia="zh-CN"/>
              </w:rPr>
              <w:t>用于厂区洒水降尘</w:t>
            </w:r>
            <w:r>
              <w:rPr>
                <w:rFonts w:hint="default" w:ascii="Times New Roman" w:hAnsi="Times New Roman" w:eastAsia="宋体" w:cs="Times New Roman"/>
                <w:color w:val="auto"/>
                <w:sz w:val="24"/>
                <w:highlight w:val="none"/>
              </w:rPr>
              <w:t>。防止雨水溢流污染周围环境。厂区雨水中污染物主要为厂区地面因沉降、洒落等粉尘，不含有毒有害物质，经收集后可以回用于</w:t>
            </w:r>
            <w:r>
              <w:rPr>
                <w:rFonts w:hint="default" w:ascii="Times New Roman" w:hAnsi="Times New Roman" w:eastAsia="宋体" w:cs="Times New Roman"/>
                <w:color w:val="auto"/>
                <w:sz w:val="24"/>
                <w:highlight w:val="none"/>
                <w:lang w:eastAsia="zh-CN"/>
              </w:rPr>
              <w:t>降尘</w:t>
            </w:r>
            <w:r>
              <w:rPr>
                <w:rFonts w:hint="default" w:ascii="Times New Roman" w:hAnsi="Times New Roman" w:eastAsia="宋体" w:cs="Times New Roman"/>
                <w:color w:val="auto"/>
                <w:sz w:val="24"/>
                <w:highlight w:val="none"/>
              </w:rPr>
              <w:t>，废水利用措施合理且可行。</w:t>
            </w:r>
            <w:r>
              <w:rPr>
                <w:rFonts w:hint="default" w:ascii="Times New Roman" w:hAnsi="Times New Roman" w:cs="Times New Roman"/>
                <w:bCs/>
                <w:color w:val="auto"/>
                <w:kern w:val="0"/>
                <w:sz w:val="24"/>
                <w:szCs w:val="20"/>
                <w:highlight w:val="none"/>
                <w:lang w:eastAsia="zh-CN"/>
              </w:rPr>
              <w:t>本项目运营过程中产生的废水能够很好处理，不会污染周边地表水环境，</w:t>
            </w:r>
            <w:r>
              <w:rPr>
                <w:rFonts w:hint="default" w:ascii="Times New Roman" w:hAnsi="Times New Roman" w:cs="Times New Roman"/>
                <w:bCs/>
                <w:color w:val="auto"/>
                <w:kern w:val="0"/>
                <w:sz w:val="24"/>
                <w:szCs w:val="20"/>
                <w:highlight w:val="none"/>
              </w:rPr>
              <w:t>故</w:t>
            </w:r>
            <w:r>
              <w:rPr>
                <w:rFonts w:hint="default" w:ascii="Times New Roman" w:hAnsi="Times New Roman" w:cs="Times New Roman"/>
                <w:bCs/>
                <w:color w:val="auto"/>
                <w:kern w:val="0"/>
                <w:sz w:val="24"/>
                <w:szCs w:val="20"/>
                <w:highlight w:val="none"/>
                <w:lang w:eastAsia="zh-CN"/>
              </w:rPr>
              <w:t>本</w:t>
            </w:r>
            <w:r>
              <w:rPr>
                <w:rFonts w:hint="default" w:ascii="Times New Roman" w:hAnsi="Times New Roman" w:cs="Times New Roman"/>
                <w:bCs/>
                <w:color w:val="auto"/>
                <w:kern w:val="0"/>
                <w:sz w:val="24"/>
                <w:szCs w:val="20"/>
                <w:highlight w:val="none"/>
              </w:rPr>
              <w:t>项目废水处理措施可行</w:t>
            </w:r>
            <w:r>
              <w:rPr>
                <w:rFonts w:hint="default" w:ascii="Times New Roman" w:hAnsi="Times New Roman" w:cs="Times New Roman"/>
                <w:bCs/>
                <w:color w:val="auto"/>
                <w:kern w:val="0"/>
                <w:sz w:val="24"/>
                <w:szCs w:val="20"/>
                <w:highlight w:val="none"/>
                <w:lang w:eastAsia="zh-CN"/>
              </w:rPr>
              <w:t>的</w:t>
            </w:r>
            <w:r>
              <w:rPr>
                <w:rFonts w:hint="default" w:ascii="Times New Roman" w:hAnsi="Times New Roman" w:cs="Times New Roman"/>
                <w:bCs/>
                <w:color w:val="auto"/>
                <w:kern w:val="0"/>
                <w:sz w:val="24"/>
                <w:szCs w:val="20"/>
                <w:highlight w:val="none"/>
              </w:rPr>
              <w:t>。</w:t>
            </w:r>
          </w:p>
          <w:p w14:paraId="5794579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3、评价结论</w:t>
            </w:r>
          </w:p>
          <w:p w14:paraId="70BDFE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color w:val="auto"/>
                <w:sz w:val="24"/>
                <w:szCs w:val="24"/>
              </w:rPr>
              <w:t>综上所述，本项目</w:t>
            </w:r>
            <w:r>
              <w:rPr>
                <w:rFonts w:hint="eastAsia" w:cs="Times New Roman"/>
                <w:color w:val="auto"/>
                <w:sz w:val="24"/>
                <w:szCs w:val="24"/>
                <w:lang w:eastAsia="zh-CN"/>
              </w:rPr>
              <w:t>雨水</w:t>
            </w:r>
            <w:r>
              <w:rPr>
                <w:rFonts w:hint="default" w:ascii="Times New Roman" w:hAnsi="Times New Roman" w:eastAsia="宋体" w:cs="Times New Roman"/>
                <w:color w:val="auto"/>
                <w:sz w:val="24"/>
                <w:szCs w:val="24"/>
              </w:rPr>
              <w:t>全部回用不外排，</w:t>
            </w:r>
            <w:r>
              <w:rPr>
                <w:rFonts w:hint="eastAsia" w:cs="Times New Roman"/>
                <w:color w:val="auto"/>
                <w:sz w:val="24"/>
                <w:szCs w:val="24"/>
                <w:lang w:eastAsia="zh-CN"/>
              </w:rPr>
              <w:t>生活污水排入防渗旱厕，定期清掏外运，不外排。</w:t>
            </w:r>
            <w:r>
              <w:rPr>
                <w:rFonts w:hint="default" w:ascii="Times New Roman" w:hAnsi="Times New Roman" w:eastAsia="宋体" w:cs="Times New Roman"/>
                <w:color w:val="auto"/>
                <w:sz w:val="24"/>
                <w:szCs w:val="24"/>
              </w:rPr>
              <w:t>本项目运行期间不会对周围地表水环境造成影响，废水处理、利用措施合理且可行。</w:t>
            </w:r>
          </w:p>
          <w:p w14:paraId="7379E1A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三、噪声</w:t>
            </w:r>
          </w:p>
          <w:p w14:paraId="36BBDB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1、噪声源</w:t>
            </w:r>
            <w:r>
              <w:rPr>
                <w:rFonts w:hint="eastAsia" w:cs="Times New Roman"/>
                <w:color w:val="auto"/>
                <w:sz w:val="24"/>
                <w:szCs w:val="24"/>
                <w:lang w:eastAsia="zh-CN"/>
              </w:rPr>
              <w:t>统计</w:t>
            </w:r>
          </w:p>
          <w:p w14:paraId="11E7A904">
            <w:pPr>
              <w:pStyle w:val="37"/>
              <w:adjustRightInd/>
              <w:spacing w:line="360" w:lineRule="auto"/>
              <w:ind w:firstLine="480" w:firstLineChars="200"/>
              <w:jc w:val="both"/>
              <w:outlineLvl w:val="9"/>
              <w:rPr>
                <w:rFonts w:ascii="Times New Roman" w:hAnsi="Times New Roman"/>
                <w:color w:val="auto"/>
                <w:szCs w:val="24"/>
              </w:rPr>
            </w:pPr>
            <w:r>
              <w:rPr>
                <w:rFonts w:hint="eastAsia" w:ascii="Times New Roman" w:hAnsi="Times New Roman"/>
                <w:color w:val="auto"/>
                <w:szCs w:val="24"/>
              </w:rPr>
              <w:t>本项目营运期产生噪声主要生产设备为铲车等，各种噪声源强见表4-3。</w:t>
            </w:r>
            <w:r>
              <w:rPr>
                <w:rFonts w:ascii="Times New Roman" w:hAnsi="Times New Roman"/>
                <w:color w:val="auto"/>
                <w:szCs w:val="24"/>
              </w:rPr>
              <w:t>噪声源强统计结果见表4-</w:t>
            </w:r>
            <w:r>
              <w:rPr>
                <w:rFonts w:hint="eastAsia" w:ascii="Times New Roman" w:hAnsi="Times New Roman"/>
                <w:color w:val="auto"/>
                <w:szCs w:val="24"/>
                <w:lang w:val="en-US" w:eastAsia="zh-CN"/>
              </w:rPr>
              <w:t>5</w:t>
            </w:r>
            <w:r>
              <w:rPr>
                <w:rFonts w:ascii="Times New Roman" w:hAnsi="Times New Roman"/>
                <w:color w:val="auto"/>
                <w:szCs w:val="24"/>
              </w:rPr>
              <w:t>。</w:t>
            </w:r>
          </w:p>
          <w:p w14:paraId="5FD85095">
            <w:pPr>
              <w:pStyle w:val="69"/>
              <w:spacing w:line="240" w:lineRule="auto"/>
              <w:ind w:firstLine="422" w:firstLineChars="200"/>
              <w:jc w:val="center"/>
              <w:rPr>
                <w:rFonts w:hint="eastAsia" w:eastAsia="宋体" w:cs="Times New Roman"/>
                <w:b/>
                <w:bCs/>
                <w:color w:val="auto"/>
                <w:sz w:val="21"/>
                <w:szCs w:val="21"/>
                <w:lang w:val="en-US" w:eastAsia="zh-CN"/>
              </w:rPr>
            </w:pPr>
            <w:r>
              <w:rPr>
                <w:rFonts w:hint="default" w:ascii="Times New Roman" w:hAnsi="Times New Roman" w:eastAsia="宋体" w:cs="Times New Roman"/>
                <w:b/>
                <w:bCs/>
                <w:color w:val="auto"/>
                <w:kern w:val="21"/>
                <w:sz w:val="21"/>
                <w:szCs w:val="21"/>
              </w:rPr>
              <w:t>表4-</w:t>
            </w:r>
            <w:r>
              <w:rPr>
                <w:rFonts w:hint="eastAsia" w:eastAsia="宋体" w:cs="Times New Roman"/>
                <w:b/>
                <w:bCs/>
                <w:color w:val="auto"/>
                <w:kern w:val="21"/>
                <w:sz w:val="21"/>
                <w:szCs w:val="21"/>
                <w:lang w:val="en-US" w:eastAsia="zh-CN"/>
              </w:rPr>
              <w:t xml:space="preserve">5 </w:t>
            </w:r>
            <w:r>
              <w:rPr>
                <w:rFonts w:hint="default" w:ascii="Times New Roman" w:hAnsi="Times New Roman" w:eastAsia="宋体" w:cs="Times New Roman"/>
                <w:b/>
                <w:bCs/>
                <w:color w:val="auto"/>
                <w:sz w:val="21"/>
                <w:szCs w:val="21"/>
              </w:rPr>
              <w:t>噪声污染源源强核算结果及相关参数一览表</w:t>
            </w:r>
            <w:r>
              <w:rPr>
                <w:rFonts w:hint="eastAsia" w:eastAsia="宋体" w:cs="Times New Roman"/>
                <w:b/>
                <w:bCs/>
                <w:color w:val="auto"/>
                <w:sz w:val="21"/>
                <w:szCs w:val="21"/>
                <w:lang w:val="en-US" w:eastAsia="zh-CN"/>
              </w:rPr>
              <w:t xml:space="preserve"> 原点：西南角</w:t>
            </w:r>
          </w:p>
          <w:tbl>
            <w:tblPr>
              <w:tblStyle w:val="3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03"/>
              <w:gridCol w:w="851"/>
              <w:gridCol w:w="884"/>
              <w:gridCol w:w="656"/>
              <w:gridCol w:w="1129"/>
              <w:gridCol w:w="1625"/>
              <w:gridCol w:w="1017"/>
              <w:gridCol w:w="656"/>
              <w:gridCol w:w="656"/>
            </w:tblGrid>
            <w:tr w14:paraId="1FA45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39" w:hRule="atLeast"/>
                <w:jc w:val="center"/>
              </w:trPr>
              <w:tc>
                <w:tcPr>
                  <w:tcW w:w="503" w:type="dxa"/>
                  <w:vMerge w:val="restart"/>
                  <w:tcBorders>
                    <w:tl2br w:val="nil"/>
                    <w:tr2bl w:val="nil"/>
                  </w:tcBorders>
                  <w:shd w:val="clear" w:color="auto" w:fill="auto"/>
                  <w:vAlign w:val="center"/>
                </w:tcPr>
                <w:p w14:paraId="204E8FE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b/>
                      <w:color w:val="auto"/>
                      <w:sz w:val="21"/>
                      <w:szCs w:val="21"/>
                      <w:highlight w:val="none"/>
                    </w:rPr>
                    <w:t>序号</w:t>
                  </w:r>
                </w:p>
              </w:tc>
              <w:tc>
                <w:tcPr>
                  <w:tcW w:w="851" w:type="dxa"/>
                  <w:vMerge w:val="restart"/>
                  <w:tcBorders>
                    <w:tl2br w:val="nil"/>
                    <w:tr2bl w:val="nil"/>
                  </w:tcBorders>
                  <w:shd w:val="clear" w:color="auto" w:fill="auto"/>
                  <w:vAlign w:val="center"/>
                </w:tcPr>
                <w:p w14:paraId="41F8F9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rPr>
                  </w:pPr>
                  <w:r>
                    <w:rPr>
                      <w:rFonts w:hint="eastAsia" w:cs="Times New Roman" w:eastAsiaTheme="minorEastAsia"/>
                      <w:b/>
                      <w:color w:val="auto"/>
                      <w:sz w:val="21"/>
                      <w:szCs w:val="21"/>
                      <w:highlight w:val="none"/>
                      <w:lang w:eastAsia="zh-CN"/>
                    </w:rPr>
                    <w:t>噪</w:t>
                  </w:r>
                  <w:r>
                    <w:rPr>
                      <w:rFonts w:hint="default" w:ascii="Times New Roman" w:hAnsi="Times New Roman" w:cs="Times New Roman" w:eastAsiaTheme="minorEastAsia"/>
                      <w:b/>
                      <w:color w:val="auto"/>
                      <w:sz w:val="21"/>
                      <w:szCs w:val="21"/>
                      <w:highlight w:val="none"/>
                    </w:rPr>
                    <w:t>声源名称</w:t>
                  </w:r>
                </w:p>
              </w:tc>
              <w:tc>
                <w:tcPr>
                  <w:tcW w:w="884" w:type="dxa"/>
                  <w:vMerge w:val="restart"/>
                  <w:tcBorders>
                    <w:tl2br w:val="nil"/>
                    <w:tr2bl w:val="nil"/>
                  </w:tcBorders>
                  <w:shd w:val="clear" w:color="auto" w:fill="auto"/>
                  <w:vAlign w:val="center"/>
                </w:tcPr>
                <w:p w14:paraId="237CCFB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cs="Times New Roman" w:eastAsiaTheme="minorEastAsia"/>
                      <w:b/>
                      <w:color w:val="auto"/>
                      <w:sz w:val="21"/>
                      <w:szCs w:val="21"/>
                      <w:highlight w:val="none"/>
                      <w:lang w:eastAsia="zh-CN"/>
                    </w:rPr>
                    <w:t>数量（台）</w:t>
                  </w:r>
                </w:p>
              </w:tc>
              <w:tc>
                <w:tcPr>
                  <w:tcW w:w="1785" w:type="dxa"/>
                  <w:gridSpan w:val="2"/>
                  <w:tcBorders>
                    <w:tl2br w:val="nil"/>
                    <w:tr2bl w:val="nil"/>
                  </w:tcBorders>
                  <w:shd w:val="clear" w:color="auto" w:fill="auto"/>
                  <w:vAlign w:val="center"/>
                </w:tcPr>
                <w:p w14:paraId="17295AD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b/>
                      <w:bCs/>
                      <w:color w:val="auto"/>
                      <w:sz w:val="21"/>
                      <w:szCs w:val="21"/>
                      <w:highlight w:val="none"/>
                      <w:lang w:eastAsia="zh-CN"/>
                    </w:rPr>
                  </w:pPr>
                  <w:r>
                    <w:rPr>
                      <w:rFonts w:hint="eastAsia" w:ascii="Times New Roman" w:hAnsi="Times New Roman" w:cs="Times New Roman" w:eastAsiaTheme="minorEastAsia"/>
                      <w:b/>
                      <w:bCs/>
                      <w:color w:val="auto"/>
                      <w:sz w:val="21"/>
                      <w:szCs w:val="21"/>
                      <w:highlight w:val="none"/>
                      <w:lang w:eastAsia="zh-CN"/>
                    </w:rPr>
                    <w:t>噪声源强</w:t>
                  </w:r>
                </w:p>
              </w:tc>
              <w:tc>
                <w:tcPr>
                  <w:tcW w:w="2642" w:type="dxa"/>
                  <w:gridSpan w:val="2"/>
                  <w:tcBorders>
                    <w:tl2br w:val="nil"/>
                    <w:tr2bl w:val="nil"/>
                  </w:tcBorders>
                  <w:shd w:val="clear" w:color="auto" w:fill="auto"/>
                  <w:vAlign w:val="center"/>
                </w:tcPr>
                <w:p w14:paraId="4D3D5B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color w:val="auto"/>
                      <w:sz w:val="21"/>
                      <w:szCs w:val="21"/>
                      <w:highlight w:val="none"/>
                    </w:rPr>
                  </w:pPr>
                  <w:r>
                    <w:rPr>
                      <w:rFonts w:hint="eastAsia" w:cs="Times New Roman" w:eastAsiaTheme="minorEastAsia"/>
                      <w:b/>
                      <w:bCs/>
                      <w:color w:val="auto"/>
                      <w:sz w:val="21"/>
                      <w:szCs w:val="21"/>
                      <w:highlight w:val="none"/>
                      <w:lang w:eastAsia="zh-CN"/>
                    </w:rPr>
                    <w:t>降噪</w:t>
                  </w:r>
                  <w:r>
                    <w:rPr>
                      <w:rFonts w:hint="default" w:ascii="Times New Roman" w:hAnsi="Times New Roman" w:cs="Times New Roman" w:eastAsiaTheme="minorEastAsia"/>
                      <w:b/>
                      <w:bCs/>
                      <w:color w:val="auto"/>
                      <w:sz w:val="21"/>
                      <w:szCs w:val="21"/>
                      <w:highlight w:val="none"/>
                    </w:rPr>
                    <w:t>措施</w:t>
                  </w:r>
                </w:p>
              </w:tc>
              <w:tc>
                <w:tcPr>
                  <w:tcW w:w="656" w:type="dxa"/>
                  <w:vMerge w:val="restart"/>
                  <w:tcBorders>
                    <w:tl2br w:val="nil"/>
                    <w:tr2bl w:val="nil"/>
                  </w:tcBorders>
                  <w:shd w:val="clear" w:color="auto" w:fill="auto"/>
                  <w:vAlign w:val="center"/>
                </w:tcPr>
                <w:p w14:paraId="4FBF6AC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b/>
                      <w:bCs/>
                      <w:color w:val="auto"/>
                      <w:sz w:val="21"/>
                      <w:szCs w:val="21"/>
                      <w:highlight w:val="none"/>
                      <w:lang w:eastAsia="zh-CN"/>
                    </w:rPr>
                  </w:pPr>
                  <w:r>
                    <w:rPr>
                      <w:rFonts w:hint="eastAsia" w:cs="Times New Roman" w:eastAsiaTheme="minorEastAsia"/>
                      <w:b/>
                      <w:bCs/>
                      <w:color w:val="auto"/>
                      <w:sz w:val="21"/>
                      <w:szCs w:val="21"/>
                      <w:highlight w:val="none"/>
                      <w:lang w:eastAsia="zh-CN"/>
                    </w:rPr>
                    <w:t>排放强度</w:t>
                  </w:r>
                </w:p>
              </w:tc>
              <w:tc>
                <w:tcPr>
                  <w:tcW w:w="656" w:type="dxa"/>
                  <w:vMerge w:val="restart"/>
                  <w:tcBorders>
                    <w:tl2br w:val="nil"/>
                    <w:tr2bl w:val="nil"/>
                  </w:tcBorders>
                  <w:shd w:val="clear" w:color="auto" w:fill="auto"/>
                  <w:vAlign w:val="center"/>
                </w:tcPr>
                <w:p w14:paraId="43D106E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color w:val="auto"/>
                      <w:sz w:val="21"/>
                      <w:szCs w:val="21"/>
                      <w:highlight w:val="none"/>
                      <w:lang w:eastAsia="zh-CN"/>
                    </w:rPr>
                  </w:pPr>
                  <w:r>
                    <w:rPr>
                      <w:rFonts w:hint="eastAsia" w:cs="Times New Roman" w:eastAsiaTheme="minorEastAsia"/>
                      <w:b/>
                      <w:color w:val="auto"/>
                      <w:sz w:val="21"/>
                      <w:szCs w:val="21"/>
                      <w:highlight w:val="none"/>
                      <w:lang w:eastAsia="zh-CN"/>
                    </w:rPr>
                    <w:t>持续时间</w:t>
                  </w:r>
                </w:p>
              </w:tc>
            </w:tr>
            <w:tr w14:paraId="5C5613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503" w:type="dxa"/>
                  <w:vMerge w:val="continue"/>
                  <w:tcBorders>
                    <w:tl2br w:val="nil"/>
                    <w:tr2bl w:val="nil"/>
                  </w:tcBorders>
                  <w:shd w:val="clear" w:color="auto" w:fill="auto"/>
                  <w:vAlign w:val="center"/>
                </w:tcPr>
                <w:p w14:paraId="2CB41A6B">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p>
              </w:tc>
              <w:tc>
                <w:tcPr>
                  <w:tcW w:w="851" w:type="dxa"/>
                  <w:vMerge w:val="continue"/>
                  <w:tcBorders>
                    <w:tl2br w:val="nil"/>
                    <w:tr2bl w:val="nil"/>
                  </w:tcBorders>
                  <w:shd w:val="clear" w:color="auto" w:fill="auto"/>
                  <w:vAlign w:val="center"/>
                </w:tcPr>
                <w:p w14:paraId="39E7588F">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p>
              </w:tc>
              <w:tc>
                <w:tcPr>
                  <w:tcW w:w="884" w:type="dxa"/>
                  <w:vMerge w:val="continue"/>
                  <w:tcBorders>
                    <w:tl2br w:val="nil"/>
                    <w:tr2bl w:val="nil"/>
                  </w:tcBorders>
                  <w:shd w:val="clear" w:color="auto" w:fill="auto"/>
                  <w:vAlign w:val="center"/>
                </w:tcPr>
                <w:p w14:paraId="2E6D3315">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p>
              </w:tc>
              <w:tc>
                <w:tcPr>
                  <w:tcW w:w="656" w:type="dxa"/>
                  <w:tcBorders>
                    <w:tl2br w:val="nil"/>
                    <w:tr2bl w:val="nil"/>
                  </w:tcBorders>
                  <w:shd w:val="clear" w:color="auto" w:fill="auto"/>
                  <w:vAlign w:val="center"/>
                </w:tcPr>
                <w:p w14:paraId="3FCA8FE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b/>
                      <w:bCs/>
                      <w:color w:val="auto"/>
                      <w:sz w:val="21"/>
                      <w:szCs w:val="21"/>
                      <w:highlight w:val="none"/>
                      <w:lang w:eastAsia="zh-CN"/>
                    </w:rPr>
                  </w:pPr>
                  <w:r>
                    <w:rPr>
                      <w:rFonts w:hint="eastAsia" w:ascii="Times New Roman" w:hAnsi="Times New Roman" w:cs="Times New Roman" w:eastAsiaTheme="minorEastAsia"/>
                      <w:b/>
                      <w:bCs/>
                      <w:color w:val="auto"/>
                      <w:sz w:val="21"/>
                      <w:szCs w:val="21"/>
                      <w:highlight w:val="none"/>
                      <w:lang w:eastAsia="zh-CN"/>
                    </w:rPr>
                    <w:t>核算方法</w:t>
                  </w:r>
                </w:p>
              </w:tc>
              <w:tc>
                <w:tcPr>
                  <w:tcW w:w="1129" w:type="dxa"/>
                  <w:tcBorders>
                    <w:tl2br w:val="nil"/>
                    <w:tr2bl w:val="nil"/>
                  </w:tcBorders>
                  <w:shd w:val="clear" w:color="auto" w:fill="auto"/>
                  <w:vAlign w:val="center"/>
                </w:tcPr>
                <w:p w14:paraId="3BFB08E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b/>
                      <w:bCs/>
                      <w:color w:val="auto"/>
                      <w:sz w:val="21"/>
                      <w:szCs w:val="21"/>
                      <w:highlight w:val="none"/>
                      <w:lang w:eastAsia="zh-CN"/>
                    </w:rPr>
                  </w:pPr>
                  <w:r>
                    <w:rPr>
                      <w:rFonts w:hint="eastAsia" w:ascii="Times New Roman" w:hAnsi="Times New Roman" w:cs="Times New Roman" w:eastAsiaTheme="minorEastAsia"/>
                      <w:b/>
                      <w:bCs/>
                      <w:color w:val="auto"/>
                      <w:sz w:val="21"/>
                      <w:szCs w:val="21"/>
                      <w:highlight w:val="none"/>
                      <w:lang w:eastAsia="zh-CN"/>
                    </w:rPr>
                    <w:t>产生强度</w:t>
                  </w:r>
                  <w:r>
                    <w:rPr>
                      <w:rFonts w:hint="default" w:ascii="Times New Roman" w:hAnsi="Times New Roman" w:cs="Times New Roman" w:eastAsiaTheme="minorEastAsia"/>
                      <w:b/>
                      <w:bCs/>
                      <w:color w:val="auto"/>
                      <w:sz w:val="21"/>
                      <w:szCs w:val="21"/>
                      <w:highlight w:val="none"/>
                    </w:rPr>
                    <w:t>/dB</w:t>
                  </w:r>
                  <w:r>
                    <w:rPr>
                      <w:rFonts w:hint="eastAsia" w:cs="Times New Roman" w:eastAsiaTheme="minorEastAsia"/>
                      <w:b/>
                      <w:bCs/>
                      <w:color w:val="auto"/>
                      <w:sz w:val="21"/>
                      <w:szCs w:val="21"/>
                      <w:highlight w:val="none"/>
                      <w:lang w:eastAsia="zh-CN"/>
                    </w:rPr>
                    <w:t>（</w:t>
                  </w:r>
                  <w:r>
                    <w:rPr>
                      <w:rFonts w:hint="default" w:ascii="Times New Roman" w:hAnsi="Times New Roman" w:cs="Times New Roman" w:eastAsiaTheme="minorEastAsia"/>
                      <w:b/>
                      <w:bCs/>
                      <w:color w:val="auto"/>
                      <w:sz w:val="21"/>
                      <w:szCs w:val="21"/>
                      <w:highlight w:val="none"/>
                    </w:rPr>
                    <w:t>A</w:t>
                  </w:r>
                  <w:r>
                    <w:rPr>
                      <w:rFonts w:hint="eastAsia" w:cs="Times New Roman" w:eastAsiaTheme="minorEastAsia"/>
                      <w:b/>
                      <w:bCs/>
                      <w:color w:val="auto"/>
                      <w:sz w:val="21"/>
                      <w:szCs w:val="21"/>
                      <w:highlight w:val="none"/>
                      <w:lang w:eastAsia="zh-CN"/>
                    </w:rPr>
                    <w:t>）</w:t>
                  </w:r>
                </w:p>
              </w:tc>
              <w:tc>
                <w:tcPr>
                  <w:tcW w:w="1625" w:type="dxa"/>
                  <w:tcBorders>
                    <w:tl2br w:val="nil"/>
                    <w:tr2bl w:val="nil"/>
                  </w:tcBorders>
                  <w:shd w:val="clear" w:color="auto" w:fill="auto"/>
                  <w:vAlign w:val="center"/>
                </w:tcPr>
                <w:p w14:paraId="31A80AD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b/>
                      <w:bCs/>
                      <w:color w:val="auto"/>
                      <w:sz w:val="21"/>
                      <w:szCs w:val="21"/>
                      <w:highlight w:val="none"/>
                      <w:lang w:eastAsia="zh-CN"/>
                    </w:rPr>
                  </w:pPr>
                  <w:r>
                    <w:rPr>
                      <w:rFonts w:hint="eastAsia" w:ascii="Times New Roman" w:hAnsi="Times New Roman" w:cs="Times New Roman" w:eastAsiaTheme="minorEastAsia"/>
                      <w:b/>
                      <w:bCs/>
                      <w:color w:val="auto"/>
                      <w:sz w:val="21"/>
                      <w:szCs w:val="21"/>
                      <w:highlight w:val="none"/>
                      <w:lang w:eastAsia="zh-CN"/>
                    </w:rPr>
                    <w:t>工艺</w:t>
                  </w:r>
                </w:p>
              </w:tc>
              <w:tc>
                <w:tcPr>
                  <w:tcW w:w="1017" w:type="dxa"/>
                  <w:tcBorders>
                    <w:tl2br w:val="nil"/>
                    <w:tr2bl w:val="nil"/>
                  </w:tcBorders>
                  <w:shd w:val="clear" w:color="auto" w:fill="auto"/>
                  <w:vAlign w:val="center"/>
                </w:tcPr>
                <w:p w14:paraId="74FC26F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b/>
                      <w:bCs/>
                      <w:color w:val="auto"/>
                      <w:sz w:val="21"/>
                      <w:szCs w:val="21"/>
                      <w:highlight w:val="none"/>
                      <w:lang w:eastAsia="zh-CN"/>
                    </w:rPr>
                  </w:pPr>
                  <w:r>
                    <w:rPr>
                      <w:rFonts w:hint="default" w:ascii="Times New Roman" w:hAnsi="Times New Roman" w:cs="Times New Roman" w:eastAsiaTheme="minorEastAsia"/>
                      <w:b/>
                      <w:bCs/>
                      <w:color w:val="auto"/>
                      <w:sz w:val="21"/>
                      <w:szCs w:val="21"/>
                      <w:highlight w:val="none"/>
                    </w:rPr>
                    <w:t>声源控制措施</w:t>
                  </w:r>
                </w:p>
              </w:tc>
              <w:tc>
                <w:tcPr>
                  <w:tcW w:w="656" w:type="dxa"/>
                  <w:vMerge w:val="continue"/>
                  <w:tcBorders>
                    <w:tl2br w:val="nil"/>
                    <w:tr2bl w:val="nil"/>
                  </w:tcBorders>
                  <w:shd w:val="clear" w:color="auto" w:fill="auto"/>
                  <w:vAlign w:val="center"/>
                </w:tcPr>
                <w:p w14:paraId="2DE72EF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b/>
                      <w:bCs/>
                      <w:color w:val="auto"/>
                      <w:sz w:val="21"/>
                      <w:szCs w:val="21"/>
                      <w:highlight w:val="none"/>
                      <w:lang w:eastAsia="zh-CN"/>
                    </w:rPr>
                  </w:pPr>
                </w:p>
              </w:tc>
              <w:tc>
                <w:tcPr>
                  <w:tcW w:w="656" w:type="dxa"/>
                  <w:vMerge w:val="continue"/>
                  <w:tcBorders>
                    <w:tl2br w:val="nil"/>
                    <w:tr2bl w:val="nil"/>
                  </w:tcBorders>
                  <w:shd w:val="clear" w:color="auto" w:fill="auto"/>
                  <w:vAlign w:val="center"/>
                </w:tcPr>
                <w:p w14:paraId="4999CDB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b/>
                      <w:bCs/>
                      <w:color w:val="auto"/>
                      <w:sz w:val="21"/>
                      <w:szCs w:val="21"/>
                      <w:highlight w:val="none"/>
                      <w:lang w:eastAsia="zh-CN"/>
                    </w:rPr>
                  </w:pPr>
                </w:p>
              </w:tc>
            </w:tr>
            <w:tr w14:paraId="59FC9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503" w:type="dxa"/>
                  <w:tcBorders>
                    <w:tl2br w:val="nil"/>
                    <w:tr2bl w:val="nil"/>
                  </w:tcBorders>
                  <w:shd w:val="clear" w:color="auto" w:fill="auto"/>
                  <w:vAlign w:val="center"/>
                </w:tcPr>
                <w:p w14:paraId="734AF78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1</w:t>
                  </w:r>
                </w:p>
              </w:tc>
              <w:tc>
                <w:tcPr>
                  <w:tcW w:w="851" w:type="dxa"/>
                  <w:tcBorders>
                    <w:tl2br w:val="nil"/>
                    <w:tr2bl w:val="nil"/>
                  </w:tcBorders>
                  <w:shd w:val="clear" w:color="auto" w:fill="auto"/>
                  <w:vAlign w:val="center"/>
                </w:tcPr>
                <w:p w14:paraId="47F570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铲车</w:t>
                  </w:r>
                </w:p>
              </w:tc>
              <w:tc>
                <w:tcPr>
                  <w:tcW w:w="884" w:type="dxa"/>
                  <w:tcBorders>
                    <w:tl2br w:val="nil"/>
                    <w:tr2bl w:val="nil"/>
                  </w:tcBorders>
                  <w:shd w:val="clear" w:color="auto" w:fill="auto"/>
                  <w:vAlign w:val="center"/>
                </w:tcPr>
                <w:p w14:paraId="29492F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3</w:t>
                  </w:r>
                </w:p>
              </w:tc>
              <w:tc>
                <w:tcPr>
                  <w:tcW w:w="656" w:type="dxa"/>
                  <w:vMerge w:val="restart"/>
                  <w:tcBorders>
                    <w:tl2br w:val="nil"/>
                    <w:tr2bl w:val="nil"/>
                  </w:tcBorders>
                  <w:shd w:val="clear" w:color="auto" w:fill="auto"/>
                  <w:vAlign w:val="center"/>
                </w:tcPr>
                <w:p w14:paraId="6B8D9D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eastAsia="zh-CN"/>
                    </w:rPr>
                  </w:pPr>
                  <w:r>
                    <w:rPr>
                      <w:rFonts w:hint="eastAsia" w:cs="Times New Roman" w:eastAsiaTheme="minorEastAsia"/>
                      <w:color w:val="auto"/>
                      <w:sz w:val="21"/>
                      <w:szCs w:val="21"/>
                      <w:highlight w:val="none"/>
                      <w:lang w:eastAsia="zh-CN"/>
                    </w:rPr>
                    <w:t>类比法</w:t>
                  </w:r>
                </w:p>
              </w:tc>
              <w:tc>
                <w:tcPr>
                  <w:tcW w:w="1129" w:type="dxa"/>
                  <w:tcBorders>
                    <w:tl2br w:val="nil"/>
                    <w:tr2bl w:val="nil"/>
                  </w:tcBorders>
                  <w:shd w:val="clear" w:color="auto" w:fill="auto"/>
                  <w:vAlign w:val="center"/>
                </w:tcPr>
                <w:p w14:paraId="7340A5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85</w:t>
                  </w:r>
                </w:p>
              </w:tc>
              <w:tc>
                <w:tcPr>
                  <w:tcW w:w="1625" w:type="dxa"/>
                  <w:vMerge w:val="restart"/>
                  <w:tcBorders>
                    <w:tl2br w:val="nil"/>
                    <w:tr2bl w:val="nil"/>
                  </w:tcBorders>
                  <w:shd w:val="clear" w:color="auto" w:fill="auto"/>
                  <w:vAlign w:val="center"/>
                </w:tcPr>
                <w:p w14:paraId="6B647E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rPr>
                  </w:pPr>
                  <w:r>
                    <w:rPr>
                      <w:rFonts w:hint="default" w:ascii="Times New Roman" w:hAnsi="Times New Roman" w:eastAsia="宋体" w:cs="Times New Roman"/>
                      <w:bCs/>
                      <w:snapToGrid w:val="0"/>
                      <w:color w:val="auto"/>
                      <w:kern w:val="0"/>
                      <w:szCs w:val="21"/>
                      <w:highlight w:val="none"/>
                    </w:rPr>
                    <w:t>低噪设备、</w:t>
                  </w:r>
                  <w:r>
                    <w:rPr>
                      <w:rFonts w:hint="default" w:ascii="Times New Roman" w:hAnsi="Times New Roman" w:eastAsia="宋体" w:cs="Times New Roman"/>
                      <w:bCs/>
                      <w:snapToGrid w:val="0"/>
                      <w:color w:val="auto"/>
                      <w:kern w:val="0"/>
                      <w:szCs w:val="21"/>
                      <w:highlight w:val="none"/>
                      <w:lang w:eastAsia="zh-CN"/>
                    </w:rPr>
                    <w:t>距离衰减、</w:t>
                  </w:r>
                  <w:r>
                    <w:rPr>
                      <w:rFonts w:hint="default" w:ascii="Times New Roman" w:hAnsi="Times New Roman" w:eastAsia="宋体" w:cs="Times New Roman"/>
                      <w:bCs/>
                      <w:snapToGrid w:val="0"/>
                      <w:color w:val="auto"/>
                      <w:kern w:val="0"/>
                      <w:szCs w:val="21"/>
                      <w:highlight w:val="none"/>
                    </w:rPr>
                    <w:t>夜间不作业</w:t>
                  </w:r>
                </w:p>
              </w:tc>
              <w:tc>
                <w:tcPr>
                  <w:tcW w:w="1017" w:type="dxa"/>
                  <w:vMerge w:val="restart"/>
                  <w:tcBorders>
                    <w:tl2br w:val="nil"/>
                    <w:tr2bl w:val="nil"/>
                  </w:tcBorders>
                  <w:shd w:val="clear" w:color="auto" w:fill="auto"/>
                  <w:vAlign w:val="center"/>
                </w:tcPr>
                <w:p w14:paraId="186B1B0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snapToGrid w:val="0"/>
                      <w:color w:val="auto"/>
                      <w:kern w:val="0"/>
                      <w:szCs w:val="21"/>
                      <w:highlight w:val="none"/>
                    </w:rPr>
                  </w:pPr>
                  <w:r>
                    <w:rPr>
                      <w:rFonts w:hint="eastAsia" w:ascii="Times New Roman" w:hAnsi="Times New Roman" w:eastAsia="宋体" w:cs="Times New Roman"/>
                      <w:bCs/>
                      <w:snapToGrid w:val="0"/>
                      <w:color w:val="auto"/>
                      <w:kern w:val="0"/>
                      <w:szCs w:val="21"/>
                      <w:highlight w:val="none"/>
                    </w:rPr>
                    <w:t>降低</w:t>
                  </w:r>
                  <w:r>
                    <w:rPr>
                      <w:rFonts w:hint="eastAsia" w:ascii="Times New Roman" w:hAnsi="Times New Roman" w:eastAsia="宋体" w:cs="Times New Roman"/>
                      <w:bCs/>
                      <w:snapToGrid w:val="0"/>
                      <w:color w:val="auto"/>
                      <w:kern w:val="0"/>
                      <w:szCs w:val="21"/>
                      <w:highlight w:val="none"/>
                      <w:lang w:val="en-US" w:eastAsia="zh-CN"/>
                    </w:rPr>
                    <w:t>1</w:t>
                  </w:r>
                  <w:r>
                    <w:rPr>
                      <w:rFonts w:hint="eastAsia" w:ascii="Times New Roman" w:hAnsi="Times New Roman" w:eastAsia="宋体" w:cs="Times New Roman"/>
                      <w:bCs/>
                      <w:snapToGrid w:val="0"/>
                      <w:color w:val="auto"/>
                      <w:kern w:val="0"/>
                      <w:szCs w:val="21"/>
                      <w:highlight w:val="none"/>
                    </w:rPr>
                    <w:t>0</w:t>
                  </w:r>
                </w:p>
                <w:p w14:paraId="1099E81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Cs/>
                      <w:snapToGrid w:val="0"/>
                      <w:color w:val="auto"/>
                      <w:kern w:val="0"/>
                      <w:szCs w:val="21"/>
                      <w:highlight w:val="none"/>
                      <w:lang w:eastAsia="zh-CN"/>
                    </w:rPr>
                  </w:pPr>
                  <w:r>
                    <w:rPr>
                      <w:rFonts w:hint="eastAsia" w:ascii="Times New Roman" w:hAnsi="Times New Roman" w:eastAsia="宋体" w:cs="Times New Roman"/>
                      <w:bCs/>
                      <w:snapToGrid w:val="0"/>
                      <w:color w:val="auto"/>
                      <w:kern w:val="0"/>
                      <w:szCs w:val="21"/>
                      <w:highlight w:val="none"/>
                    </w:rPr>
                    <w:t>dB</w:t>
                  </w:r>
                  <w:r>
                    <w:rPr>
                      <w:rFonts w:hint="eastAsia" w:cs="Times New Roman"/>
                      <w:bCs/>
                      <w:snapToGrid w:val="0"/>
                      <w:color w:val="auto"/>
                      <w:kern w:val="0"/>
                      <w:szCs w:val="21"/>
                      <w:highlight w:val="none"/>
                      <w:lang w:eastAsia="zh-CN"/>
                    </w:rPr>
                    <w:t>（</w:t>
                  </w:r>
                  <w:r>
                    <w:rPr>
                      <w:rFonts w:hint="eastAsia" w:ascii="Times New Roman" w:hAnsi="Times New Roman" w:eastAsia="宋体" w:cs="Times New Roman"/>
                      <w:bCs/>
                      <w:snapToGrid w:val="0"/>
                      <w:color w:val="auto"/>
                      <w:kern w:val="0"/>
                      <w:szCs w:val="21"/>
                      <w:highlight w:val="none"/>
                    </w:rPr>
                    <w:t>A</w:t>
                  </w:r>
                  <w:r>
                    <w:rPr>
                      <w:rFonts w:hint="eastAsia" w:cs="Times New Roman"/>
                      <w:bCs/>
                      <w:snapToGrid w:val="0"/>
                      <w:color w:val="auto"/>
                      <w:kern w:val="0"/>
                      <w:szCs w:val="21"/>
                      <w:highlight w:val="none"/>
                      <w:lang w:eastAsia="zh-CN"/>
                    </w:rPr>
                    <w:t>）</w:t>
                  </w:r>
                </w:p>
              </w:tc>
              <w:tc>
                <w:tcPr>
                  <w:tcW w:w="656" w:type="dxa"/>
                  <w:tcBorders>
                    <w:tl2br w:val="nil"/>
                    <w:tr2bl w:val="nil"/>
                  </w:tcBorders>
                  <w:shd w:val="clear" w:color="auto" w:fill="auto"/>
                  <w:vAlign w:val="center"/>
                </w:tcPr>
                <w:p w14:paraId="19D7F5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auto"/>
                      <w:kern w:val="0"/>
                      <w:szCs w:val="21"/>
                      <w:highlight w:val="none"/>
                      <w:lang w:val="en-US" w:eastAsia="zh-CN"/>
                    </w:rPr>
                  </w:pPr>
                  <w:r>
                    <w:rPr>
                      <w:rFonts w:hint="eastAsia" w:cs="Times New Roman"/>
                      <w:bCs/>
                      <w:snapToGrid w:val="0"/>
                      <w:color w:val="auto"/>
                      <w:kern w:val="0"/>
                      <w:szCs w:val="21"/>
                      <w:highlight w:val="none"/>
                      <w:lang w:val="en-US" w:eastAsia="zh-CN"/>
                    </w:rPr>
                    <w:t>75</w:t>
                  </w:r>
                </w:p>
              </w:tc>
              <w:tc>
                <w:tcPr>
                  <w:tcW w:w="656" w:type="dxa"/>
                  <w:vMerge w:val="restart"/>
                  <w:tcBorders>
                    <w:tl2br w:val="nil"/>
                    <w:tr2bl w:val="nil"/>
                  </w:tcBorders>
                  <w:shd w:val="clear" w:color="auto" w:fill="auto"/>
                  <w:vAlign w:val="center"/>
                </w:tcPr>
                <w:p w14:paraId="38009B1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昼间</w:t>
                  </w:r>
                </w:p>
              </w:tc>
            </w:tr>
            <w:tr w14:paraId="12FBC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503" w:type="dxa"/>
                  <w:tcBorders>
                    <w:tl2br w:val="nil"/>
                    <w:tr2bl w:val="nil"/>
                  </w:tcBorders>
                  <w:shd w:val="clear" w:color="auto" w:fill="auto"/>
                  <w:vAlign w:val="center"/>
                </w:tcPr>
                <w:p w14:paraId="64D7709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2</w:t>
                  </w:r>
                </w:p>
              </w:tc>
              <w:tc>
                <w:tcPr>
                  <w:tcW w:w="851" w:type="dxa"/>
                  <w:tcBorders>
                    <w:tl2br w:val="nil"/>
                    <w:tr2bl w:val="nil"/>
                  </w:tcBorders>
                  <w:shd w:val="clear" w:color="auto" w:fill="auto"/>
                  <w:vAlign w:val="center"/>
                </w:tcPr>
                <w:p w14:paraId="3A6EAE3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运输车</w:t>
                  </w:r>
                </w:p>
              </w:tc>
              <w:tc>
                <w:tcPr>
                  <w:tcW w:w="884" w:type="dxa"/>
                  <w:tcBorders>
                    <w:tl2br w:val="nil"/>
                    <w:tr2bl w:val="nil"/>
                  </w:tcBorders>
                  <w:shd w:val="clear" w:color="auto" w:fill="auto"/>
                  <w:vAlign w:val="center"/>
                </w:tcPr>
                <w:p w14:paraId="447E51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6</w:t>
                  </w:r>
                </w:p>
              </w:tc>
              <w:tc>
                <w:tcPr>
                  <w:tcW w:w="656" w:type="dxa"/>
                  <w:vMerge w:val="continue"/>
                  <w:tcBorders>
                    <w:tl2br w:val="nil"/>
                    <w:tr2bl w:val="nil"/>
                  </w:tcBorders>
                  <w:shd w:val="clear" w:color="auto" w:fill="auto"/>
                  <w:vAlign w:val="center"/>
                </w:tcPr>
                <w:p w14:paraId="291C6D1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129" w:type="dxa"/>
                  <w:tcBorders>
                    <w:tl2br w:val="nil"/>
                    <w:tr2bl w:val="nil"/>
                  </w:tcBorders>
                  <w:shd w:val="clear" w:color="auto" w:fill="auto"/>
                  <w:vAlign w:val="center"/>
                </w:tcPr>
                <w:p w14:paraId="575E2C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80</w:t>
                  </w:r>
                </w:p>
              </w:tc>
              <w:tc>
                <w:tcPr>
                  <w:tcW w:w="1625" w:type="dxa"/>
                  <w:vMerge w:val="continue"/>
                  <w:tcBorders>
                    <w:tl2br w:val="nil"/>
                    <w:tr2bl w:val="nil"/>
                  </w:tcBorders>
                  <w:shd w:val="clear" w:color="auto" w:fill="auto"/>
                  <w:vAlign w:val="center"/>
                </w:tcPr>
                <w:p w14:paraId="42C98E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auto"/>
                      <w:kern w:val="0"/>
                      <w:szCs w:val="21"/>
                      <w:highlight w:val="none"/>
                    </w:rPr>
                  </w:pPr>
                </w:p>
              </w:tc>
              <w:tc>
                <w:tcPr>
                  <w:tcW w:w="1017" w:type="dxa"/>
                  <w:vMerge w:val="continue"/>
                  <w:tcBorders>
                    <w:tl2br w:val="nil"/>
                    <w:tr2bl w:val="nil"/>
                  </w:tcBorders>
                  <w:shd w:val="clear" w:color="auto" w:fill="auto"/>
                  <w:vAlign w:val="center"/>
                </w:tcPr>
                <w:p w14:paraId="7DDFE9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auto"/>
                      <w:kern w:val="0"/>
                      <w:szCs w:val="21"/>
                      <w:highlight w:val="none"/>
                    </w:rPr>
                  </w:pPr>
                </w:p>
              </w:tc>
              <w:tc>
                <w:tcPr>
                  <w:tcW w:w="656" w:type="dxa"/>
                  <w:tcBorders>
                    <w:tl2br w:val="nil"/>
                    <w:tr2bl w:val="nil"/>
                  </w:tcBorders>
                  <w:shd w:val="clear" w:color="auto" w:fill="auto"/>
                  <w:vAlign w:val="center"/>
                </w:tcPr>
                <w:p w14:paraId="173012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auto"/>
                      <w:kern w:val="0"/>
                      <w:szCs w:val="21"/>
                      <w:highlight w:val="none"/>
                      <w:lang w:val="en-US" w:eastAsia="zh-CN"/>
                    </w:rPr>
                  </w:pPr>
                  <w:r>
                    <w:rPr>
                      <w:rFonts w:hint="eastAsia" w:cs="Times New Roman"/>
                      <w:bCs/>
                      <w:snapToGrid w:val="0"/>
                      <w:color w:val="auto"/>
                      <w:kern w:val="0"/>
                      <w:szCs w:val="21"/>
                      <w:highlight w:val="none"/>
                      <w:lang w:val="en-US" w:eastAsia="zh-CN"/>
                    </w:rPr>
                    <w:t>70</w:t>
                  </w:r>
                </w:p>
              </w:tc>
              <w:tc>
                <w:tcPr>
                  <w:tcW w:w="656" w:type="dxa"/>
                  <w:vMerge w:val="continue"/>
                  <w:tcBorders>
                    <w:tl2br w:val="nil"/>
                    <w:tr2bl w:val="nil"/>
                  </w:tcBorders>
                  <w:shd w:val="clear" w:color="auto" w:fill="auto"/>
                  <w:vAlign w:val="center"/>
                </w:tcPr>
                <w:p w14:paraId="2923A40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p>
              </w:tc>
            </w:tr>
            <w:tr w14:paraId="0948B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503" w:type="dxa"/>
                  <w:tcBorders>
                    <w:tl2br w:val="nil"/>
                    <w:tr2bl w:val="nil"/>
                  </w:tcBorders>
                  <w:shd w:val="clear" w:color="auto" w:fill="auto"/>
                  <w:vAlign w:val="center"/>
                </w:tcPr>
                <w:p w14:paraId="04F0FB6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3</w:t>
                  </w:r>
                </w:p>
              </w:tc>
              <w:tc>
                <w:tcPr>
                  <w:tcW w:w="851" w:type="dxa"/>
                  <w:tcBorders>
                    <w:tl2br w:val="nil"/>
                    <w:tr2bl w:val="nil"/>
                  </w:tcBorders>
                  <w:shd w:val="clear" w:color="auto" w:fill="auto"/>
                  <w:vAlign w:val="center"/>
                </w:tcPr>
                <w:p w14:paraId="543D949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eastAsia="zh-CN"/>
                    </w:rPr>
                  </w:pPr>
                  <w:r>
                    <w:rPr>
                      <w:rFonts w:hint="default" w:ascii="Times New Roman" w:hAnsi="Times New Roman" w:cs="Times New Roman" w:eastAsiaTheme="minorEastAsia"/>
                      <w:color w:val="auto"/>
                      <w:sz w:val="21"/>
                      <w:szCs w:val="21"/>
                      <w:highlight w:val="none"/>
                      <w:lang w:eastAsia="zh-CN"/>
                    </w:rPr>
                    <w:t>洒水车</w:t>
                  </w:r>
                </w:p>
              </w:tc>
              <w:tc>
                <w:tcPr>
                  <w:tcW w:w="884" w:type="dxa"/>
                  <w:tcBorders>
                    <w:tl2br w:val="nil"/>
                    <w:tr2bl w:val="nil"/>
                  </w:tcBorders>
                  <w:shd w:val="clear" w:color="auto" w:fill="auto"/>
                  <w:vAlign w:val="center"/>
                </w:tcPr>
                <w:p w14:paraId="09828F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1</w:t>
                  </w:r>
                </w:p>
              </w:tc>
              <w:tc>
                <w:tcPr>
                  <w:tcW w:w="656" w:type="dxa"/>
                  <w:vMerge w:val="continue"/>
                  <w:tcBorders>
                    <w:tl2br w:val="nil"/>
                    <w:tr2bl w:val="nil"/>
                  </w:tcBorders>
                  <w:shd w:val="clear" w:color="auto" w:fill="auto"/>
                  <w:vAlign w:val="center"/>
                </w:tcPr>
                <w:p w14:paraId="1D24F7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129" w:type="dxa"/>
                  <w:tcBorders>
                    <w:tl2br w:val="nil"/>
                    <w:tr2bl w:val="nil"/>
                  </w:tcBorders>
                  <w:shd w:val="clear" w:color="auto" w:fill="auto"/>
                  <w:vAlign w:val="center"/>
                </w:tcPr>
                <w:p w14:paraId="4B45D5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80</w:t>
                  </w:r>
                </w:p>
              </w:tc>
              <w:tc>
                <w:tcPr>
                  <w:tcW w:w="1625" w:type="dxa"/>
                  <w:vMerge w:val="continue"/>
                  <w:tcBorders>
                    <w:tl2br w:val="nil"/>
                    <w:tr2bl w:val="nil"/>
                  </w:tcBorders>
                  <w:shd w:val="clear" w:color="auto" w:fill="auto"/>
                  <w:vAlign w:val="center"/>
                </w:tcPr>
                <w:p w14:paraId="3F7094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auto"/>
                      <w:kern w:val="0"/>
                      <w:szCs w:val="21"/>
                      <w:highlight w:val="none"/>
                    </w:rPr>
                  </w:pPr>
                </w:p>
              </w:tc>
              <w:tc>
                <w:tcPr>
                  <w:tcW w:w="1017" w:type="dxa"/>
                  <w:vMerge w:val="continue"/>
                  <w:tcBorders>
                    <w:tl2br w:val="nil"/>
                    <w:tr2bl w:val="nil"/>
                  </w:tcBorders>
                  <w:shd w:val="clear" w:color="auto" w:fill="auto"/>
                  <w:vAlign w:val="center"/>
                </w:tcPr>
                <w:p w14:paraId="7E577A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auto"/>
                      <w:kern w:val="0"/>
                      <w:szCs w:val="21"/>
                      <w:highlight w:val="none"/>
                    </w:rPr>
                  </w:pPr>
                </w:p>
              </w:tc>
              <w:tc>
                <w:tcPr>
                  <w:tcW w:w="656" w:type="dxa"/>
                  <w:tcBorders>
                    <w:tl2br w:val="nil"/>
                    <w:tr2bl w:val="nil"/>
                  </w:tcBorders>
                  <w:shd w:val="clear" w:color="auto" w:fill="auto"/>
                  <w:vAlign w:val="center"/>
                </w:tcPr>
                <w:p w14:paraId="4B5289B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auto"/>
                      <w:kern w:val="0"/>
                      <w:szCs w:val="21"/>
                      <w:highlight w:val="none"/>
                      <w:lang w:val="en-US" w:eastAsia="zh-CN"/>
                    </w:rPr>
                  </w:pPr>
                  <w:r>
                    <w:rPr>
                      <w:rFonts w:hint="eastAsia" w:cs="Times New Roman"/>
                      <w:bCs/>
                      <w:snapToGrid w:val="0"/>
                      <w:color w:val="auto"/>
                      <w:kern w:val="0"/>
                      <w:szCs w:val="21"/>
                      <w:highlight w:val="none"/>
                      <w:lang w:val="en-US" w:eastAsia="zh-CN"/>
                    </w:rPr>
                    <w:t>70</w:t>
                  </w:r>
                </w:p>
              </w:tc>
              <w:tc>
                <w:tcPr>
                  <w:tcW w:w="656" w:type="dxa"/>
                  <w:vMerge w:val="continue"/>
                  <w:tcBorders>
                    <w:tl2br w:val="nil"/>
                    <w:tr2bl w:val="nil"/>
                  </w:tcBorders>
                  <w:shd w:val="clear" w:color="auto" w:fill="auto"/>
                  <w:vAlign w:val="center"/>
                </w:tcPr>
                <w:p w14:paraId="2E296A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color w:val="auto"/>
                      <w:sz w:val="21"/>
                      <w:szCs w:val="21"/>
                      <w:highlight w:val="none"/>
                      <w:lang w:val="en-US" w:eastAsia="zh-CN"/>
                    </w:rPr>
                  </w:pPr>
                </w:p>
              </w:tc>
            </w:tr>
          </w:tbl>
          <w:p w14:paraId="052513C4">
            <w:pPr>
              <w:widowControl w:val="0"/>
              <w:kinsoku/>
              <w:autoSpaceDE/>
              <w:autoSpaceDN/>
              <w:adjustRightInd/>
              <w:snapToGrid/>
              <w:spacing w:line="360" w:lineRule="auto"/>
              <w:ind w:firstLine="480" w:firstLineChars="200"/>
              <w:jc w:val="both"/>
              <w:textAlignment w:val="auto"/>
              <w:outlineLvl w:val="9"/>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2、噪声防治措施</w:t>
            </w:r>
          </w:p>
          <w:p w14:paraId="7A73FE9F">
            <w:pPr>
              <w:adjustRightInd/>
              <w:snapToGrid/>
              <w:spacing w:line="360" w:lineRule="auto"/>
              <w:ind w:firstLine="480" w:firstLineChars="200"/>
              <w:jc w:val="both"/>
              <w:outlineLvl w:val="9"/>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项目拟采取的噪声防治措施主要包括</w:t>
            </w:r>
            <w:r>
              <w:rPr>
                <w:rFonts w:hint="eastAsia" w:ascii="Times New Roman" w:hAnsi="Times New Roman" w:eastAsia="宋体" w:cs="Times New Roman"/>
                <w:color w:val="auto"/>
                <w:sz w:val="24"/>
                <w:szCs w:val="24"/>
                <w:lang w:eastAsia="zh-CN"/>
              </w:rPr>
              <w:t>：</w:t>
            </w:r>
          </w:p>
          <w:p w14:paraId="4EFC1159">
            <w:pPr>
              <w:adjustRightInd/>
              <w:snapToGrid/>
              <w:spacing w:line="360" w:lineRule="auto"/>
              <w:ind w:firstLine="480" w:firstLineChars="200"/>
              <w:jc w:val="both"/>
              <w:outlineLvl w:val="9"/>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（1）选用低噪声设备。</w:t>
            </w:r>
          </w:p>
          <w:p w14:paraId="37325947">
            <w:pPr>
              <w:adjustRightInd/>
              <w:snapToGrid/>
              <w:spacing w:line="360" w:lineRule="auto"/>
              <w:ind w:firstLine="480" w:firstLineChars="200"/>
              <w:jc w:val="both"/>
              <w:outlineLvl w:val="9"/>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（2）平时加强对设备的保养维护，使之保持良好的工作状态。</w:t>
            </w:r>
          </w:p>
          <w:p w14:paraId="2197B962">
            <w:pPr>
              <w:adjustRightInd/>
              <w:snapToGrid/>
              <w:spacing w:line="360" w:lineRule="auto"/>
              <w:ind w:firstLine="480" w:firstLineChars="200"/>
              <w:jc w:val="both"/>
              <w:outlineLvl w:val="9"/>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（3）</w:t>
            </w:r>
            <w:r>
              <w:rPr>
                <w:rFonts w:hint="eastAsia" w:ascii="Times New Roman" w:hAnsi="Times New Roman" w:eastAsia="宋体" w:cs="Times New Roman"/>
                <w:color w:val="auto"/>
                <w:sz w:val="24"/>
                <w:szCs w:val="24"/>
                <w:lang w:eastAsia="zh-CN"/>
              </w:rPr>
              <w:t>合理布局，加强厂区绿化，利用树木吸声、消声作用，减少噪声对办公处以及周边环境的影响。</w:t>
            </w:r>
          </w:p>
          <w:p w14:paraId="1F7D361C">
            <w:pPr>
              <w:adjustRightInd/>
              <w:snapToGrid/>
              <w:spacing w:line="360" w:lineRule="auto"/>
              <w:ind w:firstLine="480" w:firstLineChars="200"/>
              <w:jc w:val="both"/>
              <w:outlineLvl w:val="9"/>
              <w:rPr>
                <w:rFonts w:hint="eastAsia"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（4）</w:t>
            </w:r>
            <w:r>
              <w:rPr>
                <w:rFonts w:hint="eastAsia" w:ascii="Times New Roman" w:hAnsi="Times New Roman" w:eastAsia="宋体" w:cs="Times New Roman"/>
                <w:color w:val="auto"/>
                <w:sz w:val="24"/>
                <w:szCs w:val="24"/>
                <w:lang w:eastAsia="zh-CN"/>
              </w:rPr>
              <w:t>进出车辆严格控制，项目内禁止鸣喇叭，减少机动车频繁启动及怠速。</w:t>
            </w:r>
          </w:p>
          <w:p w14:paraId="54AFAE1B">
            <w:pPr>
              <w:adjustRightInd/>
              <w:snapToGrid/>
              <w:spacing w:line="360" w:lineRule="auto"/>
              <w:ind w:firstLine="480" w:firstLineChars="200"/>
              <w:jc w:val="both"/>
              <w:outlineLvl w:val="9"/>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eastAsia="zh-CN"/>
              </w:rPr>
              <w:t>（</w:t>
            </w:r>
            <w:r>
              <w:rPr>
                <w:rFonts w:hint="eastAsia" w:cs="Times New Roman"/>
                <w:color w:val="auto"/>
                <w:sz w:val="24"/>
                <w:szCs w:val="24"/>
                <w:lang w:val="en-US" w:eastAsia="zh-CN"/>
              </w:rPr>
              <w:t>5</w:t>
            </w:r>
            <w:r>
              <w:rPr>
                <w:rFonts w:hint="eastAsia" w:cs="Times New Roman"/>
                <w:color w:val="auto"/>
                <w:sz w:val="24"/>
                <w:szCs w:val="24"/>
                <w:lang w:eastAsia="zh-CN"/>
              </w:rPr>
              <w:t>）</w:t>
            </w:r>
            <w:r>
              <w:rPr>
                <w:rFonts w:hint="eastAsia" w:cs="Times New Roman"/>
                <w:color w:val="auto"/>
                <w:sz w:val="24"/>
                <w:szCs w:val="24"/>
                <w:lang w:val="en-US" w:eastAsia="zh-CN"/>
              </w:rPr>
              <w:t>项目单位需加强设备日常维护，确保设备运行状态良好，避免设备不正常运转产生的高噪声现象。</w:t>
            </w:r>
          </w:p>
          <w:p w14:paraId="72B722EA">
            <w:pPr>
              <w:widowControl w:val="0"/>
              <w:kinsoku/>
              <w:autoSpaceDE/>
              <w:autoSpaceDN/>
              <w:adjustRightInd/>
              <w:snapToGrid/>
              <w:spacing w:line="360" w:lineRule="auto"/>
              <w:ind w:firstLine="480" w:firstLineChars="200"/>
              <w:jc w:val="both"/>
              <w:textAlignment w:val="auto"/>
              <w:outlineLvl w:val="9"/>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3、环境影响分析</w:t>
            </w:r>
          </w:p>
          <w:p w14:paraId="76C3546E">
            <w:pPr>
              <w:pStyle w:val="85"/>
              <w:widowControl w:val="0"/>
              <w:kinsoku/>
              <w:autoSpaceDE/>
              <w:autoSpaceDN/>
              <w:adjustRightInd/>
              <w:snapToGrid/>
              <w:spacing w:before="0" w:beforeLines="0" w:after="0" w:afterLines="0" w:line="360" w:lineRule="auto"/>
              <w:ind w:firstLine="480"/>
              <w:jc w:val="both"/>
              <w:outlineLvl w:val="9"/>
              <w:rPr>
                <w:rFonts w:ascii="Times New Roman" w:hAnsi="Times New Roman" w:eastAsia="宋体"/>
                <w:color w:val="auto"/>
                <w:lang w:eastAsia="zh-CN"/>
              </w:rPr>
            </w:pPr>
            <w:r>
              <w:rPr>
                <w:rFonts w:ascii="Times New Roman" w:hAnsi="Times New Roman" w:eastAsia="宋体"/>
                <w:color w:val="auto"/>
                <w:lang w:eastAsia="zh-CN"/>
              </w:rPr>
              <w:t>根据拟建项目设备声源特征和声学环境的特点，视设备声源为点源，声场为半自由声场，依据HJ2.4-2021《环境影响评价技术导则 声环境》，选用点声源衰减预测模式预测厂界噪声，具体见下表。</w:t>
            </w:r>
          </w:p>
          <w:p w14:paraId="3E8AEFAE">
            <w:pPr>
              <w:widowControl w:val="0"/>
              <w:kinsoku/>
              <w:autoSpaceDE/>
              <w:autoSpaceDN/>
              <w:adjustRightInd/>
              <w:snapToGrid/>
              <w:spacing w:line="360" w:lineRule="auto"/>
              <w:ind w:firstLine="480" w:firstLineChars="200"/>
              <w:jc w:val="both"/>
              <w:outlineLvl w:val="9"/>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点声源衰减模式：</w:t>
            </w:r>
          </w:p>
          <w:p w14:paraId="7319B974">
            <w:pPr>
              <w:spacing w:line="360" w:lineRule="auto"/>
              <w:jc w:val="center"/>
              <w:outlineLvl w:val="9"/>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L</w:t>
            </w:r>
            <w:r>
              <w:rPr>
                <w:rFonts w:ascii="Times New Roman" w:hAnsi="Times New Roman" w:eastAsia="宋体" w:cs="Times New Roman"/>
                <w:color w:val="auto"/>
                <w:sz w:val="24"/>
                <w:vertAlign w:val="subscript"/>
                <w:lang w:eastAsia="zh-CN"/>
              </w:rPr>
              <w:t>p</w:t>
            </w:r>
            <w:r>
              <w:rPr>
                <w:rFonts w:ascii="Times New Roman" w:hAnsi="Times New Roman" w:eastAsia="宋体" w:cs="Times New Roman"/>
                <w:color w:val="auto"/>
                <w:sz w:val="24"/>
                <w:lang w:eastAsia="zh-CN"/>
              </w:rPr>
              <w:t>（r）=L</w:t>
            </w:r>
            <w:r>
              <w:rPr>
                <w:rFonts w:ascii="Times New Roman" w:hAnsi="Times New Roman" w:eastAsia="宋体" w:cs="Times New Roman"/>
                <w:color w:val="auto"/>
                <w:sz w:val="24"/>
                <w:vertAlign w:val="subscript"/>
                <w:lang w:eastAsia="zh-CN"/>
              </w:rPr>
              <w:t>p</w:t>
            </w:r>
            <w:r>
              <w:rPr>
                <w:rFonts w:ascii="Times New Roman" w:hAnsi="Times New Roman" w:eastAsia="宋体" w:cs="Times New Roman"/>
                <w:color w:val="auto"/>
                <w:sz w:val="24"/>
                <w:lang w:eastAsia="zh-CN"/>
              </w:rPr>
              <w:t>（r</w:t>
            </w:r>
            <w:r>
              <w:rPr>
                <w:rFonts w:ascii="Times New Roman" w:hAnsi="Times New Roman" w:eastAsia="宋体" w:cs="Times New Roman"/>
                <w:color w:val="auto"/>
                <w:sz w:val="24"/>
                <w:vertAlign w:val="subscript"/>
                <w:lang w:eastAsia="zh-CN"/>
              </w:rPr>
              <w:t>0</w:t>
            </w:r>
            <w:r>
              <w:rPr>
                <w:rFonts w:ascii="Times New Roman" w:hAnsi="Times New Roman" w:eastAsia="宋体" w:cs="Times New Roman"/>
                <w:color w:val="auto"/>
                <w:sz w:val="24"/>
                <w:lang w:eastAsia="zh-CN"/>
              </w:rPr>
              <w:t>）-20lg（r/r</w:t>
            </w:r>
            <w:r>
              <w:rPr>
                <w:rFonts w:ascii="Times New Roman" w:hAnsi="Times New Roman" w:eastAsia="宋体" w:cs="Times New Roman"/>
                <w:color w:val="auto"/>
                <w:sz w:val="24"/>
                <w:vertAlign w:val="subscript"/>
                <w:lang w:eastAsia="zh-CN"/>
              </w:rPr>
              <w:t>0</w:t>
            </w:r>
            <w:r>
              <w:rPr>
                <w:rFonts w:ascii="Times New Roman" w:hAnsi="Times New Roman" w:eastAsia="宋体" w:cs="Times New Roman"/>
                <w:color w:val="auto"/>
                <w:sz w:val="24"/>
                <w:lang w:eastAsia="zh-CN"/>
              </w:rPr>
              <w:t>）</w:t>
            </w:r>
          </w:p>
          <w:p w14:paraId="3CEC8FC7">
            <w:pPr>
              <w:widowControl w:val="0"/>
              <w:kinsoku/>
              <w:autoSpaceDE/>
              <w:autoSpaceDN/>
              <w:adjustRightInd/>
              <w:snapToGrid/>
              <w:spacing w:line="360" w:lineRule="auto"/>
              <w:ind w:firstLine="480" w:firstLineChars="200"/>
              <w:jc w:val="both"/>
              <w:outlineLvl w:val="9"/>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式中：L</w:t>
            </w:r>
            <w:r>
              <w:rPr>
                <w:rFonts w:ascii="Times New Roman" w:hAnsi="Times New Roman" w:eastAsia="宋体" w:cs="Times New Roman"/>
                <w:color w:val="auto"/>
                <w:sz w:val="24"/>
                <w:vertAlign w:val="subscript"/>
                <w:lang w:eastAsia="zh-CN"/>
              </w:rPr>
              <w:t>p</w:t>
            </w:r>
            <w:r>
              <w:rPr>
                <w:rFonts w:ascii="Times New Roman" w:hAnsi="Times New Roman" w:eastAsia="宋体" w:cs="Times New Roman"/>
                <w:color w:val="auto"/>
                <w:sz w:val="24"/>
                <w:lang w:eastAsia="zh-CN"/>
              </w:rPr>
              <w:t>（r）——距噪声源r</w:t>
            </w:r>
            <w:r>
              <w:rPr>
                <w:rFonts w:ascii="Times New Roman" w:hAnsi="Times New Roman" w:eastAsia="宋体" w:cs="Times New Roman"/>
                <w:color w:val="auto"/>
                <w:sz w:val="24"/>
                <w:vertAlign w:val="subscript"/>
                <w:lang w:eastAsia="zh-CN"/>
              </w:rPr>
              <w:t>0</w:t>
            </w:r>
            <w:r>
              <w:rPr>
                <w:rFonts w:ascii="Times New Roman" w:hAnsi="Times New Roman" w:eastAsia="宋体" w:cs="Times New Roman"/>
                <w:color w:val="auto"/>
                <w:sz w:val="24"/>
                <w:lang w:eastAsia="zh-CN"/>
              </w:rPr>
              <w:t>处预测点的A声级（dB（A））；</w:t>
            </w:r>
          </w:p>
          <w:p w14:paraId="5A5489DA">
            <w:pPr>
              <w:widowControl w:val="0"/>
              <w:kinsoku/>
              <w:autoSpaceDE/>
              <w:autoSpaceDN/>
              <w:adjustRightInd/>
              <w:snapToGrid/>
              <w:spacing w:line="360" w:lineRule="auto"/>
              <w:ind w:firstLine="1200" w:firstLineChars="500"/>
              <w:jc w:val="both"/>
              <w:outlineLvl w:val="9"/>
              <w:rPr>
                <w:rFonts w:ascii="Times New Roman" w:hAnsi="Times New Roman" w:eastAsia="宋体" w:cs="Times New Roman"/>
                <w:color w:val="auto"/>
                <w:sz w:val="24"/>
                <w:lang w:eastAsia="zh-CN"/>
              </w:rPr>
            </w:pPr>
            <w:r>
              <w:rPr>
                <w:rFonts w:ascii="Times New Roman" w:hAnsi="Times New Roman" w:eastAsia="宋体" w:cs="Times New Roman"/>
                <w:color w:val="auto"/>
                <w:sz w:val="24"/>
                <w:lang w:eastAsia="zh-CN"/>
              </w:rPr>
              <w:t>L</w:t>
            </w:r>
            <w:r>
              <w:rPr>
                <w:rFonts w:ascii="Times New Roman" w:hAnsi="Times New Roman" w:eastAsia="宋体" w:cs="Times New Roman"/>
                <w:color w:val="auto"/>
                <w:sz w:val="24"/>
                <w:vertAlign w:val="subscript"/>
                <w:lang w:eastAsia="zh-CN"/>
              </w:rPr>
              <w:t>p</w:t>
            </w:r>
            <w:r>
              <w:rPr>
                <w:rFonts w:ascii="Times New Roman" w:hAnsi="Times New Roman" w:eastAsia="宋体" w:cs="Times New Roman"/>
                <w:color w:val="auto"/>
                <w:sz w:val="24"/>
                <w:lang w:eastAsia="zh-CN"/>
              </w:rPr>
              <w:t>（r</w:t>
            </w:r>
            <w:r>
              <w:rPr>
                <w:rFonts w:ascii="Times New Roman" w:hAnsi="Times New Roman" w:eastAsia="宋体" w:cs="Times New Roman"/>
                <w:color w:val="auto"/>
                <w:sz w:val="24"/>
                <w:vertAlign w:val="subscript"/>
                <w:lang w:eastAsia="zh-CN"/>
              </w:rPr>
              <w:t>0</w:t>
            </w:r>
            <w:r>
              <w:rPr>
                <w:rFonts w:ascii="Times New Roman" w:hAnsi="Times New Roman" w:eastAsia="宋体" w:cs="Times New Roman"/>
                <w:color w:val="auto"/>
                <w:sz w:val="24"/>
                <w:lang w:eastAsia="zh-CN"/>
              </w:rPr>
              <w:t>）——点声源的A声级（dB（A））；</w:t>
            </w:r>
          </w:p>
          <w:p w14:paraId="783951C0">
            <w:pPr>
              <w:pStyle w:val="69"/>
              <w:spacing w:line="240" w:lineRule="auto"/>
              <w:ind w:firstLine="1200" w:firstLineChars="500"/>
              <w:jc w:val="both"/>
              <w:outlineLvl w:val="9"/>
              <w:rPr>
                <w:rFonts w:eastAsia="宋体" w:cs="Times New Roman"/>
                <w:color w:val="auto"/>
                <w:lang w:eastAsia="zh-CN"/>
              </w:rPr>
            </w:pPr>
            <w:r>
              <w:rPr>
                <w:rFonts w:eastAsia="宋体" w:cs="Times New Roman"/>
                <w:color w:val="auto"/>
                <w:lang w:eastAsia="zh-CN"/>
              </w:rPr>
              <w:t>r——点声源至预测点的距离（m）。</w:t>
            </w:r>
          </w:p>
          <w:p w14:paraId="4A021F9F">
            <w:pPr>
              <w:pStyle w:val="109"/>
              <w:jc w:val="both"/>
              <w:outlineLvl w:val="9"/>
              <w:rPr>
                <w:rFonts w:ascii="Times New Roman" w:hAnsi="Times New Roman" w:eastAsia="宋体" w:cs="Times New Roman"/>
                <w:color w:val="auto"/>
                <w:szCs w:val="24"/>
                <w:lang w:eastAsia="zh-CN"/>
              </w:rPr>
            </w:pPr>
            <w:r>
              <w:rPr>
                <w:rFonts w:hint="eastAsia" w:ascii="Times New Roman" w:hAnsi="Times New Roman" w:eastAsia="宋体" w:cs="Times New Roman"/>
                <w:color w:val="auto"/>
                <w:szCs w:val="24"/>
                <w:lang w:eastAsia="zh-CN"/>
              </w:rPr>
              <w:t>因本项目周边无声环境保护目标，无需</w:t>
            </w:r>
            <w:r>
              <w:rPr>
                <w:rFonts w:ascii="Times New Roman" w:hAnsi="Times New Roman" w:eastAsia="宋体" w:cs="Times New Roman"/>
                <w:color w:val="auto"/>
                <w:szCs w:val="24"/>
                <w:lang w:eastAsia="zh-CN"/>
              </w:rPr>
              <w:t>对周边环境进行噪声预测</w:t>
            </w:r>
            <w:r>
              <w:rPr>
                <w:rFonts w:hint="eastAsia" w:ascii="Times New Roman" w:hAnsi="Times New Roman" w:eastAsia="宋体" w:cs="Times New Roman"/>
                <w:color w:val="auto"/>
                <w:szCs w:val="24"/>
                <w:lang w:eastAsia="zh-CN"/>
              </w:rPr>
              <w:t>，所以</w:t>
            </w:r>
            <w:r>
              <w:rPr>
                <w:rFonts w:ascii="Times New Roman" w:hAnsi="Times New Roman" w:eastAsia="宋体" w:cs="Times New Roman"/>
                <w:color w:val="auto"/>
                <w:szCs w:val="24"/>
                <w:lang w:eastAsia="zh-CN"/>
              </w:rPr>
              <w:t>本次评价至四侧厂界外1m，进行厂界达标论证。</w:t>
            </w:r>
          </w:p>
          <w:p w14:paraId="4E83EDC1">
            <w:pPr>
              <w:widowControl w:val="0"/>
              <w:kinsoku/>
              <w:autoSpaceDE/>
              <w:autoSpaceDN/>
              <w:adjustRightInd/>
              <w:spacing w:before="0" w:after="0" w:line="360" w:lineRule="auto"/>
              <w:ind w:left="0" w:firstLine="480" w:firstLineChars="200"/>
              <w:jc w:val="both"/>
              <w:textAlignment w:val="auto"/>
              <w:outlineLvl w:val="9"/>
              <w:rPr>
                <w:rFonts w:ascii="Times New Roman" w:hAnsi="Times New Roman" w:eastAsia="宋体" w:cs="Times New Roman"/>
                <w:b w:val="0"/>
                <w:bCs w:val="0"/>
                <w:color w:val="auto"/>
                <w:kern w:val="0"/>
                <w:sz w:val="24"/>
                <w:szCs w:val="24"/>
                <w:lang w:eastAsia="zh-CN"/>
              </w:rPr>
            </w:pPr>
            <w:bookmarkStart w:id="28" w:name="_Toc26007"/>
            <w:r>
              <w:rPr>
                <w:rFonts w:ascii="Times New Roman" w:hAnsi="Times New Roman" w:eastAsia="宋体" w:cs="Times New Roman"/>
                <w:b w:val="0"/>
                <w:bCs w:val="0"/>
                <w:color w:val="auto"/>
                <w:kern w:val="0"/>
                <w:sz w:val="24"/>
                <w:szCs w:val="24"/>
                <w:lang w:eastAsia="zh-CN"/>
              </w:rPr>
              <w:t>根据《工业企业厂界环境噪声排放标准》（GB12348-2008），厂界是指由法律文书（如土地使用证、房产证、租赁合同等）中确定的业主所拥有使用权（或所有权）的场所或建筑物边界，本项目将企业用地边界确定为本项目噪声预测边界，厂界噪声预测结果见下表。</w:t>
            </w:r>
            <w:bookmarkEnd w:id="28"/>
          </w:p>
          <w:p w14:paraId="2DDC9A41">
            <w:pPr>
              <w:kinsoku/>
              <w:autoSpaceDE/>
              <w:autoSpaceDN/>
              <w:adjustRightInd/>
              <w:snapToGrid/>
              <w:ind w:firstLine="422" w:firstLineChars="200"/>
              <w:jc w:val="center"/>
              <w:textAlignment w:val="auto"/>
              <w:outlineLvl w:val="9"/>
              <w:rPr>
                <w:rFonts w:ascii="Times New Roman" w:hAnsi="Times New Roman" w:eastAsia="宋体" w:cs="Times New Roman"/>
                <w:b/>
                <w:bCs/>
                <w:color w:val="auto"/>
                <w:lang w:eastAsia="zh-CN"/>
              </w:rPr>
            </w:pPr>
            <w:r>
              <w:rPr>
                <w:rFonts w:ascii="Times New Roman" w:hAnsi="Times New Roman" w:eastAsia="宋体" w:cs="Times New Roman"/>
                <w:b/>
                <w:color w:val="auto"/>
                <w:lang w:eastAsia="zh-CN"/>
              </w:rPr>
              <w:t>表4-</w:t>
            </w:r>
            <w:r>
              <w:rPr>
                <w:rFonts w:hint="eastAsia" w:cs="Times New Roman"/>
                <w:b/>
                <w:color w:val="auto"/>
                <w:lang w:val="en-US" w:eastAsia="zh-CN"/>
              </w:rPr>
              <w:t>6</w:t>
            </w:r>
            <w:r>
              <w:rPr>
                <w:rFonts w:hint="eastAsia" w:ascii="Times New Roman" w:hAnsi="Times New Roman" w:eastAsia="宋体" w:cs="Times New Roman"/>
                <w:b/>
                <w:color w:val="auto"/>
                <w:lang w:eastAsia="zh-CN"/>
              </w:rPr>
              <w:t xml:space="preserve"> </w:t>
            </w:r>
            <w:r>
              <w:rPr>
                <w:rFonts w:ascii="Times New Roman" w:hAnsi="Times New Roman" w:eastAsia="宋体" w:cs="Times New Roman"/>
                <w:b/>
                <w:bCs/>
                <w:color w:val="auto"/>
                <w:lang w:eastAsia="zh-CN"/>
              </w:rPr>
              <w:t>厂界噪声影响预测结果表 单位：dB（A）</w:t>
            </w:r>
          </w:p>
          <w:tbl>
            <w:tblPr>
              <w:tblStyle w:val="30"/>
              <w:tblW w:w="494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31"/>
              <w:gridCol w:w="4234"/>
              <w:gridCol w:w="985"/>
              <w:gridCol w:w="1247"/>
            </w:tblGrid>
            <w:tr w14:paraId="0D4E4B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7" w:type="pct"/>
                  <w:vMerge w:val="restart"/>
                  <w:tcBorders>
                    <w:tl2br w:val="nil"/>
                    <w:tr2bl w:val="nil"/>
                  </w:tcBorders>
                  <w:vAlign w:val="center"/>
                </w:tcPr>
                <w:p w14:paraId="21384886">
                  <w:pPr>
                    <w:keepNext w:val="0"/>
                    <w:keepLines w:val="0"/>
                    <w:widowControl/>
                    <w:suppressLineNumbers w:val="0"/>
                    <w:spacing w:before="0" w:beforeAutospacing="0" w:after="0" w:afterAutospacing="0"/>
                    <w:ind w:left="-63" w:leftChars="-30" w:right="-63" w:rightChars="-30"/>
                    <w:jc w:val="center"/>
                    <w:textAlignment w:val="center"/>
                    <w:rPr>
                      <w:rFonts w:hint="eastAsia" w:eastAsia="宋体"/>
                      <w:b/>
                      <w:bCs/>
                      <w:color w:val="auto"/>
                      <w:kern w:val="0"/>
                      <w:sz w:val="21"/>
                      <w:szCs w:val="21"/>
                      <w:highlight w:val="none"/>
                      <w:lang w:eastAsia="zh-CN" w:bidi="ar"/>
                    </w:rPr>
                  </w:pPr>
                  <w:r>
                    <w:rPr>
                      <w:rFonts w:hint="eastAsia" w:cs="宋体"/>
                      <w:b/>
                      <w:bCs/>
                      <w:color w:val="auto"/>
                      <w:kern w:val="0"/>
                      <w:sz w:val="21"/>
                      <w:szCs w:val="21"/>
                      <w:highlight w:val="none"/>
                      <w:lang w:val="en-US" w:eastAsia="zh-CN" w:bidi="ar"/>
                    </w:rPr>
                    <w:t>预测点</w:t>
                  </w:r>
                </w:p>
              </w:tc>
              <w:tc>
                <w:tcPr>
                  <w:tcW w:w="3992" w:type="pct"/>
                  <w:gridSpan w:val="3"/>
                  <w:tcBorders>
                    <w:tl2br w:val="nil"/>
                    <w:tr2bl w:val="nil"/>
                  </w:tcBorders>
                  <w:noWrap/>
                  <w:vAlign w:val="center"/>
                </w:tcPr>
                <w:p w14:paraId="472D1429">
                  <w:pPr>
                    <w:keepNext w:val="0"/>
                    <w:keepLines w:val="0"/>
                    <w:widowControl/>
                    <w:suppressLineNumbers w:val="0"/>
                    <w:spacing w:before="0" w:beforeAutospacing="0" w:after="0" w:afterAutospacing="0"/>
                    <w:ind w:left="-63" w:leftChars="-30" w:right="-63" w:rightChars="-30"/>
                    <w:jc w:val="center"/>
                    <w:textAlignment w:val="center"/>
                    <w:rPr>
                      <w:rFonts w:hint="eastAsia" w:eastAsia="宋体" w:cs="宋体"/>
                      <w:b/>
                      <w:bCs/>
                      <w:color w:val="auto"/>
                      <w:kern w:val="0"/>
                      <w:sz w:val="21"/>
                      <w:szCs w:val="21"/>
                      <w:highlight w:val="none"/>
                      <w:lang w:val="en-US" w:eastAsia="zh-CN" w:bidi="ar"/>
                    </w:rPr>
                  </w:pPr>
                  <w:r>
                    <w:rPr>
                      <w:rFonts w:hint="eastAsia" w:cs="宋体"/>
                      <w:b/>
                      <w:bCs/>
                      <w:color w:val="auto"/>
                      <w:kern w:val="0"/>
                      <w:sz w:val="21"/>
                      <w:szCs w:val="21"/>
                      <w:highlight w:val="none"/>
                      <w:lang w:val="en-US" w:eastAsia="zh-CN" w:bidi="ar"/>
                    </w:rPr>
                    <w:t>昼间</w:t>
                  </w:r>
                </w:p>
              </w:tc>
            </w:tr>
            <w:tr w14:paraId="003CE9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7" w:type="pct"/>
                  <w:vMerge w:val="continue"/>
                  <w:tcBorders>
                    <w:tl2br w:val="nil"/>
                    <w:tr2bl w:val="nil"/>
                  </w:tcBorders>
                  <w:vAlign w:val="center"/>
                </w:tcPr>
                <w:p w14:paraId="555F2C46">
                  <w:pPr>
                    <w:keepNext w:val="0"/>
                    <w:keepLines w:val="0"/>
                    <w:widowControl/>
                    <w:suppressLineNumbers w:val="0"/>
                    <w:spacing w:before="0" w:beforeAutospacing="0" w:after="0" w:afterAutospacing="0"/>
                    <w:ind w:left="-63" w:leftChars="-30" w:right="-63" w:rightChars="-30"/>
                    <w:jc w:val="center"/>
                    <w:textAlignment w:val="center"/>
                    <w:rPr>
                      <w:rFonts w:hint="default"/>
                      <w:b/>
                      <w:bCs/>
                      <w:color w:val="auto"/>
                      <w:kern w:val="0"/>
                      <w:sz w:val="21"/>
                      <w:szCs w:val="21"/>
                      <w:highlight w:val="none"/>
                      <w:lang w:bidi="ar"/>
                    </w:rPr>
                  </w:pPr>
                </w:p>
              </w:tc>
              <w:tc>
                <w:tcPr>
                  <w:tcW w:w="2614" w:type="pct"/>
                  <w:tcBorders>
                    <w:tl2br w:val="nil"/>
                    <w:tr2bl w:val="nil"/>
                  </w:tcBorders>
                  <w:noWrap/>
                  <w:vAlign w:val="center"/>
                </w:tcPr>
                <w:p w14:paraId="67208044">
                  <w:pPr>
                    <w:keepNext w:val="0"/>
                    <w:keepLines w:val="0"/>
                    <w:widowControl/>
                    <w:suppressLineNumbers w:val="0"/>
                    <w:spacing w:before="0" w:beforeAutospacing="0" w:after="0" w:afterAutospacing="0"/>
                    <w:ind w:left="-63" w:leftChars="-30" w:right="-63" w:rightChars="-30"/>
                    <w:jc w:val="center"/>
                    <w:textAlignment w:val="center"/>
                    <w:rPr>
                      <w:rFonts w:hint="default" w:eastAsia="宋体" w:cs="宋体"/>
                      <w:b/>
                      <w:bCs/>
                      <w:color w:val="auto"/>
                      <w:sz w:val="21"/>
                      <w:szCs w:val="21"/>
                      <w:highlight w:val="none"/>
                      <w:lang w:val="en-US" w:eastAsia="zh-CN"/>
                    </w:rPr>
                  </w:pPr>
                  <w:r>
                    <w:rPr>
                      <w:rFonts w:hint="eastAsia" w:cs="宋体"/>
                      <w:b/>
                      <w:bCs/>
                      <w:color w:val="auto"/>
                      <w:sz w:val="21"/>
                      <w:szCs w:val="21"/>
                      <w:highlight w:val="none"/>
                      <w:lang w:val="en-US" w:eastAsia="zh-CN"/>
                    </w:rPr>
                    <w:t>噪声贡献值</w:t>
                  </w:r>
                </w:p>
              </w:tc>
              <w:tc>
                <w:tcPr>
                  <w:tcW w:w="608" w:type="pct"/>
                  <w:tcBorders>
                    <w:tl2br w:val="nil"/>
                    <w:tr2bl w:val="nil"/>
                  </w:tcBorders>
                  <w:noWrap/>
                  <w:vAlign w:val="center"/>
                </w:tcPr>
                <w:p w14:paraId="2368A4BA">
                  <w:pPr>
                    <w:keepNext w:val="0"/>
                    <w:keepLines w:val="0"/>
                    <w:widowControl/>
                    <w:suppressLineNumbers w:val="0"/>
                    <w:spacing w:before="0" w:beforeAutospacing="0" w:after="0" w:afterAutospacing="0"/>
                    <w:ind w:left="-63" w:leftChars="-30" w:right="-63" w:rightChars="-30"/>
                    <w:jc w:val="center"/>
                    <w:textAlignment w:val="center"/>
                    <w:rPr>
                      <w:rFonts w:hint="eastAsia" w:eastAsia="宋体" w:cs="宋体"/>
                      <w:b/>
                      <w:bCs/>
                      <w:color w:val="auto"/>
                      <w:sz w:val="21"/>
                      <w:szCs w:val="21"/>
                      <w:highlight w:val="none"/>
                      <w:lang w:val="en-US" w:eastAsia="zh-CN"/>
                    </w:rPr>
                  </w:pPr>
                  <w:r>
                    <w:rPr>
                      <w:rFonts w:hint="eastAsia" w:cs="宋体"/>
                      <w:b/>
                      <w:bCs/>
                      <w:color w:val="auto"/>
                      <w:sz w:val="21"/>
                      <w:szCs w:val="21"/>
                      <w:highlight w:val="none"/>
                      <w:lang w:val="en-US" w:eastAsia="zh-CN"/>
                    </w:rPr>
                    <w:t>标准值</w:t>
                  </w:r>
                </w:p>
              </w:tc>
              <w:tc>
                <w:tcPr>
                  <w:tcW w:w="769" w:type="pct"/>
                  <w:tcBorders>
                    <w:tl2br w:val="nil"/>
                    <w:tr2bl w:val="nil"/>
                  </w:tcBorders>
                  <w:noWrap/>
                  <w:vAlign w:val="center"/>
                </w:tcPr>
                <w:p w14:paraId="2C0F822D">
                  <w:pPr>
                    <w:keepNext w:val="0"/>
                    <w:keepLines w:val="0"/>
                    <w:widowControl/>
                    <w:suppressLineNumbers w:val="0"/>
                    <w:spacing w:before="0" w:beforeAutospacing="0" w:after="0" w:afterAutospacing="0"/>
                    <w:ind w:left="-63" w:leftChars="-30" w:right="-63" w:rightChars="-30"/>
                    <w:jc w:val="center"/>
                    <w:textAlignment w:val="center"/>
                    <w:rPr>
                      <w:rFonts w:hint="eastAsia" w:eastAsia="宋体" w:cs="宋体"/>
                      <w:b/>
                      <w:bCs/>
                      <w:color w:val="auto"/>
                      <w:sz w:val="21"/>
                      <w:szCs w:val="21"/>
                      <w:highlight w:val="none"/>
                      <w:lang w:val="en-US" w:eastAsia="zh-CN"/>
                    </w:rPr>
                  </w:pPr>
                  <w:r>
                    <w:rPr>
                      <w:rFonts w:hint="eastAsia" w:cs="宋体"/>
                      <w:b/>
                      <w:bCs/>
                      <w:color w:val="auto"/>
                      <w:sz w:val="21"/>
                      <w:szCs w:val="21"/>
                      <w:highlight w:val="none"/>
                      <w:lang w:val="en-US" w:eastAsia="zh-CN"/>
                    </w:rPr>
                    <w:t>评价结果</w:t>
                  </w:r>
                </w:p>
              </w:tc>
            </w:tr>
            <w:tr w14:paraId="65BA36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7" w:type="pct"/>
                  <w:tcBorders>
                    <w:tl2br w:val="nil"/>
                    <w:tr2bl w:val="nil"/>
                  </w:tcBorders>
                  <w:vAlign w:val="center"/>
                </w:tcPr>
                <w:p w14:paraId="5197191E">
                  <w:pPr>
                    <w:keepNext w:val="0"/>
                    <w:keepLines w:val="0"/>
                    <w:suppressLineNumbers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1#厂界东侧</w:t>
                  </w:r>
                </w:p>
              </w:tc>
              <w:tc>
                <w:tcPr>
                  <w:tcW w:w="2614" w:type="pct"/>
                  <w:tcBorders>
                    <w:tl2br w:val="nil"/>
                    <w:tr2bl w:val="nil"/>
                  </w:tcBorders>
                  <w:noWrap/>
                  <w:vAlign w:val="center"/>
                </w:tcPr>
                <w:p w14:paraId="76ED303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eastAsia="黑体" w:cs="Times New Roman"/>
                      <w:color w:val="auto"/>
                      <w:kern w:val="2"/>
                      <w:sz w:val="21"/>
                      <w:szCs w:val="21"/>
                      <w:highlight w:val="none"/>
                      <w:lang w:val="en-US" w:eastAsia="zh-CN" w:bidi="ar-SA"/>
                    </w:rPr>
                    <w:t>53.94</w:t>
                  </w:r>
                </w:p>
              </w:tc>
              <w:tc>
                <w:tcPr>
                  <w:tcW w:w="608" w:type="pct"/>
                  <w:tcBorders>
                    <w:tl2br w:val="nil"/>
                    <w:tr2bl w:val="nil"/>
                  </w:tcBorders>
                  <w:noWrap/>
                  <w:vAlign w:val="center"/>
                </w:tcPr>
                <w:p w14:paraId="1330AC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eastAsia="黑体" w:cs="Times New Roman"/>
                      <w:color w:val="auto"/>
                      <w:kern w:val="2"/>
                      <w:sz w:val="21"/>
                      <w:szCs w:val="21"/>
                      <w:highlight w:val="none"/>
                      <w:lang w:val="en-US" w:eastAsia="zh-CN" w:bidi="ar-SA"/>
                    </w:rPr>
                    <w:t>60</w:t>
                  </w:r>
                </w:p>
              </w:tc>
              <w:tc>
                <w:tcPr>
                  <w:tcW w:w="769" w:type="pct"/>
                  <w:tcBorders>
                    <w:tl2br w:val="nil"/>
                    <w:tr2bl w:val="nil"/>
                  </w:tcBorders>
                  <w:noWrap/>
                  <w:vAlign w:val="center"/>
                </w:tcPr>
                <w:p w14:paraId="0B981243">
                  <w:pPr>
                    <w:keepNext w:val="0"/>
                    <w:keepLines w:val="0"/>
                    <w:widowControl/>
                    <w:suppressLineNumbers w:val="0"/>
                    <w:spacing w:before="0" w:beforeAutospacing="0" w:after="0" w:afterAutospacing="0"/>
                    <w:ind w:left="-63" w:leftChars="-30" w:right="-63" w:rightChars="-30"/>
                    <w:jc w:val="center"/>
                    <w:textAlignment w:val="center"/>
                    <w:rPr>
                      <w:rFonts w:hint="default" w:cs="宋体"/>
                      <w:color w:val="auto"/>
                      <w:sz w:val="21"/>
                      <w:szCs w:val="21"/>
                      <w:highlight w:val="none"/>
                      <w:lang w:val="en-US" w:eastAsia="zh-CN"/>
                    </w:rPr>
                  </w:pPr>
                  <w:r>
                    <w:rPr>
                      <w:rFonts w:hint="eastAsia" w:cs="宋体"/>
                      <w:color w:val="auto"/>
                      <w:sz w:val="21"/>
                      <w:szCs w:val="21"/>
                      <w:highlight w:val="none"/>
                      <w:lang w:val="en-US" w:eastAsia="zh-CN"/>
                    </w:rPr>
                    <w:t>达标</w:t>
                  </w:r>
                </w:p>
              </w:tc>
            </w:tr>
            <w:tr w14:paraId="0BBA8F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7" w:type="pct"/>
                  <w:tcBorders>
                    <w:tl2br w:val="nil"/>
                    <w:tr2bl w:val="nil"/>
                  </w:tcBorders>
                  <w:vAlign w:val="center"/>
                </w:tcPr>
                <w:p w14:paraId="75D22F4C">
                  <w:pPr>
                    <w:keepNext w:val="0"/>
                    <w:keepLines w:val="0"/>
                    <w:suppressLineNumbers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2#厂界南侧</w:t>
                  </w:r>
                </w:p>
              </w:tc>
              <w:tc>
                <w:tcPr>
                  <w:tcW w:w="2614" w:type="pct"/>
                  <w:tcBorders>
                    <w:tl2br w:val="nil"/>
                    <w:tr2bl w:val="nil"/>
                  </w:tcBorders>
                  <w:noWrap/>
                  <w:vAlign w:val="center"/>
                </w:tcPr>
                <w:p w14:paraId="0B9061B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eastAsia="黑体" w:cs="Times New Roman"/>
                      <w:color w:val="auto"/>
                      <w:kern w:val="2"/>
                      <w:sz w:val="21"/>
                      <w:szCs w:val="21"/>
                      <w:highlight w:val="none"/>
                      <w:lang w:val="en-US" w:eastAsia="zh-CN" w:bidi="ar-SA"/>
                    </w:rPr>
                    <w:t>44.55</w:t>
                  </w:r>
                </w:p>
              </w:tc>
              <w:tc>
                <w:tcPr>
                  <w:tcW w:w="608" w:type="pct"/>
                  <w:tcBorders>
                    <w:tl2br w:val="nil"/>
                    <w:tr2bl w:val="nil"/>
                  </w:tcBorders>
                  <w:noWrap/>
                  <w:vAlign w:val="center"/>
                </w:tcPr>
                <w:p w14:paraId="2B537F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eastAsia="黑体" w:cs="Times New Roman"/>
                      <w:color w:val="auto"/>
                      <w:kern w:val="2"/>
                      <w:sz w:val="21"/>
                      <w:szCs w:val="21"/>
                      <w:highlight w:val="none"/>
                      <w:lang w:val="en-US" w:eastAsia="zh-CN" w:bidi="ar-SA"/>
                    </w:rPr>
                    <w:t>60</w:t>
                  </w:r>
                </w:p>
              </w:tc>
              <w:tc>
                <w:tcPr>
                  <w:tcW w:w="769" w:type="pct"/>
                  <w:tcBorders>
                    <w:tl2br w:val="nil"/>
                    <w:tr2bl w:val="nil"/>
                  </w:tcBorders>
                  <w:noWrap/>
                  <w:vAlign w:val="center"/>
                </w:tcPr>
                <w:p w14:paraId="467FE932">
                  <w:pPr>
                    <w:keepNext w:val="0"/>
                    <w:keepLines w:val="0"/>
                    <w:widowControl/>
                    <w:suppressLineNumbers w:val="0"/>
                    <w:spacing w:before="0" w:beforeAutospacing="0" w:after="0" w:afterAutospacing="0"/>
                    <w:ind w:left="-63" w:leftChars="-30" w:right="-63" w:rightChars="-30"/>
                    <w:jc w:val="center"/>
                    <w:textAlignment w:val="center"/>
                    <w:rPr>
                      <w:rFonts w:hint="default" w:cs="宋体"/>
                      <w:color w:val="auto"/>
                      <w:sz w:val="21"/>
                      <w:szCs w:val="21"/>
                      <w:highlight w:val="none"/>
                      <w:lang w:val="en-US" w:eastAsia="zh-CN"/>
                    </w:rPr>
                  </w:pPr>
                  <w:r>
                    <w:rPr>
                      <w:rFonts w:hint="eastAsia" w:cs="宋体"/>
                      <w:color w:val="auto"/>
                      <w:sz w:val="21"/>
                      <w:szCs w:val="21"/>
                      <w:highlight w:val="none"/>
                      <w:lang w:val="en-US" w:eastAsia="zh-CN"/>
                    </w:rPr>
                    <w:t>达标</w:t>
                  </w:r>
                </w:p>
              </w:tc>
            </w:tr>
            <w:tr w14:paraId="72D687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7" w:type="pct"/>
                  <w:tcBorders>
                    <w:tl2br w:val="nil"/>
                    <w:tr2bl w:val="nil"/>
                  </w:tcBorders>
                  <w:vAlign w:val="center"/>
                </w:tcPr>
                <w:p w14:paraId="43EC9246">
                  <w:pPr>
                    <w:pStyle w:val="72"/>
                    <w:keepNext w:val="0"/>
                    <w:keepLines w:val="0"/>
                    <w:suppressLineNumbers w:val="0"/>
                    <w:spacing w:before="0" w:beforeAutospacing="0" w:after="0" w:afterAutospacing="0" w:line="240" w:lineRule="auto"/>
                    <w:ind w:left="0" w:leftChars="0" w:right="0" w:rightChars="0" w:firstLine="0" w:firstLineChars="0"/>
                    <w:jc w:val="center"/>
                    <w:rPr>
                      <w:rFonts w:hint="default"/>
                      <w:color w:val="auto"/>
                      <w:sz w:val="21"/>
                      <w:szCs w:val="21"/>
                      <w:highlight w:val="none"/>
                    </w:rPr>
                  </w:pPr>
                  <w:r>
                    <w:rPr>
                      <w:rFonts w:hint="eastAsia"/>
                      <w:color w:val="auto"/>
                      <w:sz w:val="21"/>
                      <w:szCs w:val="21"/>
                      <w:highlight w:val="none"/>
                      <w:lang w:val="en-US" w:eastAsia="zh-CN"/>
                    </w:rPr>
                    <w:t>3#厂界西侧</w:t>
                  </w:r>
                </w:p>
              </w:tc>
              <w:tc>
                <w:tcPr>
                  <w:tcW w:w="2614" w:type="pct"/>
                  <w:tcBorders>
                    <w:tl2br w:val="nil"/>
                    <w:tr2bl w:val="nil"/>
                  </w:tcBorders>
                  <w:noWrap/>
                  <w:vAlign w:val="center"/>
                </w:tcPr>
                <w:p w14:paraId="215EC98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eastAsia="黑体" w:cs="Times New Roman"/>
                      <w:color w:val="auto"/>
                      <w:kern w:val="2"/>
                      <w:sz w:val="21"/>
                      <w:szCs w:val="21"/>
                      <w:highlight w:val="none"/>
                      <w:lang w:val="en-US" w:eastAsia="zh-CN" w:bidi="ar-SA"/>
                    </w:rPr>
                    <w:t>41.30</w:t>
                  </w:r>
                </w:p>
              </w:tc>
              <w:tc>
                <w:tcPr>
                  <w:tcW w:w="608" w:type="pct"/>
                  <w:tcBorders>
                    <w:tl2br w:val="nil"/>
                    <w:tr2bl w:val="nil"/>
                  </w:tcBorders>
                  <w:noWrap/>
                  <w:vAlign w:val="center"/>
                </w:tcPr>
                <w:p w14:paraId="70F190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eastAsia="黑体" w:cs="Times New Roman"/>
                      <w:color w:val="auto"/>
                      <w:kern w:val="2"/>
                      <w:sz w:val="21"/>
                      <w:szCs w:val="21"/>
                      <w:highlight w:val="none"/>
                      <w:lang w:val="en-US" w:eastAsia="zh-CN" w:bidi="ar-SA"/>
                    </w:rPr>
                    <w:t>60</w:t>
                  </w:r>
                </w:p>
              </w:tc>
              <w:tc>
                <w:tcPr>
                  <w:tcW w:w="769" w:type="pct"/>
                  <w:tcBorders>
                    <w:tl2br w:val="nil"/>
                    <w:tr2bl w:val="nil"/>
                  </w:tcBorders>
                  <w:noWrap/>
                  <w:vAlign w:val="center"/>
                </w:tcPr>
                <w:p w14:paraId="4FB27B21">
                  <w:pPr>
                    <w:keepNext w:val="0"/>
                    <w:keepLines w:val="0"/>
                    <w:widowControl/>
                    <w:suppressLineNumbers w:val="0"/>
                    <w:spacing w:before="0" w:beforeAutospacing="0" w:after="0" w:afterAutospacing="0"/>
                    <w:ind w:left="-63" w:leftChars="-30" w:right="-63" w:rightChars="-30"/>
                    <w:jc w:val="center"/>
                    <w:textAlignment w:val="center"/>
                    <w:rPr>
                      <w:rFonts w:hint="default" w:cs="宋体"/>
                      <w:color w:val="auto"/>
                      <w:sz w:val="21"/>
                      <w:szCs w:val="21"/>
                      <w:highlight w:val="none"/>
                      <w:lang w:val="en-US" w:eastAsia="zh-CN"/>
                    </w:rPr>
                  </w:pPr>
                  <w:r>
                    <w:rPr>
                      <w:rFonts w:hint="eastAsia" w:cs="宋体"/>
                      <w:color w:val="auto"/>
                      <w:sz w:val="21"/>
                      <w:szCs w:val="21"/>
                      <w:highlight w:val="none"/>
                      <w:lang w:val="en-US" w:eastAsia="zh-CN"/>
                    </w:rPr>
                    <w:t>达标</w:t>
                  </w:r>
                </w:p>
              </w:tc>
            </w:tr>
            <w:tr w14:paraId="21897C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07" w:type="pct"/>
                  <w:tcBorders>
                    <w:tl2br w:val="nil"/>
                    <w:tr2bl w:val="nil"/>
                  </w:tcBorders>
                  <w:vAlign w:val="center"/>
                </w:tcPr>
                <w:p w14:paraId="6DA6B74B">
                  <w:pPr>
                    <w:keepNext w:val="0"/>
                    <w:keepLines w:val="0"/>
                    <w:suppressLineNumbers w:val="0"/>
                    <w:spacing w:before="0" w:beforeAutospacing="0" w:after="0" w:afterAutospacing="0"/>
                    <w:ind w:left="0" w:leftChars="0" w:right="0" w:rightChars="0"/>
                    <w:jc w:val="center"/>
                    <w:rPr>
                      <w:rFonts w:hint="default"/>
                      <w:color w:val="auto"/>
                      <w:sz w:val="21"/>
                      <w:szCs w:val="21"/>
                      <w:highlight w:val="none"/>
                    </w:rPr>
                  </w:pPr>
                  <w:r>
                    <w:rPr>
                      <w:rFonts w:hint="eastAsia"/>
                      <w:color w:val="auto"/>
                      <w:sz w:val="21"/>
                      <w:szCs w:val="21"/>
                      <w:highlight w:val="none"/>
                      <w:lang w:val="en-US" w:eastAsia="zh-CN"/>
                    </w:rPr>
                    <w:t>4#厂界北侧</w:t>
                  </w:r>
                </w:p>
              </w:tc>
              <w:tc>
                <w:tcPr>
                  <w:tcW w:w="2614" w:type="pct"/>
                  <w:tcBorders>
                    <w:tl2br w:val="nil"/>
                    <w:tr2bl w:val="nil"/>
                  </w:tcBorders>
                  <w:noWrap/>
                  <w:vAlign w:val="center"/>
                </w:tcPr>
                <w:p w14:paraId="511ED61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eastAsia="黑体" w:cs="Times New Roman"/>
                      <w:color w:val="auto"/>
                      <w:kern w:val="2"/>
                      <w:sz w:val="21"/>
                      <w:szCs w:val="21"/>
                      <w:highlight w:val="none"/>
                      <w:lang w:val="en-US" w:eastAsia="zh-CN" w:bidi="ar-SA"/>
                    </w:rPr>
                    <w:t>46.81</w:t>
                  </w:r>
                </w:p>
              </w:tc>
              <w:tc>
                <w:tcPr>
                  <w:tcW w:w="608" w:type="pct"/>
                  <w:tcBorders>
                    <w:tl2br w:val="nil"/>
                    <w:tr2bl w:val="nil"/>
                  </w:tcBorders>
                  <w:noWrap/>
                  <w:vAlign w:val="center"/>
                </w:tcPr>
                <w:p w14:paraId="68D8378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黑体" w:cs="Times New Roman"/>
                      <w:color w:val="auto"/>
                      <w:kern w:val="2"/>
                      <w:sz w:val="21"/>
                      <w:szCs w:val="21"/>
                      <w:highlight w:val="none"/>
                      <w:lang w:val="en-US" w:eastAsia="zh-CN" w:bidi="ar-SA"/>
                    </w:rPr>
                  </w:pPr>
                  <w:r>
                    <w:rPr>
                      <w:rFonts w:hint="eastAsia" w:eastAsia="黑体" w:cs="Times New Roman"/>
                      <w:color w:val="auto"/>
                      <w:kern w:val="2"/>
                      <w:sz w:val="21"/>
                      <w:szCs w:val="21"/>
                      <w:highlight w:val="none"/>
                      <w:lang w:val="en-US" w:eastAsia="zh-CN" w:bidi="ar-SA"/>
                    </w:rPr>
                    <w:t>60</w:t>
                  </w:r>
                </w:p>
              </w:tc>
              <w:tc>
                <w:tcPr>
                  <w:tcW w:w="769" w:type="pct"/>
                  <w:tcBorders>
                    <w:tl2br w:val="nil"/>
                    <w:tr2bl w:val="nil"/>
                  </w:tcBorders>
                  <w:noWrap/>
                  <w:vAlign w:val="center"/>
                </w:tcPr>
                <w:p w14:paraId="6605CF46">
                  <w:pPr>
                    <w:keepNext w:val="0"/>
                    <w:keepLines w:val="0"/>
                    <w:widowControl/>
                    <w:suppressLineNumbers w:val="0"/>
                    <w:spacing w:before="0" w:beforeAutospacing="0" w:after="0" w:afterAutospacing="0"/>
                    <w:ind w:left="-63" w:leftChars="-30" w:right="-63" w:rightChars="-30"/>
                    <w:jc w:val="center"/>
                    <w:textAlignment w:val="center"/>
                    <w:rPr>
                      <w:rFonts w:hint="default" w:cs="宋体"/>
                      <w:color w:val="auto"/>
                      <w:sz w:val="21"/>
                      <w:szCs w:val="21"/>
                      <w:highlight w:val="none"/>
                      <w:lang w:val="en-US" w:eastAsia="zh-CN"/>
                    </w:rPr>
                  </w:pPr>
                  <w:r>
                    <w:rPr>
                      <w:rFonts w:hint="eastAsia" w:cs="宋体"/>
                      <w:color w:val="auto"/>
                      <w:sz w:val="21"/>
                      <w:szCs w:val="21"/>
                      <w:highlight w:val="none"/>
                      <w:lang w:val="en-US" w:eastAsia="zh-CN"/>
                    </w:rPr>
                    <w:t>达标</w:t>
                  </w:r>
                </w:p>
              </w:tc>
            </w:tr>
          </w:tbl>
          <w:p w14:paraId="15711B1D">
            <w:pPr>
              <w:pStyle w:val="37"/>
              <w:keepNext w:val="0"/>
              <w:keepLines w:val="0"/>
              <w:pageBreakBefore w:val="0"/>
              <w:widowControl w:val="0"/>
              <w:kinsoku/>
              <w:wordWrap/>
              <w:overflowPunct/>
              <w:topLinePunct w:val="0"/>
              <w:autoSpaceDE w:val="0"/>
              <w:autoSpaceDN w:val="0"/>
              <w:bidi w:val="0"/>
              <w:adjustRightInd/>
              <w:snapToGrid/>
              <w:spacing w:before="157" w:beforeLines="50" w:line="360" w:lineRule="auto"/>
              <w:ind w:firstLine="480" w:firstLineChars="200"/>
              <w:jc w:val="both"/>
              <w:textAlignment w:val="baseline"/>
              <w:outlineLvl w:val="9"/>
              <w:rPr>
                <w:rFonts w:ascii="Times New Roman" w:hAnsi="Times New Roman"/>
                <w:color w:val="auto"/>
                <w:szCs w:val="24"/>
              </w:rPr>
            </w:pPr>
            <w:r>
              <w:rPr>
                <w:rFonts w:ascii="Times New Roman" w:hAnsi="Times New Roman"/>
                <w:color w:val="auto"/>
              </w:rPr>
              <w:t>由上表预测结果可以看出，本项目厂界噪声</w:t>
            </w:r>
            <w:r>
              <w:rPr>
                <w:rFonts w:hint="eastAsia" w:ascii="Times New Roman" w:hAnsi="Times New Roman"/>
                <w:color w:val="auto"/>
                <w:lang w:eastAsia="zh-CN"/>
              </w:rPr>
              <w:t>同时</w:t>
            </w:r>
            <w:r>
              <w:rPr>
                <w:rFonts w:ascii="Times New Roman" w:hAnsi="Times New Roman"/>
                <w:color w:val="auto"/>
              </w:rPr>
              <w:t>满足《工业企业厂界环境噪声排放标准》（GB12348-2008）中的</w:t>
            </w:r>
            <w:r>
              <w:rPr>
                <w:rFonts w:hint="eastAsia" w:ascii="Times New Roman" w:hAnsi="Times New Roman"/>
                <w:color w:val="auto"/>
                <w:lang w:val="en-US" w:eastAsia="zh-CN"/>
              </w:rPr>
              <w:t>2</w:t>
            </w:r>
            <w:r>
              <w:rPr>
                <w:rFonts w:ascii="Times New Roman" w:hAnsi="Times New Roman"/>
                <w:color w:val="auto"/>
              </w:rPr>
              <w:t>类标准</w:t>
            </w:r>
            <w:r>
              <w:rPr>
                <w:rFonts w:hint="eastAsia" w:ascii="Times New Roman" w:hAnsi="Times New Roman"/>
                <w:color w:val="auto"/>
                <w:lang w:eastAsia="zh-CN"/>
              </w:rPr>
              <w:t>以及《声环境质量标准》（GB 3096-2008）中</w:t>
            </w:r>
            <w:r>
              <w:rPr>
                <w:rFonts w:hint="eastAsia" w:ascii="Times New Roman" w:hAnsi="Times New Roman"/>
                <w:color w:val="auto"/>
                <w:lang w:val="en-US" w:eastAsia="zh-CN"/>
              </w:rPr>
              <w:t>2类声功能区类别</w:t>
            </w:r>
            <w:r>
              <w:rPr>
                <w:rFonts w:ascii="Times New Roman" w:hAnsi="Times New Roman"/>
                <w:color w:val="auto"/>
                <w:lang w:eastAsia="zh-Hans"/>
              </w:rPr>
              <w:t>。</w:t>
            </w:r>
            <w:r>
              <w:rPr>
                <w:rFonts w:ascii="Times New Roman" w:hAnsi="Times New Roman"/>
                <w:color w:val="auto"/>
              </w:rPr>
              <w:t>本项目</w:t>
            </w:r>
            <w:r>
              <w:rPr>
                <w:rFonts w:hint="eastAsia" w:ascii="Times New Roman" w:hAnsi="Times New Roman"/>
                <w:color w:val="auto"/>
                <w:lang w:eastAsia="zh-CN"/>
              </w:rPr>
              <w:t>设计</w:t>
            </w:r>
            <w:r>
              <w:rPr>
                <w:rFonts w:hint="eastAsia" w:ascii="Times New Roman" w:hAnsi="Times New Roman"/>
                <w:color w:val="auto"/>
              </w:rPr>
              <w:t>采取低噪设备、距离衰减、夜间不作业措施采取选购低噪声设备。采取这些减噪措施后，运行期间噪声对外环境的影响很小，不会改变项目所在地声环境质量状况。</w:t>
            </w:r>
          </w:p>
          <w:p w14:paraId="6FBA6C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eastAsia" w:cs="Times New Roman"/>
                <w:color w:val="auto"/>
                <w:sz w:val="24"/>
                <w:lang w:val="en-US" w:eastAsia="zh-CN"/>
              </w:rPr>
              <w:t>4</w:t>
            </w:r>
            <w:r>
              <w:rPr>
                <w:rFonts w:hint="default" w:ascii="Times New Roman" w:hAnsi="Times New Roman" w:eastAsia="宋体" w:cs="Times New Roman"/>
                <w:color w:val="auto"/>
                <w:sz w:val="24"/>
              </w:rPr>
              <w:t>、噪声监测要求：</w:t>
            </w:r>
          </w:p>
          <w:p w14:paraId="45C35D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根据《排污单位自行监测技术指南 总则》（HJ819-2017），本项目噪声监测计划如下：</w:t>
            </w:r>
          </w:p>
          <w:p w14:paraId="4F8416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eastAsia" w:cs="Times New Roman"/>
                <w:b/>
                <w:color w:val="auto"/>
                <w:sz w:val="21"/>
                <w:szCs w:val="21"/>
                <w:lang w:val="en-US" w:eastAsia="zh-CN"/>
              </w:rPr>
              <w:t>7</w:t>
            </w:r>
            <w:r>
              <w:rPr>
                <w:rFonts w:hint="default" w:ascii="Times New Roman" w:hAnsi="Times New Roman" w:eastAsia="宋体" w:cs="Times New Roman"/>
                <w:b/>
                <w:color w:val="auto"/>
                <w:sz w:val="21"/>
                <w:szCs w:val="21"/>
              </w:rPr>
              <w:t xml:space="preserve"> 监测要求</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665"/>
              <w:gridCol w:w="1067"/>
              <w:gridCol w:w="1118"/>
              <w:gridCol w:w="3517"/>
            </w:tblGrid>
            <w:tr w14:paraId="145E5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13" w:type="dxa"/>
                  <w:noWrap w:val="0"/>
                  <w:vAlign w:val="center"/>
                </w:tcPr>
                <w:p w14:paraId="53DB89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1665" w:type="dxa"/>
                  <w:noWrap w:val="0"/>
                  <w:vAlign w:val="center"/>
                </w:tcPr>
                <w:p w14:paraId="1EF46B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监测位点</w:t>
                  </w:r>
                </w:p>
              </w:tc>
              <w:tc>
                <w:tcPr>
                  <w:tcW w:w="1067" w:type="dxa"/>
                  <w:noWrap w:val="0"/>
                  <w:vAlign w:val="center"/>
                </w:tcPr>
                <w:p w14:paraId="3E22F5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监测指标</w:t>
                  </w:r>
                </w:p>
              </w:tc>
              <w:tc>
                <w:tcPr>
                  <w:tcW w:w="1118" w:type="dxa"/>
                  <w:noWrap w:val="0"/>
                  <w:vAlign w:val="center"/>
                </w:tcPr>
                <w:p w14:paraId="12B8FB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监测频次</w:t>
                  </w:r>
                </w:p>
              </w:tc>
              <w:tc>
                <w:tcPr>
                  <w:tcW w:w="3517" w:type="dxa"/>
                  <w:noWrap w:val="0"/>
                  <w:vAlign w:val="center"/>
                </w:tcPr>
                <w:p w14:paraId="6ACB3E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执行排放标准</w:t>
                  </w:r>
                </w:p>
              </w:tc>
            </w:tr>
            <w:tr w14:paraId="0CD11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13" w:type="dxa"/>
                  <w:noWrap w:val="0"/>
                  <w:vAlign w:val="center"/>
                </w:tcPr>
                <w:p w14:paraId="21F01D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665" w:type="dxa"/>
                  <w:noWrap w:val="0"/>
                  <w:vAlign w:val="center"/>
                </w:tcPr>
                <w:p w14:paraId="4E044C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w:t>
                  </w:r>
                  <w:r>
                    <w:rPr>
                      <w:rFonts w:hint="default" w:ascii="Times New Roman" w:hAnsi="Times New Roman" w:eastAsia="宋体" w:cs="Times New Roman"/>
                      <w:color w:val="auto"/>
                      <w:sz w:val="21"/>
                      <w:szCs w:val="21"/>
                      <w:lang w:eastAsia="zh-Hans"/>
                    </w:rPr>
                    <w:t>东侧、西侧、</w:t>
                  </w:r>
                  <w:r>
                    <w:rPr>
                      <w:rFonts w:hint="default" w:ascii="Times New Roman" w:hAnsi="Times New Roman" w:eastAsia="宋体" w:cs="Times New Roman"/>
                      <w:color w:val="auto"/>
                      <w:sz w:val="21"/>
                      <w:szCs w:val="21"/>
                    </w:rPr>
                    <w:t>南</w:t>
                  </w:r>
                  <w:r>
                    <w:rPr>
                      <w:rFonts w:hint="default" w:ascii="Times New Roman" w:hAnsi="Times New Roman" w:eastAsia="宋体" w:cs="Times New Roman"/>
                      <w:color w:val="auto"/>
                      <w:sz w:val="21"/>
                      <w:szCs w:val="21"/>
                      <w:lang w:eastAsia="zh-Hans"/>
                    </w:rPr>
                    <w:t>侧</w:t>
                  </w:r>
                  <w:r>
                    <w:rPr>
                      <w:rFonts w:hint="default" w:ascii="Times New Roman" w:hAnsi="Times New Roman" w:eastAsia="宋体" w:cs="Times New Roman"/>
                      <w:color w:val="auto"/>
                      <w:sz w:val="21"/>
                      <w:szCs w:val="21"/>
                    </w:rPr>
                    <w:t>、北侧</w:t>
                  </w:r>
                </w:p>
              </w:tc>
              <w:tc>
                <w:tcPr>
                  <w:tcW w:w="1067" w:type="dxa"/>
                  <w:noWrap w:val="0"/>
                  <w:vAlign w:val="center"/>
                </w:tcPr>
                <w:p w14:paraId="64A9A8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Leq</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A</w:t>
                  </w:r>
                  <w:r>
                    <w:rPr>
                      <w:rFonts w:hint="eastAsia" w:cs="Times New Roman"/>
                      <w:color w:val="auto"/>
                      <w:sz w:val="21"/>
                      <w:szCs w:val="21"/>
                      <w:lang w:eastAsia="zh-CN"/>
                    </w:rPr>
                    <w:t>）</w:t>
                  </w:r>
                </w:p>
              </w:tc>
              <w:tc>
                <w:tcPr>
                  <w:tcW w:w="1118" w:type="dxa"/>
                  <w:noWrap w:val="0"/>
                  <w:vAlign w:val="center"/>
                </w:tcPr>
                <w:p w14:paraId="191639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1次/季</w:t>
                  </w:r>
                </w:p>
              </w:tc>
              <w:tc>
                <w:tcPr>
                  <w:tcW w:w="3517" w:type="dxa"/>
                  <w:noWrap w:val="0"/>
                  <w:vAlign w:val="center"/>
                </w:tcPr>
                <w:p w14:paraId="71CAD0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w:t>
                  </w:r>
                </w:p>
                <w:p w14:paraId="42F734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放标准》（GB12348-2008）2类标准</w:t>
                  </w:r>
                </w:p>
              </w:tc>
            </w:tr>
          </w:tbl>
          <w:p w14:paraId="2B9D45F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四、固体废物</w:t>
            </w:r>
          </w:p>
          <w:p w14:paraId="3E97BEE0">
            <w:pPr>
              <w:widowControl w:val="0"/>
              <w:kinsoku/>
              <w:autoSpaceDE/>
              <w:autoSpaceDN/>
              <w:adjustRightInd/>
              <w:snapToGrid/>
              <w:spacing w:line="360" w:lineRule="auto"/>
              <w:ind w:firstLine="480" w:firstLineChars="200"/>
              <w:jc w:val="both"/>
              <w:textAlignment w:val="auto"/>
              <w:outlineLvl w:val="9"/>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lang w:eastAsia="zh-CN"/>
              </w:rPr>
              <w:t>1、属性判定</w:t>
            </w:r>
          </w:p>
          <w:p w14:paraId="5E827C87">
            <w:pPr>
              <w:adjustRightInd/>
              <w:snapToGrid/>
              <w:spacing w:line="360" w:lineRule="auto"/>
              <w:ind w:firstLine="480" w:firstLineChars="200"/>
              <w:jc w:val="both"/>
              <w:outlineLvl w:val="9"/>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根据《中华人民共和国固体废物污染环境防治法》和国家标准《固体废物鉴别标准 通则》（GB 34330-2017）的相关规定，对本项目产生的物质（除目标产物，即：产品、副产品外）是否属于固体废物进行判定，具体详见表4-</w:t>
            </w:r>
            <w:r>
              <w:rPr>
                <w:rFonts w:hint="eastAsia" w:cs="Times New Roman"/>
                <w:color w:val="auto"/>
                <w:sz w:val="24"/>
                <w:szCs w:val="24"/>
                <w:lang w:val="en-US" w:eastAsia="zh-CN"/>
              </w:rPr>
              <w:t>8</w:t>
            </w:r>
            <w:r>
              <w:rPr>
                <w:rFonts w:ascii="Times New Roman" w:hAnsi="Times New Roman" w:eastAsia="宋体" w:cs="Times New Roman"/>
                <w:color w:val="auto"/>
                <w:sz w:val="24"/>
                <w:szCs w:val="24"/>
                <w:lang w:eastAsia="zh-CN"/>
              </w:rPr>
              <w:t>。</w:t>
            </w:r>
          </w:p>
          <w:p w14:paraId="6E66818C">
            <w:pPr>
              <w:widowControl w:val="0"/>
              <w:kinsoku/>
              <w:autoSpaceDE/>
              <w:autoSpaceDN/>
              <w:adjustRightInd/>
              <w:snapToGrid/>
              <w:jc w:val="center"/>
              <w:textAlignment w:val="auto"/>
              <w:outlineLvl w:val="9"/>
              <w:rPr>
                <w:rFonts w:ascii="Times New Roman" w:hAnsi="Times New Roman" w:eastAsia="宋体" w:cs="Times New Roman"/>
                <w:b/>
                <w:color w:val="auto"/>
                <w:lang w:eastAsia="zh-CN"/>
              </w:rPr>
            </w:pPr>
            <w:r>
              <w:rPr>
                <w:rFonts w:ascii="Times New Roman" w:hAnsi="Times New Roman" w:eastAsia="宋体" w:cs="Times New Roman"/>
                <w:b/>
                <w:color w:val="auto"/>
              </w:rPr>
              <w:t>表4-</w:t>
            </w:r>
            <w:r>
              <w:rPr>
                <w:rFonts w:hint="eastAsia" w:cs="Times New Roman"/>
                <w:b/>
                <w:color w:val="auto"/>
                <w:lang w:val="en-US" w:eastAsia="zh-CN"/>
              </w:rPr>
              <w:t>8</w:t>
            </w:r>
            <w:r>
              <w:rPr>
                <w:rFonts w:ascii="Times New Roman" w:hAnsi="Times New Roman" w:eastAsia="宋体" w:cs="Times New Roman"/>
                <w:b/>
                <w:color w:val="auto"/>
              </w:rPr>
              <w:t xml:space="preserve"> </w:t>
            </w:r>
            <w:r>
              <w:rPr>
                <w:rFonts w:ascii="Times New Roman" w:hAnsi="Times New Roman" w:eastAsia="宋体" w:cs="Times New Roman"/>
                <w:b/>
                <w:color w:val="auto"/>
                <w:lang w:eastAsia="zh-CN"/>
              </w:rPr>
              <w:t>固体废物属性判断</w:t>
            </w:r>
          </w:p>
          <w:tbl>
            <w:tblPr>
              <w:tblStyle w:val="31"/>
              <w:tblW w:w="494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9"/>
              <w:gridCol w:w="1137"/>
              <w:gridCol w:w="1323"/>
              <w:gridCol w:w="490"/>
              <w:gridCol w:w="986"/>
              <w:gridCol w:w="943"/>
              <w:gridCol w:w="1037"/>
              <w:gridCol w:w="1693"/>
            </w:tblGrid>
            <w:tr w14:paraId="7D6380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dxa"/>
                  <w:tcBorders>
                    <w:tl2br w:val="nil"/>
                    <w:tr2bl w:val="nil"/>
                  </w:tcBorders>
                  <w:vAlign w:val="center"/>
                </w:tcPr>
                <w:p w14:paraId="4F6E36D1">
                  <w:pPr>
                    <w:pStyle w:val="37"/>
                    <w:adjustRightInd/>
                    <w:outlineLvl w:val="9"/>
                    <w:rPr>
                      <w:rFonts w:ascii="Times New Roman" w:hAnsi="Times New Roman"/>
                      <w:b/>
                      <w:bCs/>
                      <w:color w:val="auto"/>
                      <w:sz w:val="21"/>
                      <w:szCs w:val="21"/>
                    </w:rPr>
                  </w:pPr>
                  <w:r>
                    <w:rPr>
                      <w:rFonts w:ascii="Times New Roman" w:hAnsi="Times New Roman"/>
                      <w:b/>
                      <w:bCs/>
                      <w:color w:val="auto"/>
                      <w:sz w:val="21"/>
                      <w:szCs w:val="21"/>
                    </w:rPr>
                    <w:t>编号</w:t>
                  </w:r>
                </w:p>
              </w:tc>
              <w:tc>
                <w:tcPr>
                  <w:tcW w:w="1137" w:type="dxa"/>
                  <w:tcBorders>
                    <w:tl2br w:val="nil"/>
                    <w:tr2bl w:val="nil"/>
                  </w:tcBorders>
                  <w:vAlign w:val="center"/>
                </w:tcPr>
                <w:p w14:paraId="6DBE1EF6">
                  <w:pPr>
                    <w:pStyle w:val="37"/>
                    <w:adjustRightInd/>
                    <w:outlineLvl w:val="9"/>
                    <w:rPr>
                      <w:rFonts w:ascii="Times New Roman" w:hAnsi="Times New Roman"/>
                      <w:b/>
                      <w:bCs/>
                      <w:color w:val="auto"/>
                      <w:sz w:val="21"/>
                      <w:szCs w:val="21"/>
                    </w:rPr>
                  </w:pPr>
                  <w:r>
                    <w:rPr>
                      <w:rFonts w:ascii="Times New Roman" w:hAnsi="Times New Roman"/>
                      <w:b/>
                      <w:bCs/>
                      <w:color w:val="auto"/>
                      <w:sz w:val="21"/>
                      <w:szCs w:val="21"/>
                    </w:rPr>
                    <w:t>物质</w:t>
                  </w:r>
                </w:p>
                <w:p w14:paraId="63BF50FB">
                  <w:pPr>
                    <w:pStyle w:val="37"/>
                    <w:adjustRightInd/>
                    <w:outlineLvl w:val="9"/>
                    <w:rPr>
                      <w:rFonts w:ascii="Times New Roman" w:hAnsi="Times New Roman"/>
                      <w:b/>
                      <w:bCs/>
                      <w:color w:val="auto"/>
                      <w:sz w:val="21"/>
                      <w:szCs w:val="21"/>
                    </w:rPr>
                  </w:pPr>
                  <w:r>
                    <w:rPr>
                      <w:rFonts w:ascii="Times New Roman" w:hAnsi="Times New Roman"/>
                      <w:b/>
                      <w:bCs/>
                      <w:color w:val="auto"/>
                      <w:sz w:val="21"/>
                      <w:szCs w:val="21"/>
                    </w:rPr>
                    <w:t>名称</w:t>
                  </w:r>
                </w:p>
              </w:tc>
              <w:tc>
                <w:tcPr>
                  <w:tcW w:w="1323" w:type="dxa"/>
                  <w:tcBorders>
                    <w:tl2br w:val="nil"/>
                    <w:tr2bl w:val="nil"/>
                  </w:tcBorders>
                  <w:vAlign w:val="center"/>
                </w:tcPr>
                <w:p w14:paraId="29AF75E9">
                  <w:pPr>
                    <w:pStyle w:val="37"/>
                    <w:adjustRightInd/>
                    <w:outlineLvl w:val="9"/>
                    <w:rPr>
                      <w:rFonts w:ascii="Times New Roman" w:hAnsi="Times New Roman"/>
                      <w:b/>
                      <w:bCs/>
                      <w:color w:val="auto"/>
                      <w:sz w:val="21"/>
                      <w:szCs w:val="21"/>
                    </w:rPr>
                  </w:pPr>
                  <w:r>
                    <w:rPr>
                      <w:rFonts w:ascii="Times New Roman" w:hAnsi="Times New Roman"/>
                      <w:b/>
                      <w:bCs/>
                      <w:color w:val="auto"/>
                      <w:sz w:val="21"/>
                      <w:szCs w:val="21"/>
                    </w:rPr>
                    <w:t>产生环节</w:t>
                  </w:r>
                </w:p>
              </w:tc>
              <w:tc>
                <w:tcPr>
                  <w:tcW w:w="490" w:type="dxa"/>
                  <w:tcBorders>
                    <w:tl2br w:val="nil"/>
                    <w:tr2bl w:val="nil"/>
                  </w:tcBorders>
                  <w:vAlign w:val="center"/>
                </w:tcPr>
                <w:p w14:paraId="2335B254">
                  <w:pPr>
                    <w:pStyle w:val="37"/>
                    <w:adjustRightInd/>
                    <w:outlineLvl w:val="9"/>
                    <w:rPr>
                      <w:rFonts w:ascii="Times New Roman" w:hAnsi="Times New Roman"/>
                      <w:b/>
                      <w:bCs/>
                      <w:color w:val="auto"/>
                      <w:sz w:val="21"/>
                      <w:szCs w:val="21"/>
                    </w:rPr>
                  </w:pPr>
                  <w:r>
                    <w:rPr>
                      <w:rFonts w:ascii="Times New Roman" w:hAnsi="Times New Roman"/>
                      <w:b/>
                      <w:bCs/>
                      <w:color w:val="auto"/>
                      <w:sz w:val="21"/>
                      <w:szCs w:val="21"/>
                    </w:rPr>
                    <w:t>形态</w:t>
                  </w:r>
                </w:p>
              </w:tc>
              <w:tc>
                <w:tcPr>
                  <w:tcW w:w="986" w:type="dxa"/>
                  <w:tcBorders>
                    <w:tl2br w:val="nil"/>
                    <w:tr2bl w:val="nil"/>
                  </w:tcBorders>
                  <w:vAlign w:val="center"/>
                </w:tcPr>
                <w:p w14:paraId="4327E831">
                  <w:pPr>
                    <w:pStyle w:val="37"/>
                    <w:adjustRightInd/>
                    <w:outlineLvl w:val="9"/>
                    <w:rPr>
                      <w:rFonts w:ascii="Times New Roman" w:hAnsi="Times New Roman"/>
                      <w:b/>
                      <w:bCs/>
                      <w:color w:val="auto"/>
                      <w:sz w:val="21"/>
                      <w:szCs w:val="21"/>
                    </w:rPr>
                  </w:pPr>
                  <w:r>
                    <w:rPr>
                      <w:rFonts w:ascii="Times New Roman" w:hAnsi="Times New Roman"/>
                      <w:b/>
                      <w:bCs/>
                      <w:color w:val="auto"/>
                      <w:sz w:val="21"/>
                      <w:szCs w:val="21"/>
                    </w:rPr>
                    <w:t>主要</w:t>
                  </w:r>
                </w:p>
                <w:p w14:paraId="03461731">
                  <w:pPr>
                    <w:pStyle w:val="37"/>
                    <w:adjustRightInd/>
                    <w:outlineLvl w:val="9"/>
                    <w:rPr>
                      <w:rFonts w:ascii="Times New Roman" w:hAnsi="Times New Roman"/>
                      <w:b/>
                      <w:bCs/>
                      <w:color w:val="auto"/>
                      <w:sz w:val="21"/>
                      <w:szCs w:val="21"/>
                    </w:rPr>
                  </w:pPr>
                  <w:r>
                    <w:rPr>
                      <w:rFonts w:ascii="Times New Roman" w:hAnsi="Times New Roman"/>
                      <w:b/>
                      <w:bCs/>
                      <w:color w:val="auto"/>
                      <w:sz w:val="21"/>
                      <w:szCs w:val="21"/>
                    </w:rPr>
                    <w:t>成分</w:t>
                  </w:r>
                </w:p>
              </w:tc>
              <w:tc>
                <w:tcPr>
                  <w:tcW w:w="943" w:type="dxa"/>
                  <w:tcBorders>
                    <w:tl2br w:val="nil"/>
                    <w:tr2bl w:val="nil"/>
                  </w:tcBorders>
                  <w:vAlign w:val="center"/>
                </w:tcPr>
                <w:p w14:paraId="7E948109">
                  <w:pPr>
                    <w:pStyle w:val="37"/>
                    <w:adjustRightInd/>
                    <w:outlineLvl w:val="9"/>
                    <w:rPr>
                      <w:rFonts w:ascii="Times New Roman" w:hAnsi="Times New Roman"/>
                      <w:b/>
                      <w:bCs/>
                      <w:color w:val="auto"/>
                      <w:sz w:val="21"/>
                      <w:szCs w:val="21"/>
                    </w:rPr>
                  </w:pPr>
                  <w:r>
                    <w:rPr>
                      <w:rFonts w:hint="eastAsia" w:ascii="Times New Roman" w:hAnsi="Times New Roman"/>
                      <w:b/>
                      <w:bCs/>
                      <w:color w:val="auto"/>
                      <w:sz w:val="21"/>
                      <w:szCs w:val="21"/>
                    </w:rPr>
                    <w:t>固体废物属性</w:t>
                  </w:r>
                </w:p>
              </w:tc>
              <w:tc>
                <w:tcPr>
                  <w:tcW w:w="1037" w:type="dxa"/>
                  <w:tcBorders>
                    <w:tl2br w:val="nil"/>
                    <w:tr2bl w:val="nil"/>
                  </w:tcBorders>
                  <w:vAlign w:val="center"/>
                </w:tcPr>
                <w:p w14:paraId="71A1240B">
                  <w:pPr>
                    <w:pStyle w:val="37"/>
                    <w:adjustRightInd/>
                    <w:outlineLvl w:val="9"/>
                    <w:rPr>
                      <w:rFonts w:ascii="Times New Roman" w:hAnsi="Times New Roman"/>
                      <w:b/>
                      <w:bCs/>
                      <w:color w:val="auto"/>
                      <w:sz w:val="21"/>
                      <w:szCs w:val="21"/>
                    </w:rPr>
                  </w:pPr>
                  <w:r>
                    <w:rPr>
                      <w:rFonts w:ascii="Times New Roman" w:hAnsi="Times New Roman"/>
                      <w:b/>
                      <w:bCs/>
                      <w:color w:val="auto"/>
                      <w:sz w:val="21"/>
                      <w:szCs w:val="21"/>
                    </w:rPr>
                    <w:t>是否属于固体废物</w:t>
                  </w:r>
                </w:p>
              </w:tc>
              <w:tc>
                <w:tcPr>
                  <w:tcW w:w="1693" w:type="dxa"/>
                  <w:tcBorders>
                    <w:tl2br w:val="nil"/>
                    <w:tr2bl w:val="nil"/>
                  </w:tcBorders>
                  <w:vAlign w:val="center"/>
                </w:tcPr>
                <w:p w14:paraId="78FF55BA">
                  <w:pPr>
                    <w:pStyle w:val="37"/>
                    <w:adjustRightInd/>
                    <w:outlineLvl w:val="9"/>
                    <w:rPr>
                      <w:rFonts w:ascii="Times New Roman" w:hAnsi="Times New Roman"/>
                      <w:b/>
                      <w:bCs/>
                      <w:color w:val="auto"/>
                      <w:sz w:val="21"/>
                      <w:szCs w:val="21"/>
                    </w:rPr>
                  </w:pPr>
                  <w:r>
                    <w:rPr>
                      <w:rFonts w:ascii="Times New Roman" w:hAnsi="Times New Roman"/>
                      <w:b/>
                      <w:bCs/>
                      <w:color w:val="auto"/>
                      <w:sz w:val="21"/>
                      <w:szCs w:val="21"/>
                    </w:rPr>
                    <w:t>判定依据</w:t>
                  </w:r>
                </w:p>
              </w:tc>
            </w:tr>
            <w:tr w14:paraId="3515DF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dxa"/>
                  <w:tcBorders>
                    <w:tl2br w:val="nil"/>
                    <w:tr2bl w:val="nil"/>
                  </w:tcBorders>
                  <w:vAlign w:val="center"/>
                </w:tcPr>
                <w:p w14:paraId="16C9621A">
                  <w:pPr>
                    <w:pStyle w:val="37"/>
                    <w:adjustRightInd/>
                    <w:outlineLvl w:val="9"/>
                    <w:rPr>
                      <w:rFonts w:ascii="Times New Roman" w:hAnsi="Times New Roman"/>
                      <w:color w:val="auto"/>
                      <w:sz w:val="21"/>
                      <w:szCs w:val="21"/>
                    </w:rPr>
                  </w:pPr>
                  <w:r>
                    <w:rPr>
                      <w:rFonts w:ascii="Times New Roman" w:hAnsi="Times New Roman"/>
                      <w:color w:val="auto"/>
                      <w:sz w:val="21"/>
                      <w:szCs w:val="21"/>
                    </w:rPr>
                    <w:t>1</w:t>
                  </w:r>
                </w:p>
              </w:tc>
              <w:tc>
                <w:tcPr>
                  <w:tcW w:w="1137" w:type="dxa"/>
                  <w:tcBorders>
                    <w:tl2br w:val="nil"/>
                    <w:tr2bl w:val="nil"/>
                  </w:tcBorders>
                  <w:vAlign w:val="center"/>
                </w:tcPr>
                <w:p w14:paraId="64211FF3">
                  <w:pPr>
                    <w:pStyle w:val="37"/>
                    <w:adjustRightInd/>
                    <w:outlineLvl w:val="9"/>
                    <w:rPr>
                      <w:rFonts w:ascii="Times New Roman" w:hAnsi="Times New Roman"/>
                      <w:color w:val="auto"/>
                      <w:sz w:val="21"/>
                      <w:szCs w:val="21"/>
                    </w:rPr>
                  </w:pPr>
                  <w:r>
                    <w:rPr>
                      <w:rFonts w:ascii="Times New Roman" w:hAnsi="Times New Roman"/>
                      <w:color w:val="auto"/>
                      <w:sz w:val="21"/>
                      <w:szCs w:val="21"/>
                    </w:rPr>
                    <w:t>生活垃圾</w:t>
                  </w:r>
                </w:p>
              </w:tc>
              <w:tc>
                <w:tcPr>
                  <w:tcW w:w="1323" w:type="dxa"/>
                  <w:tcBorders>
                    <w:tl2br w:val="nil"/>
                    <w:tr2bl w:val="nil"/>
                  </w:tcBorders>
                  <w:vAlign w:val="center"/>
                </w:tcPr>
                <w:p w14:paraId="01BECAE7">
                  <w:pPr>
                    <w:pStyle w:val="37"/>
                    <w:adjustRightInd/>
                    <w:outlineLvl w:val="9"/>
                    <w:rPr>
                      <w:rFonts w:ascii="Times New Roman" w:hAnsi="Times New Roman"/>
                      <w:color w:val="auto"/>
                      <w:sz w:val="21"/>
                      <w:szCs w:val="21"/>
                    </w:rPr>
                  </w:pPr>
                  <w:r>
                    <w:rPr>
                      <w:rFonts w:ascii="Times New Roman" w:hAnsi="Times New Roman"/>
                      <w:color w:val="auto"/>
                      <w:sz w:val="21"/>
                      <w:szCs w:val="21"/>
                    </w:rPr>
                    <w:t>员工生活</w:t>
                  </w:r>
                </w:p>
              </w:tc>
              <w:tc>
                <w:tcPr>
                  <w:tcW w:w="490" w:type="dxa"/>
                  <w:tcBorders>
                    <w:tl2br w:val="nil"/>
                    <w:tr2bl w:val="nil"/>
                  </w:tcBorders>
                  <w:vAlign w:val="center"/>
                </w:tcPr>
                <w:p w14:paraId="778002F1">
                  <w:pPr>
                    <w:pStyle w:val="37"/>
                    <w:adjustRightInd/>
                    <w:outlineLvl w:val="9"/>
                    <w:rPr>
                      <w:rFonts w:ascii="Times New Roman" w:hAnsi="Times New Roman"/>
                      <w:color w:val="auto"/>
                      <w:sz w:val="21"/>
                      <w:szCs w:val="21"/>
                    </w:rPr>
                  </w:pPr>
                  <w:r>
                    <w:rPr>
                      <w:rFonts w:ascii="Times New Roman" w:hAnsi="Times New Roman"/>
                      <w:color w:val="auto"/>
                      <w:sz w:val="21"/>
                      <w:szCs w:val="21"/>
                    </w:rPr>
                    <w:t>固态</w:t>
                  </w:r>
                </w:p>
              </w:tc>
              <w:tc>
                <w:tcPr>
                  <w:tcW w:w="986" w:type="dxa"/>
                  <w:tcBorders>
                    <w:tl2br w:val="nil"/>
                    <w:tr2bl w:val="nil"/>
                  </w:tcBorders>
                  <w:vAlign w:val="center"/>
                </w:tcPr>
                <w:p w14:paraId="583453CD">
                  <w:pPr>
                    <w:pStyle w:val="37"/>
                    <w:adjustRightInd/>
                    <w:outlineLvl w:val="9"/>
                    <w:rPr>
                      <w:rFonts w:ascii="Times New Roman" w:hAnsi="Times New Roman"/>
                      <w:color w:val="auto"/>
                      <w:sz w:val="21"/>
                      <w:szCs w:val="21"/>
                    </w:rPr>
                  </w:pPr>
                  <w:r>
                    <w:rPr>
                      <w:rFonts w:ascii="Times New Roman" w:hAnsi="Times New Roman"/>
                      <w:color w:val="auto"/>
                      <w:sz w:val="21"/>
                      <w:szCs w:val="21"/>
                    </w:rPr>
                    <w:t>生活</w:t>
                  </w:r>
                </w:p>
                <w:p w14:paraId="49EB6524">
                  <w:pPr>
                    <w:pStyle w:val="37"/>
                    <w:adjustRightInd/>
                    <w:outlineLvl w:val="9"/>
                    <w:rPr>
                      <w:rFonts w:ascii="Times New Roman" w:hAnsi="Times New Roman"/>
                      <w:color w:val="auto"/>
                      <w:sz w:val="21"/>
                      <w:szCs w:val="21"/>
                    </w:rPr>
                  </w:pPr>
                  <w:r>
                    <w:rPr>
                      <w:rFonts w:ascii="Times New Roman" w:hAnsi="Times New Roman"/>
                      <w:color w:val="auto"/>
                      <w:sz w:val="21"/>
                      <w:szCs w:val="21"/>
                    </w:rPr>
                    <w:t>垃圾</w:t>
                  </w:r>
                </w:p>
              </w:tc>
              <w:tc>
                <w:tcPr>
                  <w:tcW w:w="943" w:type="dxa"/>
                  <w:vMerge w:val="restart"/>
                  <w:tcBorders>
                    <w:tl2br w:val="nil"/>
                    <w:tr2bl w:val="nil"/>
                  </w:tcBorders>
                  <w:vAlign w:val="center"/>
                </w:tcPr>
                <w:p w14:paraId="00383C33">
                  <w:pPr>
                    <w:pStyle w:val="37"/>
                    <w:adjustRightInd/>
                    <w:outlineLvl w:val="9"/>
                    <w:rPr>
                      <w:rFonts w:ascii="Times New Roman" w:hAnsi="Times New Roman"/>
                      <w:color w:val="auto"/>
                      <w:sz w:val="21"/>
                      <w:szCs w:val="21"/>
                    </w:rPr>
                  </w:pPr>
                  <w:r>
                    <w:rPr>
                      <w:rFonts w:hint="eastAsia" w:ascii="Times New Roman" w:hAnsi="Times New Roman"/>
                      <w:color w:val="auto"/>
                      <w:sz w:val="21"/>
                      <w:szCs w:val="21"/>
                    </w:rPr>
                    <w:t>一般工业固体废物</w:t>
                  </w:r>
                </w:p>
              </w:tc>
              <w:tc>
                <w:tcPr>
                  <w:tcW w:w="1037" w:type="dxa"/>
                  <w:tcBorders>
                    <w:tl2br w:val="nil"/>
                    <w:tr2bl w:val="nil"/>
                  </w:tcBorders>
                  <w:vAlign w:val="center"/>
                </w:tcPr>
                <w:p w14:paraId="6F631C82">
                  <w:pPr>
                    <w:pStyle w:val="37"/>
                    <w:adjustRightInd/>
                    <w:outlineLvl w:val="9"/>
                    <w:rPr>
                      <w:rFonts w:ascii="Times New Roman" w:hAnsi="Times New Roman"/>
                      <w:color w:val="auto"/>
                      <w:sz w:val="21"/>
                      <w:szCs w:val="21"/>
                    </w:rPr>
                  </w:pPr>
                  <w:r>
                    <w:rPr>
                      <w:rFonts w:ascii="Times New Roman" w:hAnsi="Times New Roman"/>
                      <w:color w:val="auto"/>
                      <w:sz w:val="21"/>
                      <w:szCs w:val="21"/>
                    </w:rPr>
                    <w:t>是</w:t>
                  </w:r>
                </w:p>
              </w:tc>
              <w:tc>
                <w:tcPr>
                  <w:tcW w:w="1693" w:type="dxa"/>
                  <w:tcBorders>
                    <w:tl2br w:val="nil"/>
                    <w:tr2bl w:val="nil"/>
                  </w:tcBorders>
                  <w:vAlign w:val="center"/>
                </w:tcPr>
                <w:p w14:paraId="6A4DB3C7">
                  <w:pPr>
                    <w:pStyle w:val="37"/>
                    <w:adjustRightInd/>
                    <w:outlineLvl w:val="9"/>
                    <w:rPr>
                      <w:rFonts w:ascii="Times New Roman" w:hAnsi="Times New Roman"/>
                      <w:color w:val="auto"/>
                      <w:sz w:val="21"/>
                      <w:szCs w:val="21"/>
                    </w:rPr>
                  </w:pPr>
                  <w:r>
                    <w:rPr>
                      <w:rFonts w:ascii="Times New Roman" w:hAnsi="Times New Roman"/>
                      <w:color w:val="auto"/>
                      <w:sz w:val="21"/>
                      <w:szCs w:val="21"/>
                    </w:rPr>
                    <w:t>中华人民共和国固体废物污染环境防治法</w:t>
                  </w:r>
                </w:p>
              </w:tc>
            </w:tr>
            <w:tr w14:paraId="0FBA9F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dxa"/>
                  <w:tcBorders>
                    <w:tl2br w:val="nil"/>
                    <w:tr2bl w:val="nil"/>
                  </w:tcBorders>
                  <w:shd w:val="clear" w:color="auto" w:fill="auto"/>
                  <w:vAlign w:val="center"/>
                </w:tcPr>
                <w:p w14:paraId="084A5027">
                  <w:pPr>
                    <w:pStyle w:val="37"/>
                    <w:adjustRightInd/>
                    <w:outlineLvl w:val="9"/>
                    <w:rPr>
                      <w:rFonts w:hint="eastAsia" w:ascii="Times New Roman" w:hAnsi="Times New Roman" w:eastAsia="宋体" w:cs="Times New Roman"/>
                      <w:color w:val="auto"/>
                      <w:sz w:val="21"/>
                      <w:szCs w:val="21"/>
                      <w:lang w:val="en-US" w:eastAsia="zh-CN" w:bidi="ar-SA"/>
                    </w:rPr>
                  </w:pPr>
                  <w:r>
                    <w:rPr>
                      <w:rFonts w:hint="eastAsia" w:ascii="Times New Roman" w:hAnsi="Times New Roman"/>
                      <w:color w:val="auto"/>
                      <w:sz w:val="21"/>
                      <w:szCs w:val="21"/>
                      <w:lang w:val="en-US" w:eastAsia="zh-CN"/>
                    </w:rPr>
                    <w:t>2</w:t>
                  </w:r>
                </w:p>
              </w:tc>
              <w:tc>
                <w:tcPr>
                  <w:tcW w:w="1137" w:type="dxa"/>
                  <w:tcBorders>
                    <w:tl2br w:val="nil"/>
                    <w:tr2bl w:val="nil"/>
                  </w:tcBorders>
                  <w:vAlign w:val="center"/>
                </w:tcPr>
                <w:p w14:paraId="45F8C692">
                  <w:pPr>
                    <w:pStyle w:val="37"/>
                    <w:adjustRightInd/>
                    <w:outlineLvl w:val="9"/>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雨水收集池沉渣</w:t>
                  </w:r>
                </w:p>
              </w:tc>
              <w:tc>
                <w:tcPr>
                  <w:tcW w:w="1323" w:type="dxa"/>
                  <w:tcBorders>
                    <w:tl2br w:val="nil"/>
                    <w:tr2bl w:val="nil"/>
                  </w:tcBorders>
                  <w:vAlign w:val="center"/>
                </w:tcPr>
                <w:p w14:paraId="0ABFE8A6">
                  <w:pPr>
                    <w:pStyle w:val="37"/>
                    <w:adjustRightInd/>
                    <w:outlineLvl w:val="9"/>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雨水收集</w:t>
                  </w:r>
                </w:p>
              </w:tc>
              <w:tc>
                <w:tcPr>
                  <w:tcW w:w="490" w:type="dxa"/>
                  <w:tcBorders>
                    <w:tl2br w:val="nil"/>
                    <w:tr2bl w:val="nil"/>
                  </w:tcBorders>
                  <w:vAlign w:val="center"/>
                </w:tcPr>
                <w:p w14:paraId="10866F97">
                  <w:pPr>
                    <w:pStyle w:val="37"/>
                    <w:adjustRightInd/>
                    <w:outlineLvl w:val="9"/>
                    <w:rPr>
                      <w:rFonts w:ascii="Times New Roman" w:hAnsi="Times New Roman"/>
                      <w:color w:val="auto"/>
                      <w:sz w:val="21"/>
                      <w:szCs w:val="21"/>
                    </w:rPr>
                  </w:pPr>
                  <w:r>
                    <w:rPr>
                      <w:rFonts w:ascii="Times New Roman" w:hAnsi="Times New Roman"/>
                      <w:color w:val="auto"/>
                      <w:sz w:val="21"/>
                      <w:szCs w:val="21"/>
                    </w:rPr>
                    <w:t>固态</w:t>
                  </w:r>
                </w:p>
              </w:tc>
              <w:tc>
                <w:tcPr>
                  <w:tcW w:w="986" w:type="dxa"/>
                  <w:tcBorders>
                    <w:tl2br w:val="nil"/>
                    <w:tr2bl w:val="nil"/>
                  </w:tcBorders>
                  <w:vAlign w:val="center"/>
                </w:tcPr>
                <w:p w14:paraId="3DD53C17">
                  <w:pPr>
                    <w:pStyle w:val="37"/>
                    <w:adjustRightInd/>
                    <w:outlineLvl w:val="9"/>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煤炭</w:t>
                  </w:r>
                </w:p>
              </w:tc>
              <w:tc>
                <w:tcPr>
                  <w:tcW w:w="943" w:type="dxa"/>
                  <w:vMerge w:val="continue"/>
                  <w:tcBorders>
                    <w:tl2br w:val="nil"/>
                    <w:tr2bl w:val="nil"/>
                  </w:tcBorders>
                  <w:vAlign w:val="center"/>
                </w:tcPr>
                <w:p w14:paraId="0E3189F3">
                  <w:pPr>
                    <w:pStyle w:val="37"/>
                    <w:adjustRightInd/>
                    <w:outlineLvl w:val="9"/>
                    <w:rPr>
                      <w:rFonts w:ascii="Times New Roman" w:hAnsi="Times New Roman"/>
                      <w:color w:val="auto"/>
                      <w:sz w:val="21"/>
                      <w:szCs w:val="21"/>
                    </w:rPr>
                  </w:pPr>
                </w:p>
              </w:tc>
              <w:tc>
                <w:tcPr>
                  <w:tcW w:w="1037" w:type="dxa"/>
                  <w:tcBorders>
                    <w:tl2br w:val="nil"/>
                    <w:tr2bl w:val="nil"/>
                  </w:tcBorders>
                  <w:vAlign w:val="center"/>
                </w:tcPr>
                <w:p w14:paraId="053ADCF3">
                  <w:pPr>
                    <w:pStyle w:val="37"/>
                    <w:adjustRightInd/>
                    <w:outlineLvl w:val="9"/>
                    <w:rPr>
                      <w:rFonts w:ascii="Times New Roman" w:hAnsi="Times New Roman"/>
                      <w:color w:val="auto"/>
                      <w:sz w:val="21"/>
                      <w:szCs w:val="21"/>
                    </w:rPr>
                  </w:pPr>
                  <w:r>
                    <w:rPr>
                      <w:rFonts w:ascii="Times New Roman" w:hAnsi="Times New Roman"/>
                      <w:color w:val="auto"/>
                      <w:sz w:val="21"/>
                      <w:szCs w:val="21"/>
                    </w:rPr>
                    <w:t>是</w:t>
                  </w:r>
                </w:p>
              </w:tc>
              <w:tc>
                <w:tcPr>
                  <w:tcW w:w="1693" w:type="dxa"/>
                  <w:tcBorders>
                    <w:tl2br w:val="nil"/>
                    <w:tr2bl w:val="nil"/>
                  </w:tcBorders>
                  <w:vAlign w:val="center"/>
                </w:tcPr>
                <w:p w14:paraId="6123246C">
                  <w:pPr>
                    <w:pStyle w:val="37"/>
                    <w:adjustRightInd/>
                    <w:outlineLvl w:val="9"/>
                    <w:rPr>
                      <w:rFonts w:hint="default" w:ascii="Times New Roman" w:hAnsi="Times New Roman" w:eastAsia="宋体"/>
                      <w:color w:val="auto"/>
                      <w:sz w:val="21"/>
                      <w:szCs w:val="21"/>
                      <w:lang w:val="en-US" w:eastAsia="zh-CN"/>
                    </w:rPr>
                  </w:pPr>
                  <w:r>
                    <w:rPr>
                      <w:rFonts w:ascii="Times New Roman" w:hAnsi="Times New Roman"/>
                      <w:color w:val="auto"/>
                      <w:sz w:val="21"/>
                      <w:szCs w:val="21"/>
                    </w:rPr>
                    <w:t>4.</w:t>
                  </w:r>
                  <w:r>
                    <w:rPr>
                      <w:rFonts w:hint="eastAsia" w:ascii="Times New Roman" w:hAnsi="Times New Roman"/>
                      <w:color w:val="auto"/>
                      <w:sz w:val="21"/>
                      <w:szCs w:val="21"/>
                      <w:lang w:val="en-US" w:eastAsia="zh-CN"/>
                    </w:rPr>
                    <w:t>2生产过程中产生的副产物</w:t>
                  </w:r>
                </w:p>
              </w:tc>
            </w:tr>
            <w:tr w14:paraId="4ACAE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dxa"/>
                  <w:tcBorders>
                    <w:tl2br w:val="nil"/>
                    <w:tr2bl w:val="nil"/>
                  </w:tcBorders>
                  <w:shd w:val="clear" w:color="auto" w:fill="auto"/>
                  <w:vAlign w:val="center"/>
                </w:tcPr>
                <w:p w14:paraId="0A821C43">
                  <w:pPr>
                    <w:pStyle w:val="37"/>
                    <w:adjustRightInd/>
                    <w:outlineLvl w:val="9"/>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3</w:t>
                  </w:r>
                </w:p>
              </w:tc>
              <w:tc>
                <w:tcPr>
                  <w:tcW w:w="1137" w:type="dxa"/>
                  <w:tcBorders>
                    <w:tl2br w:val="nil"/>
                    <w:tr2bl w:val="nil"/>
                  </w:tcBorders>
                  <w:vAlign w:val="center"/>
                </w:tcPr>
                <w:p w14:paraId="67ABA97C">
                  <w:pPr>
                    <w:pStyle w:val="37"/>
                    <w:adjustRightInd/>
                    <w:outlineLvl w:val="9"/>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破损防风抑尘网</w:t>
                  </w:r>
                </w:p>
              </w:tc>
              <w:tc>
                <w:tcPr>
                  <w:tcW w:w="1323" w:type="dxa"/>
                  <w:tcBorders>
                    <w:tl2br w:val="nil"/>
                    <w:tr2bl w:val="nil"/>
                  </w:tcBorders>
                  <w:vAlign w:val="center"/>
                </w:tcPr>
                <w:p w14:paraId="7A50E4AB">
                  <w:pPr>
                    <w:pStyle w:val="37"/>
                    <w:adjustRightInd/>
                    <w:outlineLvl w:val="9"/>
                    <w:rPr>
                      <w:rFonts w:ascii="Times New Roman" w:hAnsi="Times New Roman"/>
                      <w:color w:val="auto"/>
                      <w:sz w:val="21"/>
                      <w:szCs w:val="21"/>
                    </w:rPr>
                  </w:pPr>
                  <w:r>
                    <w:rPr>
                      <w:rFonts w:hint="eastAsia" w:ascii="Times New Roman" w:hAnsi="Times New Roman"/>
                      <w:color w:val="auto"/>
                      <w:sz w:val="21"/>
                      <w:szCs w:val="21"/>
                      <w:lang w:val="en-US" w:eastAsia="zh-CN"/>
                    </w:rPr>
                    <w:t>废气处理</w:t>
                  </w:r>
                </w:p>
              </w:tc>
              <w:tc>
                <w:tcPr>
                  <w:tcW w:w="490" w:type="dxa"/>
                  <w:tcBorders>
                    <w:tl2br w:val="nil"/>
                    <w:tr2bl w:val="nil"/>
                  </w:tcBorders>
                  <w:vAlign w:val="center"/>
                </w:tcPr>
                <w:p w14:paraId="0F183604">
                  <w:pPr>
                    <w:pStyle w:val="37"/>
                    <w:adjustRightInd/>
                    <w:outlineLvl w:val="9"/>
                    <w:rPr>
                      <w:rFonts w:ascii="Times New Roman" w:hAnsi="Times New Roman"/>
                      <w:color w:val="auto"/>
                      <w:sz w:val="21"/>
                      <w:szCs w:val="21"/>
                    </w:rPr>
                  </w:pPr>
                  <w:r>
                    <w:rPr>
                      <w:rFonts w:ascii="Times New Roman" w:hAnsi="Times New Roman"/>
                      <w:color w:val="auto"/>
                      <w:sz w:val="21"/>
                      <w:szCs w:val="21"/>
                    </w:rPr>
                    <w:t>固态</w:t>
                  </w:r>
                </w:p>
              </w:tc>
              <w:tc>
                <w:tcPr>
                  <w:tcW w:w="986" w:type="dxa"/>
                  <w:tcBorders>
                    <w:tl2br w:val="nil"/>
                    <w:tr2bl w:val="nil"/>
                  </w:tcBorders>
                  <w:vAlign w:val="center"/>
                </w:tcPr>
                <w:p w14:paraId="0527E2AD">
                  <w:pPr>
                    <w:pStyle w:val="37"/>
                    <w:adjustRightInd/>
                    <w:outlineLvl w:val="9"/>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防风抑尘网</w:t>
                  </w:r>
                </w:p>
              </w:tc>
              <w:tc>
                <w:tcPr>
                  <w:tcW w:w="943" w:type="dxa"/>
                  <w:vMerge w:val="continue"/>
                  <w:tcBorders>
                    <w:tl2br w:val="nil"/>
                    <w:tr2bl w:val="nil"/>
                  </w:tcBorders>
                  <w:vAlign w:val="center"/>
                </w:tcPr>
                <w:p w14:paraId="3B242F31">
                  <w:pPr>
                    <w:pStyle w:val="37"/>
                    <w:adjustRightInd/>
                    <w:outlineLvl w:val="9"/>
                    <w:rPr>
                      <w:rFonts w:ascii="Times New Roman" w:hAnsi="Times New Roman"/>
                      <w:color w:val="auto"/>
                      <w:sz w:val="21"/>
                      <w:szCs w:val="21"/>
                    </w:rPr>
                  </w:pPr>
                </w:p>
              </w:tc>
              <w:tc>
                <w:tcPr>
                  <w:tcW w:w="1037" w:type="dxa"/>
                  <w:tcBorders>
                    <w:tl2br w:val="nil"/>
                    <w:tr2bl w:val="nil"/>
                  </w:tcBorders>
                  <w:vAlign w:val="center"/>
                </w:tcPr>
                <w:p w14:paraId="16B9A5BF">
                  <w:pPr>
                    <w:pStyle w:val="37"/>
                    <w:adjustRightInd/>
                    <w:outlineLvl w:val="9"/>
                    <w:rPr>
                      <w:rFonts w:ascii="Times New Roman" w:hAnsi="Times New Roman"/>
                      <w:color w:val="auto"/>
                      <w:sz w:val="21"/>
                      <w:szCs w:val="21"/>
                    </w:rPr>
                  </w:pPr>
                  <w:r>
                    <w:rPr>
                      <w:rFonts w:ascii="Times New Roman" w:hAnsi="Times New Roman"/>
                      <w:color w:val="auto"/>
                      <w:sz w:val="21"/>
                      <w:szCs w:val="21"/>
                    </w:rPr>
                    <w:t>是</w:t>
                  </w:r>
                </w:p>
              </w:tc>
              <w:tc>
                <w:tcPr>
                  <w:tcW w:w="1693" w:type="dxa"/>
                  <w:tcBorders>
                    <w:tl2br w:val="nil"/>
                    <w:tr2bl w:val="nil"/>
                  </w:tcBorders>
                  <w:vAlign w:val="center"/>
                </w:tcPr>
                <w:p w14:paraId="7E1A2045">
                  <w:pPr>
                    <w:pStyle w:val="37"/>
                    <w:adjustRightInd/>
                    <w:outlineLvl w:val="9"/>
                    <w:rPr>
                      <w:rFonts w:ascii="Times New Roman" w:hAnsi="Times New Roman"/>
                      <w:color w:val="auto"/>
                      <w:sz w:val="21"/>
                      <w:szCs w:val="21"/>
                    </w:rPr>
                  </w:pPr>
                  <w:r>
                    <w:rPr>
                      <w:rFonts w:ascii="Times New Roman" w:hAnsi="Times New Roman"/>
                      <w:color w:val="auto"/>
                      <w:sz w:val="21"/>
                      <w:szCs w:val="21"/>
                    </w:rPr>
                    <w:t>4.1丧失原有使用价值的物质</w:t>
                  </w:r>
                </w:p>
              </w:tc>
            </w:tr>
            <w:tr w14:paraId="23DE5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9" w:type="dxa"/>
                  <w:tcBorders>
                    <w:tl2br w:val="nil"/>
                    <w:tr2bl w:val="nil"/>
                  </w:tcBorders>
                  <w:shd w:val="clear" w:color="auto" w:fill="auto"/>
                  <w:vAlign w:val="center"/>
                </w:tcPr>
                <w:p w14:paraId="03D8C410">
                  <w:pPr>
                    <w:pStyle w:val="37"/>
                    <w:adjustRightInd/>
                    <w:outlineLvl w:val="9"/>
                    <w:rPr>
                      <w:rFonts w:hint="default" w:ascii="Times New Roman" w:hAnsi="Times New Roman" w:eastAsia="宋体" w:cs="Times New Roman"/>
                      <w:color w:val="auto"/>
                      <w:sz w:val="21"/>
                      <w:szCs w:val="21"/>
                      <w:lang w:val="en-US" w:eastAsia="zh-CN" w:bidi="ar-SA"/>
                    </w:rPr>
                  </w:pPr>
                  <w:r>
                    <w:rPr>
                      <w:rFonts w:hint="eastAsia" w:ascii="Times New Roman" w:hAnsi="Times New Roman" w:cs="Times New Roman"/>
                      <w:color w:val="auto"/>
                      <w:sz w:val="21"/>
                      <w:szCs w:val="21"/>
                      <w:lang w:val="en-US" w:eastAsia="zh-CN" w:bidi="ar-SA"/>
                    </w:rPr>
                    <w:t>4</w:t>
                  </w:r>
                </w:p>
              </w:tc>
              <w:tc>
                <w:tcPr>
                  <w:tcW w:w="1137" w:type="dxa"/>
                  <w:tcBorders>
                    <w:tl2br w:val="nil"/>
                    <w:tr2bl w:val="nil"/>
                  </w:tcBorders>
                  <w:vAlign w:val="center"/>
                </w:tcPr>
                <w:p w14:paraId="2A2E8194">
                  <w:pPr>
                    <w:pStyle w:val="37"/>
                    <w:adjustRightInd/>
                    <w:outlineLvl w:val="9"/>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破损苫布</w:t>
                  </w:r>
                </w:p>
              </w:tc>
              <w:tc>
                <w:tcPr>
                  <w:tcW w:w="1323" w:type="dxa"/>
                  <w:tcBorders>
                    <w:tl2br w:val="nil"/>
                    <w:tr2bl w:val="nil"/>
                  </w:tcBorders>
                  <w:vAlign w:val="center"/>
                </w:tcPr>
                <w:p w14:paraId="3B55E9DB">
                  <w:pPr>
                    <w:pStyle w:val="37"/>
                    <w:adjustRightInd/>
                    <w:outlineLvl w:val="9"/>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废气处理</w:t>
                  </w:r>
                </w:p>
              </w:tc>
              <w:tc>
                <w:tcPr>
                  <w:tcW w:w="490" w:type="dxa"/>
                  <w:tcBorders>
                    <w:tl2br w:val="nil"/>
                    <w:tr2bl w:val="nil"/>
                  </w:tcBorders>
                  <w:vAlign w:val="center"/>
                </w:tcPr>
                <w:p w14:paraId="4FD12B27">
                  <w:pPr>
                    <w:pStyle w:val="37"/>
                    <w:adjustRightInd/>
                    <w:outlineLvl w:val="9"/>
                    <w:rPr>
                      <w:rFonts w:ascii="Times New Roman" w:hAnsi="Times New Roman"/>
                      <w:color w:val="auto"/>
                      <w:sz w:val="21"/>
                      <w:szCs w:val="21"/>
                    </w:rPr>
                  </w:pPr>
                  <w:r>
                    <w:rPr>
                      <w:rFonts w:ascii="Times New Roman" w:hAnsi="Times New Roman"/>
                      <w:color w:val="auto"/>
                      <w:sz w:val="21"/>
                      <w:szCs w:val="21"/>
                    </w:rPr>
                    <w:t>固态</w:t>
                  </w:r>
                </w:p>
              </w:tc>
              <w:tc>
                <w:tcPr>
                  <w:tcW w:w="986" w:type="dxa"/>
                  <w:tcBorders>
                    <w:tl2br w:val="nil"/>
                    <w:tr2bl w:val="nil"/>
                  </w:tcBorders>
                  <w:vAlign w:val="center"/>
                </w:tcPr>
                <w:p w14:paraId="3DDD800C">
                  <w:pPr>
                    <w:pStyle w:val="37"/>
                    <w:adjustRightInd/>
                    <w:outlineLvl w:val="9"/>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苫布</w:t>
                  </w:r>
                </w:p>
              </w:tc>
              <w:tc>
                <w:tcPr>
                  <w:tcW w:w="943" w:type="dxa"/>
                  <w:vMerge w:val="continue"/>
                  <w:tcBorders>
                    <w:tl2br w:val="nil"/>
                    <w:tr2bl w:val="nil"/>
                  </w:tcBorders>
                  <w:vAlign w:val="center"/>
                </w:tcPr>
                <w:p w14:paraId="430372F6">
                  <w:pPr>
                    <w:pStyle w:val="37"/>
                    <w:adjustRightInd/>
                    <w:outlineLvl w:val="9"/>
                    <w:rPr>
                      <w:rFonts w:ascii="Times New Roman" w:hAnsi="Times New Roman"/>
                      <w:color w:val="auto"/>
                      <w:sz w:val="21"/>
                      <w:szCs w:val="21"/>
                    </w:rPr>
                  </w:pPr>
                </w:p>
              </w:tc>
              <w:tc>
                <w:tcPr>
                  <w:tcW w:w="1037" w:type="dxa"/>
                  <w:tcBorders>
                    <w:tl2br w:val="nil"/>
                    <w:tr2bl w:val="nil"/>
                  </w:tcBorders>
                  <w:vAlign w:val="center"/>
                </w:tcPr>
                <w:p w14:paraId="61E1C3DC">
                  <w:pPr>
                    <w:pStyle w:val="37"/>
                    <w:adjustRightInd/>
                    <w:outlineLvl w:val="9"/>
                    <w:rPr>
                      <w:rFonts w:ascii="Times New Roman" w:hAnsi="Times New Roman"/>
                      <w:color w:val="auto"/>
                      <w:sz w:val="21"/>
                      <w:szCs w:val="21"/>
                    </w:rPr>
                  </w:pPr>
                  <w:r>
                    <w:rPr>
                      <w:rFonts w:hint="eastAsia" w:ascii="Times New Roman" w:hAnsi="Times New Roman"/>
                      <w:color w:val="auto"/>
                      <w:sz w:val="21"/>
                      <w:szCs w:val="21"/>
                    </w:rPr>
                    <w:t>是</w:t>
                  </w:r>
                </w:p>
              </w:tc>
              <w:tc>
                <w:tcPr>
                  <w:tcW w:w="1693" w:type="dxa"/>
                  <w:tcBorders>
                    <w:tl2br w:val="nil"/>
                    <w:tr2bl w:val="nil"/>
                  </w:tcBorders>
                  <w:vAlign w:val="center"/>
                </w:tcPr>
                <w:p w14:paraId="25F83966">
                  <w:pPr>
                    <w:pStyle w:val="37"/>
                    <w:adjustRightInd/>
                    <w:outlineLvl w:val="9"/>
                    <w:rPr>
                      <w:rFonts w:ascii="Times New Roman" w:hAnsi="Times New Roman"/>
                      <w:color w:val="auto"/>
                      <w:sz w:val="21"/>
                      <w:szCs w:val="21"/>
                    </w:rPr>
                  </w:pPr>
                  <w:r>
                    <w:rPr>
                      <w:rFonts w:ascii="Times New Roman" w:hAnsi="Times New Roman"/>
                      <w:color w:val="auto"/>
                      <w:sz w:val="21"/>
                      <w:szCs w:val="21"/>
                    </w:rPr>
                    <w:t>4.1丧失原有使用价值的物质</w:t>
                  </w:r>
                </w:p>
              </w:tc>
            </w:tr>
          </w:tbl>
          <w:p w14:paraId="0863CE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eastAsia" w:cs="Times New Roman"/>
                <w:color w:val="auto"/>
                <w:sz w:val="24"/>
                <w:lang w:val="en-US" w:eastAsia="zh-CN"/>
              </w:rPr>
              <w:t>2</w:t>
            </w:r>
            <w:r>
              <w:rPr>
                <w:rFonts w:hint="default" w:ascii="Times New Roman" w:hAnsi="Times New Roman" w:eastAsia="宋体" w:cs="Times New Roman"/>
                <w:color w:val="auto"/>
                <w:sz w:val="24"/>
              </w:rPr>
              <w:t>、产生情况</w:t>
            </w:r>
          </w:p>
          <w:p w14:paraId="71AA35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本项目产生的固体废物主要包括生活垃圾、</w:t>
            </w:r>
            <w:r>
              <w:rPr>
                <w:rFonts w:hint="eastAsia" w:cs="Times New Roman"/>
                <w:color w:val="auto"/>
                <w:sz w:val="24"/>
                <w:lang w:eastAsia="zh-CN"/>
              </w:rPr>
              <w:t>雨水收集池沉渣</w:t>
            </w:r>
            <w:r>
              <w:rPr>
                <w:rFonts w:hint="default" w:ascii="Times New Roman" w:hAnsi="Times New Roman" w:eastAsia="宋体" w:cs="Times New Roman"/>
                <w:color w:val="auto"/>
                <w:sz w:val="24"/>
              </w:rPr>
              <w:t>、破损防风抑尘网和破损苫布。</w:t>
            </w:r>
          </w:p>
          <w:p w14:paraId="4854535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（1）生活垃圾</w:t>
            </w:r>
          </w:p>
          <w:p w14:paraId="0C1635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生活垃圾产生量以0.</w:t>
            </w:r>
            <w:r>
              <w:rPr>
                <w:rFonts w:hint="eastAsia" w:cs="Times New Roman"/>
                <w:color w:val="auto"/>
                <w:sz w:val="24"/>
                <w:lang w:val="en-US" w:eastAsia="zh-CN"/>
              </w:rPr>
              <w:t>5</w:t>
            </w:r>
            <w:r>
              <w:rPr>
                <w:rFonts w:hint="default" w:ascii="Times New Roman" w:hAnsi="Times New Roman" w:eastAsia="宋体" w:cs="Times New Roman"/>
                <w:color w:val="auto"/>
                <w:sz w:val="24"/>
              </w:rPr>
              <w:t>kg/人·d计，项目劳动定员为</w:t>
            </w:r>
            <w:r>
              <w:rPr>
                <w:rFonts w:hint="eastAsia" w:cs="Times New Roman"/>
                <w:color w:val="auto"/>
                <w:sz w:val="24"/>
                <w:lang w:val="en-US" w:eastAsia="zh-CN"/>
              </w:rPr>
              <w:t>9</w:t>
            </w:r>
            <w:r>
              <w:rPr>
                <w:rFonts w:hint="default" w:ascii="Times New Roman" w:hAnsi="Times New Roman" w:eastAsia="宋体" w:cs="Times New Roman"/>
                <w:color w:val="auto"/>
                <w:sz w:val="24"/>
              </w:rPr>
              <w:t>人，年工作</w:t>
            </w:r>
            <w:r>
              <w:rPr>
                <w:rFonts w:hint="eastAsia" w:cs="Times New Roman"/>
                <w:color w:val="auto"/>
                <w:sz w:val="24"/>
                <w:lang w:val="en-US" w:eastAsia="zh-CN"/>
              </w:rPr>
              <w:t>30</w:t>
            </w:r>
            <w:r>
              <w:rPr>
                <w:rFonts w:hint="default" w:ascii="Times New Roman" w:hAnsi="Times New Roman" w:eastAsia="宋体" w:cs="Times New Roman"/>
                <w:color w:val="auto"/>
                <w:sz w:val="24"/>
                <w:lang w:val="en-US" w:eastAsia="zh-CN"/>
              </w:rPr>
              <w:t>0</w:t>
            </w:r>
            <w:r>
              <w:rPr>
                <w:rFonts w:hint="default" w:ascii="Times New Roman" w:hAnsi="Times New Roman" w:eastAsia="宋体" w:cs="Times New Roman"/>
                <w:color w:val="auto"/>
                <w:sz w:val="24"/>
              </w:rPr>
              <w:t>d。则运行期间全厂生活垃圾产生量为</w:t>
            </w:r>
            <w:r>
              <w:rPr>
                <w:rFonts w:hint="eastAsia" w:cs="Times New Roman"/>
                <w:color w:val="auto"/>
                <w:sz w:val="24"/>
                <w:lang w:val="en-US" w:eastAsia="zh-CN"/>
              </w:rPr>
              <w:t>1.35</w:t>
            </w:r>
            <w:r>
              <w:rPr>
                <w:rFonts w:hint="default" w:ascii="Times New Roman" w:hAnsi="Times New Roman" w:eastAsia="宋体" w:cs="Times New Roman"/>
                <w:color w:val="auto"/>
                <w:sz w:val="24"/>
              </w:rPr>
              <w:t>t/a，</w:t>
            </w:r>
            <w:r>
              <w:rPr>
                <w:rFonts w:hint="default" w:ascii="Times New Roman" w:hAnsi="Times New Roman" w:eastAsia="宋体" w:cs="Times New Roman"/>
                <w:color w:val="auto"/>
                <w:sz w:val="24"/>
              </w:rPr>
              <w:t>厂区设置垃圾桶</w:t>
            </w:r>
            <w:r>
              <w:rPr>
                <w:rFonts w:hint="eastAsia" w:cs="Times New Roman"/>
                <w:color w:val="auto"/>
                <w:sz w:val="24"/>
                <w:lang w:eastAsia="zh-CN"/>
              </w:rPr>
              <w:t>进行集中收集</w:t>
            </w:r>
            <w:r>
              <w:rPr>
                <w:rFonts w:hint="default" w:ascii="Times New Roman" w:hAnsi="Times New Roman" w:eastAsia="宋体" w:cs="Times New Roman"/>
                <w:color w:val="auto"/>
                <w:sz w:val="24"/>
              </w:rPr>
              <w:t>，由环卫部门定期清运处理。</w:t>
            </w:r>
          </w:p>
          <w:p w14:paraId="5D2E55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lang w:eastAsia="zh-CN"/>
              </w:rPr>
            </w:pPr>
            <w:r>
              <w:rPr>
                <w:rFonts w:hint="eastAsia" w:cs="Times New Roman"/>
                <w:color w:val="auto"/>
                <w:sz w:val="24"/>
                <w:lang w:eastAsia="zh-CN"/>
              </w:rPr>
              <w:t>（</w:t>
            </w:r>
            <w:r>
              <w:rPr>
                <w:rFonts w:hint="eastAsia" w:cs="Times New Roman"/>
                <w:color w:val="auto"/>
                <w:sz w:val="24"/>
                <w:lang w:val="en-US" w:eastAsia="zh-CN"/>
              </w:rPr>
              <w:t>2</w:t>
            </w:r>
            <w:r>
              <w:rPr>
                <w:rFonts w:hint="eastAsia" w:cs="Times New Roman"/>
                <w:color w:val="auto"/>
                <w:sz w:val="24"/>
                <w:lang w:eastAsia="zh-CN"/>
              </w:rPr>
              <w:t>）</w:t>
            </w:r>
            <w:r>
              <w:rPr>
                <w:rFonts w:hint="eastAsia" w:cs="Times New Roman"/>
                <w:color w:val="auto"/>
                <w:sz w:val="24"/>
                <w:lang w:eastAsia="zh-CN"/>
              </w:rPr>
              <w:t>雨水收集池沉渣</w:t>
            </w:r>
          </w:p>
          <w:p w14:paraId="403AEC2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本项目设置雨水收集池，会产生</w:t>
            </w:r>
            <w:r>
              <w:rPr>
                <w:rFonts w:hint="eastAsia" w:cs="Times New Roman"/>
                <w:color w:val="auto"/>
                <w:sz w:val="24"/>
                <w:lang w:eastAsia="zh-CN"/>
              </w:rPr>
              <w:t>雨水收集池沉渣</w:t>
            </w:r>
            <w:r>
              <w:rPr>
                <w:rFonts w:hint="default" w:ascii="Times New Roman" w:hAnsi="Times New Roman" w:eastAsia="宋体" w:cs="Times New Roman"/>
                <w:color w:val="auto"/>
                <w:sz w:val="24"/>
              </w:rPr>
              <w:t>，产生量约为</w:t>
            </w:r>
            <w:r>
              <w:rPr>
                <w:rFonts w:hint="eastAsia" w:cs="Times New Roman"/>
                <w:color w:val="auto"/>
                <w:sz w:val="24"/>
                <w:lang w:val="en-US" w:eastAsia="zh-CN"/>
              </w:rPr>
              <w:t>1</w:t>
            </w:r>
            <w:r>
              <w:rPr>
                <w:rFonts w:hint="default" w:ascii="Times New Roman" w:hAnsi="Times New Roman" w:eastAsia="宋体" w:cs="Times New Roman"/>
                <w:color w:val="auto"/>
                <w:sz w:val="24"/>
              </w:rPr>
              <w:t>t/a，</w:t>
            </w:r>
            <w:r>
              <w:rPr>
                <w:rFonts w:hint="eastAsia" w:cs="Times New Roman"/>
                <w:color w:val="auto"/>
                <w:sz w:val="24"/>
                <w:lang w:eastAsia="zh-CN"/>
              </w:rPr>
              <w:t>定期清理后外售综合利用</w:t>
            </w:r>
            <w:r>
              <w:rPr>
                <w:rFonts w:hint="default" w:ascii="Times New Roman" w:hAnsi="Times New Roman" w:eastAsia="宋体" w:cs="Times New Roman"/>
                <w:color w:val="auto"/>
                <w:sz w:val="24"/>
              </w:rPr>
              <w:t>。</w:t>
            </w:r>
          </w:p>
          <w:p w14:paraId="677A14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lang w:eastAsia="zh-CN"/>
              </w:rPr>
            </w:pPr>
            <w:r>
              <w:rPr>
                <w:rFonts w:hint="eastAsia" w:cs="Times New Roman"/>
                <w:color w:val="auto"/>
                <w:sz w:val="24"/>
                <w:lang w:eastAsia="zh-CN"/>
              </w:rPr>
              <w:t>（</w:t>
            </w:r>
            <w:r>
              <w:rPr>
                <w:rFonts w:hint="eastAsia" w:cs="Times New Roman"/>
                <w:color w:val="auto"/>
                <w:sz w:val="24"/>
                <w:lang w:val="en-US" w:eastAsia="zh-CN"/>
              </w:rPr>
              <w:t>3</w:t>
            </w:r>
            <w:r>
              <w:rPr>
                <w:rFonts w:hint="eastAsia" w:cs="Times New Roman"/>
                <w:color w:val="auto"/>
                <w:sz w:val="24"/>
                <w:lang w:eastAsia="zh-CN"/>
              </w:rPr>
              <w:t>）破损防风抑尘网</w:t>
            </w:r>
          </w:p>
          <w:p w14:paraId="4DE310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本项目设置防风抑尘网为金属材质，不易损坏，因此本项目产生破损防风抑尘网的量约为0.2t/a，作为废旧物资外售。</w:t>
            </w:r>
          </w:p>
          <w:p w14:paraId="006CF4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lang w:eastAsia="zh-CN"/>
              </w:rPr>
            </w:pPr>
            <w:r>
              <w:rPr>
                <w:rFonts w:hint="eastAsia" w:cs="Times New Roman"/>
                <w:color w:val="auto"/>
                <w:sz w:val="24"/>
                <w:lang w:eastAsia="zh-CN"/>
              </w:rPr>
              <w:t>（</w:t>
            </w:r>
            <w:r>
              <w:rPr>
                <w:rFonts w:hint="eastAsia" w:cs="Times New Roman"/>
                <w:color w:val="auto"/>
                <w:sz w:val="24"/>
                <w:lang w:val="en-US" w:eastAsia="zh-CN"/>
              </w:rPr>
              <w:t>4</w:t>
            </w:r>
            <w:r>
              <w:rPr>
                <w:rFonts w:hint="eastAsia" w:cs="Times New Roman"/>
                <w:color w:val="auto"/>
                <w:sz w:val="24"/>
                <w:lang w:eastAsia="zh-CN"/>
              </w:rPr>
              <w:t>）破损苫布</w:t>
            </w:r>
          </w:p>
          <w:p w14:paraId="69E569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cs="Times New Roman"/>
                <w:color w:val="auto"/>
                <w:sz w:val="24"/>
                <w:highlight w:val="none"/>
                <w:lang w:val="en-US" w:eastAsia="zh-CN"/>
              </w:rPr>
              <w:t>本项目采用苫布遮盖堆场，产生破损苫布的量约为0.1t/a，作为废旧物资外售。</w:t>
            </w:r>
          </w:p>
          <w:p w14:paraId="301AC93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本项目固体废物产生情况见下表4-</w:t>
            </w:r>
            <w:r>
              <w:rPr>
                <w:rFonts w:hint="eastAsia" w:cs="Times New Roman"/>
                <w:color w:val="auto"/>
                <w:sz w:val="24"/>
                <w:lang w:val="en-US" w:eastAsia="zh-CN"/>
              </w:rPr>
              <w:t>9</w:t>
            </w:r>
            <w:r>
              <w:rPr>
                <w:rFonts w:hint="default" w:ascii="Times New Roman" w:hAnsi="Times New Roman" w:eastAsia="宋体" w:cs="Times New Roman"/>
                <w:color w:val="auto"/>
                <w:sz w:val="24"/>
              </w:rPr>
              <w:t>。</w:t>
            </w:r>
          </w:p>
          <w:p w14:paraId="4AD1736B">
            <w:pPr>
              <w:spacing w:line="240" w:lineRule="auto"/>
              <w:ind w:firstLine="422" w:firstLineChars="200"/>
              <w:jc w:val="center"/>
              <w:rPr>
                <w:rFonts w:hint="default" w:ascii="Times New Roman" w:hAnsi="Times New Roman" w:eastAsia="宋体" w:cs="Times New Roman"/>
                <w:b/>
                <w:color w:val="auto"/>
                <w:sz w:val="21"/>
                <w:szCs w:val="21"/>
              </w:rPr>
            </w:pPr>
          </w:p>
          <w:p w14:paraId="41243ED9">
            <w:pPr>
              <w:spacing w:line="240" w:lineRule="auto"/>
              <w:ind w:firstLine="422" w:firstLineChars="20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eastAsia" w:cs="Times New Roman"/>
                <w:b/>
                <w:color w:val="auto"/>
                <w:sz w:val="21"/>
                <w:szCs w:val="21"/>
                <w:lang w:val="en-US" w:eastAsia="zh-CN"/>
              </w:rPr>
              <w:t>9</w:t>
            </w:r>
            <w:r>
              <w:rPr>
                <w:rFonts w:hint="default" w:ascii="Times New Roman" w:hAnsi="Times New Roman" w:eastAsia="宋体" w:cs="Times New Roman"/>
                <w:b/>
                <w:color w:val="auto"/>
                <w:sz w:val="21"/>
                <w:szCs w:val="21"/>
              </w:rPr>
              <w:t xml:space="preserve"> 一般固体废物产生情况</w:t>
            </w:r>
          </w:p>
          <w:tbl>
            <w:tblPr>
              <w:tblStyle w:val="30"/>
              <w:tblW w:w="82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2"/>
              <w:gridCol w:w="716"/>
              <w:gridCol w:w="702"/>
              <w:gridCol w:w="901"/>
              <w:gridCol w:w="802"/>
              <w:gridCol w:w="614"/>
              <w:gridCol w:w="698"/>
              <w:gridCol w:w="806"/>
              <w:gridCol w:w="905"/>
              <w:gridCol w:w="1466"/>
            </w:tblGrid>
            <w:tr w14:paraId="2D5555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noWrap w:val="0"/>
                  <w:vAlign w:val="center"/>
                </w:tcPr>
                <w:p w14:paraId="6974DF25">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工序/生产线</w:t>
                  </w:r>
                </w:p>
              </w:tc>
              <w:tc>
                <w:tcPr>
                  <w:tcW w:w="432" w:type="pct"/>
                  <w:vMerge w:val="restart"/>
                  <w:noWrap w:val="0"/>
                  <w:vAlign w:val="center"/>
                </w:tcPr>
                <w:p w14:paraId="64375693">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装置</w:t>
                  </w:r>
                </w:p>
              </w:tc>
              <w:tc>
                <w:tcPr>
                  <w:tcW w:w="424" w:type="pct"/>
                  <w:vMerge w:val="restart"/>
                  <w:noWrap w:val="0"/>
                  <w:vAlign w:val="center"/>
                </w:tcPr>
                <w:p w14:paraId="3ACCBF27">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固体废物名称</w:t>
                  </w:r>
                </w:p>
              </w:tc>
              <w:tc>
                <w:tcPr>
                  <w:tcW w:w="544" w:type="pct"/>
                  <w:vMerge w:val="restart"/>
                  <w:noWrap w:val="0"/>
                  <w:vAlign w:val="center"/>
                </w:tcPr>
                <w:p w14:paraId="5D12E378">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编码</w:t>
                  </w:r>
                </w:p>
              </w:tc>
              <w:tc>
                <w:tcPr>
                  <w:tcW w:w="484" w:type="pct"/>
                  <w:vMerge w:val="restart"/>
                  <w:noWrap w:val="0"/>
                  <w:vAlign w:val="center"/>
                </w:tcPr>
                <w:p w14:paraId="5CFD5704">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固体废物属性</w:t>
                  </w:r>
                </w:p>
              </w:tc>
              <w:tc>
                <w:tcPr>
                  <w:tcW w:w="793" w:type="pct"/>
                  <w:gridSpan w:val="2"/>
                  <w:noWrap w:val="0"/>
                  <w:vAlign w:val="center"/>
                </w:tcPr>
                <w:p w14:paraId="607462C1">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产生情况</w:t>
                  </w:r>
                </w:p>
              </w:tc>
              <w:tc>
                <w:tcPr>
                  <w:tcW w:w="1034" w:type="pct"/>
                  <w:gridSpan w:val="2"/>
                  <w:noWrap w:val="0"/>
                  <w:vAlign w:val="center"/>
                </w:tcPr>
                <w:p w14:paraId="02651CFC">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处置措施</w:t>
                  </w:r>
                </w:p>
              </w:tc>
              <w:tc>
                <w:tcPr>
                  <w:tcW w:w="886" w:type="pct"/>
                  <w:vMerge w:val="restart"/>
                  <w:noWrap w:val="0"/>
                  <w:vAlign w:val="center"/>
                </w:tcPr>
                <w:p w14:paraId="79053F97">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最终去向</w:t>
                  </w:r>
                </w:p>
              </w:tc>
            </w:tr>
            <w:tr w14:paraId="0B3F0B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continue"/>
                  <w:tcBorders>
                    <w:bottom w:val="single" w:color="auto" w:sz="4" w:space="0"/>
                  </w:tcBorders>
                  <w:noWrap w:val="0"/>
                  <w:vAlign w:val="center"/>
                </w:tcPr>
                <w:p w14:paraId="2B59CC37">
                  <w:pPr>
                    <w:spacing w:line="240" w:lineRule="auto"/>
                    <w:jc w:val="center"/>
                    <w:rPr>
                      <w:rFonts w:hint="default" w:ascii="Times New Roman" w:hAnsi="Times New Roman" w:eastAsia="宋体" w:cs="Times New Roman"/>
                      <w:color w:val="auto"/>
                      <w:sz w:val="21"/>
                      <w:szCs w:val="21"/>
                    </w:rPr>
                  </w:pPr>
                </w:p>
              </w:tc>
              <w:tc>
                <w:tcPr>
                  <w:tcW w:w="432" w:type="pct"/>
                  <w:vMerge w:val="continue"/>
                  <w:tcBorders>
                    <w:bottom w:val="single" w:color="auto" w:sz="4" w:space="0"/>
                  </w:tcBorders>
                  <w:noWrap w:val="0"/>
                  <w:vAlign w:val="center"/>
                </w:tcPr>
                <w:p w14:paraId="1DC1A304">
                  <w:pPr>
                    <w:spacing w:line="240" w:lineRule="auto"/>
                    <w:jc w:val="center"/>
                    <w:rPr>
                      <w:rFonts w:hint="default" w:ascii="Times New Roman" w:hAnsi="Times New Roman" w:eastAsia="宋体" w:cs="Times New Roman"/>
                      <w:color w:val="auto"/>
                      <w:sz w:val="21"/>
                      <w:szCs w:val="21"/>
                    </w:rPr>
                  </w:pPr>
                </w:p>
              </w:tc>
              <w:tc>
                <w:tcPr>
                  <w:tcW w:w="424" w:type="pct"/>
                  <w:vMerge w:val="continue"/>
                  <w:noWrap w:val="0"/>
                  <w:vAlign w:val="center"/>
                </w:tcPr>
                <w:p w14:paraId="2FB0625B">
                  <w:pPr>
                    <w:spacing w:line="240" w:lineRule="auto"/>
                    <w:jc w:val="center"/>
                    <w:rPr>
                      <w:rFonts w:hint="default" w:ascii="Times New Roman" w:hAnsi="Times New Roman" w:eastAsia="宋体" w:cs="Times New Roman"/>
                      <w:color w:val="auto"/>
                      <w:sz w:val="21"/>
                      <w:szCs w:val="21"/>
                    </w:rPr>
                  </w:pPr>
                </w:p>
              </w:tc>
              <w:tc>
                <w:tcPr>
                  <w:tcW w:w="544" w:type="pct"/>
                  <w:vMerge w:val="continue"/>
                  <w:noWrap w:val="0"/>
                  <w:vAlign w:val="center"/>
                </w:tcPr>
                <w:p w14:paraId="7F451A8B">
                  <w:pPr>
                    <w:spacing w:line="240" w:lineRule="auto"/>
                    <w:jc w:val="center"/>
                    <w:rPr>
                      <w:rFonts w:hint="default" w:ascii="Times New Roman" w:hAnsi="Times New Roman" w:eastAsia="宋体" w:cs="Times New Roman"/>
                      <w:color w:val="auto"/>
                      <w:sz w:val="21"/>
                      <w:szCs w:val="21"/>
                    </w:rPr>
                  </w:pPr>
                </w:p>
              </w:tc>
              <w:tc>
                <w:tcPr>
                  <w:tcW w:w="484" w:type="pct"/>
                  <w:vMerge w:val="continue"/>
                  <w:noWrap w:val="0"/>
                  <w:vAlign w:val="center"/>
                </w:tcPr>
                <w:p w14:paraId="3FCD2493">
                  <w:pPr>
                    <w:spacing w:line="240" w:lineRule="auto"/>
                    <w:jc w:val="center"/>
                    <w:rPr>
                      <w:rFonts w:hint="default" w:ascii="Times New Roman" w:hAnsi="Times New Roman" w:eastAsia="宋体" w:cs="Times New Roman"/>
                      <w:color w:val="auto"/>
                      <w:sz w:val="21"/>
                      <w:szCs w:val="21"/>
                    </w:rPr>
                  </w:pPr>
                </w:p>
              </w:tc>
              <w:tc>
                <w:tcPr>
                  <w:tcW w:w="371" w:type="pct"/>
                  <w:noWrap w:val="0"/>
                  <w:vAlign w:val="center"/>
                </w:tcPr>
                <w:p w14:paraId="3E634171">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核算</w:t>
                  </w:r>
                </w:p>
                <w:p w14:paraId="4DCCF7C7">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方法</w:t>
                  </w:r>
                </w:p>
              </w:tc>
              <w:tc>
                <w:tcPr>
                  <w:tcW w:w="421" w:type="pct"/>
                  <w:noWrap w:val="0"/>
                  <w:vAlign w:val="center"/>
                </w:tcPr>
                <w:p w14:paraId="697980F4">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产生量t/a</w:t>
                  </w:r>
                </w:p>
              </w:tc>
              <w:tc>
                <w:tcPr>
                  <w:tcW w:w="487" w:type="pct"/>
                  <w:noWrap w:val="0"/>
                  <w:vAlign w:val="center"/>
                </w:tcPr>
                <w:p w14:paraId="0D9C1CDE">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工艺</w:t>
                  </w:r>
                </w:p>
              </w:tc>
              <w:tc>
                <w:tcPr>
                  <w:tcW w:w="547" w:type="pct"/>
                  <w:noWrap w:val="0"/>
                  <w:vAlign w:val="center"/>
                </w:tcPr>
                <w:p w14:paraId="19CABB8E">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处置量t/a</w:t>
                  </w:r>
                </w:p>
              </w:tc>
              <w:tc>
                <w:tcPr>
                  <w:tcW w:w="886" w:type="pct"/>
                  <w:vMerge w:val="continue"/>
                  <w:noWrap w:val="0"/>
                  <w:vAlign w:val="center"/>
                </w:tcPr>
                <w:p w14:paraId="6B50556C">
                  <w:pPr>
                    <w:spacing w:line="240" w:lineRule="auto"/>
                    <w:jc w:val="center"/>
                    <w:rPr>
                      <w:rFonts w:hint="default" w:ascii="Times New Roman" w:hAnsi="Times New Roman" w:eastAsia="宋体" w:cs="Times New Roman"/>
                      <w:color w:val="auto"/>
                      <w:sz w:val="21"/>
                      <w:szCs w:val="21"/>
                    </w:rPr>
                  </w:pPr>
                </w:p>
              </w:tc>
            </w:tr>
            <w:tr w14:paraId="698CCC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shd w:val="clear" w:color="auto" w:fill="auto"/>
                  <w:noWrap w:val="0"/>
                  <w:vAlign w:val="center"/>
                </w:tcPr>
                <w:p w14:paraId="5337795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员工生活</w:t>
                  </w:r>
                </w:p>
              </w:tc>
              <w:tc>
                <w:tcPr>
                  <w:tcW w:w="432" w:type="pct"/>
                  <w:shd w:val="clear" w:color="auto" w:fill="auto"/>
                  <w:noWrap w:val="0"/>
                  <w:vAlign w:val="center"/>
                </w:tcPr>
                <w:p w14:paraId="5061CFE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员工生活</w:t>
                  </w:r>
                </w:p>
              </w:tc>
              <w:tc>
                <w:tcPr>
                  <w:tcW w:w="424" w:type="pct"/>
                  <w:shd w:val="clear" w:color="auto" w:fill="auto"/>
                  <w:noWrap w:val="0"/>
                  <w:vAlign w:val="center"/>
                </w:tcPr>
                <w:p w14:paraId="18205CF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生活垃圾</w:t>
                  </w:r>
                </w:p>
              </w:tc>
              <w:tc>
                <w:tcPr>
                  <w:tcW w:w="544" w:type="pct"/>
                  <w:shd w:val="clear" w:color="auto" w:fill="auto"/>
                  <w:noWrap w:val="0"/>
                  <w:vAlign w:val="center"/>
                </w:tcPr>
                <w:p w14:paraId="3AC15F07">
                  <w:pPr>
                    <w:widowControl/>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bidi="ar"/>
                    </w:rPr>
                    <w:t>900-</w:t>
                  </w:r>
                  <w:r>
                    <w:rPr>
                      <w:rFonts w:hint="eastAsia" w:cs="Times New Roman"/>
                      <w:color w:val="auto"/>
                      <w:kern w:val="0"/>
                      <w:sz w:val="21"/>
                      <w:szCs w:val="21"/>
                      <w:lang w:val="en-US" w:eastAsia="zh-CN" w:bidi="ar"/>
                    </w:rPr>
                    <w:t>0</w:t>
                  </w:r>
                  <w:r>
                    <w:rPr>
                      <w:rFonts w:hint="default" w:ascii="Times New Roman" w:hAnsi="Times New Roman" w:eastAsia="宋体" w:cs="Times New Roman"/>
                      <w:color w:val="auto"/>
                      <w:kern w:val="0"/>
                      <w:sz w:val="21"/>
                      <w:szCs w:val="21"/>
                      <w:lang w:bidi="ar"/>
                    </w:rPr>
                    <w:t>99-</w:t>
                  </w:r>
                  <w:r>
                    <w:rPr>
                      <w:rFonts w:hint="eastAsia" w:cs="Times New Roman"/>
                      <w:color w:val="auto"/>
                      <w:kern w:val="0"/>
                      <w:sz w:val="21"/>
                      <w:szCs w:val="21"/>
                      <w:lang w:val="en-US" w:eastAsia="zh-CN" w:bidi="ar"/>
                    </w:rPr>
                    <w:t>S64</w:t>
                  </w:r>
                </w:p>
              </w:tc>
              <w:tc>
                <w:tcPr>
                  <w:tcW w:w="484" w:type="pct"/>
                  <w:vMerge w:val="restart"/>
                  <w:shd w:val="clear" w:color="auto" w:fill="auto"/>
                  <w:noWrap w:val="0"/>
                  <w:vAlign w:val="center"/>
                </w:tcPr>
                <w:p w14:paraId="15F75E30">
                  <w:pPr>
                    <w:spacing w:line="240" w:lineRule="auto"/>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一般</w:t>
                  </w:r>
                  <w:r>
                    <w:rPr>
                      <w:rFonts w:hint="eastAsia" w:cs="Times New Roman"/>
                      <w:color w:val="auto"/>
                      <w:sz w:val="21"/>
                      <w:szCs w:val="21"/>
                      <w:lang w:eastAsia="zh-CN"/>
                    </w:rPr>
                    <w:t>工业固体废物</w:t>
                  </w:r>
                </w:p>
              </w:tc>
              <w:tc>
                <w:tcPr>
                  <w:tcW w:w="371" w:type="pct"/>
                  <w:shd w:val="clear" w:color="auto" w:fill="FFFFFF"/>
                  <w:noWrap w:val="0"/>
                  <w:vAlign w:val="center"/>
                </w:tcPr>
                <w:p w14:paraId="3EF8D8E4">
                  <w:pPr>
                    <w:shd w:val="clear" w:color="auto" w:fill="FFFFFF"/>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系数法</w:t>
                  </w:r>
                </w:p>
              </w:tc>
              <w:tc>
                <w:tcPr>
                  <w:tcW w:w="421" w:type="pct"/>
                  <w:shd w:val="clear" w:color="auto" w:fill="FFFFFF"/>
                  <w:noWrap w:val="0"/>
                  <w:vAlign w:val="center"/>
                </w:tcPr>
                <w:p w14:paraId="54821AD4">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1.35</w:t>
                  </w:r>
                </w:p>
              </w:tc>
              <w:tc>
                <w:tcPr>
                  <w:tcW w:w="487" w:type="pct"/>
                  <w:noWrap w:val="0"/>
                  <w:vAlign w:val="center"/>
                </w:tcPr>
                <w:p w14:paraId="50ACE980">
                  <w:pPr>
                    <w:spacing w:line="240" w:lineRule="auto"/>
                    <w:jc w:val="center"/>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z w:val="21"/>
                      <w:szCs w:val="21"/>
                    </w:rPr>
                    <w:t>集中收集</w:t>
                  </w:r>
                </w:p>
              </w:tc>
              <w:tc>
                <w:tcPr>
                  <w:tcW w:w="547" w:type="pct"/>
                  <w:noWrap w:val="0"/>
                  <w:vAlign w:val="center"/>
                </w:tcPr>
                <w:p w14:paraId="649FEFA9">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1.35</w:t>
                  </w:r>
                </w:p>
              </w:tc>
              <w:tc>
                <w:tcPr>
                  <w:tcW w:w="886" w:type="pct"/>
                  <w:noWrap w:val="0"/>
                  <w:vAlign w:val="center"/>
                </w:tcPr>
                <w:p w14:paraId="0C5C10D2">
                  <w:pPr>
                    <w:spacing w:line="240" w:lineRule="auto"/>
                    <w:jc w:val="center"/>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z w:val="21"/>
                      <w:szCs w:val="21"/>
                    </w:rPr>
                    <w:t>生活垃圾委托环卫部门定时清运</w:t>
                  </w:r>
                </w:p>
              </w:tc>
            </w:tr>
            <w:tr w14:paraId="4C7FA3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shd w:val="clear" w:color="auto" w:fill="auto"/>
                  <w:noWrap w:val="0"/>
                  <w:vAlign w:val="center"/>
                </w:tcPr>
                <w:p w14:paraId="02C544FB">
                  <w:pPr>
                    <w:spacing w:line="0" w:lineRule="atLeast"/>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Cs w:val="21"/>
                      <w:highlight w:val="none"/>
                      <w:lang w:eastAsia="zh-CN"/>
                    </w:rPr>
                    <w:t>雨水收集</w:t>
                  </w:r>
                </w:p>
              </w:tc>
              <w:tc>
                <w:tcPr>
                  <w:tcW w:w="432" w:type="pct"/>
                  <w:shd w:val="clear" w:color="auto" w:fill="auto"/>
                  <w:noWrap w:val="0"/>
                  <w:vAlign w:val="center"/>
                </w:tcPr>
                <w:p w14:paraId="7ADE2C96">
                  <w:pPr>
                    <w:spacing w:line="0" w:lineRule="atLeast"/>
                    <w:jc w:val="center"/>
                    <w:rPr>
                      <w:rFonts w:hint="default" w:ascii="Times New Roman" w:hAnsi="Times New Roman" w:eastAsia="宋体" w:cs="Times New Roman"/>
                      <w:color w:val="auto"/>
                      <w:sz w:val="21"/>
                      <w:szCs w:val="21"/>
                    </w:rPr>
                  </w:pPr>
                  <w:bookmarkStart w:id="41" w:name="_GoBack"/>
                  <w:r>
                    <w:rPr>
                      <w:rFonts w:hint="eastAsia" w:ascii="Times New Roman" w:hAnsi="Times New Roman" w:eastAsia="宋体" w:cs="Times New Roman"/>
                      <w:color w:val="auto"/>
                      <w:szCs w:val="21"/>
                      <w:highlight w:val="none"/>
                      <w:lang w:eastAsia="zh-CN"/>
                    </w:rPr>
                    <w:t>雨水</w:t>
                  </w:r>
                  <w:bookmarkEnd w:id="41"/>
                  <w:r>
                    <w:rPr>
                      <w:rFonts w:hint="eastAsia" w:ascii="Times New Roman" w:hAnsi="Times New Roman" w:eastAsia="宋体" w:cs="Times New Roman"/>
                      <w:color w:val="auto"/>
                      <w:szCs w:val="21"/>
                      <w:highlight w:val="none"/>
                      <w:lang w:eastAsia="zh-CN"/>
                    </w:rPr>
                    <w:t>收集池</w:t>
                  </w:r>
                </w:p>
              </w:tc>
              <w:tc>
                <w:tcPr>
                  <w:tcW w:w="424" w:type="pct"/>
                  <w:shd w:val="clear" w:color="auto" w:fill="auto"/>
                  <w:noWrap w:val="0"/>
                  <w:vAlign w:val="center"/>
                </w:tcPr>
                <w:p w14:paraId="2BD572B8">
                  <w:pPr>
                    <w:spacing w:line="0" w:lineRule="atLeast"/>
                    <w:jc w:val="center"/>
                    <w:rPr>
                      <w:rFonts w:hint="eastAsia" w:cs="Times New Roman"/>
                      <w:color w:val="auto"/>
                      <w:sz w:val="21"/>
                      <w:szCs w:val="21"/>
                      <w:lang w:eastAsia="zh-CN"/>
                    </w:rPr>
                  </w:pPr>
                  <w:r>
                    <w:rPr>
                      <w:rFonts w:hint="eastAsia" w:cs="Times New Roman"/>
                      <w:color w:val="auto"/>
                      <w:szCs w:val="21"/>
                      <w:highlight w:val="none"/>
                      <w:lang w:val="en-US" w:eastAsia="zh-CN"/>
                    </w:rPr>
                    <w:t>雨水收集池沉渣</w:t>
                  </w:r>
                </w:p>
              </w:tc>
              <w:tc>
                <w:tcPr>
                  <w:tcW w:w="544" w:type="pct"/>
                  <w:shd w:val="clear" w:color="auto" w:fill="auto"/>
                  <w:noWrap w:val="0"/>
                  <w:vAlign w:val="center"/>
                </w:tcPr>
                <w:p w14:paraId="2BB3A67C">
                  <w:pPr>
                    <w:spacing w:line="0" w:lineRule="atLeast"/>
                    <w:jc w:val="center"/>
                    <w:rPr>
                      <w:rFonts w:hint="eastAsia" w:cs="Times New Roman"/>
                      <w:color w:val="auto"/>
                      <w:kern w:val="0"/>
                      <w:sz w:val="21"/>
                      <w:szCs w:val="21"/>
                      <w:lang w:val="en-US" w:eastAsia="zh-CN" w:bidi="ar"/>
                    </w:rPr>
                  </w:pPr>
                  <w:r>
                    <w:rPr>
                      <w:rFonts w:hint="default" w:ascii="Times New Roman" w:hAnsi="Times New Roman" w:eastAsia="宋体" w:cs="Times New Roman"/>
                      <w:color w:val="auto"/>
                      <w:szCs w:val="21"/>
                      <w:highlight w:val="none"/>
                      <w:lang w:val="en-US" w:eastAsia="zh-CN"/>
                    </w:rPr>
                    <w:t xml:space="preserve">900-099-S07 </w:t>
                  </w:r>
                </w:p>
              </w:tc>
              <w:tc>
                <w:tcPr>
                  <w:tcW w:w="484" w:type="pct"/>
                  <w:vMerge w:val="continue"/>
                  <w:shd w:val="clear" w:color="auto" w:fill="auto"/>
                  <w:noWrap w:val="0"/>
                  <w:vAlign w:val="center"/>
                </w:tcPr>
                <w:p w14:paraId="0C3E9614">
                  <w:pPr>
                    <w:spacing w:line="240" w:lineRule="auto"/>
                    <w:jc w:val="center"/>
                    <w:rPr>
                      <w:rFonts w:hint="default" w:ascii="Times New Roman" w:hAnsi="Times New Roman" w:eastAsia="宋体" w:cs="Times New Roman"/>
                      <w:color w:val="auto"/>
                      <w:sz w:val="21"/>
                      <w:szCs w:val="21"/>
                    </w:rPr>
                  </w:pPr>
                </w:p>
              </w:tc>
              <w:tc>
                <w:tcPr>
                  <w:tcW w:w="614" w:type="dxa"/>
                  <w:shd w:val="clear" w:color="auto" w:fill="FFFFFF"/>
                  <w:noWrap w:val="0"/>
                  <w:vAlign w:val="center"/>
                </w:tcPr>
                <w:p w14:paraId="0B561F62">
                  <w:pPr>
                    <w:spacing w:line="0" w:lineRule="atLeast"/>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Cs w:val="21"/>
                      <w:highlight w:val="none"/>
                    </w:rPr>
                    <w:t>物料衡算法</w:t>
                  </w:r>
                </w:p>
              </w:tc>
              <w:tc>
                <w:tcPr>
                  <w:tcW w:w="698" w:type="dxa"/>
                  <w:shd w:val="clear" w:color="auto" w:fill="FFFFFF"/>
                  <w:noWrap w:val="0"/>
                  <w:vAlign w:val="center"/>
                </w:tcPr>
                <w:p w14:paraId="6F2FEA6B">
                  <w:pPr>
                    <w:spacing w:line="0" w:lineRule="atLeast"/>
                    <w:jc w:val="center"/>
                    <w:rPr>
                      <w:rFonts w:hint="eastAsia" w:cs="Times New Roman"/>
                      <w:color w:val="auto"/>
                      <w:sz w:val="21"/>
                      <w:szCs w:val="21"/>
                      <w:lang w:val="en-US" w:eastAsia="zh-CN"/>
                    </w:rPr>
                  </w:pPr>
                  <w:r>
                    <w:rPr>
                      <w:rFonts w:hint="eastAsia" w:cs="Times New Roman"/>
                      <w:color w:val="auto"/>
                      <w:szCs w:val="21"/>
                      <w:highlight w:val="none"/>
                      <w:lang w:val="en-US" w:eastAsia="zh-CN"/>
                    </w:rPr>
                    <w:t>1</w:t>
                  </w:r>
                </w:p>
              </w:tc>
              <w:tc>
                <w:tcPr>
                  <w:tcW w:w="806" w:type="dxa"/>
                  <w:noWrap w:val="0"/>
                  <w:vAlign w:val="center"/>
                </w:tcPr>
                <w:p w14:paraId="55707EC7">
                  <w:pPr>
                    <w:spacing w:line="0" w:lineRule="atLeast"/>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Cs w:val="21"/>
                      <w:highlight w:val="none"/>
                      <w:lang w:val="en-US" w:eastAsia="zh-CN"/>
                    </w:rPr>
                    <w:t>/</w:t>
                  </w:r>
                </w:p>
              </w:tc>
              <w:tc>
                <w:tcPr>
                  <w:tcW w:w="905" w:type="dxa"/>
                  <w:noWrap w:val="0"/>
                  <w:vAlign w:val="center"/>
                </w:tcPr>
                <w:p w14:paraId="1F97297E">
                  <w:pPr>
                    <w:spacing w:line="0" w:lineRule="atLeast"/>
                    <w:jc w:val="center"/>
                    <w:rPr>
                      <w:rFonts w:hint="eastAsia" w:cs="Times New Roman"/>
                      <w:color w:val="auto"/>
                      <w:sz w:val="21"/>
                      <w:szCs w:val="21"/>
                      <w:lang w:val="en-US" w:eastAsia="zh-CN"/>
                    </w:rPr>
                  </w:pPr>
                  <w:r>
                    <w:rPr>
                      <w:rFonts w:hint="eastAsia" w:ascii="Times New Roman" w:hAnsi="Times New Roman" w:eastAsia="宋体" w:cs="Times New Roman"/>
                      <w:color w:val="auto"/>
                      <w:szCs w:val="21"/>
                      <w:highlight w:val="none"/>
                      <w:lang w:val="en-US" w:eastAsia="zh-CN"/>
                    </w:rPr>
                    <w:t>/</w:t>
                  </w:r>
                </w:p>
              </w:tc>
              <w:tc>
                <w:tcPr>
                  <w:tcW w:w="1466" w:type="dxa"/>
                  <w:noWrap w:val="0"/>
                  <w:vAlign w:val="center"/>
                </w:tcPr>
                <w:p w14:paraId="76BA69E4">
                  <w:pPr>
                    <w:spacing w:line="0" w:lineRule="atLeast"/>
                    <w:jc w:val="center"/>
                    <w:rPr>
                      <w:rFonts w:hint="default" w:ascii="Times New Roman" w:hAnsi="Times New Roman" w:eastAsia="宋体" w:cs="Times New Roman"/>
                      <w:color w:val="auto"/>
                      <w:sz w:val="21"/>
                      <w:szCs w:val="21"/>
                    </w:rPr>
                  </w:pPr>
                  <w:r>
                    <w:rPr>
                      <w:rFonts w:hint="eastAsia" w:cs="Times New Roman"/>
                      <w:color w:val="auto"/>
                      <w:szCs w:val="21"/>
                      <w:highlight w:val="none"/>
                      <w:lang w:val="en-US" w:eastAsia="zh-CN"/>
                    </w:rPr>
                    <w:t>定期清理后外售综合利用</w:t>
                  </w:r>
                </w:p>
              </w:tc>
            </w:tr>
            <w:tr w14:paraId="136E92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shd w:val="clear" w:color="auto" w:fill="auto"/>
                  <w:noWrap w:val="0"/>
                  <w:vAlign w:val="center"/>
                </w:tcPr>
                <w:p w14:paraId="1A1A0C66">
                  <w:pPr>
                    <w:spacing w:line="240" w:lineRule="auto"/>
                    <w:jc w:val="center"/>
                    <w:rPr>
                      <w:rFonts w:hint="default" w:ascii="Times New Roman" w:hAnsi="Times New Roman" w:eastAsia="宋体" w:cs="Times New Roman"/>
                      <w:color w:val="auto"/>
                      <w:sz w:val="21"/>
                      <w:szCs w:val="21"/>
                    </w:rPr>
                  </w:pPr>
                  <w:r>
                    <w:rPr>
                      <w:rFonts w:hint="eastAsia" w:cs="Times New Roman"/>
                      <w:color w:val="auto"/>
                      <w:szCs w:val="21"/>
                      <w:highlight w:val="none"/>
                      <w:lang w:eastAsia="zh-CN"/>
                    </w:rPr>
                    <w:t>废气处理</w:t>
                  </w:r>
                </w:p>
              </w:tc>
              <w:tc>
                <w:tcPr>
                  <w:tcW w:w="716" w:type="dxa"/>
                  <w:shd w:val="clear" w:color="auto" w:fill="auto"/>
                  <w:noWrap w:val="0"/>
                  <w:vAlign w:val="center"/>
                </w:tcPr>
                <w:p w14:paraId="5A89CC7C">
                  <w:pPr>
                    <w:spacing w:line="0" w:lineRule="atLeast"/>
                    <w:jc w:val="center"/>
                    <w:rPr>
                      <w:rFonts w:hint="default" w:ascii="Times New Roman" w:hAnsi="Times New Roman" w:eastAsia="宋体" w:cs="Times New Roman"/>
                      <w:color w:val="auto"/>
                      <w:sz w:val="21"/>
                      <w:szCs w:val="21"/>
                    </w:rPr>
                  </w:pPr>
                  <w:r>
                    <w:rPr>
                      <w:rFonts w:hint="eastAsia" w:cs="Times New Roman"/>
                      <w:color w:val="auto"/>
                      <w:szCs w:val="21"/>
                      <w:highlight w:val="none"/>
                      <w:lang w:eastAsia="zh-CN"/>
                    </w:rPr>
                    <w:t>防风抑尘网</w:t>
                  </w:r>
                </w:p>
              </w:tc>
              <w:tc>
                <w:tcPr>
                  <w:tcW w:w="702" w:type="dxa"/>
                  <w:shd w:val="clear" w:color="auto" w:fill="auto"/>
                  <w:noWrap w:val="0"/>
                  <w:vAlign w:val="center"/>
                </w:tcPr>
                <w:p w14:paraId="61DE5AF8">
                  <w:pPr>
                    <w:spacing w:line="0" w:lineRule="atLeast"/>
                    <w:jc w:val="center"/>
                    <w:rPr>
                      <w:rFonts w:hint="eastAsia" w:cs="Times New Roman"/>
                      <w:color w:val="auto"/>
                      <w:sz w:val="21"/>
                      <w:szCs w:val="21"/>
                      <w:lang w:eastAsia="zh-CN"/>
                    </w:rPr>
                  </w:pPr>
                  <w:r>
                    <w:rPr>
                      <w:rFonts w:hint="eastAsia" w:cs="Times New Roman"/>
                      <w:color w:val="auto"/>
                      <w:szCs w:val="21"/>
                      <w:highlight w:val="none"/>
                      <w:lang w:val="en-US" w:eastAsia="zh-CN"/>
                    </w:rPr>
                    <w:t>破损防风抑尘网</w:t>
                  </w:r>
                </w:p>
              </w:tc>
              <w:tc>
                <w:tcPr>
                  <w:tcW w:w="901" w:type="dxa"/>
                  <w:shd w:val="clear" w:color="auto" w:fill="auto"/>
                  <w:noWrap w:val="0"/>
                  <w:vAlign w:val="center"/>
                </w:tcPr>
                <w:p w14:paraId="126DB960">
                  <w:pPr>
                    <w:spacing w:line="0" w:lineRule="atLeast"/>
                    <w:jc w:val="center"/>
                    <w:rPr>
                      <w:rFonts w:hint="eastAsia" w:cs="Times New Roman"/>
                      <w:color w:val="auto"/>
                      <w:kern w:val="0"/>
                      <w:sz w:val="21"/>
                      <w:szCs w:val="21"/>
                      <w:lang w:val="en-US" w:eastAsia="zh-CN" w:bidi="ar"/>
                    </w:rPr>
                  </w:pPr>
                  <w:r>
                    <w:rPr>
                      <w:rFonts w:hint="default" w:ascii="Times New Roman" w:hAnsi="Times New Roman" w:eastAsia="宋体" w:cs="Times New Roman"/>
                      <w:color w:val="auto"/>
                      <w:szCs w:val="21"/>
                      <w:highlight w:val="none"/>
                      <w:lang w:val="en-US" w:eastAsia="zh-CN"/>
                    </w:rPr>
                    <w:t>900-001-S17</w:t>
                  </w:r>
                </w:p>
              </w:tc>
              <w:tc>
                <w:tcPr>
                  <w:tcW w:w="484" w:type="pct"/>
                  <w:vMerge w:val="continue"/>
                  <w:shd w:val="clear" w:color="auto" w:fill="auto"/>
                  <w:noWrap w:val="0"/>
                  <w:vAlign w:val="center"/>
                </w:tcPr>
                <w:p w14:paraId="73A94424">
                  <w:pPr>
                    <w:spacing w:line="240" w:lineRule="auto"/>
                    <w:jc w:val="center"/>
                    <w:rPr>
                      <w:rFonts w:hint="default" w:ascii="Times New Roman" w:hAnsi="Times New Roman" w:eastAsia="宋体" w:cs="Times New Roman"/>
                      <w:color w:val="auto"/>
                      <w:sz w:val="21"/>
                      <w:szCs w:val="21"/>
                    </w:rPr>
                  </w:pPr>
                </w:p>
              </w:tc>
              <w:tc>
                <w:tcPr>
                  <w:tcW w:w="614" w:type="dxa"/>
                  <w:shd w:val="clear" w:color="auto" w:fill="FFFFFF"/>
                  <w:noWrap w:val="0"/>
                  <w:vAlign w:val="center"/>
                </w:tcPr>
                <w:p w14:paraId="2AE09F8E">
                  <w:pPr>
                    <w:spacing w:line="0" w:lineRule="atLeast"/>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Cs w:val="21"/>
                      <w:highlight w:val="none"/>
                    </w:rPr>
                    <w:t>物料衡算法</w:t>
                  </w:r>
                </w:p>
              </w:tc>
              <w:tc>
                <w:tcPr>
                  <w:tcW w:w="698" w:type="dxa"/>
                  <w:shd w:val="clear" w:color="auto" w:fill="FFFFFF"/>
                  <w:noWrap w:val="0"/>
                  <w:vAlign w:val="center"/>
                </w:tcPr>
                <w:p w14:paraId="12AB85BB">
                  <w:pPr>
                    <w:spacing w:line="0" w:lineRule="atLeast"/>
                    <w:jc w:val="center"/>
                    <w:rPr>
                      <w:rFonts w:hint="eastAsia" w:cs="Times New Roman"/>
                      <w:color w:val="auto"/>
                      <w:sz w:val="21"/>
                      <w:szCs w:val="21"/>
                      <w:lang w:val="en-US" w:eastAsia="zh-CN"/>
                    </w:rPr>
                  </w:pPr>
                  <w:r>
                    <w:rPr>
                      <w:rFonts w:hint="eastAsia" w:cs="Times New Roman"/>
                      <w:color w:val="auto"/>
                      <w:szCs w:val="21"/>
                      <w:highlight w:val="none"/>
                      <w:lang w:val="en-US" w:eastAsia="zh-CN"/>
                    </w:rPr>
                    <w:t>0.2</w:t>
                  </w:r>
                </w:p>
              </w:tc>
              <w:tc>
                <w:tcPr>
                  <w:tcW w:w="806" w:type="dxa"/>
                  <w:noWrap w:val="0"/>
                  <w:vAlign w:val="center"/>
                </w:tcPr>
                <w:p w14:paraId="753C447D">
                  <w:pPr>
                    <w:spacing w:line="0" w:lineRule="atLeast"/>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Cs w:val="21"/>
                      <w:highlight w:val="none"/>
                      <w:lang w:val="en-US" w:eastAsia="zh-CN"/>
                    </w:rPr>
                    <w:t>/</w:t>
                  </w:r>
                </w:p>
              </w:tc>
              <w:tc>
                <w:tcPr>
                  <w:tcW w:w="905" w:type="dxa"/>
                  <w:noWrap w:val="0"/>
                  <w:vAlign w:val="center"/>
                </w:tcPr>
                <w:p w14:paraId="4A8827E8">
                  <w:pPr>
                    <w:spacing w:line="0" w:lineRule="atLeast"/>
                    <w:jc w:val="center"/>
                    <w:rPr>
                      <w:rFonts w:hint="eastAsia" w:cs="Times New Roman"/>
                      <w:color w:val="auto"/>
                      <w:sz w:val="21"/>
                      <w:szCs w:val="21"/>
                      <w:lang w:val="en-US" w:eastAsia="zh-CN"/>
                    </w:rPr>
                  </w:pPr>
                  <w:r>
                    <w:rPr>
                      <w:rFonts w:hint="eastAsia" w:ascii="Times New Roman" w:hAnsi="Times New Roman" w:eastAsia="宋体" w:cs="Times New Roman"/>
                      <w:color w:val="auto"/>
                      <w:szCs w:val="21"/>
                      <w:highlight w:val="none"/>
                      <w:lang w:val="en-US" w:eastAsia="zh-CN"/>
                    </w:rPr>
                    <w:t>/</w:t>
                  </w:r>
                </w:p>
              </w:tc>
              <w:tc>
                <w:tcPr>
                  <w:tcW w:w="1466" w:type="dxa"/>
                  <w:noWrap w:val="0"/>
                  <w:vAlign w:val="center"/>
                </w:tcPr>
                <w:p w14:paraId="09AA1AE3">
                  <w:pPr>
                    <w:spacing w:line="0" w:lineRule="atLeast"/>
                    <w:jc w:val="center"/>
                    <w:rPr>
                      <w:rFonts w:hint="default" w:ascii="Times New Roman" w:hAnsi="Times New Roman" w:eastAsia="宋体" w:cs="Times New Roman"/>
                      <w:color w:val="auto"/>
                      <w:sz w:val="21"/>
                      <w:szCs w:val="21"/>
                    </w:rPr>
                  </w:pPr>
                  <w:r>
                    <w:rPr>
                      <w:rFonts w:hint="eastAsia" w:cs="Times New Roman"/>
                      <w:color w:val="auto"/>
                      <w:szCs w:val="21"/>
                      <w:highlight w:val="none"/>
                      <w:lang w:val="en-US" w:eastAsia="zh-CN"/>
                    </w:rPr>
                    <w:t>作为废旧物资外售</w:t>
                  </w:r>
                </w:p>
              </w:tc>
            </w:tr>
            <w:tr w14:paraId="41F0ED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continue"/>
                  <w:shd w:val="clear" w:color="auto" w:fill="auto"/>
                  <w:noWrap w:val="0"/>
                  <w:vAlign w:val="center"/>
                </w:tcPr>
                <w:p w14:paraId="37095EE1">
                  <w:pPr>
                    <w:spacing w:line="240" w:lineRule="auto"/>
                    <w:jc w:val="center"/>
                    <w:rPr>
                      <w:rFonts w:hint="default" w:ascii="Times New Roman" w:hAnsi="Times New Roman" w:eastAsia="宋体" w:cs="Times New Roman"/>
                      <w:color w:val="auto"/>
                      <w:sz w:val="21"/>
                      <w:szCs w:val="21"/>
                    </w:rPr>
                  </w:pPr>
                </w:p>
              </w:tc>
              <w:tc>
                <w:tcPr>
                  <w:tcW w:w="716" w:type="dxa"/>
                  <w:shd w:val="clear" w:color="auto" w:fill="auto"/>
                  <w:noWrap w:val="0"/>
                  <w:vAlign w:val="center"/>
                </w:tcPr>
                <w:p w14:paraId="1805BF43">
                  <w:pPr>
                    <w:spacing w:line="0" w:lineRule="atLeast"/>
                    <w:jc w:val="center"/>
                    <w:rPr>
                      <w:rFonts w:hint="default" w:ascii="Times New Roman" w:hAnsi="Times New Roman" w:eastAsia="宋体" w:cs="Times New Roman"/>
                      <w:color w:val="auto"/>
                      <w:sz w:val="21"/>
                      <w:szCs w:val="21"/>
                    </w:rPr>
                  </w:pPr>
                  <w:r>
                    <w:rPr>
                      <w:rFonts w:hint="eastAsia" w:cs="Times New Roman"/>
                      <w:color w:val="auto"/>
                      <w:szCs w:val="21"/>
                      <w:highlight w:val="none"/>
                      <w:lang w:eastAsia="zh-CN"/>
                    </w:rPr>
                    <w:t>苫布</w:t>
                  </w:r>
                </w:p>
              </w:tc>
              <w:tc>
                <w:tcPr>
                  <w:tcW w:w="702" w:type="dxa"/>
                  <w:shd w:val="clear" w:color="auto" w:fill="auto"/>
                  <w:noWrap w:val="0"/>
                  <w:vAlign w:val="center"/>
                </w:tcPr>
                <w:p w14:paraId="176133D9">
                  <w:pPr>
                    <w:spacing w:line="0" w:lineRule="atLeast"/>
                    <w:jc w:val="center"/>
                    <w:rPr>
                      <w:rFonts w:hint="eastAsia" w:cs="Times New Roman"/>
                      <w:color w:val="auto"/>
                      <w:sz w:val="21"/>
                      <w:szCs w:val="21"/>
                      <w:lang w:eastAsia="zh-CN"/>
                    </w:rPr>
                  </w:pPr>
                  <w:r>
                    <w:rPr>
                      <w:rFonts w:hint="eastAsia" w:cs="Times New Roman"/>
                      <w:color w:val="auto"/>
                      <w:szCs w:val="21"/>
                      <w:highlight w:val="none"/>
                      <w:lang w:val="en-US" w:eastAsia="zh-CN"/>
                    </w:rPr>
                    <w:t>破损苫布</w:t>
                  </w:r>
                </w:p>
              </w:tc>
              <w:tc>
                <w:tcPr>
                  <w:tcW w:w="901" w:type="dxa"/>
                  <w:shd w:val="clear" w:color="auto" w:fill="auto"/>
                  <w:noWrap w:val="0"/>
                  <w:vAlign w:val="center"/>
                </w:tcPr>
                <w:p w14:paraId="5343D701">
                  <w:pPr>
                    <w:spacing w:line="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 xml:space="preserve">900-007-S17 </w:t>
                  </w:r>
                </w:p>
                <w:p w14:paraId="7E3DEA10">
                  <w:pPr>
                    <w:spacing w:line="0" w:lineRule="atLeast"/>
                    <w:jc w:val="center"/>
                    <w:rPr>
                      <w:rFonts w:hint="eastAsia" w:cs="Times New Roman"/>
                      <w:color w:val="auto"/>
                      <w:kern w:val="0"/>
                      <w:sz w:val="21"/>
                      <w:szCs w:val="21"/>
                      <w:lang w:val="en-US" w:eastAsia="zh-CN" w:bidi="ar"/>
                    </w:rPr>
                  </w:pPr>
                </w:p>
              </w:tc>
              <w:tc>
                <w:tcPr>
                  <w:tcW w:w="484" w:type="pct"/>
                  <w:vMerge w:val="continue"/>
                  <w:shd w:val="clear" w:color="auto" w:fill="auto"/>
                  <w:noWrap w:val="0"/>
                  <w:vAlign w:val="center"/>
                </w:tcPr>
                <w:p w14:paraId="43E2B23D">
                  <w:pPr>
                    <w:spacing w:line="240" w:lineRule="auto"/>
                    <w:jc w:val="center"/>
                    <w:rPr>
                      <w:rFonts w:hint="default" w:ascii="Times New Roman" w:hAnsi="Times New Roman" w:eastAsia="宋体" w:cs="Times New Roman"/>
                      <w:color w:val="auto"/>
                      <w:sz w:val="21"/>
                      <w:szCs w:val="21"/>
                    </w:rPr>
                  </w:pPr>
                </w:p>
              </w:tc>
              <w:tc>
                <w:tcPr>
                  <w:tcW w:w="614" w:type="dxa"/>
                  <w:shd w:val="clear" w:color="auto" w:fill="FFFFFF"/>
                  <w:noWrap w:val="0"/>
                  <w:vAlign w:val="center"/>
                </w:tcPr>
                <w:p w14:paraId="2A0051D2">
                  <w:pPr>
                    <w:spacing w:line="0" w:lineRule="atLeast"/>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Cs w:val="21"/>
                      <w:highlight w:val="none"/>
                    </w:rPr>
                    <w:t>物料衡算法</w:t>
                  </w:r>
                </w:p>
              </w:tc>
              <w:tc>
                <w:tcPr>
                  <w:tcW w:w="698" w:type="dxa"/>
                  <w:shd w:val="clear" w:color="auto" w:fill="FFFFFF"/>
                  <w:noWrap w:val="0"/>
                  <w:vAlign w:val="center"/>
                </w:tcPr>
                <w:p w14:paraId="230CE52F">
                  <w:pPr>
                    <w:spacing w:line="0" w:lineRule="atLeast"/>
                    <w:jc w:val="center"/>
                    <w:rPr>
                      <w:rFonts w:hint="eastAsia" w:cs="Times New Roman"/>
                      <w:color w:val="auto"/>
                      <w:sz w:val="21"/>
                      <w:szCs w:val="21"/>
                      <w:lang w:val="en-US" w:eastAsia="zh-CN"/>
                    </w:rPr>
                  </w:pPr>
                  <w:r>
                    <w:rPr>
                      <w:rFonts w:hint="eastAsia" w:cs="Times New Roman"/>
                      <w:color w:val="auto"/>
                      <w:szCs w:val="21"/>
                      <w:highlight w:val="none"/>
                      <w:lang w:val="en-US" w:eastAsia="zh-CN"/>
                    </w:rPr>
                    <w:t>0.1</w:t>
                  </w:r>
                </w:p>
              </w:tc>
              <w:tc>
                <w:tcPr>
                  <w:tcW w:w="806" w:type="dxa"/>
                  <w:noWrap w:val="0"/>
                  <w:vAlign w:val="center"/>
                </w:tcPr>
                <w:p w14:paraId="19123B95">
                  <w:pPr>
                    <w:spacing w:line="0" w:lineRule="atLeast"/>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Cs w:val="21"/>
                      <w:highlight w:val="none"/>
                      <w:lang w:val="en-US" w:eastAsia="zh-CN"/>
                    </w:rPr>
                    <w:t>/</w:t>
                  </w:r>
                </w:p>
              </w:tc>
              <w:tc>
                <w:tcPr>
                  <w:tcW w:w="905" w:type="dxa"/>
                  <w:noWrap w:val="0"/>
                  <w:vAlign w:val="center"/>
                </w:tcPr>
                <w:p w14:paraId="023AD571">
                  <w:pPr>
                    <w:spacing w:line="0" w:lineRule="atLeast"/>
                    <w:jc w:val="center"/>
                    <w:rPr>
                      <w:rFonts w:hint="eastAsia" w:cs="Times New Roman"/>
                      <w:color w:val="auto"/>
                      <w:sz w:val="21"/>
                      <w:szCs w:val="21"/>
                      <w:lang w:val="en-US" w:eastAsia="zh-CN"/>
                    </w:rPr>
                  </w:pPr>
                  <w:r>
                    <w:rPr>
                      <w:rFonts w:hint="eastAsia" w:ascii="Times New Roman" w:hAnsi="Times New Roman" w:eastAsia="宋体" w:cs="Times New Roman"/>
                      <w:color w:val="auto"/>
                      <w:szCs w:val="21"/>
                      <w:highlight w:val="none"/>
                      <w:lang w:val="en-US" w:eastAsia="zh-CN"/>
                    </w:rPr>
                    <w:t>/</w:t>
                  </w:r>
                </w:p>
              </w:tc>
              <w:tc>
                <w:tcPr>
                  <w:tcW w:w="1466" w:type="dxa"/>
                  <w:noWrap w:val="0"/>
                  <w:vAlign w:val="center"/>
                </w:tcPr>
                <w:p w14:paraId="3DE06645">
                  <w:pPr>
                    <w:spacing w:line="0" w:lineRule="atLeast"/>
                    <w:jc w:val="center"/>
                    <w:rPr>
                      <w:rFonts w:hint="default" w:ascii="Times New Roman" w:hAnsi="Times New Roman" w:eastAsia="宋体" w:cs="Times New Roman"/>
                      <w:color w:val="auto"/>
                      <w:sz w:val="21"/>
                      <w:szCs w:val="21"/>
                    </w:rPr>
                  </w:pPr>
                  <w:r>
                    <w:rPr>
                      <w:rFonts w:hint="eastAsia" w:cs="Times New Roman"/>
                      <w:color w:val="auto"/>
                      <w:szCs w:val="21"/>
                      <w:highlight w:val="none"/>
                      <w:lang w:val="en-US" w:eastAsia="zh-CN"/>
                    </w:rPr>
                    <w:t>作为废旧物资外售</w:t>
                  </w:r>
                </w:p>
              </w:tc>
            </w:tr>
          </w:tbl>
          <w:p w14:paraId="6D8E6439">
            <w:pPr>
              <w:keepNext w:val="0"/>
              <w:keepLines w:val="0"/>
              <w:pageBreakBefore w:val="0"/>
              <w:widowControl/>
              <w:kinsoku/>
              <w:wordWrap/>
              <w:overflowPunct/>
              <w:topLinePunct w:val="0"/>
              <w:autoSpaceDE/>
              <w:autoSpaceDN/>
              <w:bidi w:val="0"/>
              <w:adjustRightInd/>
              <w:snapToGrid/>
              <w:spacing w:before="157" w:beforeLines="50" w:line="360" w:lineRule="auto"/>
              <w:ind w:firstLine="480" w:firstLineChars="200"/>
              <w:textAlignment w:val="baseline"/>
              <w:rPr>
                <w:rFonts w:hint="default" w:ascii="Times New Roman" w:hAnsi="Times New Roman" w:eastAsia="宋体" w:cs="Times New Roman"/>
                <w:color w:val="auto"/>
                <w:sz w:val="24"/>
              </w:rPr>
            </w:pPr>
            <w:r>
              <w:rPr>
                <w:rFonts w:hint="eastAsia" w:cs="Times New Roman"/>
                <w:color w:val="auto"/>
                <w:kern w:val="0"/>
                <w:sz w:val="24"/>
                <w:lang w:val="en-US" w:eastAsia="zh-CN"/>
              </w:rPr>
              <w:t>3</w:t>
            </w:r>
            <w:r>
              <w:rPr>
                <w:rFonts w:hint="default" w:ascii="Times New Roman" w:hAnsi="Times New Roman" w:eastAsia="宋体" w:cs="Times New Roman"/>
                <w:color w:val="auto"/>
                <w:kern w:val="0"/>
                <w:sz w:val="24"/>
              </w:rPr>
              <w:t>、环境管理</w:t>
            </w:r>
            <w:r>
              <w:rPr>
                <w:rFonts w:hint="default" w:ascii="Times New Roman" w:hAnsi="Times New Roman" w:eastAsia="宋体" w:cs="Times New Roman"/>
                <w:color w:val="auto"/>
                <w:sz w:val="24"/>
              </w:rPr>
              <w:t>要求</w:t>
            </w:r>
          </w:p>
          <w:p w14:paraId="18E35D3F">
            <w:pPr>
              <w:pStyle w:val="89"/>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生活垃圾集中收集后堆放至生活垃圾暂存区</w:t>
            </w:r>
            <w:r>
              <w:rPr>
                <w:rFonts w:hint="default" w:ascii="Times New Roman" w:hAnsi="Times New Roman" w:cs="Times New Roman"/>
                <w:color w:val="auto"/>
                <w:szCs w:val="21"/>
                <w:highlight w:val="none"/>
                <w:lang w:val="en-US" w:eastAsia="zh-CN"/>
              </w:rPr>
              <w:t>，</w:t>
            </w:r>
            <w:r>
              <w:rPr>
                <w:rFonts w:hint="default" w:ascii="Times New Roman" w:hAnsi="Times New Roman" w:eastAsia="宋体" w:cs="Times New Roman"/>
                <w:color w:val="auto"/>
                <w:highlight w:val="none"/>
              </w:rPr>
              <w:t>应按以下原则进行收集、管理、运输及处置：</w:t>
            </w:r>
          </w:p>
          <w:p w14:paraId="3B521E0D">
            <w:pPr>
              <w:pStyle w:val="8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4"/>
                <w:szCs w:val="24"/>
                <w:lang w:val="en-US" w:eastAsia="zh-CN" w:bidi="ar-SA"/>
              </w:rPr>
              <w:t>1）</w:t>
            </w:r>
            <w:r>
              <w:rPr>
                <w:rFonts w:hint="default" w:ascii="Times New Roman" w:hAnsi="Times New Roman" w:eastAsia="宋体" w:cs="Times New Roman"/>
                <w:color w:val="auto"/>
                <w:highlight w:val="none"/>
              </w:rPr>
              <w:t>生活垃圾袋</w:t>
            </w:r>
            <w:r>
              <w:rPr>
                <w:rFonts w:hint="default" w:ascii="Times New Roman" w:hAnsi="Times New Roman" w:cs="Times New Roman"/>
                <w:color w:val="auto"/>
                <w:szCs w:val="21"/>
                <w:highlight w:val="none"/>
                <w:lang w:val="en-US" w:eastAsia="zh-CN"/>
              </w:rPr>
              <w:t>收集桶</w:t>
            </w:r>
            <w:r>
              <w:rPr>
                <w:rFonts w:hint="default" w:ascii="Times New Roman" w:hAnsi="Times New Roman" w:eastAsia="宋体" w:cs="Times New Roman"/>
                <w:color w:val="auto"/>
                <w:highlight w:val="none"/>
              </w:rPr>
              <w:t>应当扎紧袋口</w:t>
            </w:r>
            <w:r>
              <w:rPr>
                <w:rFonts w:hint="default" w:ascii="Times New Roman" w:hAnsi="Times New Roman" w:eastAsia="宋体" w:cs="Times New Roman"/>
                <w:color w:val="auto"/>
                <w:highlight w:val="none"/>
                <w:lang w:eastAsia="zh-CN"/>
              </w:rPr>
              <w:t>盖紧桶盖</w:t>
            </w:r>
            <w:r>
              <w:rPr>
                <w:rFonts w:hint="default" w:ascii="Times New Roman" w:hAnsi="Times New Roman" w:eastAsia="宋体" w:cs="Times New Roman"/>
                <w:color w:val="auto"/>
                <w:highlight w:val="none"/>
              </w:rPr>
              <w:t>，不能混入危险废物、工业固体废物、建筑垃圾和液体垃圾，在指定时间存放到指定地点；</w:t>
            </w:r>
          </w:p>
          <w:p w14:paraId="72284941">
            <w:pPr>
              <w:pStyle w:val="8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highlight w:val="none"/>
              </w:rPr>
              <w:t>不能使用破损袋盛装生活垃圾。对有可能造成垃圾袋破损的物品应单独存放；</w:t>
            </w:r>
          </w:p>
          <w:p w14:paraId="7195C236">
            <w:pPr>
              <w:pStyle w:val="89"/>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4"/>
                <w:szCs w:val="24"/>
                <w:lang w:val="en-US" w:eastAsia="zh-CN" w:bidi="ar-SA"/>
              </w:rPr>
              <w:t>3）</w:t>
            </w:r>
            <w:r>
              <w:rPr>
                <w:rFonts w:hint="default" w:ascii="Times New Roman" w:hAnsi="Times New Roman" w:eastAsia="宋体" w:cs="Times New Roman"/>
                <w:color w:val="auto"/>
                <w:highlight w:val="none"/>
              </w:rPr>
              <w:t>产生生活废弃物的单位和个人应当按照市容环境行政管理部门规定的时间、地点和方式投放生活废弃物，不得随意倾倒、</w:t>
            </w:r>
            <w:r>
              <w:rPr>
                <w:rFonts w:hint="default" w:ascii="Times New Roman" w:hAnsi="Times New Roman" w:eastAsia="宋体" w:cs="Times New Roman"/>
                <w:color w:val="auto"/>
                <w:highlight w:val="none"/>
                <w:lang w:eastAsia="zh-CN"/>
              </w:rPr>
              <w:t>抛洒、</w:t>
            </w:r>
            <w:r>
              <w:rPr>
                <w:rFonts w:hint="default" w:ascii="Times New Roman" w:hAnsi="Times New Roman" w:eastAsia="宋体" w:cs="Times New Roman"/>
                <w:color w:val="auto"/>
                <w:highlight w:val="none"/>
              </w:rPr>
              <w:t>堆放生活废弃物。</w:t>
            </w:r>
          </w:p>
          <w:p w14:paraId="0B5C3A3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综上，本项目在采取以上措施的情况下，固体废物处置措施合理、去向可行，不会对周围环境质量造成不利影响。</w:t>
            </w:r>
          </w:p>
          <w:p w14:paraId="7D2F39C5">
            <w:pPr>
              <w:adjustRightInd w:val="0"/>
              <w:snapToGrid w:val="0"/>
              <w:spacing w:line="360" w:lineRule="auto"/>
              <w:ind w:firstLine="482" w:firstLineChars="200"/>
              <w:jc w:val="both"/>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五、</w:t>
            </w:r>
            <w:r>
              <w:rPr>
                <w:rFonts w:hint="eastAsia" w:cs="Times New Roman"/>
                <w:b/>
                <w:bCs/>
                <w:color w:val="auto"/>
                <w:sz w:val="24"/>
                <w:lang w:eastAsia="zh-CN"/>
              </w:rPr>
              <w:t>地下水、</w:t>
            </w:r>
            <w:r>
              <w:rPr>
                <w:rFonts w:hint="default" w:ascii="Times New Roman" w:hAnsi="Times New Roman" w:eastAsia="宋体" w:cs="Times New Roman"/>
                <w:b/>
                <w:bCs/>
                <w:color w:val="auto"/>
                <w:sz w:val="24"/>
              </w:rPr>
              <w:t>土壤</w:t>
            </w:r>
          </w:p>
          <w:p w14:paraId="7C1D73F3">
            <w:pPr>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建设项目环境影响报告表编制技术指南（污染影响类）》（试行）的要求：地下水、土壤环境。原则上不开展环境质量现状调查。建设项目存在土壤、地下水环境污染途径的，应结合污染源、保护目标分布情况开展现状调查以留作背景值。</w:t>
            </w:r>
          </w:p>
          <w:p w14:paraId="79A3701D">
            <w:pPr>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本项目位于</w:t>
            </w:r>
            <w:r>
              <w:rPr>
                <w:rFonts w:hint="default" w:ascii="Times New Roman" w:hAnsi="Times New Roman" w:cs="Times New Roman"/>
                <w:color w:val="auto"/>
                <w:sz w:val="24"/>
                <w:highlight w:val="none"/>
                <w:lang w:eastAsia="zh-CN"/>
              </w:rPr>
              <w:t>鸡西市城子河区正阳街道三号井附近</w:t>
            </w:r>
            <w:r>
              <w:rPr>
                <w:rFonts w:hint="default" w:ascii="Times New Roman" w:hAnsi="Times New Roman" w:cs="Times New Roman"/>
                <w:color w:val="auto"/>
                <w:sz w:val="24"/>
                <w:highlight w:val="none"/>
              </w:rPr>
              <w:t>，不涉及集中式饮用水水源和热水、矿泉水、温泉等特殊地下水资源保护区，且项目周边不存在土壤环境敏感目标，不需开展土壤及地下水专项评价。</w:t>
            </w:r>
          </w:p>
          <w:p w14:paraId="0F2AF3D4">
            <w:pPr>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本项目为煤炭仓储建设项目，在对</w:t>
            </w:r>
            <w:r>
              <w:rPr>
                <w:rFonts w:hint="default" w:ascii="Times New Roman" w:hAnsi="Times New Roman" w:cs="Times New Roman"/>
                <w:color w:val="auto"/>
                <w:sz w:val="24"/>
                <w:highlight w:val="none"/>
                <w:lang w:eastAsia="zh-CN"/>
              </w:rPr>
              <w:t>厂区</w:t>
            </w:r>
            <w:r>
              <w:rPr>
                <w:rFonts w:hint="default" w:ascii="Times New Roman" w:hAnsi="Times New Roman" w:cs="Times New Roman"/>
                <w:color w:val="auto"/>
                <w:sz w:val="24"/>
                <w:highlight w:val="none"/>
              </w:rPr>
              <w:t>地面要求</w:t>
            </w:r>
            <w:r>
              <w:rPr>
                <w:rFonts w:hint="default" w:ascii="Times New Roman" w:hAnsi="Times New Roman" w:cs="Times New Roman"/>
                <w:color w:val="auto"/>
                <w:sz w:val="24"/>
                <w:highlight w:val="none"/>
                <w:lang w:eastAsia="zh-CN"/>
              </w:rPr>
              <w:t>进行防渗</w:t>
            </w:r>
            <w:r>
              <w:rPr>
                <w:rFonts w:hint="default" w:ascii="Times New Roman" w:hAnsi="Times New Roman" w:cs="Times New Roman"/>
                <w:color w:val="auto"/>
                <w:sz w:val="24"/>
                <w:highlight w:val="none"/>
              </w:rPr>
              <w:t>硬化</w:t>
            </w:r>
            <w:r>
              <w:rPr>
                <w:rFonts w:hint="default" w:ascii="Times New Roman" w:hAnsi="Times New Roman" w:cs="Times New Roman"/>
                <w:color w:val="auto"/>
                <w:sz w:val="24"/>
                <w:highlight w:val="none"/>
                <w:lang w:eastAsia="zh-CN"/>
              </w:rPr>
              <w:t>后</w:t>
            </w:r>
            <w:r>
              <w:rPr>
                <w:rFonts w:hint="default" w:ascii="Times New Roman" w:hAnsi="Times New Roman" w:cs="Times New Roman"/>
                <w:color w:val="auto"/>
                <w:sz w:val="24"/>
                <w:highlight w:val="none"/>
              </w:rPr>
              <w:t>，可以有效防止各类废水下渗对土壤和地下水环境造成污染。</w:t>
            </w:r>
          </w:p>
          <w:p w14:paraId="0322F74E">
            <w:pPr>
              <w:keepNext w:val="0"/>
              <w:keepLines w:val="0"/>
              <w:pageBreakBefore w:val="0"/>
              <w:widowControl/>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本次评价要求建设单位加强环保措施的运行管理，保证其稳定运行，降低气态污染物的排放，同时加强</w:t>
            </w:r>
            <w:r>
              <w:rPr>
                <w:rFonts w:hint="default" w:ascii="Times New Roman" w:hAnsi="Times New Roman" w:cs="Times New Roman"/>
                <w:color w:val="auto"/>
                <w:sz w:val="24"/>
                <w:highlight w:val="none"/>
                <w:lang w:eastAsia="zh-CN"/>
              </w:rPr>
              <w:t>储煤场</w:t>
            </w:r>
            <w:r>
              <w:rPr>
                <w:rFonts w:hint="default" w:ascii="Times New Roman" w:hAnsi="Times New Roman" w:cs="Times New Roman"/>
                <w:color w:val="auto"/>
                <w:sz w:val="24"/>
                <w:highlight w:val="none"/>
              </w:rPr>
              <w:t>地面维护工作，防止地面出现裂缝等，降低污染物入渗对土壤和地下水环境的影响。</w:t>
            </w:r>
          </w:p>
          <w:p w14:paraId="39BCC019">
            <w:pPr>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源头控制措施</w:t>
            </w:r>
          </w:p>
          <w:p w14:paraId="6448252D">
            <w:pPr>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default" w:ascii="Times New Roman" w:hAnsi="Times New Roman" w:cs="Times New Roman"/>
                <w:color w:val="auto"/>
                <w:sz w:val="24"/>
                <w:highlight w:val="none"/>
                <w:lang w:eastAsia="zh-CN"/>
              </w:rPr>
              <w:t>无生产废水产生</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生活污水排入防渗</w:t>
            </w:r>
            <w:r>
              <w:rPr>
                <w:rFonts w:hint="eastAsia" w:cs="Times New Roman"/>
                <w:color w:val="auto"/>
                <w:sz w:val="24"/>
                <w:highlight w:val="none"/>
                <w:lang w:eastAsia="zh-CN"/>
              </w:rPr>
              <w:t>旱厕</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eastAsia="zh-CN"/>
              </w:rPr>
              <w:t>定期清掏，外运堆肥</w:t>
            </w:r>
            <w:r>
              <w:rPr>
                <w:rFonts w:hint="default" w:ascii="Times New Roman" w:hAnsi="Times New Roman" w:cs="Times New Roman"/>
                <w:color w:val="auto"/>
                <w:sz w:val="24"/>
                <w:highlight w:val="none"/>
              </w:rPr>
              <w:t>。本项目在建设过程中均采取相应防渗措施，防止和降低污染物跑、冒、滴、漏，将污染物泄漏的环境风险事故降到最低程度。</w:t>
            </w:r>
          </w:p>
          <w:p w14:paraId="17BCDF21">
            <w:pPr>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分区防渗措施</w:t>
            </w:r>
          </w:p>
          <w:p w14:paraId="5E440495">
            <w:pPr>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根据《环境影响评价技术导则 地下水环境》（HJ610-2016）表7设置本项目防渗分区，详见下表。</w:t>
            </w:r>
            <w:r>
              <w:rPr>
                <w:rFonts w:hint="default" w:ascii="Times New Roman" w:hAnsi="Times New Roman" w:cs="Times New Roman"/>
                <w:color w:val="auto"/>
                <w:sz w:val="24"/>
                <w:highlight w:val="none"/>
                <w:lang w:eastAsia="zh-CN"/>
              </w:rPr>
              <w:t>分区防渗图见附图</w:t>
            </w:r>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lang w:val="en-US" w:eastAsia="zh-CN"/>
              </w:rPr>
              <w:t>。</w:t>
            </w:r>
          </w:p>
          <w:p w14:paraId="53A1BFE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表4-</w:t>
            </w:r>
            <w:r>
              <w:rPr>
                <w:rFonts w:hint="eastAsia" w:cs="Times New Roman"/>
                <w:b/>
                <w:color w:val="auto"/>
                <w:szCs w:val="21"/>
                <w:highlight w:val="none"/>
                <w:lang w:val="en-US" w:eastAsia="zh-CN"/>
              </w:rPr>
              <w:t>10</w:t>
            </w:r>
            <w:r>
              <w:rPr>
                <w:rFonts w:hint="default" w:ascii="Times New Roman" w:hAnsi="Times New Roman" w:eastAsia="宋体" w:cs="Times New Roman"/>
                <w:b/>
                <w:color w:val="auto"/>
                <w:szCs w:val="21"/>
                <w:highlight w:val="none"/>
              </w:rPr>
              <w:t xml:space="preserve"> 地下水污染防渗分区参照表</w:t>
            </w:r>
          </w:p>
          <w:tbl>
            <w:tblPr>
              <w:tblStyle w:val="30"/>
              <w:tblW w:w="4994"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1"/>
              <w:gridCol w:w="1357"/>
              <w:gridCol w:w="1193"/>
              <w:gridCol w:w="1555"/>
              <w:gridCol w:w="2694"/>
            </w:tblGrid>
            <w:tr w14:paraId="33977F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9" w:type="pct"/>
                  <w:noWrap w:val="0"/>
                  <w:vAlign w:val="center"/>
                </w:tcPr>
                <w:p w14:paraId="78DA8BCC">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防渗分区</w:t>
                  </w:r>
                </w:p>
              </w:tc>
              <w:tc>
                <w:tcPr>
                  <w:tcW w:w="830" w:type="pct"/>
                  <w:noWrap w:val="0"/>
                  <w:vAlign w:val="center"/>
                </w:tcPr>
                <w:p w14:paraId="4BD74EAF">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天然包气带防污性能</w:t>
                  </w:r>
                </w:p>
              </w:tc>
              <w:tc>
                <w:tcPr>
                  <w:tcW w:w="730" w:type="pct"/>
                  <w:noWrap w:val="0"/>
                  <w:vAlign w:val="center"/>
                </w:tcPr>
                <w:p w14:paraId="4A21F6D8">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污染控制难易程度</w:t>
                  </w:r>
                </w:p>
              </w:tc>
              <w:tc>
                <w:tcPr>
                  <w:tcW w:w="951" w:type="pct"/>
                  <w:noWrap w:val="0"/>
                  <w:vAlign w:val="center"/>
                </w:tcPr>
                <w:p w14:paraId="7591A3F2">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污染物类型</w:t>
                  </w:r>
                </w:p>
              </w:tc>
              <w:tc>
                <w:tcPr>
                  <w:tcW w:w="1648" w:type="pct"/>
                  <w:noWrap w:val="0"/>
                  <w:vAlign w:val="center"/>
                </w:tcPr>
                <w:p w14:paraId="268713A0">
                  <w:pPr>
                    <w:widowControl/>
                    <w:jc w:val="center"/>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防渗技术要求</w:t>
                  </w:r>
                </w:p>
              </w:tc>
            </w:tr>
            <w:tr w14:paraId="1870CD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9" w:type="pct"/>
                  <w:vMerge w:val="restart"/>
                  <w:noWrap w:val="0"/>
                  <w:vAlign w:val="center"/>
                </w:tcPr>
                <w:p w14:paraId="2E1CB350">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重点防渗区</w:t>
                  </w:r>
                </w:p>
              </w:tc>
              <w:tc>
                <w:tcPr>
                  <w:tcW w:w="830" w:type="pct"/>
                  <w:noWrap w:val="0"/>
                  <w:vAlign w:val="center"/>
                </w:tcPr>
                <w:p w14:paraId="0ADCA999">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弱</w:t>
                  </w:r>
                </w:p>
              </w:tc>
              <w:tc>
                <w:tcPr>
                  <w:tcW w:w="730" w:type="pct"/>
                  <w:noWrap w:val="0"/>
                  <w:vAlign w:val="center"/>
                </w:tcPr>
                <w:p w14:paraId="633E3E5F">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难</w:t>
                  </w:r>
                </w:p>
              </w:tc>
              <w:tc>
                <w:tcPr>
                  <w:tcW w:w="951" w:type="pct"/>
                  <w:vMerge w:val="restart"/>
                  <w:noWrap w:val="0"/>
                  <w:vAlign w:val="center"/>
                </w:tcPr>
                <w:p w14:paraId="3BA0BC6A">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重金属、持久性有机污染物</w:t>
                  </w:r>
                </w:p>
              </w:tc>
              <w:tc>
                <w:tcPr>
                  <w:tcW w:w="1648" w:type="pct"/>
                  <w:vMerge w:val="restart"/>
                  <w:noWrap w:val="0"/>
                  <w:vAlign w:val="center"/>
                </w:tcPr>
                <w:p w14:paraId="4093B8D4">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等效黏土防渗层 Mb≥6.0m，K≤10</w:t>
                  </w:r>
                  <w:r>
                    <w:rPr>
                      <w:rFonts w:hint="default" w:ascii="Times New Roman" w:hAnsi="Times New Roman" w:cs="Times New Roman"/>
                      <w:color w:val="auto"/>
                      <w:kern w:val="0"/>
                      <w:szCs w:val="21"/>
                      <w:highlight w:val="none"/>
                      <w:vertAlign w:val="superscript"/>
                    </w:rPr>
                    <w:t>-7</w:t>
                  </w:r>
                  <w:r>
                    <w:rPr>
                      <w:rFonts w:hint="default" w:ascii="Times New Roman" w:hAnsi="Times New Roman" w:cs="Times New Roman"/>
                      <w:color w:val="auto"/>
                      <w:kern w:val="0"/>
                      <w:szCs w:val="21"/>
                      <w:highlight w:val="none"/>
                    </w:rPr>
                    <w:t>cm/s；或参照GB18598执行</w:t>
                  </w:r>
                </w:p>
              </w:tc>
            </w:tr>
            <w:tr w14:paraId="7571C3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9" w:type="pct"/>
                  <w:vMerge w:val="continue"/>
                  <w:noWrap w:val="0"/>
                  <w:vAlign w:val="center"/>
                </w:tcPr>
                <w:p w14:paraId="7E7BB1D4">
                  <w:pPr>
                    <w:widowControl/>
                    <w:jc w:val="center"/>
                    <w:rPr>
                      <w:rFonts w:hint="default" w:ascii="Times New Roman" w:hAnsi="Times New Roman" w:cs="Times New Roman"/>
                      <w:color w:val="auto"/>
                      <w:kern w:val="0"/>
                      <w:szCs w:val="21"/>
                      <w:highlight w:val="none"/>
                    </w:rPr>
                  </w:pPr>
                </w:p>
              </w:tc>
              <w:tc>
                <w:tcPr>
                  <w:tcW w:w="830" w:type="pct"/>
                  <w:noWrap w:val="0"/>
                  <w:vAlign w:val="center"/>
                </w:tcPr>
                <w:p w14:paraId="644CB177">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中-强</w:t>
                  </w:r>
                </w:p>
              </w:tc>
              <w:tc>
                <w:tcPr>
                  <w:tcW w:w="730" w:type="pct"/>
                  <w:noWrap w:val="0"/>
                  <w:vAlign w:val="center"/>
                </w:tcPr>
                <w:p w14:paraId="6F90E3E8">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难</w:t>
                  </w:r>
                </w:p>
              </w:tc>
              <w:tc>
                <w:tcPr>
                  <w:tcW w:w="951" w:type="pct"/>
                  <w:vMerge w:val="continue"/>
                  <w:noWrap w:val="0"/>
                  <w:vAlign w:val="center"/>
                </w:tcPr>
                <w:p w14:paraId="5C6D4C74">
                  <w:pPr>
                    <w:widowControl/>
                    <w:jc w:val="center"/>
                    <w:rPr>
                      <w:rFonts w:hint="default" w:ascii="Times New Roman" w:hAnsi="Times New Roman" w:cs="Times New Roman"/>
                      <w:color w:val="auto"/>
                      <w:kern w:val="0"/>
                      <w:szCs w:val="21"/>
                      <w:highlight w:val="none"/>
                    </w:rPr>
                  </w:pPr>
                </w:p>
              </w:tc>
              <w:tc>
                <w:tcPr>
                  <w:tcW w:w="1648" w:type="pct"/>
                  <w:vMerge w:val="continue"/>
                  <w:noWrap w:val="0"/>
                  <w:vAlign w:val="center"/>
                </w:tcPr>
                <w:p w14:paraId="0AE26067">
                  <w:pPr>
                    <w:widowControl/>
                    <w:jc w:val="center"/>
                    <w:rPr>
                      <w:rFonts w:hint="default" w:ascii="Times New Roman" w:hAnsi="Times New Roman" w:cs="Times New Roman"/>
                      <w:color w:val="auto"/>
                      <w:kern w:val="0"/>
                      <w:szCs w:val="21"/>
                      <w:highlight w:val="none"/>
                    </w:rPr>
                  </w:pPr>
                </w:p>
              </w:tc>
            </w:tr>
            <w:tr w14:paraId="4F330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9" w:type="pct"/>
                  <w:vMerge w:val="continue"/>
                  <w:noWrap w:val="0"/>
                  <w:vAlign w:val="center"/>
                </w:tcPr>
                <w:p w14:paraId="601E5612">
                  <w:pPr>
                    <w:widowControl/>
                    <w:jc w:val="center"/>
                    <w:rPr>
                      <w:rFonts w:hint="default" w:ascii="Times New Roman" w:hAnsi="Times New Roman" w:cs="Times New Roman"/>
                      <w:color w:val="auto"/>
                      <w:kern w:val="0"/>
                      <w:szCs w:val="21"/>
                      <w:highlight w:val="none"/>
                    </w:rPr>
                  </w:pPr>
                </w:p>
              </w:tc>
              <w:tc>
                <w:tcPr>
                  <w:tcW w:w="830" w:type="pct"/>
                  <w:noWrap w:val="0"/>
                  <w:vAlign w:val="center"/>
                </w:tcPr>
                <w:p w14:paraId="40056AF6">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弱</w:t>
                  </w:r>
                </w:p>
              </w:tc>
              <w:tc>
                <w:tcPr>
                  <w:tcW w:w="730" w:type="pct"/>
                  <w:noWrap w:val="0"/>
                  <w:vAlign w:val="center"/>
                </w:tcPr>
                <w:p w14:paraId="60CF0732">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易</w:t>
                  </w:r>
                </w:p>
              </w:tc>
              <w:tc>
                <w:tcPr>
                  <w:tcW w:w="951" w:type="pct"/>
                  <w:vMerge w:val="continue"/>
                  <w:noWrap w:val="0"/>
                  <w:vAlign w:val="center"/>
                </w:tcPr>
                <w:p w14:paraId="55D94299">
                  <w:pPr>
                    <w:widowControl/>
                    <w:jc w:val="center"/>
                    <w:rPr>
                      <w:rFonts w:hint="default" w:ascii="Times New Roman" w:hAnsi="Times New Roman" w:cs="Times New Roman"/>
                      <w:color w:val="auto"/>
                      <w:kern w:val="0"/>
                      <w:szCs w:val="21"/>
                      <w:highlight w:val="none"/>
                    </w:rPr>
                  </w:pPr>
                </w:p>
              </w:tc>
              <w:tc>
                <w:tcPr>
                  <w:tcW w:w="1648" w:type="pct"/>
                  <w:vMerge w:val="continue"/>
                  <w:noWrap w:val="0"/>
                  <w:vAlign w:val="center"/>
                </w:tcPr>
                <w:p w14:paraId="30C0D0F2">
                  <w:pPr>
                    <w:widowControl/>
                    <w:jc w:val="center"/>
                    <w:rPr>
                      <w:rFonts w:hint="default" w:ascii="Times New Roman" w:hAnsi="Times New Roman" w:cs="Times New Roman"/>
                      <w:color w:val="auto"/>
                      <w:kern w:val="0"/>
                      <w:szCs w:val="21"/>
                      <w:highlight w:val="none"/>
                    </w:rPr>
                  </w:pPr>
                </w:p>
              </w:tc>
            </w:tr>
            <w:tr w14:paraId="277F41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9" w:type="pct"/>
                  <w:vMerge w:val="restart"/>
                  <w:noWrap w:val="0"/>
                  <w:vAlign w:val="center"/>
                </w:tcPr>
                <w:p w14:paraId="2A4415F2">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一般防渗区</w:t>
                  </w:r>
                </w:p>
              </w:tc>
              <w:tc>
                <w:tcPr>
                  <w:tcW w:w="830" w:type="pct"/>
                  <w:noWrap w:val="0"/>
                  <w:vAlign w:val="center"/>
                </w:tcPr>
                <w:p w14:paraId="3C21C964">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弱</w:t>
                  </w:r>
                </w:p>
              </w:tc>
              <w:tc>
                <w:tcPr>
                  <w:tcW w:w="730" w:type="pct"/>
                  <w:noWrap w:val="0"/>
                  <w:vAlign w:val="center"/>
                </w:tcPr>
                <w:p w14:paraId="4F7C5EF7">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易-难</w:t>
                  </w:r>
                </w:p>
              </w:tc>
              <w:tc>
                <w:tcPr>
                  <w:tcW w:w="951" w:type="pct"/>
                  <w:vMerge w:val="restart"/>
                  <w:noWrap w:val="0"/>
                  <w:vAlign w:val="center"/>
                </w:tcPr>
                <w:p w14:paraId="5E50226B">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其他类型</w:t>
                  </w:r>
                </w:p>
              </w:tc>
              <w:tc>
                <w:tcPr>
                  <w:tcW w:w="1648" w:type="pct"/>
                  <w:vMerge w:val="restart"/>
                  <w:noWrap w:val="0"/>
                  <w:vAlign w:val="center"/>
                </w:tcPr>
                <w:p w14:paraId="00C6E9F4">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等效黏土防渗层 Mb≥1.5m，K≤10</w:t>
                  </w:r>
                  <w:r>
                    <w:rPr>
                      <w:rFonts w:hint="default" w:ascii="Times New Roman" w:hAnsi="Times New Roman" w:cs="Times New Roman"/>
                      <w:color w:val="auto"/>
                      <w:kern w:val="0"/>
                      <w:szCs w:val="21"/>
                      <w:highlight w:val="none"/>
                      <w:vertAlign w:val="superscript"/>
                    </w:rPr>
                    <w:t>-7</w:t>
                  </w:r>
                  <w:r>
                    <w:rPr>
                      <w:rFonts w:hint="default" w:ascii="Times New Roman" w:hAnsi="Times New Roman" w:cs="Times New Roman"/>
                      <w:color w:val="auto"/>
                      <w:kern w:val="0"/>
                      <w:szCs w:val="21"/>
                      <w:highlight w:val="none"/>
                    </w:rPr>
                    <w:t>cm/s；或参照GB1</w:t>
                  </w:r>
                  <w:r>
                    <w:rPr>
                      <w:rFonts w:hint="default" w:ascii="Times New Roman" w:hAnsi="Times New Roman" w:cs="Times New Roman"/>
                      <w:color w:val="auto"/>
                      <w:kern w:val="0"/>
                      <w:szCs w:val="21"/>
                      <w:highlight w:val="none"/>
                      <w:lang w:val="en-US" w:eastAsia="zh-CN"/>
                    </w:rPr>
                    <w:t>6889</w:t>
                  </w:r>
                  <w:r>
                    <w:rPr>
                      <w:rFonts w:hint="default" w:ascii="Times New Roman" w:hAnsi="Times New Roman" w:cs="Times New Roman"/>
                      <w:color w:val="auto"/>
                      <w:kern w:val="0"/>
                      <w:szCs w:val="21"/>
                      <w:highlight w:val="none"/>
                    </w:rPr>
                    <w:t>执行</w:t>
                  </w:r>
                </w:p>
              </w:tc>
            </w:tr>
            <w:tr w14:paraId="2275AD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9" w:type="pct"/>
                  <w:vMerge w:val="continue"/>
                  <w:noWrap w:val="0"/>
                  <w:vAlign w:val="center"/>
                </w:tcPr>
                <w:p w14:paraId="4AA0DB1B">
                  <w:pPr>
                    <w:widowControl/>
                    <w:jc w:val="center"/>
                    <w:rPr>
                      <w:rFonts w:hint="default" w:ascii="Times New Roman" w:hAnsi="Times New Roman" w:cs="Times New Roman"/>
                      <w:color w:val="auto"/>
                      <w:kern w:val="0"/>
                      <w:szCs w:val="21"/>
                      <w:highlight w:val="none"/>
                    </w:rPr>
                  </w:pPr>
                </w:p>
              </w:tc>
              <w:tc>
                <w:tcPr>
                  <w:tcW w:w="830" w:type="pct"/>
                  <w:noWrap w:val="0"/>
                  <w:vAlign w:val="center"/>
                </w:tcPr>
                <w:p w14:paraId="08B8794E">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中-强</w:t>
                  </w:r>
                </w:p>
              </w:tc>
              <w:tc>
                <w:tcPr>
                  <w:tcW w:w="730" w:type="pct"/>
                  <w:noWrap w:val="0"/>
                  <w:vAlign w:val="center"/>
                </w:tcPr>
                <w:p w14:paraId="4B5204CA">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难</w:t>
                  </w:r>
                </w:p>
              </w:tc>
              <w:tc>
                <w:tcPr>
                  <w:tcW w:w="951" w:type="pct"/>
                  <w:vMerge w:val="continue"/>
                  <w:noWrap w:val="0"/>
                  <w:vAlign w:val="center"/>
                </w:tcPr>
                <w:p w14:paraId="0FB6E9F5">
                  <w:pPr>
                    <w:widowControl/>
                    <w:jc w:val="center"/>
                    <w:rPr>
                      <w:rFonts w:hint="default" w:ascii="Times New Roman" w:hAnsi="Times New Roman" w:cs="Times New Roman"/>
                      <w:color w:val="auto"/>
                      <w:kern w:val="0"/>
                      <w:szCs w:val="21"/>
                      <w:highlight w:val="none"/>
                    </w:rPr>
                  </w:pPr>
                </w:p>
              </w:tc>
              <w:tc>
                <w:tcPr>
                  <w:tcW w:w="1648" w:type="pct"/>
                  <w:vMerge w:val="continue"/>
                  <w:noWrap w:val="0"/>
                  <w:vAlign w:val="center"/>
                </w:tcPr>
                <w:p w14:paraId="10509F53">
                  <w:pPr>
                    <w:widowControl/>
                    <w:jc w:val="center"/>
                    <w:rPr>
                      <w:rFonts w:hint="default" w:ascii="Times New Roman" w:hAnsi="Times New Roman" w:cs="Times New Roman"/>
                      <w:color w:val="auto"/>
                      <w:kern w:val="0"/>
                      <w:szCs w:val="21"/>
                      <w:highlight w:val="none"/>
                    </w:rPr>
                  </w:pPr>
                </w:p>
              </w:tc>
            </w:tr>
            <w:tr w14:paraId="311BE3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9" w:type="pct"/>
                  <w:vMerge w:val="continue"/>
                  <w:noWrap w:val="0"/>
                  <w:vAlign w:val="center"/>
                </w:tcPr>
                <w:p w14:paraId="5905BC41">
                  <w:pPr>
                    <w:widowControl/>
                    <w:jc w:val="center"/>
                    <w:rPr>
                      <w:rFonts w:hint="default" w:ascii="Times New Roman" w:hAnsi="Times New Roman" w:cs="Times New Roman"/>
                      <w:color w:val="auto"/>
                      <w:kern w:val="0"/>
                      <w:szCs w:val="21"/>
                      <w:highlight w:val="none"/>
                    </w:rPr>
                  </w:pPr>
                </w:p>
              </w:tc>
              <w:tc>
                <w:tcPr>
                  <w:tcW w:w="830" w:type="pct"/>
                  <w:noWrap w:val="0"/>
                  <w:vAlign w:val="center"/>
                </w:tcPr>
                <w:p w14:paraId="36E49713">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中</w:t>
                  </w:r>
                </w:p>
              </w:tc>
              <w:tc>
                <w:tcPr>
                  <w:tcW w:w="730" w:type="pct"/>
                  <w:noWrap w:val="0"/>
                  <w:vAlign w:val="center"/>
                </w:tcPr>
                <w:p w14:paraId="789BE86E">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易</w:t>
                  </w:r>
                </w:p>
              </w:tc>
              <w:tc>
                <w:tcPr>
                  <w:tcW w:w="951" w:type="pct"/>
                  <w:vMerge w:val="restart"/>
                  <w:noWrap w:val="0"/>
                  <w:vAlign w:val="center"/>
                </w:tcPr>
                <w:p w14:paraId="58CAAC85">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重金属、持久性有机污染物</w:t>
                  </w:r>
                </w:p>
              </w:tc>
              <w:tc>
                <w:tcPr>
                  <w:tcW w:w="1648" w:type="pct"/>
                  <w:vMerge w:val="continue"/>
                  <w:noWrap w:val="0"/>
                  <w:vAlign w:val="center"/>
                </w:tcPr>
                <w:p w14:paraId="03FF94DB">
                  <w:pPr>
                    <w:widowControl/>
                    <w:jc w:val="center"/>
                    <w:rPr>
                      <w:rFonts w:hint="default" w:ascii="Times New Roman" w:hAnsi="Times New Roman" w:cs="Times New Roman"/>
                      <w:color w:val="auto"/>
                      <w:kern w:val="0"/>
                      <w:szCs w:val="21"/>
                      <w:highlight w:val="none"/>
                    </w:rPr>
                  </w:pPr>
                </w:p>
              </w:tc>
            </w:tr>
            <w:tr w14:paraId="76E5E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9" w:type="pct"/>
                  <w:vMerge w:val="continue"/>
                  <w:noWrap w:val="0"/>
                  <w:vAlign w:val="center"/>
                </w:tcPr>
                <w:p w14:paraId="1D69D792">
                  <w:pPr>
                    <w:widowControl/>
                    <w:jc w:val="center"/>
                    <w:rPr>
                      <w:rFonts w:hint="default" w:ascii="Times New Roman" w:hAnsi="Times New Roman" w:cs="Times New Roman"/>
                      <w:color w:val="auto"/>
                      <w:kern w:val="0"/>
                      <w:szCs w:val="21"/>
                      <w:highlight w:val="none"/>
                    </w:rPr>
                  </w:pPr>
                </w:p>
              </w:tc>
              <w:tc>
                <w:tcPr>
                  <w:tcW w:w="830" w:type="pct"/>
                  <w:noWrap w:val="0"/>
                  <w:vAlign w:val="center"/>
                </w:tcPr>
                <w:p w14:paraId="18CB11A1">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强</w:t>
                  </w:r>
                </w:p>
              </w:tc>
              <w:tc>
                <w:tcPr>
                  <w:tcW w:w="730" w:type="pct"/>
                  <w:noWrap w:val="0"/>
                  <w:vAlign w:val="center"/>
                </w:tcPr>
                <w:p w14:paraId="057F33AC">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易</w:t>
                  </w:r>
                </w:p>
              </w:tc>
              <w:tc>
                <w:tcPr>
                  <w:tcW w:w="951" w:type="pct"/>
                  <w:vMerge w:val="continue"/>
                  <w:noWrap w:val="0"/>
                  <w:vAlign w:val="center"/>
                </w:tcPr>
                <w:p w14:paraId="52D6FE34">
                  <w:pPr>
                    <w:widowControl/>
                    <w:jc w:val="center"/>
                    <w:rPr>
                      <w:rFonts w:hint="default" w:ascii="Times New Roman" w:hAnsi="Times New Roman" w:cs="Times New Roman"/>
                      <w:color w:val="auto"/>
                      <w:kern w:val="0"/>
                      <w:szCs w:val="21"/>
                      <w:highlight w:val="none"/>
                    </w:rPr>
                  </w:pPr>
                </w:p>
              </w:tc>
              <w:tc>
                <w:tcPr>
                  <w:tcW w:w="1648" w:type="pct"/>
                  <w:vMerge w:val="continue"/>
                  <w:noWrap w:val="0"/>
                  <w:vAlign w:val="center"/>
                </w:tcPr>
                <w:p w14:paraId="5982B78C">
                  <w:pPr>
                    <w:widowControl/>
                    <w:jc w:val="center"/>
                    <w:rPr>
                      <w:rFonts w:hint="default" w:ascii="Times New Roman" w:hAnsi="Times New Roman" w:cs="Times New Roman"/>
                      <w:color w:val="auto"/>
                      <w:kern w:val="0"/>
                      <w:szCs w:val="21"/>
                      <w:highlight w:val="none"/>
                    </w:rPr>
                  </w:pPr>
                </w:p>
              </w:tc>
            </w:tr>
            <w:tr w14:paraId="57F567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9" w:type="pct"/>
                  <w:noWrap w:val="0"/>
                  <w:vAlign w:val="center"/>
                </w:tcPr>
                <w:p w14:paraId="6061BC34">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简单防渗区</w:t>
                  </w:r>
                </w:p>
              </w:tc>
              <w:tc>
                <w:tcPr>
                  <w:tcW w:w="830" w:type="pct"/>
                  <w:noWrap w:val="0"/>
                  <w:vAlign w:val="center"/>
                </w:tcPr>
                <w:p w14:paraId="1150A011">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中-强</w:t>
                  </w:r>
                </w:p>
              </w:tc>
              <w:tc>
                <w:tcPr>
                  <w:tcW w:w="730" w:type="pct"/>
                  <w:noWrap w:val="0"/>
                  <w:vAlign w:val="center"/>
                </w:tcPr>
                <w:p w14:paraId="3843B143">
                  <w:pPr>
                    <w:widowControl/>
                    <w:jc w:val="center"/>
                    <w:rPr>
                      <w:rFonts w:hint="default" w:ascii="Times New Roman" w:hAnsi="Times New Roman" w:cs="Times New Roman"/>
                      <w:b/>
                      <w:color w:val="auto"/>
                      <w:kern w:val="0"/>
                      <w:szCs w:val="21"/>
                      <w:highlight w:val="none"/>
                    </w:rPr>
                  </w:pPr>
                  <w:r>
                    <w:rPr>
                      <w:rFonts w:hint="default" w:ascii="Times New Roman" w:hAnsi="Times New Roman" w:cs="Times New Roman"/>
                      <w:b/>
                      <w:color w:val="auto"/>
                      <w:kern w:val="0"/>
                      <w:szCs w:val="21"/>
                      <w:highlight w:val="none"/>
                    </w:rPr>
                    <w:t>易</w:t>
                  </w:r>
                </w:p>
              </w:tc>
              <w:tc>
                <w:tcPr>
                  <w:tcW w:w="951" w:type="pct"/>
                  <w:noWrap w:val="0"/>
                  <w:vAlign w:val="center"/>
                </w:tcPr>
                <w:p w14:paraId="07F1F201">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其他类型</w:t>
                  </w:r>
                </w:p>
              </w:tc>
              <w:tc>
                <w:tcPr>
                  <w:tcW w:w="1648" w:type="pct"/>
                  <w:noWrap w:val="0"/>
                  <w:vAlign w:val="center"/>
                </w:tcPr>
                <w:p w14:paraId="057900C3">
                  <w:pPr>
                    <w:widowControl/>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一般地面硬化</w:t>
                  </w:r>
                </w:p>
              </w:tc>
            </w:tr>
          </w:tbl>
          <w:p w14:paraId="1D8CDF96">
            <w:pPr>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fldChar w:fldCharType="begin"/>
            </w:r>
            <w:r>
              <w:rPr>
                <w:rFonts w:hint="default" w:ascii="Times New Roman" w:hAnsi="Times New Roman" w:cs="Times New Roman"/>
                <w:color w:val="auto"/>
                <w:sz w:val="24"/>
                <w:highlight w:val="none"/>
              </w:rPr>
              <w:instrText xml:space="preserve"> = 1 \* GB3 \* MERGEFORMAT </w:instrText>
            </w:r>
            <w:r>
              <w:rPr>
                <w:rFonts w:hint="default" w:ascii="Times New Roman" w:hAnsi="Times New Roman" w:cs="Times New Roman"/>
                <w:color w:val="auto"/>
                <w:sz w:val="24"/>
                <w:highlight w:val="none"/>
              </w:rPr>
              <w:fldChar w:fldCharType="separate"/>
            </w:r>
            <w:r>
              <w:rPr>
                <w:rFonts w:hint="default" w:ascii="Times New Roman" w:hAnsi="Times New Roman" w:cs="Times New Roman"/>
                <w:color w:val="auto"/>
                <w:sz w:val="24"/>
                <w:highlight w:val="none"/>
              </w:rPr>
              <w:t>①</w:t>
            </w:r>
            <w:r>
              <w:rPr>
                <w:rFonts w:hint="default" w:ascii="Times New Roman" w:hAnsi="Times New Roman" w:cs="Times New Roman"/>
                <w:color w:val="auto"/>
                <w:sz w:val="24"/>
                <w:highlight w:val="none"/>
              </w:rPr>
              <w:fldChar w:fldCharType="end"/>
            </w:r>
            <w:r>
              <w:rPr>
                <w:rFonts w:hint="default" w:ascii="Times New Roman" w:hAnsi="Times New Roman" w:cs="Times New Roman"/>
                <w:color w:val="auto"/>
                <w:sz w:val="24"/>
                <w:highlight w:val="none"/>
              </w:rPr>
              <w:t>一般防渗区</w:t>
            </w:r>
          </w:p>
          <w:p w14:paraId="6B8F3D37">
            <w:pPr>
              <w:spacing w:line="360" w:lineRule="auto"/>
              <w:ind w:firstLine="480" w:firstLineChars="200"/>
              <w:jc w:val="left"/>
              <w:rPr>
                <w:rFonts w:hint="default" w:ascii="Times New Roman" w:hAnsi="Times New Roman" w:cs="Times New Roman"/>
                <w:color w:val="auto"/>
                <w:sz w:val="24"/>
                <w:highlight w:val="none"/>
              </w:rPr>
            </w:pPr>
            <w:r>
              <w:rPr>
                <w:rFonts w:hint="eastAsia" w:cs="Times New Roman"/>
                <w:color w:val="auto"/>
                <w:sz w:val="24"/>
                <w:highlight w:val="none"/>
                <w:lang w:eastAsia="zh-CN"/>
              </w:rPr>
              <w:t>煤炭</w:t>
            </w:r>
            <w:r>
              <w:rPr>
                <w:rFonts w:hint="default" w:ascii="Times New Roman" w:hAnsi="Times New Roman" w:cs="Times New Roman"/>
                <w:color w:val="auto"/>
                <w:sz w:val="24"/>
                <w:highlight w:val="none"/>
              </w:rPr>
              <w:t>堆场、</w:t>
            </w:r>
            <w:r>
              <w:rPr>
                <w:rFonts w:hint="eastAsia" w:cs="Times New Roman"/>
                <w:color w:val="auto"/>
                <w:sz w:val="24"/>
                <w:highlight w:val="none"/>
                <w:lang w:eastAsia="zh-CN"/>
              </w:rPr>
              <w:t>防渗旱厕</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雨水收集池</w:t>
            </w:r>
            <w:r>
              <w:rPr>
                <w:rFonts w:hint="default" w:ascii="Times New Roman" w:hAnsi="Times New Roman" w:cs="Times New Roman"/>
                <w:color w:val="auto"/>
                <w:sz w:val="24"/>
                <w:highlight w:val="none"/>
              </w:rPr>
              <w:t>等建构筑物采取一般防渗措施。</w:t>
            </w:r>
          </w:p>
          <w:p w14:paraId="5A96386F">
            <w:pPr>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采用抗渗钢纤维混凝土面，层中掺水泥基透结晶型防水剂，其下粘土务实，单位面积防渗能力达到等效黏土防渗层Mb≥1.5m，渗透系数≤1×10</w:t>
            </w:r>
            <w:r>
              <w:rPr>
                <w:rFonts w:hint="default" w:ascii="Times New Roman" w:hAnsi="Times New Roman" w:cs="Times New Roman"/>
                <w:color w:val="auto"/>
                <w:sz w:val="24"/>
                <w:highlight w:val="none"/>
                <w:vertAlign w:val="superscript"/>
              </w:rPr>
              <w:t>-7</w:t>
            </w:r>
            <w:r>
              <w:rPr>
                <w:rFonts w:hint="default" w:ascii="Times New Roman" w:hAnsi="Times New Roman" w:cs="Times New Roman"/>
                <w:color w:val="auto"/>
                <w:sz w:val="24"/>
                <w:highlight w:val="none"/>
              </w:rPr>
              <w:t>cm/s，符合《环境影响评价技术导则  地下水环境》（HJ 610-2016）一般防渗区要求。</w:t>
            </w:r>
          </w:p>
          <w:p w14:paraId="234D7789">
            <w:pPr>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②</w:t>
            </w:r>
            <w:r>
              <w:rPr>
                <w:rFonts w:hint="default" w:ascii="Times New Roman" w:hAnsi="Times New Roman" w:cs="Times New Roman"/>
                <w:color w:val="auto"/>
                <w:sz w:val="24"/>
                <w:highlight w:val="none"/>
              </w:rPr>
              <w:t>简单防渗区</w:t>
            </w:r>
          </w:p>
          <w:p w14:paraId="12C4700F">
            <w:pPr>
              <w:spacing w:line="360" w:lineRule="auto"/>
              <w:ind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除一般防渗区以外，</w:t>
            </w:r>
            <w:r>
              <w:rPr>
                <w:rFonts w:hint="default" w:ascii="Times New Roman" w:hAnsi="Times New Roman" w:eastAsia="宋体" w:cs="Times New Roman"/>
                <w:color w:val="auto"/>
                <w:sz w:val="24"/>
                <w:highlight w:val="none"/>
                <w:lang w:val="en-GB"/>
              </w:rPr>
              <w:t>厂区内</w:t>
            </w:r>
            <w:r>
              <w:rPr>
                <w:rFonts w:hint="eastAsia" w:cs="Times New Roman"/>
                <w:color w:val="auto"/>
                <w:sz w:val="24"/>
                <w:highlight w:val="none"/>
                <w:lang w:val="en-GB" w:eastAsia="zh-CN"/>
              </w:rPr>
              <w:t>各建筑物</w:t>
            </w:r>
            <w:r>
              <w:rPr>
                <w:rFonts w:hint="default" w:ascii="Times New Roman" w:hAnsi="Times New Roman" w:eastAsia="宋体" w:cs="Times New Roman"/>
                <w:color w:val="auto"/>
                <w:sz w:val="24"/>
                <w:highlight w:val="none"/>
                <w:lang w:val="en-GB"/>
              </w:rPr>
              <w:t>和厂区路面</w:t>
            </w:r>
            <w:r>
              <w:rPr>
                <w:rFonts w:hint="default" w:ascii="Times New Roman" w:hAnsi="Times New Roman" w:eastAsia="宋体" w:cs="Times New Roman"/>
                <w:color w:val="auto"/>
                <w:sz w:val="24"/>
                <w:highlight w:val="none"/>
              </w:rPr>
              <w:t>为简单防渗区，采取水泥地面硬化。</w:t>
            </w:r>
          </w:p>
          <w:p w14:paraId="002B88CC">
            <w:pPr>
              <w:pStyle w:val="71"/>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eastAsia" w:cs="Times New Roman"/>
                <w:color w:val="auto"/>
                <w:sz w:val="24"/>
                <w:highlight w:val="none"/>
                <w:lang w:eastAsia="zh-CN"/>
              </w:rPr>
              <w:t>煤炭</w:t>
            </w:r>
            <w:r>
              <w:rPr>
                <w:rFonts w:hint="default" w:ascii="Times New Roman" w:hAnsi="Times New Roman" w:cs="Times New Roman"/>
                <w:color w:val="auto"/>
                <w:sz w:val="24"/>
                <w:highlight w:val="none"/>
              </w:rPr>
              <w:t>堆场、</w:t>
            </w:r>
            <w:r>
              <w:rPr>
                <w:rFonts w:hint="eastAsia" w:cs="Times New Roman"/>
                <w:color w:val="auto"/>
                <w:sz w:val="24"/>
                <w:highlight w:val="none"/>
                <w:lang w:eastAsia="zh-CN"/>
              </w:rPr>
              <w:t>防渗旱厕</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雨水收集池</w:t>
            </w:r>
            <w:r>
              <w:rPr>
                <w:rFonts w:hint="default" w:ascii="Times New Roman" w:hAnsi="Times New Roman" w:cs="Times New Roman"/>
                <w:color w:val="auto"/>
                <w:highlight w:val="none"/>
              </w:rPr>
              <w:t>采取严格的防渗措施，可有效避免由于污水下渗造成的地下水环境污染。</w:t>
            </w:r>
          </w:p>
          <w:p w14:paraId="5580B66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highlight w:val="none"/>
              </w:rPr>
              <w:t>综上分析，本项目不需开展土壤及地下水环境影响评价。项目</w:t>
            </w:r>
            <w:r>
              <w:rPr>
                <w:rFonts w:hint="default" w:ascii="Times New Roman" w:hAnsi="Times New Roman" w:eastAsia="宋体" w:cs="Times New Roman"/>
                <w:color w:val="auto"/>
                <w:sz w:val="24"/>
                <w:highlight w:val="none"/>
                <w:lang w:eastAsia="zh-CN"/>
              </w:rPr>
              <w:t>运营过程中不产生危险废物，项目</w:t>
            </w:r>
            <w:r>
              <w:rPr>
                <w:rFonts w:hint="eastAsia" w:cs="Times New Roman"/>
                <w:color w:val="auto"/>
                <w:sz w:val="24"/>
                <w:highlight w:val="none"/>
                <w:lang w:eastAsia="zh-CN"/>
              </w:rPr>
              <w:t>煤炭</w:t>
            </w:r>
            <w:r>
              <w:rPr>
                <w:rFonts w:hint="default" w:ascii="Times New Roman" w:hAnsi="Times New Roman" w:cs="Times New Roman"/>
                <w:color w:val="auto"/>
                <w:sz w:val="24"/>
                <w:highlight w:val="none"/>
              </w:rPr>
              <w:t>堆场、</w:t>
            </w:r>
            <w:r>
              <w:rPr>
                <w:rFonts w:hint="eastAsia" w:cs="Times New Roman"/>
                <w:color w:val="auto"/>
                <w:sz w:val="24"/>
                <w:highlight w:val="none"/>
                <w:lang w:eastAsia="zh-CN"/>
              </w:rPr>
              <w:t>防渗旱厕</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雨水收集池</w:t>
            </w:r>
            <w:r>
              <w:rPr>
                <w:rFonts w:hint="default" w:ascii="Times New Roman" w:hAnsi="Times New Roman" w:eastAsia="宋体" w:cs="Times New Roman"/>
                <w:color w:val="auto"/>
                <w:sz w:val="24"/>
                <w:highlight w:val="none"/>
              </w:rPr>
              <w:t>均已进行一般防渗，</w:t>
            </w:r>
            <w:r>
              <w:rPr>
                <w:rFonts w:hint="default" w:ascii="Times New Roman" w:hAnsi="Times New Roman" w:eastAsia="宋体" w:cs="Times New Roman"/>
                <w:color w:val="auto"/>
                <w:sz w:val="24"/>
                <w:highlight w:val="none"/>
                <w:lang w:val="en-GB"/>
              </w:rPr>
              <w:t>厂区内办公室和厂区路面</w:t>
            </w:r>
            <w:r>
              <w:rPr>
                <w:rFonts w:hint="default" w:ascii="Times New Roman" w:hAnsi="Times New Roman" w:cs="Times New Roman"/>
                <w:color w:val="auto"/>
                <w:sz w:val="24"/>
                <w:highlight w:val="none"/>
                <w:lang w:val="en-GB" w:eastAsia="zh-CN"/>
              </w:rPr>
              <w:t>等</w:t>
            </w:r>
            <w:r>
              <w:rPr>
                <w:rFonts w:hint="default" w:ascii="Times New Roman" w:hAnsi="Times New Roman" w:eastAsia="宋体" w:cs="Times New Roman"/>
                <w:color w:val="auto"/>
                <w:sz w:val="24"/>
                <w:highlight w:val="none"/>
              </w:rPr>
              <w:t>均已进行</w:t>
            </w:r>
            <w:r>
              <w:rPr>
                <w:rFonts w:hint="default" w:ascii="Times New Roman" w:hAnsi="Times New Roman" w:cs="Times New Roman"/>
                <w:color w:val="auto"/>
                <w:sz w:val="24"/>
                <w:highlight w:val="none"/>
                <w:lang w:eastAsia="zh-CN"/>
              </w:rPr>
              <w:t>简单</w:t>
            </w:r>
            <w:r>
              <w:rPr>
                <w:rFonts w:hint="default" w:ascii="Times New Roman" w:hAnsi="Times New Roman" w:eastAsia="宋体" w:cs="Times New Roman"/>
                <w:color w:val="auto"/>
                <w:sz w:val="24"/>
                <w:highlight w:val="none"/>
              </w:rPr>
              <w:t>防渗</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故项目生产不会对项目所在区域的地下水和土壤造成影响。</w:t>
            </w:r>
          </w:p>
          <w:p w14:paraId="7F56D0AB">
            <w:pPr>
              <w:adjustRightInd w:val="0"/>
              <w:snapToGrid w:val="0"/>
              <w:spacing w:line="360" w:lineRule="auto"/>
              <w:ind w:firstLine="482" w:firstLineChars="200"/>
              <w:rPr>
                <w:rFonts w:hint="default" w:ascii="Times New Roman" w:hAnsi="Times New Roman" w:eastAsia="宋体" w:cs="Times New Roman"/>
                <w:b/>
                <w:bCs/>
                <w:color w:val="auto"/>
                <w:sz w:val="24"/>
              </w:rPr>
            </w:pPr>
            <w:r>
              <w:rPr>
                <w:rFonts w:hint="eastAsia" w:cs="Times New Roman"/>
                <w:b/>
                <w:bCs/>
                <w:color w:val="auto"/>
                <w:sz w:val="24"/>
                <w:lang w:eastAsia="zh-CN"/>
              </w:rPr>
              <w:t>六</w:t>
            </w:r>
            <w:r>
              <w:rPr>
                <w:rFonts w:hint="default" w:ascii="Times New Roman" w:hAnsi="Times New Roman" w:eastAsia="宋体" w:cs="Times New Roman"/>
                <w:b/>
                <w:bCs/>
                <w:color w:val="auto"/>
                <w:sz w:val="24"/>
              </w:rPr>
              <w:t>、生态</w:t>
            </w:r>
          </w:p>
          <w:p w14:paraId="1C5AEA88">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highlight w:val="none"/>
              </w:rPr>
              <w:t>本项目占地范围内不含生态环境保护目标。</w:t>
            </w:r>
            <w:r>
              <w:rPr>
                <w:rFonts w:hint="default" w:ascii="Times New Roman" w:hAnsi="Times New Roman" w:cs="Times New Roman"/>
                <w:color w:val="auto"/>
                <w:sz w:val="24"/>
                <w:szCs w:val="22"/>
                <w:highlight w:val="none"/>
              </w:rPr>
              <w:t>本项目运营期对生态环境的影响主要是生产过程中排放的颗粒物对周围生态环境的影响。污染物将通过干沉降和湿沉降以及降雨过程沉降于植物和地表，最终转入土壤并累积于土壤之中。</w:t>
            </w:r>
          </w:p>
          <w:p w14:paraId="7C5789C9">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为尽可能减轻该部分污染物对周围生态环境的影响，拟采取以下措施：</w:t>
            </w:r>
          </w:p>
          <w:p w14:paraId="49B1041D">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（1）加强生产设备的管理和维护，确保除尘</w:t>
            </w:r>
            <w:r>
              <w:rPr>
                <w:rFonts w:hint="default" w:ascii="Times New Roman" w:hAnsi="Times New Roman" w:cs="Times New Roman"/>
                <w:color w:val="auto"/>
                <w:sz w:val="24"/>
                <w:szCs w:val="22"/>
                <w:highlight w:val="none"/>
                <w:lang w:eastAsia="zh-CN"/>
              </w:rPr>
              <w:t>效果</w:t>
            </w:r>
            <w:r>
              <w:rPr>
                <w:rFonts w:hint="default" w:ascii="Times New Roman" w:hAnsi="Times New Roman" w:cs="Times New Roman"/>
                <w:color w:val="auto"/>
                <w:sz w:val="24"/>
                <w:szCs w:val="22"/>
                <w:highlight w:val="none"/>
              </w:rPr>
              <w:t>达到设计水平并稳定运行，加强物料的管理，</w:t>
            </w:r>
            <w:r>
              <w:rPr>
                <w:rFonts w:hint="default" w:ascii="Times New Roman" w:hAnsi="Times New Roman" w:cs="Times New Roman"/>
                <w:color w:val="auto"/>
                <w:sz w:val="24"/>
                <w:szCs w:val="22"/>
                <w:highlight w:val="none"/>
                <w:lang w:eastAsia="zh-CN"/>
              </w:rPr>
              <w:t>减少</w:t>
            </w:r>
            <w:r>
              <w:rPr>
                <w:rFonts w:hint="default" w:ascii="Times New Roman" w:hAnsi="Times New Roman" w:cs="Times New Roman"/>
                <w:color w:val="auto"/>
                <w:sz w:val="24"/>
                <w:szCs w:val="22"/>
                <w:highlight w:val="none"/>
              </w:rPr>
              <w:t>颗粒物的排放总量，这是减轻生态负面影响的关键因素；</w:t>
            </w:r>
          </w:p>
          <w:p w14:paraId="77EAB058">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2"/>
                <w:highlight w:val="none"/>
                <w:lang w:eastAsia="zh-CN"/>
              </w:rPr>
            </w:pPr>
            <w:r>
              <w:rPr>
                <w:rFonts w:hint="default" w:ascii="Times New Roman" w:hAnsi="Times New Roman" w:cs="Times New Roman"/>
                <w:color w:val="auto"/>
                <w:sz w:val="24"/>
                <w:szCs w:val="22"/>
                <w:highlight w:val="none"/>
              </w:rPr>
              <w:t>（2）在厂区四周设置围墙、种植树木等多种形式的围挡，尽可能限制无组织排放粉尘的扩散范围及强度</w:t>
            </w:r>
            <w:r>
              <w:rPr>
                <w:rFonts w:hint="default" w:ascii="Times New Roman" w:hAnsi="Times New Roman" w:cs="Times New Roman"/>
                <w:color w:val="auto"/>
                <w:sz w:val="24"/>
                <w:szCs w:val="22"/>
                <w:highlight w:val="none"/>
                <w:lang w:eastAsia="zh-CN"/>
              </w:rPr>
              <w:t>。</w:t>
            </w:r>
          </w:p>
          <w:p w14:paraId="1292C7E0">
            <w:pPr>
              <w:pStyle w:val="86"/>
              <w:spacing w:line="360" w:lineRule="auto"/>
              <w:ind w:firstLine="480" w:firstLineChars="200"/>
              <w:jc w:val="both"/>
              <w:rPr>
                <w:rFonts w:hint="eastAsia" w:cs="Times New Roman"/>
                <w:color w:val="auto"/>
                <w:sz w:val="24"/>
                <w:szCs w:val="22"/>
                <w:highlight w:val="none"/>
                <w:lang w:eastAsia="zh-CN"/>
              </w:rPr>
            </w:pPr>
            <w:r>
              <w:rPr>
                <w:rFonts w:hint="default" w:ascii="Times New Roman" w:hAnsi="Times New Roman" w:cs="Times New Roman"/>
                <w:color w:val="auto"/>
                <w:sz w:val="24"/>
                <w:szCs w:val="22"/>
                <w:highlight w:val="none"/>
              </w:rPr>
              <w:t>采取以上措施后，运营期的颗粒物对周围生态环境的影响很小</w:t>
            </w:r>
            <w:r>
              <w:rPr>
                <w:rFonts w:hint="eastAsia" w:cs="Times New Roman"/>
                <w:color w:val="auto"/>
                <w:sz w:val="24"/>
                <w:szCs w:val="22"/>
                <w:highlight w:val="none"/>
                <w:lang w:eastAsia="zh-CN"/>
              </w:rPr>
              <w:t>。</w:t>
            </w:r>
          </w:p>
          <w:p w14:paraId="4C2F9F4D">
            <w:pPr>
              <w:adjustRightInd w:val="0"/>
              <w:snapToGrid w:val="0"/>
              <w:spacing w:line="360" w:lineRule="auto"/>
              <w:ind w:firstLine="482" w:firstLineChars="200"/>
              <w:rPr>
                <w:rFonts w:ascii="Times New Roman" w:hAnsi="Times New Roman" w:eastAsia="宋体"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七</w:t>
            </w:r>
            <w:r>
              <w:rPr>
                <w:rFonts w:hint="eastAsia" w:ascii="Times New Roman" w:hAnsi="Times New Roman" w:eastAsia="宋体" w:cs="Times New Roman"/>
                <w:b/>
                <w:bCs/>
                <w:color w:val="auto"/>
                <w:sz w:val="24"/>
                <w:highlight w:val="none"/>
                <w:lang w:val="en-US" w:eastAsia="zh-CN"/>
              </w:rPr>
              <w:t>、运输线路环境</w:t>
            </w:r>
          </w:p>
          <w:p w14:paraId="6CC64AA4">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cs="Times New Roman"/>
                <w:color w:val="auto"/>
                <w:sz w:val="24"/>
                <w:szCs w:val="22"/>
                <w:highlight w:val="none"/>
                <w:lang w:val="en-US" w:eastAsia="zh-CN"/>
              </w:rPr>
            </w:pPr>
            <w:r>
              <w:rPr>
                <w:rFonts w:hint="eastAsia" w:ascii="Times New Roman" w:hAnsi="Times New Roman" w:cs="Times New Roman"/>
                <w:color w:val="auto"/>
                <w:sz w:val="24"/>
                <w:szCs w:val="22"/>
                <w:highlight w:val="none"/>
                <w:lang w:val="en-US" w:eastAsia="zh-CN"/>
              </w:rPr>
              <w:t>本项目煤炭运输路线为正阳煤矿通过331国道转至Z902专用道路运至本项目厂区内，评价范围内沿线共有6处环境敏感点如附图，本项目运输对敏感目标的影响主要体现在交通噪声及扬尘。</w:t>
            </w:r>
          </w:p>
          <w:p w14:paraId="1EDC3EA3">
            <w:pPr>
              <w:bidi w:val="0"/>
              <w:jc w:val="center"/>
              <w:rPr>
                <w:color w:val="auto"/>
                <w:szCs w:val="21"/>
                <w:vertAlign w:val="baseline"/>
                <w:lang w:val="en-US" w:eastAsia="zh-CN"/>
              </w:rPr>
            </w:pPr>
            <w:r>
              <w:rPr>
                <w:rFonts w:hint="eastAsia"/>
                <w:b/>
                <w:bCs/>
                <w:color w:val="auto"/>
                <w:lang w:val="en-US" w:eastAsia="zh-CN"/>
              </w:rPr>
              <w:t>表4-17  运输路线环境保护目标一览表</w:t>
            </w:r>
          </w:p>
          <w:tbl>
            <w:tblPr>
              <w:tblStyle w:val="31"/>
              <w:tblW w:w="79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86"/>
              <w:gridCol w:w="1886"/>
              <w:gridCol w:w="1887"/>
              <w:gridCol w:w="2289"/>
            </w:tblGrid>
            <w:tr w14:paraId="656C8F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6" w:type="dxa"/>
                  <w:tcBorders>
                    <w:tl2br w:val="nil"/>
                    <w:tr2bl w:val="nil"/>
                  </w:tcBorders>
                  <w:noWrap w:val="0"/>
                  <w:vAlign w:val="center"/>
                </w:tcPr>
                <w:p w14:paraId="61AF8B4B">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18"/>
                      <w:szCs w:val="18"/>
                      <w:vertAlign w:val="baseline"/>
                      <w:lang w:val="en-US" w:eastAsia="zh-CN"/>
                    </w:rPr>
                  </w:pPr>
                  <w:r>
                    <w:rPr>
                      <w:rFonts w:hint="eastAsia"/>
                      <w:color w:val="auto"/>
                      <w:sz w:val="18"/>
                      <w:szCs w:val="18"/>
                      <w:vertAlign w:val="baseline"/>
                      <w:lang w:val="en-US" w:eastAsia="zh-CN"/>
                    </w:rPr>
                    <w:t>保护目标</w:t>
                  </w:r>
                </w:p>
              </w:tc>
              <w:tc>
                <w:tcPr>
                  <w:tcW w:w="1886" w:type="dxa"/>
                  <w:tcBorders>
                    <w:tl2br w:val="nil"/>
                    <w:tr2bl w:val="nil"/>
                  </w:tcBorders>
                  <w:noWrap w:val="0"/>
                  <w:vAlign w:val="center"/>
                </w:tcPr>
                <w:p w14:paraId="62A67B6A">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18"/>
                      <w:szCs w:val="18"/>
                      <w:vertAlign w:val="baseline"/>
                      <w:lang w:val="en-US" w:eastAsia="zh-CN"/>
                    </w:rPr>
                  </w:pPr>
                  <w:r>
                    <w:rPr>
                      <w:rFonts w:hint="eastAsia"/>
                      <w:color w:val="auto"/>
                      <w:sz w:val="18"/>
                      <w:szCs w:val="18"/>
                      <w:vertAlign w:val="baseline"/>
                      <w:lang w:val="en-US" w:eastAsia="zh-CN"/>
                    </w:rPr>
                    <w:t>方位</w:t>
                  </w:r>
                </w:p>
              </w:tc>
              <w:tc>
                <w:tcPr>
                  <w:tcW w:w="1887" w:type="dxa"/>
                  <w:tcBorders>
                    <w:tl2br w:val="nil"/>
                    <w:tr2bl w:val="nil"/>
                  </w:tcBorders>
                  <w:noWrap w:val="0"/>
                  <w:vAlign w:val="center"/>
                </w:tcPr>
                <w:p w14:paraId="1028CE95">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18"/>
                      <w:szCs w:val="18"/>
                      <w:vertAlign w:val="baseline"/>
                      <w:lang w:val="en-US" w:eastAsia="zh-CN"/>
                    </w:rPr>
                  </w:pPr>
                  <w:r>
                    <w:rPr>
                      <w:rFonts w:hint="eastAsia"/>
                      <w:color w:val="auto"/>
                      <w:sz w:val="18"/>
                      <w:szCs w:val="18"/>
                      <w:vertAlign w:val="baseline"/>
                      <w:lang w:val="en-US" w:eastAsia="zh-CN"/>
                    </w:rPr>
                    <w:t>距离（m）</w:t>
                  </w:r>
                </w:p>
              </w:tc>
              <w:tc>
                <w:tcPr>
                  <w:tcW w:w="2289" w:type="dxa"/>
                  <w:tcBorders>
                    <w:tl2br w:val="nil"/>
                    <w:tr2bl w:val="nil"/>
                  </w:tcBorders>
                  <w:noWrap w:val="0"/>
                  <w:vAlign w:val="center"/>
                </w:tcPr>
                <w:p w14:paraId="729B3FDB">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18"/>
                      <w:szCs w:val="18"/>
                      <w:vertAlign w:val="baseline"/>
                      <w:lang w:val="en-US" w:eastAsia="zh-CN"/>
                    </w:rPr>
                  </w:pPr>
                  <w:r>
                    <w:rPr>
                      <w:rFonts w:hint="eastAsia"/>
                      <w:color w:val="auto"/>
                      <w:sz w:val="18"/>
                      <w:szCs w:val="18"/>
                      <w:vertAlign w:val="baseline"/>
                      <w:lang w:val="en-US" w:eastAsia="zh-CN"/>
                    </w:rPr>
                    <w:t>保护要求</w:t>
                  </w:r>
                </w:p>
              </w:tc>
            </w:tr>
            <w:tr w14:paraId="4DB958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6" w:type="dxa"/>
                  <w:tcBorders>
                    <w:tl2br w:val="nil"/>
                    <w:tr2bl w:val="nil"/>
                  </w:tcBorders>
                  <w:noWrap w:val="0"/>
                  <w:vAlign w:val="center"/>
                </w:tcPr>
                <w:p w14:paraId="332EF1E1">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18"/>
                      <w:szCs w:val="18"/>
                      <w:vertAlign w:val="baseline"/>
                      <w:lang w:val="en-US" w:eastAsia="zh-CN"/>
                    </w:rPr>
                  </w:pPr>
                  <w:r>
                    <w:rPr>
                      <w:rFonts w:hint="eastAsia"/>
                      <w:color w:val="auto"/>
                      <w:sz w:val="18"/>
                      <w:szCs w:val="18"/>
                      <w:vertAlign w:val="baseline"/>
                      <w:lang w:val="en-US" w:eastAsia="zh-CN"/>
                    </w:rPr>
                    <w:t>新阳村</w:t>
                  </w:r>
                </w:p>
              </w:tc>
              <w:tc>
                <w:tcPr>
                  <w:tcW w:w="1886" w:type="dxa"/>
                  <w:tcBorders>
                    <w:tl2br w:val="nil"/>
                    <w:tr2bl w:val="nil"/>
                  </w:tcBorders>
                  <w:noWrap w:val="0"/>
                  <w:vAlign w:val="center"/>
                </w:tcPr>
                <w:p w14:paraId="429A703F">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olor w:val="auto"/>
                      <w:sz w:val="18"/>
                      <w:szCs w:val="18"/>
                      <w:vertAlign w:val="baseline"/>
                      <w:lang w:val="en-US" w:eastAsia="zh-CN"/>
                    </w:rPr>
                  </w:pPr>
                  <w:r>
                    <w:rPr>
                      <w:rFonts w:hint="eastAsia"/>
                      <w:color w:val="auto"/>
                      <w:sz w:val="18"/>
                      <w:szCs w:val="18"/>
                      <w:vertAlign w:val="baseline"/>
                      <w:lang w:val="en-US" w:eastAsia="zh-CN"/>
                    </w:rPr>
                    <w:t>相邻</w:t>
                  </w:r>
                </w:p>
              </w:tc>
              <w:tc>
                <w:tcPr>
                  <w:tcW w:w="1887" w:type="dxa"/>
                  <w:tcBorders>
                    <w:tl2br w:val="nil"/>
                    <w:tr2bl w:val="nil"/>
                  </w:tcBorders>
                  <w:noWrap w:val="0"/>
                  <w:vAlign w:val="center"/>
                </w:tcPr>
                <w:p w14:paraId="5757A8B2">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9</w:t>
                  </w:r>
                </w:p>
              </w:tc>
              <w:tc>
                <w:tcPr>
                  <w:tcW w:w="2289" w:type="dxa"/>
                  <w:vMerge w:val="restart"/>
                  <w:tcBorders>
                    <w:tl2br w:val="nil"/>
                    <w:tr2bl w:val="nil"/>
                  </w:tcBorders>
                  <w:noWrap w:val="0"/>
                  <w:vAlign w:val="center"/>
                </w:tcPr>
                <w:p w14:paraId="18BB1E26">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《声环境质量标准》</w:t>
                  </w:r>
                </w:p>
                <w:p w14:paraId="4EB4A3EE">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color w:val="auto"/>
                      <w:sz w:val="18"/>
                      <w:szCs w:val="18"/>
                      <w:vertAlign w:val="baseline"/>
                      <w:lang w:val="en-US" w:eastAsia="zh-CN"/>
                    </w:rPr>
                  </w:pPr>
                  <w:r>
                    <w:rPr>
                      <w:rFonts w:hint="eastAsia"/>
                      <w:color w:val="auto"/>
                      <w:sz w:val="18"/>
                      <w:szCs w:val="18"/>
                      <w:vertAlign w:val="baseline"/>
                      <w:lang w:val="en-US" w:eastAsia="zh-CN"/>
                    </w:rPr>
                    <w:t>（GB3096-2008）2类标准</w:t>
                  </w:r>
                </w:p>
              </w:tc>
            </w:tr>
            <w:tr w14:paraId="7648C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6" w:type="dxa"/>
                  <w:tcBorders>
                    <w:tl2br w:val="nil"/>
                    <w:tr2bl w:val="nil"/>
                  </w:tcBorders>
                  <w:noWrap w:val="0"/>
                  <w:vAlign w:val="center"/>
                </w:tcPr>
                <w:p w14:paraId="55C0F926">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居民</w:t>
                  </w:r>
                </w:p>
              </w:tc>
              <w:tc>
                <w:tcPr>
                  <w:tcW w:w="1886" w:type="dxa"/>
                  <w:tcBorders>
                    <w:tl2br w:val="nil"/>
                    <w:tr2bl w:val="nil"/>
                  </w:tcBorders>
                  <w:noWrap w:val="0"/>
                  <w:vAlign w:val="center"/>
                </w:tcPr>
                <w:p w14:paraId="0A9A55A4">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相邻</w:t>
                  </w:r>
                </w:p>
              </w:tc>
              <w:tc>
                <w:tcPr>
                  <w:tcW w:w="1887" w:type="dxa"/>
                  <w:tcBorders>
                    <w:tl2br w:val="nil"/>
                    <w:tr2bl w:val="nil"/>
                  </w:tcBorders>
                  <w:noWrap w:val="0"/>
                  <w:vAlign w:val="center"/>
                </w:tcPr>
                <w:p w14:paraId="3767119E">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20</w:t>
                  </w:r>
                </w:p>
              </w:tc>
              <w:tc>
                <w:tcPr>
                  <w:tcW w:w="2289" w:type="dxa"/>
                  <w:vMerge w:val="continue"/>
                  <w:tcBorders>
                    <w:tl2br w:val="nil"/>
                    <w:tr2bl w:val="nil"/>
                  </w:tcBorders>
                  <w:noWrap w:val="0"/>
                  <w:vAlign w:val="center"/>
                </w:tcPr>
                <w:p w14:paraId="38324A8D">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p>
              </w:tc>
            </w:tr>
            <w:tr w14:paraId="2C5115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6" w:type="dxa"/>
                  <w:tcBorders>
                    <w:tl2br w:val="nil"/>
                    <w:tr2bl w:val="nil"/>
                  </w:tcBorders>
                  <w:noWrap w:val="0"/>
                  <w:vAlign w:val="center"/>
                </w:tcPr>
                <w:p w14:paraId="5EDC3018">
                  <w:pPr>
                    <w:pStyle w:val="29"/>
                    <w:keepNext w:val="0"/>
                    <w:keepLines w:val="0"/>
                    <w:pageBreakBefore w:val="0"/>
                    <w:widowControl w:val="0"/>
                    <w:kinsoku/>
                    <w:wordWrap/>
                    <w:overflowPunct/>
                    <w:topLinePunct w:val="0"/>
                    <w:autoSpaceDE/>
                    <w:autoSpaceDN/>
                    <w:bidi w:val="0"/>
                    <w:adjustRightInd/>
                    <w:snapToGrid/>
                    <w:spacing w:after="0" w:line="240" w:lineRule="auto"/>
                    <w:ind w:right="113" w:rightChars="0"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新阳一队</w:t>
                  </w:r>
                </w:p>
              </w:tc>
              <w:tc>
                <w:tcPr>
                  <w:tcW w:w="1886" w:type="dxa"/>
                  <w:tcBorders>
                    <w:tl2br w:val="nil"/>
                    <w:tr2bl w:val="nil"/>
                  </w:tcBorders>
                  <w:noWrap w:val="0"/>
                  <w:vAlign w:val="center"/>
                </w:tcPr>
                <w:p w14:paraId="6A838FA6">
                  <w:pPr>
                    <w:pStyle w:val="29"/>
                    <w:keepNext w:val="0"/>
                    <w:keepLines w:val="0"/>
                    <w:pageBreakBefore w:val="0"/>
                    <w:widowControl w:val="0"/>
                    <w:kinsoku/>
                    <w:wordWrap/>
                    <w:overflowPunct/>
                    <w:topLinePunct w:val="0"/>
                    <w:autoSpaceDE/>
                    <w:autoSpaceDN/>
                    <w:bidi w:val="0"/>
                    <w:adjustRightInd/>
                    <w:snapToGrid/>
                    <w:spacing w:after="0" w:line="240" w:lineRule="auto"/>
                    <w:ind w:right="113" w:rightChars="0"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相邻</w:t>
                  </w:r>
                </w:p>
              </w:tc>
              <w:tc>
                <w:tcPr>
                  <w:tcW w:w="1887" w:type="dxa"/>
                  <w:tcBorders>
                    <w:tl2br w:val="nil"/>
                    <w:tr2bl w:val="nil"/>
                  </w:tcBorders>
                  <w:noWrap w:val="0"/>
                  <w:vAlign w:val="center"/>
                </w:tcPr>
                <w:p w14:paraId="33363668">
                  <w:pPr>
                    <w:pStyle w:val="29"/>
                    <w:keepNext w:val="0"/>
                    <w:keepLines w:val="0"/>
                    <w:pageBreakBefore w:val="0"/>
                    <w:widowControl w:val="0"/>
                    <w:kinsoku/>
                    <w:wordWrap/>
                    <w:overflowPunct/>
                    <w:topLinePunct w:val="0"/>
                    <w:autoSpaceDE/>
                    <w:autoSpaceDN/>
                    <w:bidi w:val="0"/>
                    <w:adjustRightInd/>
                    <w:snapToGrid/>
                    <w:spacing w:after="0" w:line="240" w:lineRule="auto"/>
                    <w:ind w:right="113" w:rightChars="0" w:firstLine="0" w:firstLineChars="0"/>
                    <w:jc w:val="center"/>
                    <w:textAlignment w:val="auto"/>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3</w:t>
                  </w:r>
                </w:p>
              </w:tc>
              <w:tc>
                <w:tcPr>
                  <w:tcW w:w="2289" w:type="dxa"/>
                  <w:vMerge w:val="continue"/>
                  <w:tcBorders>
                    <w:tl2br w:val="nil"/>
                    <w:tr2bl w:val="nil"/>
                  </w:tcBorders>
                  <w:noWrap w:val="0"/>
                  <w:vAlign w:val="center"/>
                </w:tcPr>
                <w:p w14:paraId="3D2463A5">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p>
              </w:tc>
            </w:tr>
            <w:tr w14:paraId="457D6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6" w:type="dxa"/>
                  <w:tcBorders>
                    <w:tl2br w:val="nil"/>
                    <w:tr2bl w:val="nil"/>
                  </w:tcBorders>
                  <w:noWrap w:val="0"/>
                  <w:vAlign w:val="center"/>
                </w:tcPr>
                <w:p w14:paraId="12403F7C">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有余屯</w:t>
                  </w:r>
                </w:p>
              </w:tc>
              <w:tc>
                <w:tcPr>
                  <w:tcW w:w="1886" w:type="dxa"/>
                  <w:tcBorders>
                    <w:tl2br w:val="nil"/>
                    <w:tr2bl w:val="nil"/>
                  </w:tcBorders>
                  <w:noWrap w:val="0"/>
                  <w:vAlign w:val="center"/>
                </w:tcPr>
                <w:p w14:paraId="3F478C2C">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相邻</w:t>
                  </w:r>
                </w:p>
              </w:tc>
              <w:tc>
                <w:tcPr>
                  <w:tcW w:w="1887" w:type="dxa"/>
                  <w:tcBorders>
                    <w:tl2br w:val="nil"/>
                    <w:tr2bl w:val="nil"/>
                  </w:tcBorders>
                  <w:noWrap w:val="0"/>
                  <w:vAlign w:val="center"/>
                </w:tcPr>
                <w:p w14:paraId="23AA3977">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30</w:t>
                  </w:r>
                </w:p>
              </w:tc>
              <w:tc>
                <w:tcPr>
                  <w:tcW w:w="2289" w:type="dxa"/>
                  <w:vMerge w:val="continue"/>
                  <w:tcBorders>
                    <w:tl2br w:val="nil"/>
                    <w:tr2bl w:val="nil"/>
                  </w:tcBorders>
                  <w:noWrap w:val="0"/>
                  <w:vAlign w:val="center"/>
                </w:tcPr>
                <w:p w14:paraId="71E40828">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p>
              </w:tc>
            </w:tr>
            <w:tr w14:paraId="661BE0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6" w:type="dxa"/>
                  <w:tcBorders>
                    <w:tl2br w:val="nil"/>
                    <w:tr2bl w:val="nil"/>
                  </w:tcBorders>
                  <w:noWrap w:val="0"/>
                  <w:vAlign w:val="center"/>
                </w:tcPr>
                <w:p w14:paraId="3D972AF4">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正阳医院</w:t>
                  </w:r>
                </w:p>
              </w:tc>
              <w:tc>
                <w:tcPr>
                  <w:tcW w:w="1886" w:type="dxa"/>
                  <w:tcBorders>
                    <w:tl2br w:val="nil"/>
                    <w:tr2bl w:val="nil"/>
                  </w:tcBorders>
                  <w:noWrap w:val="0"/>
                  <w:vAlign w:val="center"/>
                </w:tcPr>
                <w:p w14:paraId="74EDCC10">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相邻</w:t>
                  </w:r>
                </w:p>
              </w:tc>
              <w:tc>
                <w:tcPr>
                  <w:tcW w:w="1887" w:type="dxa"/>
                  <w:tcBorders>
                    <w:tl2br w:val="nil"/>
                    <w:tr2bl w:val="nil"/>
                  </w:tcBorders>
                  <w:noWrap w:val="0"/>
                  <w:vAlign w:val="center"/>
                </w:tcPr>
                <w:p w14:paraId="601FF110">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20</w:t>
                  </w:r>
                </w:p>
              </w:tc>
              <w:tc>
                <w:tcPr>
                  <w:tcW w:w="2289" w:type="dxa"/>
                  <w:vMerge w:val="continue"/>
                  <w:tcBorders>
                    <w:tl2br w:val="nil"/>
                    <w:tr2bl w:val="nil"/>
                  </w:tcBorders>
                  <w:noWrap w:val="0"/>
                  <w:vAlign w:val="center"/>
                </w:tcPr>
                <w:p w14:paraId="25D53838">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p>
              </w:tc>
            </w:tr>
            <w:tr w14:paraId="0353C9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6" w:type="dxa"/>
                  <w:tcBorders>
                    <w:tl2br w:val="nil"/>
                    <w:tr2bl w:val="nil"/>
                  </w:tcBorders>
                  <w:noWrap w:val="0"/>
                  <w:vAlign w:val="center"/>
                </w:tcPr>
                <w:p w14:paraId="470110D8">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正阳新区</w:t>
                  </w:r>
                </w:p>
              </w:tc>
              <w:tc>
                <w:tcPr>
                  <w:tcW w:w="1886" w:type="dxa"/>
                  <w:tcBorders>
                    <w:tl2br w:val="nil"/>
                    <w:tr2bl w:val="nil"/>
                  </w:tcBorders>
                  <w:noWrap w:val="0"/>
                  <w:vAlign w:val="center"/>
                </w:tcPr>
                <w:p w14:paraId="60F7F7B4">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r>
                    <w:rPr>
                      <w:rFonts w:hint="eastAsia"/>
                      <w:color w:val="auto"/>
                      <w:sz w:val="18"/>
                      <w:szCs w:val="18"/>
                      <w:vertAlign w:val="baseline"/>
                      <w:lang w:val="en-US" w:eastAsia="zh-CN"/>
                    </w:rPr>
                    <w:t>相邻</w:t>
                  </w:r>
                </w:p>
              </w:tc>
              <w:tc>
                <w:tcPr>
                  <w:tcW w:w="1887" w:type="dxa"/>
                  <w:tcBorders>
                    <w:tl2br w:val="nil"/>
                    <w:tr2bl w:val="nil"/>
                  </w:tcBorders>
                  <w:noWrap w:val="0"/>
                  <w:vAlign w:val="center"/>
                </w:tcPr>
                <w:p w14:paraId="17CC84B6">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7</w:t>
                  </w:r>
                </w:p>
              </w:tc>
              <w:tc>
                <w:tcPr>
                  <w:tcW w:w="2289" w:type="dxa"/>
                  <w:vMerge w:val="continue"/>
                  <w:tcBorders>
                    <w:tl2br w:val="nil"/>
                    <w:tr2bl w:val="nil"/>
                  </w:tcBorders>
                  <w:noWrap w:val="0"/>
                  <w:vAlign w:val="center"/>
                </w:tcPr>
                <w:p w14:paraId="70BFB982">
                  <w:pPr>
                    <w:pStyle w:val="29"/>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color w:val="auto"/>
                      <w:sz w:val="18"/>
                      <w:szCs w:val="18"/>
                      <w:vertAlign w:val="baseline"/>
                      <w:lang w:val="en-US" w:eastAsia="zh-CN"/>
                    </w:rPr>
                  </w:pPr>
                </w:p>
              </w:tc>
            </w:tr>
          </w:tbl>
          <w:p w14:paraId="4C9C3A6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（1）运输噪声影响分析</w:t>
            </w:r>
          </w:p>
          <w:p w14:paraId="5BFE58D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运输车辆行驶噪声源强约为70dB（A），对运输交通噪声，禁止使用超过噪声限值的运输车辆，汽车运输机械设备应禁用高音喇叭，机动车辆必须加强维修和保养，保持技术性能良好，在经过运输道路沿途村落时，应限制鸣笛，合理安排运输车辆工作时间，22：00—次日6:00禁止运输工作，避免交通噪声对沿途村庄产生影响，在采取上述措施的前提下，沿线村屯声环境满足《声环境质量标准》（GB3096-2008）2类标准。</w:t>
            </w:r>
          </w:p>
          <w:p w14:paraId="4B38D67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本项目产品运输均在昼间进行，矿方加强对运输车辆管理，杜绝超载现象，按期保养车辆保持车辆良好工况，运输车辆在经过沿线敏感目标时控制行驶速度，通过采取以上措施运输沿线公路交通噪声影响是可以接受的。</w:t>
            </w:r>
          </w:p>
          <w:p w14:paraId="7C8546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（2）运输道路扬尘影响</w:t>
            </w:r>
          </w:p>
          <w:p w14:paraId="7C94BFC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eastAsia" w:ascii="Times New Roman" w:hAnsi="Times New Roman" w:eastAsia="宋体" w:cs="Times New Roman"/>
                <w:bCs/>
                <w:color w:val="auto"/>
                <w:spacing w:val="0"/>
                <w:sz w:val="24"/>
                <w:szCs w:val="24"/>
                <w:highlight w:val="none"/>
                <w:lang w:val="en-US" w:eastAsia="zh-CN"/>
              </w:rPr>
            </w:pPr>
            <w:r>
              <w:rPr>
                <w:rFonts w:hint="eastAsia" w:ascii="Times New Roman" w:hAnsi="Times New Roman" w:eastAsia="宋体" w:cs="Times New Roman"/>
                <w:bCs/>
                <w:color w:val="auto"/>
                <w:spacing w:val="0"/>
                <w:sz w:val="24"/>
                <w:szCs w:val="24"/>
                <w:highlight w:val="none"/>
                <w:lang w:val="en-US" w:eastAsia="zh-CN"/>
              </w:rPr>
              <w:t>本项目运输路线所经过敏感点行驶的道路为水泥路面，根据上海港环境保护中心和武汉水运工程学院提出的经验公式估算中</w:t>
            </w:r>
            <w:r>
              <w:rPr>
                <w:rFonts w:hint="eastAsia" w:ascii="Times New Roman" w:hAnsi="Times New Roman" w:cs="Times New Roman"/>
                <w:bCs/>
                <w:color w:val="auto"/>
                <w:spacing w:val="0"/>
                <w:sz w:val="24"/>
                <w:szCs w:val="24"/>
                <w:highlight w:val="none"/>
                <w:lang w:val="en-US" w:eastAsia="zh-CN"/>
              </w:rPr>
              <w:t>运输</w:t>
            </w:r>
            <w:r>
              <w:rPr>
                <w:rFonts w:hint="eastAsia" w:ascii="Times New Roman" w:hAnsi="Times New Roman" w:eastAsia="宋体" w:cs="Times New Roman"/>
                <w:bCs/>
                <w:color w:val="auto"/>
                <w:spacing w:val="0"/>
                <w:sz w:val="24"/>
                <w:szCs w:val="24"/>
                <w:highlight w:val="none"/>
                <w:lang w:val="en-US" w:eastAsia="zh-CN"/>
              </w:rPr>
              <w:t>道路扬尘源排放系数计算公式，计算得出本项目运输车辆行驶1km产生的道路扬尘质量为</w:t>
            </w:r>
            <w:r>
              <w:rPr>
                <w:rFonts w:hint="eastAsia" w:ascii="Times New Roman" w:hAnsi="Times New Roman" w:cs="Times New Roman"/>
                <w:bCs/>
                <w:color w:val="auto"/>
                <w:spacing w:val="0"/>
                <w:sz w:val="24"/>
                <w:szCs w:val="24"/>
                <w:highlight w:val="none"/>
                <w:lang w:val="en-US" w:eastAsia="zh-CN"/>
              </w:rPr>
              <w:t>0.771k</w:t>
            </w:r>
            <w:r>
              <w:rPr>
                <w:rFonts w:hint="eastAsia" w:ascii="Times New Roman" w:hAnsi="Times New Roman" w:eastAsia="宋体" w:cs="Times New Roman"/>
                <w:bCs/>
                <w:color w:val="auto"/>
                <w:spacing w:val="0"/>
                <w:sz w:val="24"/>
                <w:szCs w:val="24"/>
                <w:highlight w:val="none"/>
                <w:lang w:val="en-US" w:eastAsia="zh-CN"/>
              </w:rPr>
              <w:t>g/km。本项目运输过程中要加强道路养护，保障路面平整，控制汽车行驶速度，运输车辆采用苫布苫盖，同时采取洒水抑尘的措施，可有效降低汽车运输的起尘量，运输产生的扬尘对穿越村庄环境空气的影响较小。</w:t>
            </w:r>
          </w:p>
          <w:p w14:paraId="623135A9">
            <w:pPr>
              <w:adjustRightInd w:val="0"/>
              <w:snapToGrid w:val="0"/>
              <w:spacing w:line="360" w:lineRule="auto"/>
              <w:ind w:firstLine="482" w:firstLineChars="200"/>
              <w:rPr>
                <w:rFonts w:hint="eastAsia" w:ascii="Times New Roman" w:hAnsi="Times New Roman" w:eastAsia="宋体" w:cs="Times New Roman"/>
                <w:b/>
                <w:bCs/>
                <w:color w:val="auto"/>
                <w:sz w:val="24"/>
                <w:lang w:eastAsia="zh-CN"/>
              </w:rPr>
            </w:pPr>
            <w:r>
              <w:rPr>
                <w:rFonts w:hint="eastAsia" w:cs="Times New Roman"/>
                <w:b/>
                <w:bCs/>
                <w:color w:val="auto"/>
                <w:sz w:val="24"/>
                <w:lang w:eastAsia="zh-CN"/>
              </w:rPr>
              <w:t>八</w:t>
            </w:r>
            <w:r>
              <w:rPr>
                <w:rFonts w:hint="default" w:ascii="Times New Roman" w:hAnsi="Times New Roman" w:eastAsia="宋体" w:cs="Times New Roman"/>
                <w:b/>
                <w:bCs/>
                <w:color w:val="auto"/>
                <w:sz w:val="24"/>
              </w:rPr>
              <w:t>、环境风险</w:t>
            </w:r>
            <w:r>
              <w:rPr>
                <w:rFonts w:hint="eastAsia" w:cs="Times New Roman"/>
                <w:b/>
                <w:bCs/>
                <w:color w:val="auto"/>
                <w:sz w:val="24"/>
                <w:lang w:eastAsia="zh-CN"/>
              </w:rPr>
              <w:t>分析</w:t>
            </w:r>
          </w:p>
          <w:p w14:paraId="1256F7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eastAsia" w:cs="Times New Roman"/>
                <w:color w:val="auto"/>
                <w:sz w:val="24"/>
                <w:highlight w:val="none"/>
                <w:lang w:eastAsia="zh-CN"/>
              </w:rPr>
              <w:t>风险源识别</w:t>
            </w:r>
          </w:p>
          <w:p w14:paraId="7E128C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根据《建设项目环境风险评价技术导则》</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HJ169-2018</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附录B，《企业突发环境事件风险分级方法》</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HJ941-2018</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，对项目涉及的原辅材料、燃料、中间产品、产品、污染物等进行危险性识别。</w:t>
            </w:r>
          </w:p>
          <w:p w14:paraId="278AE0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本项目的原辅材料、燃料、中间产品、产品、污染物</w:t>
            </w:r>
            <w:r>
              <w:rPr>
                <w:rFonts w:hint="eastAsia" w:ascii="Times New Roman" w:hAnsi="Times New Roman" w:eastAsia="宋体" w:cs="Times New Roman"/>
                <w:color w:val="auto"/>
                <w:sz w:val="24"/>
                <w:szCs w:val="24"/>
                <w:highlight w:val="none"/>
                <w:lang w:eastAsia="zh-CN"/>
              </w:rPr>
              <w:t>均不涉</w:t>
            </w:r>
            <w:r>
              <w:rPr>
                <w:rFonts w:hint="default" w:ascii="Times New Roman" w:hAnsi="Times New Roman" w:eastAsia="宋体" w:cs="Times New Roman"/>
                <w:color w:val="auto"/>
                <w:sz w:val="24"/>
                <w:szCs w:val="24"/>
                <w:highlight w:val="none"/>
              </w:rPr>
              <w:t>附录B。</w:t>
            </w:r>
          </w:p>
          <w:p w14:paraId="47E355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eastAsia" w:cs="Times New Roman"/>
                <w:color w:val="auto"/>
                <w:sz w:val="24"/>
                <w:highlight w:val="none"/>
                <w:lang w:eastAsia="zh-CN"/>
              </w:rPr>
              <w:t>风险潜势初判和评价等级</w:t>
            </w:r>
          </w:p>
          <w:p w14:paraId="443F4F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根据《建设项目环境风险评价技术导则》</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HJ169-2018</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中附录的计算，本项目危险物质数量与临界量比值Q为</w:t>
            </w:r>
            <w:r>
              <w:rPr>
                <w:rFonts w:hint="eastAsia" w:cs="Times New Roman"/>
                <w:color w:val="auto"/>
                <w:sz w:val="24"/>
                <w:szCs w:val="24"/>
                <w:highlight w:val="none"/>
                <w:vertAlign w:val="baseline"/>
                <w:lang w:val="en-US" w:eastAsia="zh-CN"/>
              </w:rPr>
              <w:t>0</w:t>
            </w:r>
            <w:r>
              <w:rPr>
                <w:rFonts w:hint="default" w:ascii="Times New Roman" w:hAnsi="Times New Roman" w:eastAsia="宋体" w:cs="Times New Roman"/>
                <w:color w:val="auto"/>
                <w:sz w:val="24"/>
                <w:szCs w:val="24"/>
                <w:highlight w:val="none"/>
              </w:rPr>
              <w:t>，Q</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1。因此，根据《建设项目环境影响报告表编制技术指南</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污染影响类</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试行》本项目有毒有害和易燃易爆危险物质存储量未超过临界量，故不开展专项评价。</w:t>
            </w:r>
          </w:p>
          <w:p w14:paraId="16CAB6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rPr>
              <w:t>、</w:t>
            </w:r>
            <w:r>
              <w:rPr>
                <w:rFonts w:hint="eastAsia" w:cs="Times New Roman"/>
                <w:color w:val="auto"/>
                <w:sz w:val="24"/>
                <w:highlight w:val="none"/>
                <w:lang w:eastAsia="zh-CN"/>
              </w:rPr>
              <w:t>生产系统危险性识别</w:t>
            </w:r>
          </w:p>
          <w:p w14:paraId="7242F9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根据工艺流程和厂区平面布置情况，主要风险为堆煤场煤炭煤粉由于风速大被扬尘，遇明火后被点燃，可使人中毒、窒息，泄漏物与空气形成爆炸性混合气体，引发火灾、爆炸事故。</w:t>
            </w:r>
          </w:p>
          <w:p w14:paraId="3368C6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4</w:t>
            </w:r>
            <w:r>
              <w:rPr>
                <w:rFonts w:hint="default" w:ascii="Times New Roman" w:hAnsi="Times New Roman" w:eastAsia="宋体" w:cs="Times New Roman"/>
                <w:color w:val="auto"/>
                <w:sz w:val="24"/>
                <w:highlight w:val="none"/>
              </w:rPr>
              <w:t>、</w:t>
            </w:r>
            <w:r>
              <w:rPr>
                <w:rFonts w:hint="eastAsia" w:cs="Times New Roman"/>
                <w:color w:val="auto"/>
                <w:sz w:val="24"/>
                <w:highlight w:val="none"/>
                <w:lang w:eastAsia="zh-CN"/>
              </w:rPr>
              <w:t>环境风险分析</w:t>
            </w:r>
          </w:p>
          <w:p w14:paraId="5A318A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）大气环境风险分析</w:t>
            </w:r>
          </w:p>
          <w:p w14:paraId="79FC29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本项目涉及大气环境的风险主要为</w:t>
            </w:r>
            <w:r>
              <w:rPr>
                <w:rFonts w:hint="eastAsia" w:cs="Times New Roman"/>
                <w:color w:val="auto"/>
                <w:sz w:val="24"/>
                <w:szCs w:val="24"/>
                <w:highlight w:val="none"/>
                <w:lang w:eastAsia="zh-CN"/>
              </w:rPr>
              <w:t>洒水车故障、防风抑尘网损坏</w:t>
            </w:r>
            <w:r>
              <w:rPr>
                <w:rFonts w:hint="default" w:ascii="Times New Roman" w:hAnsi="Times New Roman" w:eastAsia="宋体" w:cs="Times New Roman"/>
                <w:color w:val="auto"/>
                <w:sz w:val="24"/>
                <w:szCs w:val="24"/>
                <w:highlight w:val="none"/>
              </w:rPr>
              <w:t>，主要可能发生的风险事故为</w:t>
            </w:r>
            <w:r>
              <w:rPr>
                <w:rFonts w:hint="eastAsia" w:ascii="Times New Roman" w:hAnsi="Times New Roman" w:eastAsia="宋体" w:cs="Times New Roman"/>
                <w:color w:val="auto"/>
                <w:sz w:val="24"/>
                <w:szCs w:val="24"/>
                <w:highlight w:val="none"/>
                <w:lang w:eastAsia="zh-CN"/>
              </w:rPr>
              <w:t>堆场自燃的风险</w:t>
            </w:r>
            <w:r>
              <w:rPr>
                <w:rFonts w:hint="default" w:ascii="Times New Roman" w:hAnsi="Times New Roman" w:eastAsia="宋体" w:cs="Times New Roman"/>
                <w:color w:val="auto"/>
                <w:sz w:val="24"/>
                <w:szCs w:val="24"/>
                <w:highlight w:val="none"/>
              </w:rPr>
              <w:t>以及</w:t>
            </w:r>
            <w:r>
              <w:rPr>
                <w:rFonts w:hint="eastAsia" w:ascii="Times New Roman" w:hAnsi="Times New Roman" w:eastAsia="宋体" w:cs="Times New Roman"/>
                <w:color w:val="auto"/>
                <w:sz w:val="24"/>
                <w:szCs w:val="24"/>
                <w:highlight w:val="none"/>
                <w:lang w:eastAsia="zh-CN"/>
              </w:rPr>
              <w:t>煤灰散溢易燃的情况</w:t>
            </w:r>
            <w:r>
              <w:rPr>
                <w:rFonts w:hint="default" w:ascii="Times New Roman" w:hAnsi="Times New Roman" w:eastAsia="宋体" w:cs="Times New Roman"/>
                <w:color w:val="auto"/>
                <w:sz w:val="24"/>
                <w:szCs w:val="24"/>
                <w:highlight w:val="none"/>
              </w:rPr>
              <w:t>。在</w:t>
            </w:r>
            <w:r>
              <w:rPr>
                <w:rFonts w:hint="eastAsia" w:ascii="Times New Roman" w:hAnsi="Times New Roman" w:eastAsia="宋体" w:cs="Times New Roman"/>
                <w:color w:val="auto"/>
                <w:sz w:val="24"/>
                <w:szCs w:val="24"/>
                <w:highlight w:val="none"/>
                <w:lang w:eastAsia="zh-CN"/>
              </w:rPr>
              <w:t>这种</w:t>
            </w:r>
            <w:r>
              <w:rPr>
                <w:rFonts w:hint="default" w:ascii="Times New Roman" w:hAnsi="Times New Roman" w:eastAsia="宋体" w:cs="Times New Roman"/>
                <w:color w:val="auto"/>
                <w:sz w:val="24"/>
                <w:szCs w:val="24"/>
                <w:highlight w:val="none"/>
              </w:rPr>
              <w:t>情况下遇静电或明火等可能发生火灾事故。发生火灾事故时除引发热辐射损伤之外，还可能产生烟雾，烟雾作为次生环境污染物，其成分主要为二氧化碳、一氧化碳、二氧化硫、氮氧化物等，影响周围大气环境。</w:t>
            </w:r>
          </w:p>
          <w:p w14:paraId="0625165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①洒水车故障以及防风抑尘网损坏</w:t>
            </w:r>
            <w:r>
              <w:rPr>
                <w:rFonts w:hint="eastAsia" w:ascii="Times New Roman" w:hAnsi="Times New Roman" w:eastAsia="宋体" w:cs="Times New Roman"/>
                <w:color w:val="auto"/>
                <w:sz w:val="24"/>
                <w:szCs w:val="24"/>
                <w:highlight w:val="none"/>
                <w:lang w:eastAsia="zh-CN"/>
              </w:rPr>
              <w:t>影响</w:t>
            </w:r>
          </w:p>
          <w:p w14:paraId="2F67909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在存储过程中，由于</w:t>
            </w:r>
            <w:r>
              <w:rPr>
                <w:rFonts w:hint="eastAsia" w:ascii="Times New Roman" w:hAnsi="Times New Roman" w:eastAsia="宋体" w:cs="Times New Roman"/>
                <w:color w:val="auto"/>
                <w:sz w:val="24"/>
                <w:szCs w:val="24"/>
                <w:highlight w:val="none"/>
                <w:lang w:eastAsia="zh-CN"/>
              </w:rPr>
              <w:t>车辆故障</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机械故障</w:t>
            </w:r>
            <w:r>
              <w:rPr>
                <w:rFonts w:hint="default" w:ascii="Times New Roman" w:hAnsi="Times New Roman" w:eastAsia="宋体" w:cs="Times New Roman"/>
                <w:color w:val="auto"/>
                <w:sz w:val="24"/>
                <w:szCs w:val="24"/>
                <w:highlight w:val="none"/>
              </w:rPr>
              <w:t>，可能导致</w:t>
            </w:r>
            <w:r>
              <w:rPr>
                <w:rFonts w:hint="eastAsia" w:cs="Times New Roman"/>
                <w:color w:val="auto"/>
                <w:sz w:val="24"/>
                <w:szCs w:val="24"/>
                <w:highlight w:val="none"/>
                <w:lang w:eastAsia="zh-CN"/>
              </w:rPr>
              <w:t>洒水车故障</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eastAsia="zh-CN"/>
              </w:rPr>
              <w:t>防风抑尘网损坏</w:t>
            </w:r>
            <w:r>
              <w:rPr>
                <w:rFonts w:hint="default" w:ascii="Times New Roman" w:hAnsi="Times New Roman" w:eastAsia="宋体" w:cs="Times New Roman"/>
                <w:color w:val="auto"/>
                <w:sz w:val="24"/>
                <w:szCs w:val="24"/>
                <w:highlight w:val="none"/>
              </w:rPr>
              <w:t>。本项目</w:t>
            </w:r>
            <w:r>
              <w:rPr>
                <w:rFonts w:hint="eastAsia" w:ascii="Times New Roman" w:hAnsi="Times New Roman" w:eastAsia="宋体" w:cs="Times New Roman"/>
                <w:color w:val="auto"/>
                <w:sz w:val="24"/>
                <w:szCs w:val="24"/>
                <w:highlight w:val="none"/>
                <w:lang w:eastAsia="zh-CN"/>
              </w:rPr>
              <w:t>加强车辆维护频率以及制订巡检制度，可有效</w:t>
            </w:r>
            <w:r>
              <w:rPr>
                <w:rFonts w:hint="eastAsia" w:cs="Times New Roman"/>
                <w:color w:val="auto"/>
                <w:sz w:val="24"/>
                <w:szCs w:val="24"/>
                <w:highlight w:val="none"/>
                <w:lang w:eastAsia="zh-CN"/>
              </w:rPr>
              <w:t>降低设备故障以及防风抑尘网破损的发生概率，降低对周边环境影响。</w:t>
            </w:r>
          </w:p>
          <w:p w14:paraId="5B0939D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②火灾伴生</w:t>
            </w:r>
            <w:r>
              <w:rPr>
                <w:rFonts w:hint="eastAsia" w:cs="Times New Roman"/>
                <w:color w:val="auto"/>
                <w:sz w:val="24"/>
                <w:szCs w:val="24"/>
                <w:highlight w:val="none"/>
                <w:lang w:val="en-US" w:eastAsia="zh-CN"/>
              </w:rPr>
              <w:t>/</w:t>
            </w:r>
            <w:r>
              <w:rPr>
                <w:rFonts w:hint="eastAsia" w:cs="Times New Roman"/>
                <w:color w:val="auto"/>
                <w:sz w:val="24"/>
                <w:szCs w:val="24"/>
                <w:highlight w:val="none"/>
                <w:lang w:eastAsia="zh-CN"/>
              </w:rPr>
              <w:t>次生事故影响</w:t>
            </w:r>
          </w:p>
          <w:p w14:paraId="4F2F646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发生火灾事故时除引发热辐射损伤之外，还可能产生烟雾，烟雾作为次生环境污染物，其成分主要为二氧化碳、一氧化碳、二氧化硫、氮氧化物等，影响周围大气环境。</w:t>
            </w:r>
          </w:p>
          <w:p w14:paraId="73C84B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5</w:t>
            </w:r>
            <w:r>
              <w:rPr>
                <w:rFonts w:hint="default" w:ascii="Times New Roman" w:hAnsi="Times New Roman" w:eastAsia="宋体" w:cs="Times New Roman"/>
                <w:color w:val="auto"/>
                <w:sz w:val="24"/>
                <w:highlight w:val="none"/>
              </w:rPr>
              <w:t>、</w:t>
            </w:r>
            <w:r>
              <w:rPr>
                <w:rFonts w:hint="eastAsia" w:cs="Times New Roman"/>
                <w:color w:val="auto"/>
                <w:sz w:val="24"/>
                <w:highlight w:val="none"/>
                <w:lang w:eastAsia="zh-CN"/>
              </w:rPr>
              <w:t>环境风险防范及应急措施</w:t>
            </w:r>
          </w:p>
          <w:p w14:paraId="48C13BF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）环境风险防范措施</w:t>
            </w:r>
          </w:p>
          <w:p w14:paraId="4368B5D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本项目环境风险类型包括</w:t>
            </w:r>
            <w:r>
              <w:rPr>
                <w:rFonts w:hint="eastAsia" w:cs="Times New Roman"/>
                <w:color w:val="auto"/>
                <w:sz w:val="24"/>
                <w:szCs w:val="24"/>
                <w:highlight w:val="none"/>
                <w:lang w:eastAsia="zh-CN"/>
              </w:rPr>
              <w:t>环保设备故障</w:t>
            </w:r>
            <w:r>
              <w:rPr>
                <w:rFonts w:hint="default" w:ascii="Times New Roman" w:hAnsi="Times New Roman" w:eastAsia="宋体" w:cs="Times New Roman"/>
                <w:color w:val="auto"/>
                <w:sz w:val="24"/>
                <w:szCs w:val="24"/>
                <w:highlight w:val="none"/>
              </w:rPr>
              <w:t>以及火灾等引发的伴生/次生污染物排放，因此环境风险防范应从控制</w:t>
            </w:r>
            <w:r>
              <w:rPr>
                <w:rFonts w:hint="eastAsia" w:ascii="Times New Roman" w:hAnsi="Times New Roman" w:eastAsia="宋体" w:cs="Times New Roman"/>
                <w:color w:val="auto"/>
                <w:sz w:val="24"/>
                <w:szCs w:val="24"/>
                <w:highlight w:val="none"/>
                <w:lang w:eastAsia="zh-CN"/>
              </w:rPr>
              <w:t>环保设备故障</w:t>
            </w:r>
            <w:r>
              <w:rPr>
                <w:rFonts w:hint="default" w:ascii="Times New Roman" w:hAnsi="Times New Roman" w:eastAsia="宋体" w:cs="Times New Roman"/>
                <w:color w:val="auto"/>
                <w:sz w:val="24"/>
                <w:szCs w:val="24"/>
                <w:highlight w:val="none"/>
              </w:rPr>
              <w:t>事故火灾事故发生，切断污染途径、防护环境保护目标方面采取措施。</w:t>
            </w:r>
          </w:p>
          <w:p w14:paraId="248C45A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①规范车辆的使用、加强现场巡逻维护，降低故障发生概率。</w:t>
            </w:r>
          </w:p>
          <w:p w14:paraId="089BACB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②厂区一切电气设备、照明和电气线路都必须采取防爆型的电器。</w:t>
            </w:r>
          </w:p>
          <w:p w14:paraId="0239ED6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③加强人员安全教育、科学管理。增强安全防范风险的意识；加强防爆电气设备的日常巡视和检查工作；严格落实各项规章制度。</w:t>
            </w:r>
          </w:p>
          <w:p w14:paraId="3EC1096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eastAsia="zh-CN"/>
              </w:rPr>
              <w:t>）二次污染防治措施</w:t>
            </w:r>
          </w:p>
          <w:p w14:paraId="5F1AB61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①用于覆盖、混合吸附泄漏物料后的受污染沙土应置于指定固定桶内收集，及时清扫处理，禁止随意堆放，避免二次污染。</w:t>
            </w:r>
          </w:p>
          <w:p w14:paraId="5020049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②火灾事故，除引发热辐射损伤之外，火灾过程还可能产生烟雾、SO</w:t>
            </w:r>
            <w:r>
              <w:rPr>
                <w:rFonts w:hint="eastAsia"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rPr>
              <w:t>、CO、CO</w:t>
            </w:r>
            <w:r>
              <w:rPr>
                <w:rFonts w:hint="eastAsia"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rPr>
              <w:t>、NOx、有机废气等有毒有害物质，企业应具有完善的消防系统，配备齐全的消防器材</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备有一定数量手提式干粉灭火器及推车式干粉灭火器以扑灭初期火灾及零星火灾</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并配有一定数量的防火、防烟面具、防毒面具，以便火灾时人员疏散使用，将火灾事故带来的影响降至最低。</w:t>
            </w:r>
          </w:p>
          <w:p w14:paraId="290ACF2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）应急处理措施</w:t>
            </w:r>
          </w:p>
          <w:p w14:paraId="7CF6F35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）成立事故应急对策指挥中心</w:t>
            </w:r>
          </w:p>
          <w:p w14:paraId="6F7B39A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成立由生产部门为主，多部门组成的事故应急指挥中心，负责在环境风险事故发生时进行统一指挥、协调处理好抢险工作。划分归属部门，明确分工相关部门对安全、环境污染、危险品泄漏等事故调查、分析、处理、登记、上报及协调、配合工作。</w:t>
            </w:r>
          </w:p>
          <w:p w14:paraId="1C81DB9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）事故响应程序</w:t>
            </w:r>
          </w:p>
          <w:p w14:paraId="2B90AD3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发生</w:t>
            </w:r>
            <w:r>
              <w:rPr>
                <w:rFonts w:hint="eastAsia" w:ascii="Times New Roman" w:hAnsi="Times New Roman" w:eastAsia="宋体" w:cs="Times New Roman"/>
                <w:color w:val="auto"/>
                <w:sz w:val="24"/>
                <w:szCs w:val="24"/>
                <w:highlight w:val="none"/>
                <w:lang w:eastAsia="zh-CN"/>
              </w:rPr>
              <w:t>环保</w:t>
            </w:r>
            <w:r>
              <w:rPr>
                <w:rFonts w:hint="eastAsia" w:cs="Times New Roman"/>
                <w:color w:val="auto"/>
                <w:sz w:val="24"/>
                <w:szCs w:val="24"/>
                <w:highlight w:val="none"/>
                <w:lang w:eastAsia="zh-CN"/>
              </w:rPr>
              <w:t>设备故障</w:t>
            </w:r>
            <w:r>
              <w:rPr>
                <w:rFonts w:hint="default" w:ascii="Times New Roman" w:hAnsi="Times New Roman" w:eastAsia="宋体" w:cs="Times New Roman"/>
                <w:color w:val="auto"/>
                <w:sz w:val="24"/>
                <w:szCs w:val="24"/>
                <w:highlight w:val="none"/>
              </w:rPr>
              <w:t>时，发现人应迅速将信息传递应急响应领导小组，并在了解其危害的情况下，穿符合要求的防护用品，进行</w:t>
            </w:r>
            <w:r>
              <w:rPr>
                <w:rFonts w:hint="eastAsia" w:ascii="Times New Roman" w:hAnsi="Times New Roman" w:eastAsia="宋体" w:cs="Times New Roman"/>
                <w:color w:val="auto"/>
                <w:sz w:val="24"/>
                <w:szCs w:val="24"/>
                <w:highlight w:val="none"/>
                <w:lang w:eastAsia="zh-CN"/>
              </w:rPr>
              <w:t>维护</w:t>
            </w:r>
            <w:r>
              <w:rPr>
                <w:rFonts w:hint="default" w:ascii="Times New Roman" w:hAnsi="Times New Roman" w:eastAsia="宋体" w:cs="Times New Roman"/>
                <w:color w:val="auto"/>
                <w:sz w:val="24"/>
                <w:szCs w:val="24"/>
                <w:highlight w:val="none"/>
              </w:rPr>
              <w:t>和</w:t>
            </w:r>
            <w:r>
              <w:rPr>
                <w:rFonts w:hint="eastAsia" w:ascii="Times New Roman" w:hAnsi="Times New Roman" w:eastAsia="宋体" w:cs="Times New Roman"/>
                <w:color w:val="auto"/>
                <w:sz w:val="24"/>
                <w:szCs w:val="24"/>
                <w:highlight w:val="none"/>
                <w:lang w:eastAsia="zh-CN"/>
              </w:rPr>
              <w:t>现场人工洒水降尘并暂停作业</w:t>
            </w:r>
            <w:r>
              <w:rPr>
                <w:rFonts w:hint="default" w:ascii="Times New Roman" w:hAnsi="Times New Roman" w:eastAsia="宋体" w:cs="Times New Roman"/>
                <w:color w:val="auto"/>
                <w:sz w:val="24"/>
                <w:szCs w:val="24"/>
                <w:highlight w:val="none"/>
              </w:rPr>
              <w:t>。发生</w:t>
            </w:r>
            <w:r>
              <w:rPr>
                <w:rFonts w:hint="eastAsia" w:cs="Times New Roman"/>
                <w:color w:val="auto"/>
                <w:sz w:val="24"/>
                <w:szCs w:val="24"/>
                <w:highlight w:val="none"/>
                <w:lang w:eastAsia="zh-CN"/>
              </w:rPr>
              <w:t>设备故障</w:t>
            </w:r>
            <w:r>
              <w:rPr>
                <w:rFonts w:hint="default" w:ascii="Times New Roman" w:hAnsi="Times New Roman" w:eastAsia="宋体" w:cs="Times New Roman"/>
                <w:color w:val="auto"/>
                <w:sz w:val="24"/>
                <w:szCs w:val="24"/>
                <w:highlight w:val="none"/>
              </w:rPr>
              <w:t>及火灾时，发现人应迅速将信息传递应急响应领导小组，根据</w:t>
            </w:r>
            <w:r>
              <w:rPr>
                <w:rFonts w:hint="eastAsia" w:ascii="Times New Roman" w:hAnsi="Times New Roman" w:eastAsia="宋体" w:cs="Times New Roman"/>
                <w:color w:val="auto"/>
                <w:sz w:val="24"/>
                <w:szCs w:val="24"/>
                <w:highlight w:val="none"/>
                <w:lang w:eastAsia="zh-CN"/>
              </w:rPr>
              <w:t>具体</w:t>
            </w:r>
            <w:r>
              <w:rPr>
                <w:rFonts w:hint="default" w:ascii="Times New Roman" w:hAnsi="Times New Roman" w:eastAsia="宋体" w:cs="Times New Roman"/>
                <w:color w:val="auto"/>
                <w:sz w:val="24"/>
                <w:szCs w:val="24"/>
                <w:highlight w:val="none"/>
              </w:rPr>
              <w:t>情况及火势情况，采取相应的方式进行</w:t>
            </w:r>
            <w:r>
              <w:rPr>
                <w:rFonts w:hint="eastAsia" w:ascii="Times New Roman" w:hAnsi="Times New Roman" w:eastAsia="宋体" w:cs="Times New Roman"/>
                <w:color w:val="auto"/>
                <w:sz w:val="24"/>
                <w:szCs w:val="24"/>
                <w:highlight w:val="none"/>
                <w:lang w:eastAsia="zh-CN"/>
              </w:rPr>
              <w:t>维护</w:t>
            </w:r>
            <w:r>
              <w:rPr>
                <w:rFonts w:hint="default" w:ascii="Times New Roman" w:hAnsi="Times New Roman" w:eastAsia="宋体" w:cs="Times New Roman"/>
                <w:color w:val="auto"/>
                <w:sz w:val="24"/>
                <w:szCs w:val="24"/>
                <w:highlight w:val="none"/>
              </w:rPr>
              <w:t>及灭火。</w:t>
            </w:r>
          </w:p>
          <w:p w14:paraId="23F6889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）紧急疏散</w:t>
            </w:r>
          </w:p>
          <w:p w14:paraId="651D608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接到抢险指令后，佩戴好个人防护用品，由组长牵头召集队伍迅速奔赴现场，并迅速组织事故发生地或险情危险区域的人员撤离出危险区域到上游或上风向集合地点</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维护道路交通秩序，指挥抢救车辆行驶路线，引导外来救援力量进入事故现场。</w:t>
            </w:r>
          </w:p>
          <w:p w14:paraId="4ECDC01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）应急预案</w:t>
            </w:r>
          </w:p>
          <w:p w14:paraId="05A176EC">
            <w:pPr>
              <w:pStyle w:val="119"/>
              <w:keepNext w:val="0"/>
              <w:keepLines w:val="0"/>
              <w:pageBreakBefore w:val="0"/>
              <w:widowControl w:val="0"/>
              <w:kinsoku/>
              <w:wordWrap/>
              <w:overflowPunct/>
              <w:topLinePunct w:val="0"/>
              <w:autoSpaceDE/>
              <w:autoSpaceDN/>
              <w:bidi w:val="0"/>
              <w:snapToGrid/>
              <w:spacing w:after="0" w:line="360" w:lineRule="auto"/>
              <w:ind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bCs/>
                <w:color w:val="auto"/>
                <w:sz w:val="24"/>
                <w:szCs w:val="24"/>
                <w:highlight w:val="none"/>
                <w:lang w:val="en-US" w:eastAsia="zh-CN"/>
              </w:rPr>
              <w:t>建设单位应在本项目验收之前编制应急预案。</w:t>
            </w:r>
            <w:r>
              <w:rPr>
                <w:rFonts w:hint="default" w:ascii="Times New Roman" w:hAnsi="Times New Roman" w:cs="Times New Roman"/>
                <w:bCs/>
                <w:color w:val="auto"/>
                <w:sz w:val="24"/>
                <w:szCs w:val="24"/>
                <w:highlight w:val="none"/>
              </w:rPr>
              <w:t>根据环发[2015]4号文《企事业单位突发环境事件应急预案备案管理办法（试行）》，建设单位应制定事故状况下的应急预案和应急措施，成立环境应急预案编制组，明确编制组组长和成员组成、工作任务、编制计划和经费预算；开展环境风险评估和应急资源调查；编制环境应急预案；评审和演练环境应急预案；签署并发布环境应急预案。针对预案实施情况，至少每3年对预案进行一次回顾性评估，及时进行修订，于预案签署发布之日起20个工作日内，向所在地环境保护主管部门备案</w:t>
            </w:r>
            <w:r>
              <w:rPr>
                <w:rFonts w:hint="default" w:ascii="Times New Roman" w:hAnsi="Times New Roman" w:eastAsia="宋体" w:cs="Times New Roman"/>
                <w:color w:val="auto"/>
                <w:sz w:val="24"/>
                <w:szCs w:val="24"/>
                <w:highlight w:val="none"/>
                <w:lang w:eastAsia="zh-CN"/>
              </w:rPr>
              <w:t>。</w:t>
            </w:r>
            <w:r>
              <w:rPr>
                <w:rFonts w:hint="eastAsia"/>
                <w:color w:val="auto"/>
                <w:lang w:val="en-US" w:eastAsia="zh-CN"/>
              </w:rPr>
              <w:t>同时注意风险防控及应急处置措施与厂区内其他企业的有效联动。</w:t>
            </w:r>
          </w:p>
          <w:p w14:paraId="06DEE15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综上，本项目事故风险水平较低，在进一步采取事故应急预案后，基本满足国家有关环境保护标准的要求。项目对厂外环境的风险影响处于可以接受的范围内，但企业仍需要提高风险管理水平和强化风险防范措施。</w:t>
            </w:r>
          </w:p>
          <w:p w14:paraId="50C9EF76">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rPr>
            </w:pPr>
            <w:r>
              <w:rPr>
                <w:rFonts w:hint="eastAsia" w:cs="Times New Roman"/>
                <w:b/>
                <w:bCs/>
                <w:color w:val="auto"/>
                <w:sz w:val="24"/>
                <w:lang w:eastAsia="zh-CN"/>
              </w:rPr>
              <w:t>九</w:t>
            </w:r>
            <w:r>
              <w:rPr>
                <w:rFonts w:hint="default" w:ascii="Times New Roman" w:hAnsi="Times New Roman" w:eastAsia="宋体" w:cs="Times New Roman"/>
                <w:b/>
                <w:bCs/>
                <w:color w:val="auto"/>
                <w:sz w:val="24"/>
              </w:rPr>
              <w:t>、环境管理</w:t>
            </w:r>
          </w:p>
          <w:p w14:paraId="0369EFA6">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环境管理是按照国家、省和市有关环境保护法规，进行环境管理，接受地方主管环保部门的监督，制定环保规划和目标，促使工程向</w:t>
            </w:r>
            <w:r>
              <w:rPr>
                <w:rFonts w:hint="eastAsia" w:ascii="Times New Roman" w:hAnsi="Times New Roman" w:cs="Times New Roman"/>
                <w:color w:val="auto"/>
                <w:kern w:val="21"/>
                <w:sz w:val="24"/>
                <w:highlight w:val="none"/>
                <w:lang w:eastAsia="zh-CN"/>
              </w:rPr>
              <w:t>“</w:t>
            </w:r>
            <w:r>
              <w:rPr>
                <w:rFonts w:hint="default" w:ascii="Times New Roman" w:hAnsi="Times New Roman" w:cs="Times New Roman"/>
                <w:color w:val="auto"/>
                <w:sz w:val="24"/>
                <w:highlight w:val="none"/>
              </w:rPr>
              <w:t>清洁生产</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的方向不断发展。</w:t>
            </w:r>
          </w:p>
          <w:p w14:paraId="4036C38A">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根据《国务院关于环境保护工作的决定》中有关建立和健全环保机构的精神，建议项目建成投产后，建立二级环境管理体系。各级领导对环境污染负</w:t>
            </w:r>
            <w:r>
              <w:rPr>
                <w:rFonts w:hint="default" w:ascii="Times New Roman" w:hAnsi="Times New Roman" w:cs="Times New Roman"/>
                <w:color w:val="auto"/>
                <w:sz w:val="24"/>
                <w:highlight w:val="none"/>
                <w:lang w:eastAsia="zh-CN"/>
              </w:rPr>
              <w:t>有关</w:t>
            </w:r>
            <w:r>
              <w:rPr>
                <w:rFonts w:hint="default" w:ascii="Times New Roman" w:hAnsi="Times New Roman" w:cs="Times New Roman"/>
                <w:color w:val="auto"/>
                <w:sz w:val="24"/>
                <w:highlight w:val="none"/>
              </w:rPr>
              <w:t>、防治的责任。</w:t>
            </w:r>
          </w:p>
          <w:p w14:paraId="41ADABCF">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环境管理主要职责</w:t>
            </w:r>
          </w:p>
          <w:p w14:paraId="4DFC3A2F">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认真贯彻国家和地方有关环保方针、政策法规。</w:t>
            </w:r>
          </w:p>
          <w:p w14:paraId="357ED5AA">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通过环境管理制度的考核，</w:t>
            </w:r>
            <w:r>
              <w:rPr>
                <w:rFonts w:hint="default" w:ascii="Times New Roman" w:hAnsi="Times New Roman" w:cs="Times New Roman"/>
                <w:color w:val="auto"/>
                <w:highlight w:val="none"/>
                <w:lang w:eastAsia="zh-CN"/>
              </w:rPr>
              <w:t>增强</w:t>
            </w:r>
            <w:r>
              <w:rPr>
                <w:rFonts w:hint="default" w:ascii="Times New Roman" w:hAnsi="Times New Roman" w:cs="Times New Roman"/>
                <w:color w:val="auto"/>
                <w:highlight w:val="none"/>
              </w:rPr>
              <w:t>全体员工的环保意识。</w:t>
            </w:r>
          </w:p>
          <w:p w14:paraId="5370643E">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建立健全一套符合本项目实际情况的环境保护管理制度，使环保工作有章可循，并形成制度化管理。</w:t>
            </w:r>
          </w:p>
          <w:p w14:paraId="0B1DF56A">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制定环境管理控制目标及实施办法，搞好全厂污染物总量控制。</w:t>
            </w:r>
          </w:p>
          <w:p w14:paraId="34B468FF">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参与各项环保设施施工质量的检查和竣工验收：监督和检查环保设施的运行和维护。</w:t>
            </w:r>
          </w:p>
          <w:p w14:paraId="47ACEE39">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建立健全环保统计等技术档案。</w:t>
            </w:r>
          </w:p>
          <w:p w14:paraId="732B50E1">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环境监测工作职责及主要任务</w:t>
            </w:r>
          </w:p>
          <w:p w14:paraId="1010B174">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环境监测是环境保护的基础和耳目，是掌握环境质量和了解其QA变化动态的重要手段。参照有关规定，本次环评对该项环境监测的工作职责及主要任务建议如下：</w:t>
            </w:r>
          </w:p>
          <w:p w14:paraId="40906F2E">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严格按照国家有关环境质量标准、污染物排放标准、环境监测技术规范和环境监测分析方法规定等要求，建立环境监测管理制度和环境监测质量保证体系，确保监测数据真实可靠。</w:t>
            </w:r>
          </w:p>
          <w:p w14:paraId="7E70F855">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按照环境监测计划和安全环保部门的要求，定期对污染源的污染物及废水、废气治理设施运行状况进行监测，定期或不定期对厂区或厂区周边环境空气、噪声等环境要素中的常规污染物、特征污染物和环境影响因素进行监测。</w:t>
            </w:r>
          </w:p>
          <w:p w14:paraId="4906346B">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及时汇总环境监测数据，定期对环境监测数据进行综合分析，掌握污染物排放状况及变化趋势，及时将结果反馈给生产管理部门、环境管理部门。</w:t>
            </w:r>
          </w:p>
          <w:p w14:paraId="74954CA3">
            <w:pPr>
              <w:pStyle w:val="77"/>
              <w:ind w:firstLine="480"/>
              <w:jc w:val="both"/>
              <w:rPr>
                <w:rFonts w:hint="default" w:ascii="Times New Roman" w:hAnsi="Times New Roman" w:cs="Times New Roman"/>
                <w:b/>
                <w:bCs w:val="0"/>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环境管理措施</w:t>
            </w:r>
          </w:p>
          <w:p w14:paraId="789A0586">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建立健全</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环境管理制度</w:t>
            </w:r>
          </w:p>
          <w:p w14:paraId="7E7663D8">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必须做好环保</w:t>
            </w:r>
            <w:r>
              <w:rPr>
                <w:rFonts w:hint="eastAsia" w:ascii="Times New Roman" w:hAnsi="Times New Roman" w:cs="Times New Roman"/>
                <w:color w:val="auto"/>
                <w:kern w:val="21"/>
                <w:sz w:val="24"/>
                <w:highlight w:val="none"/>
                <w:lang w:eastAsia="zh-CN"/>
              </w:rPr>
              <w:t>“</w:t>
            </w:r>
            <w:r>
              <w:rPr>
                <w:rFonts w:hint="default" w:ascii="Times New Roman" w:hAnsi="Times New Roman" w:cs="Times New Roman"/>
                <w:color w:val="auto"/>
                <w:highlight w:val="none"/>
              </w:rPr>
              <w:t>三同时</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工作，加强对职工的安全和环保教育，进行生产过程中环境保护的培训，形成良好的环境保护意识。</w:t>
            </w:r>
          </w:p>
          <w:p w14:paraId="6DB93CBB">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环境管理人员</w:t>
            </w:r>
          </w:p>
          <w:p w14:paraId="375DE48F">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设立专门的环保机构，由厂内专职管理技术人员兼职环保工作，具体负责环保设施的运行、检查、维护等工作。</w:t>
            </w:r>
            <w:r>
              <w:rPr>
                <w:rFonts w:hint="default" w:ascii="Times New Roman" w:hAnsi="Times New Roman" w:cs="Times New Roman"/>
                <w:color w:val="auto"/>
                <w:highlight w:val="none"/>
                <w:lang w:eastAsia="zh-CN"/>
              </w:rPr>
              <w:t>建立健全</w:t>
            </w:r>
            <w:r>
              <w:rPr>
                <w:rFonts w:hint="default" w:ascii="Times New Roman" w:hAnsi="Times New Roman" w:cs="Times New Roman"/>
                <w:color w:val="auto"/>
                <w:highlight w:val="none"/>
              </w:rPr>
              <w:t>环境管理制度，改善厂区环境。</w:t>
            </w:r>
          </w:p>
          <w:p w14:paraId="1907F1E4">
            <w:pPr>
              <w:adjustRightInd w:val="0"/>
              <w:snapToGrid w:val="0"/>
              <w:spacing w:line="360" w:lineRule="auto"/>
              <w:ind w:firstLine="480" w:firstLineChars="200"/>
              <w:jc w:val="both"/>
              <w:rPr>
                <w:rFonts w:hint="default" w:ascii="Times New Roman" w:hAnsi="Times New Roman" w:cs="Times New Roman"/>
                <w:bCs/>
                <w:color w:val="auto"/>
                <w:kern w:val="0"/>
                <w:sz w:val="24"/>
                <w:szCs w:val="20"/>
                <w:highlight w:val="none"/>
              </w:rPr>
            </w:pPr>
            <w:r>
              <w:rPr>
                <w:rFonts w:hint="default" w:ascii="Times New Roman" w:hAnsi="Times New Roman" w:cs="Times New Roman"/>
                <w:bCs/>
                <w:color w:val="auto"/>
                <w:kern w:val="0"/>
                <w:sz w:val="24"/>
                <w:szCs w:val="20"/>
                <w:highlight w:val="none"/>
                <w:lang w:eastAsia="zh-CN"/>
              </w:rPr>
              <w:t>（</w:t>
            </w:r>
            <w:r>
              <w:rPr>
                <w:rFonts w:hint="default" w:ascii="Times New Roman" w:hAnsi="Times New Roman" w:cs="Times New Roman"/>
                <w:bCs/>
                <w:color w:val="auto"/>
                <w:kern w:val="0"/>
                <w:sz w:val="24"/>
                <w:szCs w:val="20"/>
                <w:highlight w:val="none"/>
                <w:lang w:val="en-US" w:eastAsia="zh-CN"/>
              </w:rPr>
              <w:t>4</w:t>
            </w:r>
            <w:r>
              <w:rPr>
                <w:rFonts w:hint="default" w:ascii="Times New Roman" w:hAnsi="Times New Roman" w:cs="Times New Roman"/>
                <w:bCs/>
                <w:color w:val="auto"/>
                <w:kern w:val="0"/>
                <w:sz w:val="24"/>
                <w:szCs w:val="20"/>
                <w:highlight w:val="none"/>
                <w:lang w:eastAsia="zh-CN"/>
              </w:rPr>
              <w:t>）</w:t>
            </w:r>
            <w:r>
              <w:rPr>
                <w:rFonts w:hint="default" w:ascii="Times New Roman" w:hAnsi="Times New Roman" w:cs="Times New Roman"/>
                <w:bCs/>
                <w:color w:val="auto"/>
                <w:kern w:val="0"/>
                <w:sz w:val="24"/>
                <w:szCs w:val="20"/>
                <w:highlight w:val="none"/>
              </w:rPr>
              <w:t>排污口规范化</w:t>
            </w:r>
          </w:p>
          <w:p w14:paraId="0501CB23">
            <w:pPr>
              <w:pStyle w:val="77"/>
              <w:ind w:firstLine="480"/>
              <w:jc w:val="both"/>
              <w:rPr>
                <w:rFonts w:hint="default" w:ascii="Times New Roman" w:hAnsi="Times New Roman" w:cs="Times New Roman"/>
                <w:b/>
                <w:color w:val="auto"/>
                <w:szCs w:val="21"/>
                <w:highlight w:val="none"/>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必须根据有关规定要求做好排污口的规范化建设。排污口应有符合国家标准《环境保护图形标志》（GB155621.1-1995）规定要求的排放口标志牌。具体标识见表4-</w:t>
            </w:r>
            <w:r>
              <w:rPr>
                <w:rFonts w:hint="eastAsia" w:ascii="Times New Roman" w:hAnsi="Times New Roman" w:cs="Times New Roman"/>
                <w:color w:val="auto"/>
                <w:highlight w:val="none"/>
                <w:lang w:val="en-US" w:eastAsia="zh-CN"/>
              </w:rPr>
              <w:t>11</w:t>
            </w:r>
            <w:r>
              <w:rPr>
                <w:rFonts w:hint="default" w:ascii="Times New Roman" w:hAnsi="Times New Roman" w:cs="Times New Roman"/>
                <w:color w:val="auto"/>
                <w:highlight w:val="none"/>
              </w:rPr>
              <w:t>。</w:t>
            </w:r>
          </w:p>
          <w:p w14:paraId="03BBE328">
            <w:pPr>
              <w:spacing w:line="360" w:lineRule="auto"/>
              <w:ind w:firstLine="422" w:firstLineChars="20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11</w:t>
            </w:r>
            <w:r>
              <w:rPr>
                <w:rFonts w:hint="default" w:ascii="Times New Roman" w:hAnsi="Times New Roman" w:cs="Times New Roman"/>
                <w:b/>
                <w:color w:val="auto"/>
                <w:szCs w:val="21"/>
                <w:highlight w:val="none"/>
                <w:lang w:val="en-US" w:eastAsia="zh-CN"/>
              </w:rPr>
              <w:t xml:space="preserve"> </w:t>
            </w:r>
            <w:r>
              <w:rPr>
                <w:rFonts w:hint="default" w:ascii="Times New Roman" w:hAnsi="Times New Roman" w:cs="Times New Roman"/>
                <w:b/>
                <w:color w:val="auto"/>
                <w:szCs w:val="21"/>
                <w:highlight w:val="none"/>
              </w:rPr>
              <w:t>污染物排放口环境保护图形标志一览表</w:t>
            </w:r>
          </w:p>
          <w:tbl>
            <w:tblPr>
              <w:tblStyle w:val="30"/>
              <w:tblW w:w="484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12" w:space="0"/>
              </w:tblBorders>
              <w:tblLayout w:type="fixed"/>
              <w:tblCellMar>
                <w:top w:w="0" w:type="dxa"/>
                <w:left w:w="108" w:type="dxa"/>
                <w:bottom w:w="0" w:type="dxa"/>
                <w:right w:w="108" w:type="dxa"/>
              </w:tblCellMar>
            </w:tblPr>
            <w:tblGrid>
              <w:gridCol w:w="687"/>
              <w:gridCol w:w="2414"/>
              <w:gridCol w:w="2414"/>
              <w:gridCol w:w="2416"/>
            </w:tblGrid>
            <w:tr w14:paraId="6FB4B217">
              <w:tblPrEx>
                <w:tblBorders>
                  <w:top w:val="single" w:color="auto" w:sz="12" w:space="0"/>
                  <w:left w:val="none" w:color="auto" w:sz="0" w:space="0"/>
                  <w:bottom w:val="single" w:color="auto" w:sz="12" w:space="0"/>
                  <w:right w:val="none" w:color="auto" w:sz="0" w:space="0"/>
                  <w:insideH w:val="single" w:color="auto" w:sz="4" w:space="0"/>
                  <w:insideV w:val="single" w:color="auto" w:sz="12" w:space="0"/>
                </w:tblBorders>
                <w:tblCellMar>
                  <w:top w:w="0" w:type="dxa"/>
                  <w:left w:w="108" w:type="dxa"/>
                  <w:bottom w:w="0" w:type="dxa"/>
                  <w:right w:w="108" w:type="dxa"/>
                </w:tblCellMar>
              </w:tblPrEx>
              <w:trPr>
                <w:trHeight w:val="759" w:hRule="atLeast"/>
                <w:jc w:val="center"/>
              </w:trPr>
              <w:tc>
                <w:tcPr>
                  <w:tcW w:w="433" w:type="pct"/>
                  <w:tcBorders>
                    <w:tl2br w:val="nil"/>
                    <w:tr2bl w:val="nil"/>
                  </w:tcBorders>
                  <w:vAlign w:val="center"/>
                </w:tcPr>
                <w:p w14:paraId="3C0F779C">
                  <w:pPr>
                    <w:adjustRightInd w:val="0"/>
                    <w:snapToGrid w:val="0"/>
                    <w:jc w:val="center"/>
                    <w:rPr>
                      <w:rFonts w:hint="default" w:ascii="Times New Roman" w:hAnsi="Times New Roman" w:cs="Times New Roman"/>
                      <w:b/>
                      <w:bCs/>
                      <w:color w:val="auto"/>
                      <w:kern w:val="21"/>
                      <w:highlight w:val="none"/>
                    </w:rPr>
                  </w:pPr>
                  <w:r>
                    <w:rPr>
                      <w:rFonts w:hint="default" w:ascii="Times New Roman" w:hAnsi="Times New Roman" w:cs="Times New Roman"/>
                      <w:b/>
                      <w:bCs/>
                      <w:color w:val="auto"/>
                      <w:kern w:val="21"/>
                      <w:highlight w:val="none"/>
                    </w:rPr>
                    <w:t>排放口</w:t>
                  </w:r>
                </w:p>
              </w:tc>
              <w:tc>
                <w:tcPr>
                  <w:tcW w:w="1521" w:type="pct"/>
                  <w:tcBorders>
                    <w:tl2br w:val="nil"/>
                    <w:tr2bl w:val="nil"/>
                  </w:tcBorders>
                  <w:vAlign w:val="center"/>
                </w:tcPr>
                <w:p w14:paraId="2CE9CFED">
                  <w:pPr>
                    <w:adjustRightInd w:val="0"/>
                    <w:snapToGrid w:val="0"/>
                    <w:jc w:val="center"/>
                    <w:rPr>
                      <w:rFonts w:hint="default" w:ascii="Times New Roman" w:hAnsi="Times New Roman" w:eastAsia="宋体" w:cs="Times New Roman"/>
                      <w:b/>
                      <w:bCs/>
                      <w:color w:val="auto"/>
                      <w:kern w:val="21"/>
                      <w:highlight w:val="none"/>
                      <w:lang w:eastAsia="zh-CN"/>
                    </w:rPr>
                  </w:pPr>
                  <w:r>
                    <w:rPr>
                      <w:rFonts w:hint="default" w:ascii="Times New Roman" w:hAnsi="Times New Roman" w:cs="Times New Roman"/>
                      <w:b/>
                      <w:bCs/>
                      <w:color w:val="auto"/>
                      <w:kern w:val="21"/>
                      <w:highlight w:val="none"/>
                      <w:lang w:eastAsia="zh-CN"/>
                    </w:rPr>
                    <w:t>噪声排放源</w:t>
                  </w:r>
                </w:p>
              </w:tc>
              <w:tc>
                <w:tcPr>
                  <w:tcW w:w="1521" w:type="pct"/>
                  <w:tcBorders>
                    <w:tl2br w:val="nil"/>
                    <w:tr2bl w:val="nil"/>
                  </w:tcBorders>
                  <w:vAlign w:val="center"/>
                </w:tcPr>
                <w:p w14:paraId="7742C2D3">
                  <w:pPr>
                    <w:adjustRightInd w:val="0"/>
                    <w:snapToGrid w:val="0"/>
                    <w:jc w:val="center"/>
                    <w:rPr>
                      <w:rFonts w:hint="default" w:ascii="Times New Roman" w:hAnsi="Times New Roman" w:cs="Times New Roman"/>
                      <w:b/>
                      <w:bCs/>
                      <w:color w:val="auto"/>
                      <w:kern w:val="21"/>
                      <w:highlight w:val="none"/>
                    </w:rPr>
                  </w:pPr>
                  <w:r>
                    <w:rPr>
                      <w:rFonts w:hint="default" w:ascii="Times New Roman" w:hAnsi="Times New Roman" w:cs="Times New Roman"/>
                      <w:b/>
                      <w:bCs/>
                      <w:color w:val="auto"/>
                      <w:kern w:val="21"/>
                      <w:highlight w:val="none"/>
                    </w:rPr>
                    <w:t>噪声</w:t>
                  </w:r>
                  <w:r>
                    <w:rPr>
                      <w:rFonts w:hint="default" w:ascii="Times New Roman" w:hAnsi="Times New Roman" w:cs="Times New Roman"/>
                      <w:b/>
                      <w:bCs/>
                      <w:color w:val="auto"/>
                      <w:kern w:val="21"/>
                      <w:highlight w:val="none"/>
                      <w:lang w:eastAsia="zh-CN"/>
                    </w:rPr>
                    <w:t>排放</w:t>
                  </w:r>
                  <w:r>
                    <w:rPr>
                      <w:rFonts w:hint="default" w:ascii="Times New Roman" w:hAnsi="Times New Roman" w:cs="Times New Roman"/>
                      <w:b/>
                      <w:bCs/>
                      <w:color w:val="auto"/>
                      <w:kern w:val="21"/>
                      <w:highlight w:val="none"/>
                    </w:rPr>
                    <w:t>源</w:t>
                  </w:r>
                </w:p>
              </w:tc>
              <w:tc>
                <w:tcPr>
                  <w:tcW w:w="1523" w:type="pct"/>
                  <w:tcBorders>
                    <w:tl2br w:val="nil"/>
                    <w:tr2bl w:val="nil"/>
                  </w:tcBorders>
                  <w:vAlign w:val="center"/>
                </w:tcPr>
                <w:p w14:paraId="7E0234CB">
                  <w:pPr>
                    <w:adjustRightInd w:val="0"/>
                    <w:snapToGrid w:val="0"/>
                    <w:jc w:val="center"/>
                    <w:rPr>
                      <w:rFonts w:hint="default" w:ascii="Times New Roman" w:hAnsi="Times New Roman" w:cs="Times New Roman"/>
                      <w:b/>
                      <w:bCs/>
                      <w:color w:val="auto"/>
                      <w:kern w:val="21"/>
                      <w:highlight w:val="none"/>
                    </w:rPr>
                  </w:pPr>
                  <w:r>
                    <w:rPr>
                      <w:rFonts w:hint="default" w:ascii="Times New Roman" w:hAnsi="Times New Roman" w:cs="Times New Roman"/>
                      <w:b/>
                      <w:bCs/>
                      <w:color w:val="auto"/>
                      <w:kern w:val="21"/>
                      <w:highlight w:val="none"/>
                    </w:rPr>
                    <w:t>固废堆场</w:t>
                  </w:r>
                </w:p>
              </w:tc>
            </w:tr>
            <w:tr w14:paraId="55966F2B">
              <w:tblPrEx>
                <w:tblBorders>
                  <w:top w:val="single" w:color="auto" w:sz="12" w:space="0"/>
                  <w:left w:val="none" w:color="auto" w:sz="0" w:space="0"/>
                  <w:bottom w:val="single" w:color="auto" w:sz="12" w:space="0"/>
                  <w:right w:val="none" w:color="auto" w:sz="0" w:space="0"/>
                  <w:insideH w:val="single" w:color="auto" w:sz="4" w:space="0"/>
                  <w:insideV w:val="single" w:color="auto" w:sz="12" w:space="0"/>
                </w:tblBorders>
                <w:tblCellMar>
                  <w:top w:w="0" w:type="dxa"/>
                  <w:left w:w="108" w:type="dxa"/>
                  <w:bottom w:w="0" w:type="dxa"/>
                  <w:right w:w="108" w:type="dxa"/>
                </w:tblCellMar>
              </w:tblPrEx>
              <w:trPr>
                <w:trHeight w:val="1978" w:hRule="atLeast"/>
                <w:jc w:val="center"/>
              </w:trPr>
              <w:tc>
                <w:tcPr>
                  <w:tcW w:w="433" w:type="pct"/>
                  <w:tcBorders>
                    <w:tl2br w:val="nil"/>
                    <w:tr2bl w:val="nil"/>
                  </w:tcBorders>
                  <w:vAlign w:val="center"/>
                </w:tcPr>
                <w:p w14:paraId="1A284D7E">
                  <w:pPr>
                    <w:adjustRightInd w:val="0"/>
                    <w:snapToGrid w:val="0"/>
                    <w:jc w:val="center"/>
                    <w:rPr>
                      <w:rFonts w:hint="default" w:ascii="Times New Roman" w:hAnsi="Times New Roman" w:cs="Times New Roman"/>
                      <w:color w:val="auto"/>
                      <w:kern w:val="21"/>
                      <w:highlight w:val="none"/>
                    </w:rPr>
                  </w:pPr>
                  <w:r>
                    <w:rPr>
                      <w:rFonts w:hint="default" w:ascii="Times New Roman" w:hAnsi="Times New Roman" w:cs="Times New Roman"/>
                      <w:color w:val="auto"/>
                      <w:kern w:val="21"/>
                      <w:highlight w:val="none"/>
                    </w:rPr>
                    <w:t>图形</w:t>
                  </w:r>
                </w:p>
                <w:p w14:paraId="2424C41E">
                  <w:pPr>
                    <w:adjustRightInd w:val="0"/>
                    <w:snapToGrid w:val="0"/>
                    <w:jc w:val="center"/>
                    <w:rPr>
                      <w:rFonts w:hint="default" w:ascii="Times New Roman" w:hAnsi="Times New Roman" w:cs="Times New Roman"/>
                      <w:color w:val="auto"/>
                      <w:kern w:val="21"/>
                      <w:highlight w:val="none"/>
                    </w:rPr>
                  </w:pPr>
                  <w:r>
                    <w:rPr>
                      <w:rFonts w:hint="default" w:ascii="Times New Roman" w:hAnsi="Times New Roman" w:cs="Times New Roman"/>
                      <w:color w:val="auto"/>
                      <w:kern w:val="21"/>
                      <w:highlight w:val="none"/>
                    </w:rPr>
                    <w:t>符号</w:t>
                  </w:r>
                </w:p>
              </w:tc>
              <w:tc>
                <w:tcPr>
                  <w:tcW w:w="1521" w:type="pct"/>
                  <w:tcBorders>
                    <w:tl2br w:val="nil"/>
                    <w:tr2bl w:val="nil"/>
                  </w:tcBorders>
                  <w:vAlign w:val="center"/>
                </w:tcPr>
                <w:p w14:paraId="279E197F">
                  <w:pPr>
                    <w:adjustRightInd w:val="0"/>
                    <w:snapToGrid w:val="0"/>
                    <w:jc w:val="center"/>
                    <w:rPr>
                      <w:rFonts w:hint="default" w:ascii="Times New Roman" w:hAnsi="Times New Roman" w:cs="Times New Roman"/>
                      <w:color w:val="auto"/>
                      <w:kern w:val="21"/>
                      <w:highlight w:val="none"/>
                    </w:rPr>
                  </w:pPr>
                  <w:r>
                    <w:rPr>
                      <w:rFonts w:hint="default" w:ascii="Times New Roman" w:hAnsi="Times New Roman" w:eastAsia="宋体" w:cs="Times New Roman"/>
                      <w:color w:val="auto"/>
                      <w:kern w:val="2"/>
                      <w:sz w:val="21"/>
                      <w:szCs w:val="24"/>
                      <w:highlight w:val="none"/>
                      <w:lang w:val="en-US" w:eastAsia="zh-CN" w:bidi="ar-SA"/>
                    </w:rPr>
                    <w:drawing>
                      <wp:inline distT="0" distB="0" distL="114300" distR="114300">
                        <wp:extent cx="1000125" cy="1000125"/>
                        <wp:effectExtent l="0" t="0" r="9525" b="9525"/>
                        <wp:docPr id="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2"/>
                                <pic:cNvPicPr>
                                  <a:picLocks noChangeAspect="1"/>
                                </pic:cNvPicPr>
                              </pic:nvPicPr>
                              <pic:blipFill>
                                <a:blip r:embed="rId24">
                                  <a:lum/>
                                </a:blip>
                                <a:stretch>
                                  <a:fillRect/>
                                </a:stretch>
                              </pic:blipFill>
                              <pic:spPr>
                                <a:xfrm>
                                  <a:off x="0" y="0"/>
                                  <a:ext cx="1000125" cy="1000125"/>
                                </a:xfrm>
                                <a:prstGeom prst="rect">
                                  <a:avLst/>
                                </a:prstGeom>
                                <a:noFill/>
                                <a:ln>
                                  <a:noFill/>
                                </a:ln>
                              </pic:spPr>
                            </pic:pic>
                          </a:graphicData>
                        </a:graphic>
                      </wp:inline>
                    </w:drawing>
                  </w:r>
                </w:p>
              </w:tc>
              <w:tc>
                <w:tcPr>
                  <w:tcW w:w="1521" w:type="pct"/>
                  <w:tcBorders>
                    <w:tl2br w:val="nil"/>
                    <w:tr2bl w:val="nil"/>
                  </w:tcBorders>
                  <w:vAlign w:val="center"/>
                </w:tcPr>
                <w:p w14:paraId="293FA0D4">
                  <w:pPr>
                    <w:adjustRightInd w:val="0"/>
                    <w:snapToGrid w:val="0"/>
                    <w:jc w:val="center"/>
                    <w:rPr>
                      <w:rFonts w:hint="default" w:ascii="Times New Roman" w:hAnsi="Times New Roman" w:cs="Times New Roman"/>
                      <w:color w:val="auto"/>
                      <w:kern w:val="21"/>
                      <w:highlight w:val="none"/>
                    </w:rPr>
                  </w:pPr>
                  <w:r>
                    <w:rPr>
                      <w:rFonts w:hint="default" w:ascii="Times New Roman" w:hAnsi="Times New Roman" w:eastAsia="宋体" w:cs="Times New Roman"/>
                      <w:color w:val="auto"/>
                      <w:kern w:val="2"/>
                      <w:sz w:val="21"/>
                      <w:szCs w:val="24"/>
                      <w:highlight w:val="none"/>
                      <w:lang w:val="en-US" w:eastAsia="zh-CN" w:bidi="ar-SA"/>
                    </w:rPr>
                    <w:drawing>
                      <wp:inline distT="0" distB="0" distL="114300" distR="114300">
                        <wp:extent cx="1000125" cy="984250"/>
                        <wp:effectExtent l="0" t="0" r="9525" b="6350"/>
                        <wp:docPr id="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3"/>
                                <pic:cNvPicPr>
                                  <a:picLocks noChangeAspect="1"/>
                                </pic:cNvPicPr>
                              </pic:nvPicPr>
                              <pic:blipFill>
                                <a:blip r:embed="rId25">
                                  <a:lum/>
                                </a:blip>
                                <a:stretch>
                                  <a:fillRect/>
                                </a:stretch>
                              </pic:blipFill>
                              <pic:spPr>
                                <a:xfrm>
                                  <a:off x="0" y="0"/>
                                  <a:ext cx="1000125" cy="984250"/>
                                </a:xfrm>
                                <a:prstGeom prst="rect">
                                  <a:avLst/>
                                </a:prstGeom>
                                <a:noFill/>
                                <a:ln>
                                  <a:noFill/>
                                </a:ln>
                              </pic:spPr>
                            </pic:pic>
                          </a:graphicData>
                        </a:graphic>
                      </wp:inline>
                    </w:drawing>
                  </w:r>
                </w:p>
              </w:tc>
              <w:tc>
                <w:tcPr>
                  <w:tcW w:w="1523" w:type="pct"/>
                  <w:tcBorders>
                    <w:tl2br w:val="nil"/>
                    <w:tr2bl w:val="nil"/>
                  </w:tcBorders>
                  <w:vAlign w:val="center"/>
                </w:tcPr>
                <w:p w14:paraId="5BE0E9B6">
                  <w:pPr>
                    <w:adjustRightInd w:val="0"/>
                    <w:snapToGrid w:val="0"/>
                    <w:jc w:val="center"/>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1"/>
                      <w:szCs w:val="24"/>
                      <w:highlight w:val="none"/>
                      <w:lang w:val="en-US" w:eastAsia="zh-CN" w:bidi="ar-SA"/>
                    </w:rPr>
                    <w:drawing>
                      <wp:inline distT="0" distB="0" distL="114300" distR="114300">
                        <wp:extent cx="1000125" cy="1000125"/>
                        <wp:effectExtent l="0" t="0" r="9525" b="9525"/>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26">
                                  <a:lum/>
                                </a:blip>
                                <a:stretch>
                                  <a:fillRect/>
                                </a:stretch>
                              </pic:blipFill>
                              <pic:spPr>
                                <a:xfrm>
                                  <a:off x="0" y="0"/>
                                  <a:ext cx="1000125" cy="1000125"/>
                                </a:xfrm>
                                <a:prstGeom prst="rect">
                                  <a:avLst/>
                                </a:prstGeom>
                                <a:noFill/>
                                <a:ln>
                                  <a:noFill/>
                                </a:ln>
                              </pic:spPr>
                            </pic:pic>
                          </a:graphicData>
                        </a:graphic>
                      </wp:inline>
                    </w:drawing>
                  </w:r>
                </w:p>
              </w:tc>
            </w:tr>
          </w:tbl>
          <w:p w14:paraId="6377401C">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b/>
                <w:color w:val="auto"/>
                <w:highlight w:val="none"/>
              </w:rPr>
            </w:pPr>
            <w:r>
              <w:rPr>
                <w:rFonts w:hint="default" w:ascii="Times New Roman" w:hAnsi="Times New Roman" w:cs="Times New Roman"/>
                <w:b/>
                <w:color w:val="auto"/>
                <w:highlight w:val="none"/>
              </w:rPr>
              <w:t>注：黄色为警告标志，绿色为提示标志。</w:t>
            </w:r>
          </w:p>
          <w:p w14:paraId="6FE6ED7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rPr>
            </w:pPr>
            <w:r>
              <w:rPr>
                <w:rFonts w:hint="eastAsia" w:cs="Times New Roman"/>
                <w:b/>
                <w:bCs/>
                <w:color w:val="auto"/>
                <w:sz w:val="24"/>
                <w:szCs w:val="24"/>
                <w:lang w:eastAsia="zh-CN"/>
              </w:rPr>
              <w:t>十</w:t>
            </w:r>
            <w:r>
              <w:rPr>
                <w:rFonts w:hint="default" w:ascii="Times New Roman" w:hAnsi="Times New Roman" w:eastAsia="宋体" w:cs="Times New Roman"/>
                <w:b/>
                <w:bCs/>
                <w:color w:val="auto"/>
                <w:sz w:val="24"/>
                <w:szCs w:val="24"/>
              </w:rPr>
              <w:t>、环境监测计划</w:t>
            </w:r>
          </w:p>
          <w:p w14:paraId="4136C629">
            <w:pPr>
              <w:pStyle w:val="2"/>
              <w:keepNext w:val="0"/>
              <w:keepLines w:val="0"/>
              <w:pageBreakBefore w:val="0"/>
              <w:widowControl w:val="0"/>
              <w:kinsoku/>
              <w:wordWrap/>
              <w:overflowPunct/>
              <w:topLinePunct w:val="0"/>
              <w:autoSpaceDE/>
              <w:autoSpaceDN/>
              <w:bidi w:val="0"/>
              <w:adjustRightInd/>
              <w:snapToGrid/>
              <w:spacing w:before="0" w:after="0" w:line="360" w:lineRule="auto"/>
              <w:ind w:right="0" w:firstLine="480" w:firstLineChars="200"/>
              <w:jc w:val="left"/>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Cs/>
                <w:color w:val="auto"/>
                <w:sz w:val="24"/>
                <w:szCs w:val="24"/>
              </w:rPr>
              <w:t>按照</w:t>
            </w:r>
            <w:r>
              <w:rPr>
                <w:rFonts w:hint="default" w:ascii="Times New Roman" w:hAnsi="Times New Roman" w:eastAsia="宋体" w:cs="Times New Roman"/>
                <w:color w:val="auto"/>
                <w:sz w:val="24"/>
                <w:szCs w:val="24"/>
              </w:rPr>
              <w:t>《排污单位自行监测技术指南 总则》（HJ819-2017）、《煤炭工业污染物排放标准》（GB20426-2006）</w:t>
            </w:r>
            <w:r>
              <w:rPr>
                <w:rFonts w:hint="default" w:ascii="Times New Roman" w:hAnsi="Times New Roman" w:eastAsia="宋体" w:cs="Times New Roman"/>
                <w:bCs/>
                <w:color w:val="auto"/>
                <w:sz w:val="24"/>
                <w:szCs w:val="24"/>
              </w:rPr>
              <w:t>、《工业企业厂界环境噪声排放标准》（GB12348-2008）等规定的监测分析方法，建设项目环境保护管理规定和要求，该项目应作环保设施竣工验收，重点对废气、噪声等进行验收；建设单位配套的污染防治设施，必须按规定进行竣工环保自主验收，同时还应配合环保部门做好日常监测工作。</w:t>
            </w:r>
          </w:p>
          <w:p w14:paraId="5C84720C">
            <w:pPr>
              <w:keepNext w:val="0"/>
              <w:keepLines w:val="0"/>
              <w:pageBreakBefore w:val="0"/>
              <w:widowControl w:val="0"/>
              <w:kinsoku/>
              <w:wordWrap/>
              <w:overflowPunct/>
              <w:topLinePunct w:val="0"/>
              <w:autoSpaceDE/>
              <w:autoSpaceDN/>
              <w:bidi w:val="0"/>
              <w:adjustRightInd/>
              <w:snapToGrid/>
              <w:ind w:left="0" w:leftChars="0" w:right="0" w:rightChars="0" w:firstLine="422" w:firstLineChars="200"/>
              <w:jc w:val="center"/>
              <w:textAlignment w:val="auto"/>
              <w:rPr>
                <w:rFonts w:hint="default" w:ascii="Times New Roman" w:hAnsi="Times New Roman" w:eastAsia="宋体" w:cs="Times New Roman"/>
                <w:b/>
                <w:color w:val="auto"/>
                <w:sz w:val="21"/>
                <w:szCs w:val="21"/>
              </w:rPr>
            </w:pPr>
          </w:p>
          <w:p w14:paraId="2F7C1C6E">
            <w:pPr>
              <w:keepNext w:val="0"/>
              <w:keepLines w:val="0"/>
              <w:pageBreakBefore w:val="0"/>
              <w:widowControl w:val="0"/>
              <w:kinsoku/>
              <w:wordWrap/>
              <w:overflowPunct/>
              <w:topLinePunct w:val="0"/>
              <w:autoSpaceDE/>
              <w:autoSpaceDN/>
              <w:bidi w:val="0"/>
              <w:adjustRightInd/>
              <w:snapToGrid/>
              <w:ind w:left="0" w:leftChars="0" w:right="0" w:rightChars="0" w:firstLine="422" w:firstLineChars="20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表4-</w:t>
            </w:r>
            <w:r>
              <w:rPr>
                <w:rFonts w:hint="eastAsia" w:cs="Times New Roman"/>
                <w:b/>
                <w:color w:val="auto"/>
                <w:sz w:val="21"/>
                <w:szCs w:val="21"/>
                <w:lang w:val="en-US" w:eastAsia="zh-CN"/>
              </w:rPr>
              <w:t>12</w:t>
            </w:r>
            <w:r>
              <w:rPr>
                <w:rFonts w:hint="default" w:ascii="Times New Roman" w:hAnsi="Times New Roman" w:eastAsia="宋体" w:cs="Times New Roman"/>
                <w:b/>
                <w:color w:val="auto"/>
                <w:sz w:val="21"/>
                <w:szCs w:val="21"/>
              </w:rPr>
              <w:t xml:space="preserve"> 监测计划一览表</w:t>
            </w:r>
          </w:p>
          <w:tbl>
            <w:tblPr>
              <w:tblStyle w:val="30"/>
              <w:tblW w:w="7938"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280"/>
              <w:gridCol w:w="1287"/>
              <w:gridCol w:w="1875"/>
              <w:gridCol w:w="1140"/>
              <w:gridCol w:w="2356"/>
            </w:tblGrid>
            <w:tr w14:paraId="46A6A5E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3" w:hRule="atLeast"/>
                <w:jc w:val="center"/>
              </w:trPr>
              <w:tc>
                <w:tcPr>
                  <w:tcW w:w="1280" w:type="dxa"/>
                  <w:noWrap w:val="0"/>
                  <w:vAlign w:val="center"/>
                </w:tcPr>
                <w:p w14:paraId="72A2F3BA">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监测内容</w:t>
                  </w:r>
                </w:p>
              </w:tc>
              <w:tc>
                <w:tcPr>
                  <w:tcW w:w="1287" w:type="dxa"/>
                  <w:noWrap w:val="0"/>
                  <w:vAlign w:val="center"/>
                </w:tcPr>
                <w:p w14:paraId="4674886A">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监测点位</w:t>
                  </w:r>
                </w:p>
              </w:tc>
              <w:tc>
                <w:tcPr>
                  <w:tcW w:w="1875" w:type="dxa"/>
                  <w:noWrap w:val="0"/>
                  <w:vAlign w:val="center"/>
                </w:tcPr>
                <w:p w14:paraId="052B8604">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监测项目</w:t>
                  </w:r>
                </w:p>
              </w:tc>
              <w:tc>
                <w:tcPr>
                  <w:tcW w:w="1140" w:type="dxa"/>
                  <w:noWrap w:val="0"/>
                  <w:vAlign w:val="center"/>
                </w:tcPr>
                <w:p w14:paraId="1899325F">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监测频率</w:t>
                  </w:r>
                </w:p>
              </w:tc>
              <w:tc>
                <w:tcPr>
                  <w:tcW w:w="2356" w:type="dxa"/>
                  <w:noWrap w:val="0"/>
                  <w:vAlign w:val="center"/>
                </w:tcPr>
                <w:p w14:paraId="2FB4E955">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执行标准</w:t>
                  </w:r>
                </w:p>
              </w:tc>
            </w:tr>
            <w:tr w14:paraId="24B5F7F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0" w:hRule="atLeast"/>
                <w:jc w:val="center"/>
              </w:trPr>
              <w:tc>
                <w:tcPr>
                  <w:tcW w:w="1280" w:type="dxa"/>
                  <w:noWrap w:val="0"/>
                  <w:vAlign w:val="center"/>
                </w:tcPr>
                <w:p w14:paraId="62C71406">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无组织废气</w:t>
                  </w:r>
                </w:p>
              </w:tc>
              <w:tc>
                <w:tcPr>
                  <w:tcW w:w="1287" w:type="dxa"/>
                  <w:noWrap w:val="0"/>
                  <w:vAlign w:val="center"/>
                </w:tcPr>
                <w:p w14:paraId="09F179BF">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w:t>
                  </w:r>
                </w:p>
              </w:tc>
              <w:tc>
                <w:tcPr>
                  <w:tcW w:w="1875" w:type="dxa"/>
                  <w:noWrap w:val="0"/>
                  <w:vAlign w:val="center"/>
                </w:tcPr>
                <w:p w14:paraId="16A87DE4">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1140" w:type="dxa"/>
                  <w:noWrap w:val="0"/>
                  <w:vAlign w:val="center"/>
                </w:tcPr>
                <w:p w14:paraId="6A7F8CE0">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1次/</w:t>
                  </w:r>
                  <w:r>
                    <w:rPr>
                      <w:rFonts w:hint="default" w:ascii="Times New Roman" w:hAnsi="Times New Roman" w:eastAsia="宋体" w:cs="Times New Roman"/>
                      <w:color w:val="auto"/>
                      <w:sz w:val="21"/>
                      <w:szCs w:val="21"/>
                      <w:lang w:eastAsia="zh-Hans"/>
                    </w:rPr>
                    <w:t>年</w:t>
                  </w:r>
                </w:p>
              </w:tc>
              <w:tc>
                <w:tcPr>
                  <w:tcW w:w="2356" w:type="dxa"/>
                  <w:noWrap w:val="0"/>
                  <w:vAlign w:val="center"/>
                </w:tcPr>
                <w:p w14:paraId="7B3F9BA4">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《煤炭工业污染物排放标准》（GB20426-2006）</w:t>
                  </w:r>
                </w:p>
              </w:tc>
            </w:tr>
            <w:tr w14:paraId="69F469C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0" w:hRule="atLeast"/>
                <w:jc w:val="center"/>
              </w:trPr>
              <w:tc>
                <w:tcPr>
                  <w:tcW w:w="1280" w:type="dxa"/>
                  <w:noWrap w:val="0"/>
                  <w:vAlign w:val="center"/>
                </w:tcPr>
                <w:p w14:paraId="194C79B4">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287" w:type="dxa"/>
                  <w:noWrap w:val="0"/>
                  <w:vAlign w:val="center"/>
                </w:tcPr>
                <w:p w14:paraId="4F42D043">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厂界四周</w:t>
                  </w:r>
                </w:p>
              </w:tc>
              <w:tc>
                <w:tcPr>
                  <w:tcW w:w="1875" w:type="dxa"/>
                  <w:noWrap w:val="0"/>
                  <w:vAlign w:val="center"/>
                </w:tcPr>
                <w:p w14:paraId="635B966A">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140" w:type="dxa"/>
                  <w:noWrap w:val="0"/>
                  <w:vAlign w:val="center"/>
                </w:tcPr>
                <w:p w14:paraId="100678DA">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1次/季度</w:t>
                  </w:r>
                </w:p>
              </w:tc>
              <w:tc>
                <w:tcPr>
                  <w:tcW w:w="2356" w:type="dxa"/>
                  <w:noWrap w:val="0"/>
                  <w:vAlign w:val="center"/>
                </w:tcPr>
                <w:p w14:paraId="6ACF7A69">
                  <w:pPr>
                    <w:pStyle w:val="87"/>
                    <w:keepNext w:val="0"/>
                    <w:keepLines w:val="0"/>
                    <w:pageBreakBefore w:val="0"/>
                    <w:widowControl w:val="0"/>
                    <w:kinsoku/>
                    <w:wordWrap/>
                    <w:overflowPunct/>
                    <w:topLinePunct w:val="0"/>
                    <w:autoSpaceDE/>
                    <w:autoSpaceDN/>
                    <w:bidi w:val="0"/>
                    <w:adjustRightInd/>
                    <w:snapToGrid/>
                    <w:spacing w:before="0" w:beforeLines="0" w:after="0" w:afterLines="0"/>
                    <w:ind w:left="0" w:leftChars="0" w:right="0" w:right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《工业企业厂界环境噪声排放标准》（GB12348-2008）</w:t>
                  </w:r>
                </w:p>
              </w:tc>
            </w:tr>
          </w:tbl>
          <w:p w14:paraId="3400E1C9">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十</w:t>
            </w:r>
            <w:r>
              <w:rPr>
                <w:rFonts w:hint="eastAsia" w:cs="Times New Roman"/>
                <w:b/>
                <w:bCs/>
                <w:color w:val="auto"/>
                <w:sz w:val="24"/>
                <w:szCs w:val="24"/>
                <w:lang w:eastAsia="zh-CN"/>
              </w:rPr>
              <w:t>一</w:t>
            </w:r>
            <w:r>
              <w:rPr>
                <w:rFonts w:hint="default" w:ascii="Times New Roman" w:hAnsi="Times New Roman" w:eastAsia="宋体" w:cs="Times New Roman"/>
                <w:b/>
                <w:bCs/>
                <w:color w:val="auto"/>
                <w:sz w:val="24"/>
                <w:szCs w:val="24"/>
              </w:rPr>
              <w:t>、三同时制度及环保验收</w:t>
            </w:r>
          </w:p>
          <w:p w14:paraId="2A9E6EF4">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建设项目需要完善的减振降噪设施、废气处理设施、污水处理设施和固废处理措施等，应与主体工程同时设计、同时施工、同时投入使用。</w:t>
            </w:r>
          </w:p>
          <w:p w14:paraId="53DB4380">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做好废水、废气、噪声等污染处理设施和设备的维护和保养工作，保证污染处理设施有较高的运转率。</w:t>
            </w:r>
          </w:p>
          <w:p w14:paraId="13A0F250">
            <w:pPr>
              <w:pStyle w:val="77"/>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污染处理设施因故需拆除或停止运行，必须事先报环保主管部门审批。</w:t>
            </w:r>
          </w:p>
          <w:p w14:paraId="7BC6EF0A">
            <w:pPr>
              <w:pStyle w:val="77"/>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sz w:val="24"/>
                <w:szCs w:val="24"/>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建设单位尽快落实整改的环保措施，完成投运后，尽快开展环保验收</w:t>
            </w:r>
            <w:r>
              <w:rPr>
                <w:rFonts w:hint="eastAsia" w:ascii="Times New Roman" w:hAnsi="Times New Roman" w:cs="Times New Roman"/>
                <w:color w:val="auto"/>
                <w:highlight w:val="none"/>
                <w:lang w:eastAsia="zh-CN"/>
              </w:rPr>
              <w:t>并进</w:t>
            </w:r>
            <w:r>
              <w:rPr>
                <w:rFonts w:hint="default" w:ascii="Times New Roman" w:hAnsi="Times New Roman" w:eastAsia="宋体" w:cs="Times New Roman"/>
                <w:color w:val="auto"/>
                <w:highlight w:val="none"/>
              </w:rPr>
              <w:t>行竣工环保自主验收。</w:t>
            </w:r>
          </w:p>
          <w:p w14:paraId="262B7D3E">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Cs/>
                <w:color w:val="auto"/>
                <w:sz w:val="24"/>
              </w:rPr>
            </w:pPr>
            <w:r>
              <w:rPr>
                <w:rFonts w:hint="default" w:ascii="Times New Roman" w:hAnsi="Times New Roman" w:eastAsia="宋体" w:cs="Times New Roman"/>
                <w:b/>
                <w:bCs/>
                <w:color w:val="auto"/>
                <w:sz w:val="24"/>
              </w:rPr>
              <w:t>十</w:t>
            </w:r>
            <w:r>
              <w:rPr>
                <w:rFonts w:hint="eastAsia" w:cs="Times New Roman"/>
                <w:b/>
                <w:bCs/>
                <w:color w:val="auto"/>
                <w:sz w:val="24"/>
                <w:lang w:eastAsia="zh-CN"/>
              </w:rPr>
              <w:t>二</w:t>
            </w:r>
            <w:r>
              <w:rPr>
                <w:rFonts w:hint="default" w:ascii="Times New Roman" w:hAnsi="Times New Roman" w:eastAsia="宋体" w:cs="Times New Roman"/>
                <w:b/>
                <w:bCs/>
                <w:color w:val="auto"/>
                <w:sz w:val="24"/>
              </w:rPr>
              <w:t>、排污许可证制度衔接</w:t>
            </w:r>
          </w:p>
          <w:p w14:paraId="7FB6D06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Cs/>
                <w:color w:val="auto"/>
                <w:kern w:val="0"/>
                <w:sz w:val="24"/>
                <w:szCs w:val="20"/>
              </w:rPr>
            </w:pPr>
            <w:r>
              <w:rPr>
                <w:rFonts w:hint="default" w:ascii="Times New Roman" w:hAnsi="Times New Roman" w:eastAsia="宋体" w:cs="Times New Roman"/>
                <w:color w:val="auto"/>
                <w:sz w:val="24"/>
              </w:rPr>
              <w:t>根</w:t>
            </w:r>
            <w:r>
              <w:rPr>
                <w:rFonts w:hint="default" w:ascii="Times New Roman" w:hAnsi="Times New Roman" w:eastAsia="宋体" w:cs="Times New Roman"/>
                <w:bCs/>
                <w:color w:val="auto"/>
                <w:kern w:val="0"/>
                <w:sz w:val="24"/>
                <w:szCs w:val="20"/>
              </w:rPr>
              <w:t>据《国务院办公厅关于印发控制污染物排放许可制实施方案的通知》（国办发[2016]81号），将排污许可制建设成为固定污染源环境管理的核心制度。本项目应严格按照国家排污许可证改革的要求，推进刷卡排污及污染源</w:t>
            </w:r>
            <w:r>
              <w:rPr>
                <w:rFonts w:hint="eastAsia" w:cs="Times New Roman"/>
                <w:bCs/>
                <w:color w:val="auto"/>
                <w:kern w:val="0"/>
                <w:sz w:val="24"/>
                <w:szCs w:val="20"/>
                <w:lang w:eastAsia="zh-CN"/>
              </w:rPr>
              <w:t>“</w:t>
            </w:r>
            <w:r>
              <w:rPr>
                <w:rFonts w:hint="default" w:ascii="Times New Roman" w:hAnsi="Times New Roman" w:eastAsia="宋体" w:cs="Times New Roman"/>
                <w:bCs/>
                <w:color w:val="auto"/>
                <w:kern w:val="0"/>
                <w:sz w:val="24"/>
                <w:szCs w:val="20"/>
              </w:rPr>
              <w:t>一证式</w:t>
            </w:r>
            <w:r>
              <w:rPr>
                <w:rFonts w:hint="eastAsia" w:cs="Times New Roman"/>
                <w:bCs/>
                <w:color w:val="auto"/>
                <w:kern w:val="0"/>
                <w:sz w:val="24"/>
                <w:szCs w:val="20"/>
                <w:lang w:eastAsia="zh-CN"/>
              </w:rPr>
              <w:t>”</w:t>
            </w:r>
            <w:r>
              <w:rPr>
                <w:rFonts w:hint="default" w:ascii="Times New Roman" w:hAnsi="Times New Roman" w:eastAsia="宋体" w:cs="Times New Roman"/>
                <w:bCs/>
                <w:color w:val="auto"/>
                <w:kern w:val="0"/>
                <w:sz w:val="24"/>
                <w:szCs w:val="20"/>
              </w:rPr>
              <w:t>管理工作，并作为建设单位在生产营运期接受环境监管和环境保护部门实施监管的主要法律文书，单位依法申领排污许可证，按证排污，自证守法。环境保护部门基于企事业单位守法承诺，依法发放排污许可证，依证强化事中事后监管。</w:t>
            </w:r>
          </w:p>
          <w:p w14:paraId="0ABD2D51">
            <w:pPr>
              <w:adjustRightInd w:val="0"/>
              <w:snapToGrid w:val="0"/>
              <w:rPr>
                <w:rFonts w:hint="default" w:ascii="Times New Roman" w:hAnsi="Times New Roman" w:eastAsia="宋体" w:cs="Times New Roman"/>
                <w:bCs/>
                <w:color w:val="auto"/>
                <w:spacing w:val="-10"/>
                <w:sz w:val="24"/>
              </w:rPr>
            </w:pPr>
          </w:p>
          <w:p w14:paraId="0DE8F18D">
            <w:pPr>
              <w:pStyle w:val="29"/>
              <w:rPr>
                <w:rFonts w:hint="default" w:ascii="Times New Roman" w:hAnsi="Times New Roman" w:eastAsia="宋体" w:cs="Times New Roman"/>
                <w:bCs/>
                <w:color w:val="auto"/>
                <w:spacing w:val="-10"/>
                <w:sz w:val="24"/>
              </w:rPr>
            </w:pPr>
          </w:p>
          <w:p w14:paraId="7DCABDD6">
            <w:pPr>
              <w:rPr>
                <w:rFonts w:hint="default"/>
                <w:color w:val="auto"/>
              </w:rPr>
            </w:pPr>
          </w:p>
        </w:tc>
      </w:tr>
    </w:tbl>
    <w:p w14:paraId="3FC34646">
      <w:pPr>
        <w:adjustRightInd w:val="0"/>
        <w:snapToGrid w:val="0"/>
        <w:spacing w:line="360" w:lineRule="auto"/>
        <w:rPr>
          <w:rFonts w:hint="default" w:ascii="Times New Roman" w:hAnsi="Times New Roman" w:eastAsia="宋体" w:cs="Times New Roman"/>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B1519DE">
      <w:pPr>
        <w:pStyle w:val="26"/>
        <w:jc w:val="center"/>
        <w:outlineLvl w:val="0"/>
        <w:rPr>
          <w:rFonts w:hint="default" w:ascii="Times New Roman" w:hAnsi="Times New Roman" w:eastAsia="宋体" w:cs="Times New Roman"/>
          <w:snapToGrid w:val="0"/>
          <w:color w:val="auto"/>
          <w:sz w:val="30"/>
          <w:szCs w:val="30"/>
        </w:rPr>
      </w:pPr>
      <w:bookmarkStart w:id="29" w:name="_Toc26782"/>
      <w:r>
        <w:rPr>
          <w:color w:val="auto"/>
          <w:sz w:val="21"/>
        </w:rPr>
        <mc:AlternateContent>
          <mc:Choice Requires="wps">
            <w:drawing>
              <wp:anchor distT="0" distB="0" distL="114300" distR="114300" simplePos="0" relativeHeight="251662336" behindDoc="0" locked="0" layoutInCell="1" allowOverlap="1">
                <wp:simplePos x="0" y="0"/>
                <wp:positionH relativeFrom="column">
                  <wp:posOffset>9525</wp:posOffset>
                </wp:positionH>
                <wp:positionV relativeFrom="paragraph">
                  <wp:posOffset>600710</wp:posOffset>
                </wp:positionV>
                <wp:extent cx="826770" cy="699135"/>
                <wp:effectExtent l="3175" t="3810" r="8255" b="20955"/>
                <wp:wrapNone/>
                <wp:docPr id="15" name="直接连接符 15"/>
                <wp:cNvGraphicFramePr/>
                <a:graphic xmlns:a="http://schemas.openxmlformats.org/drawingml/2006/main">
                  <a:graphicData uri="http://schemas.microsoft.com/office/word/2010/wordprocessingShape">
                    <wps:wsp>
                      <wps:cNvCnPr/>
                      <wps:spPr>
                        <a:xfrm>
                          <a:off x="972185" y="1690370"/>
                          <a:ext cx="826770" cy="699135"/>
                        </a:xfrm>
                        <a:prstGeom prst="line">
                          <a:avLst/>
                        </a:prstGeom>
                        <a:ln w="635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0.75pt;margin-top:47.3pt;height:55.05pt;width:65.1pt;z-index:251662336;mso-width-relative:page;mso-height-relative:page;" filled="f" stroked="t" coordsize="21600,21600" o:gfxdata="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BFpUI7VAAAA&#10;CAEAAA8AAAAAAAAAAQAgAAAAIgAAAGRycy9kb3ducmV2LnhtbFBLAQIUABQAAAAIAIdO4kDk2dOy&#10;5wEAAKsDAAAOAAAAAAAAAAEAIAAAACQBAABkcnMvZTJvRG9jLnhtbFBLBQYAAAAABgAGAFkBAAB9&#10;BQAAAAA=&#10;">
                <v:fill on="f" focussize="0,0"/>
                <v:stroke weight="0.5pt" color="#000000 [3213]" joinstyle="round"/>
                <v:imagedata o:title=""/>
                <o:lock v:ext="edit" aspectratio="f"/>
              </v:line>
            </w:pict>
          </mc:Fallback>
        </mc:AlternateContent>
      </w:r>
      <w:r>
        <w:rPr>
          <w:rFonts w:hint="default" w:ascii="Times New Roman" w:hAnsi="Times New Roman" w:eastAsia="宋体" w:cs="Times New Roman"/>
          <w:snapToGrid w:val="0"/>
          <w:color w:val="auto"/>
          <w:sz w:val="30"/>
          <w:szCs w:val="30"/>
        </w:rPr>
        <w:t>五、</w:t>
      </w:r>
      <w:bookmarkStart w:id="30" w:name="_Hlk54167917"/>
      <w:r>
        <w:rPr>
          <w:rFonts w:hint="default" w:ascii="Times New Roman" w:hAnsi="Times New Roman" w:eastAsia="宋体" w:cs="Times New Roman"/>
          <w:snapToGrid w:val="0"/>
          <w:color w:val="auto"/>
          <w:sz w:val="30"/>
          <w:szCs w:val="30"/>
        </w:rPr>
        <w:t>环境保护措施监督检查清单</w:t>
      </w:r>
      <w:bookmarkEnd w:id="29"/>
      <w:bookmarkEnd w:id="30"/>
    </w:p>
    <w:tbl>
      <w:tblPr>
        <w:tblStyle w:val="30"/>
        <w:tblW w:w="0" w:type="auto"/>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108" w:type="dxa"/>
          <w:bottom w:w="0" w:type="dxa"/>
          <w:right w:w="108" w:type="dxa"/>
        </w:tblCellMar>
      </w:tblPr>
      <w:tblGrid>
        <w:gridCol w:w="1310"/>
        <w:gridCol w:w="1290"/>
        <w:gridCol w:w="990"/>
        <w:gridCol w:w="3360"/>
        <w:gridCol w:w="1850"/>
      </w:tblGrid>
      <w:tr w14:paraId="0BABB98E">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25" w:hRule="atLeast"/>
          <w:jc w:val="center"/>
        </w:trPr>
        <w:tc>
          <w:tcPr>
            <w:tcW w:w="1310" w:type="dxa"/>
            <w:tcBorders>
              <w:tl2br w:val="nil"/>
              <w:tr2bl w:val="nil"/>
            </w:tcBorders>
            <w:shd w:val="clear" w:color="auto" w:fill="FFFFFF"/>
            <w:noWrap w:val="0"/>
            <w:vAlign w:val="top"/>
          </w:tcPr>
          <w:p w14:paraId="783C9A28">
            <w:pPr>
              <w:adjustRightInd w:val="0"/>
              <w:snapToGrid w:val="0"/>
              <w:ind w:firstLine="840"/>
              <w:jc w:val="right"/>
              <w:rPr>
                <w:rFonts w:hint="eastAsia" w:ascii="宋体" w:hAnsi="宋体" w:eastAsia="宋体" w:cs="宋体"/>
                <w:color w:val="auto"/>
                <w:sz w:val="21"/>
                <w:szCs w:val="21"/>
              </w:rPr>
            </w:pPr>
            <w:r>
              <w:rPr>
                <w:rFonts w:hint="eastAsia" w:ascii="宋体" w:hAnsi="宋体" w:eastAsia="宋体" w:cs="宋体"/>
                <w:color w:val="auto"/>
                <w:sz w:val="21"/>
                <w:szCs w:val="21"/>
              </w:rPr>
              <w:t>内容</w:t>
            </w:r>
          </w:p>
          <w:p w14:paraId="6AA9FD57">
            <w:pPr>
              <w:adjustRightInd w:val="0"/>
              <w:snapToGrid w:val="0"/>
              <w:rPr>
                <w:rFonts w:hint="eastAsia" w:ascii="宋体" w:hAnsi="宋体" w:eastAsia="宋体" w:cs="宋体"/>
                <w:color w:val="auto"/>
                <w:sz w:val="21"/>
                <w:szCs w:val="21"/>
              </w:rPr>
            </w:pPr>
          </w:p>
          <w:p w14:paraId="2464EC4B">
            <w:pPr>
              <w:adjustRightInd w:val="0"/>
              <w:snapToGrid w:val="0"/>
              <w:rPr>
                <w:rFonts w:hint="eastAsia" w:ascii="宋体" w:hAnsi="宋体" w:eastAsia="宋体" w:cs="宋体"/>
                <w:color w:val="auto"/>
                <w:sz w:val="21"/>
                <w:szCs w:val="21"/>
              </w:rPr>
            </w:pPr>
            <w:r>
              <w:rPr>
                <w:rFonts w:hint="eastAsia" w:ascii="宋体" w:hAnsi="宋体" w:eastAsia="宋体" w:cs="宋体"/>
                <w:color w:val="auto"/>
                <w:sz w:val="21"/>
                <w:szCs w:val="21"/>
              </w:rPr>
              <w:t>要素</w:t>
            </w:r>
          </w:p>
        </w:tc>
        <w:tc>
          <w:tcPr>
            <w:tcW w:w="1290" w:type="dxa"/>
            <w:tcBorders>
              <w:tl2br w:val="nil"/>
              <w:tr2bl w:val="nil"/>
            </w:tcBorders>
            <w:shd w:val="clear" w:color="auto" w:fill="FFFFFF"/>
            <w:noWrap w:val="0"/>
            <w:vAlign w:val="center"/>
          </w:tcPr>
          <w:p w14:paraId="2FFE84E1">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排放口</w:t>
            </w:r>
          </w:p>
          <w:p w14:paraId="0CC612BD">
            <w:pPr>
              <w:adjustRightInd w:val="0"/>
              <w:snapToGrid w:val="0"/>
              <w:jc w:val="center"/>
              <w:rPr>
                <w:rFonts w:hint="eastAsia" w:ascii="宋体" w:hAnsi="宋体" w:eastAsia="宋体" w:cs="宋体"/>
                <w:color w:val="auto"/>
                <w:sz w:val="21"/>
                <w:szCs w:val="21"/>
              </w:rPr>
            </w:pPr>
            <w:r>
              <w:rPr>
                <w:rFonts w:hint="eastAsia" w:ascii="宋体" w:hAnsi="宋体" w:cs="宋体"/>
                <w:color w:val="auto"/>
                <w:sz w:val="21"/>
                <w:szCs w:val="21"/>
                <w:lang w:eastAsia="zh-CN"/>
              </w:rPr>
              <w:t>（</w:t>
            </w:r>
            <w:r>
              <w:rPr>
                <w:rFonts w:hint="eastAsia" w:ascii="宋体" w:hAnsi="宋体" w:eastAsia="宋体" w:cs="宋体"/>
                <w:color w:val="auto"/>
                <w:sz w:val="21"/>
                <w:szCs w:val="21"/>
              </w:rPr>
              <w:t>编号、名称</w:t>
            </w:r>
            <w:r>
              <w:rPr>
                <w:rFonts w:hint="eastAsia" w:ascii="宋体" w:hAnsi="宋体" w:cs="宋体"/>
                <w:color w:val="auto"/>
                <w:sz w:val="21"/>
                <w:szCs w:val="21"/>
                <w:lang w:eastAsia="zh-CN"/>
              </w:rPr>
              <w:t>）</w:t>
            </w:r>
            <w:r>
              <w:rPr>
                <w:rFonts w:hint="eastAsia" w:ascii="宋体" w:hAnsi="宋体" w:eastAsia="宋体" w:cs="宋体"/>
                <w:color w:val="auto"/>
                <w:sz w:val="21"/>
                <w:szCs w:val="21"/>
              </w:rPr>
              <w:t>/污染源</w:t>
            </w:r>
          </w:p>
        </w:tc>
        <w:tc>
          <w:tcPr>
            <w:tcW w:w="990" w:type="dxa"/>
            <w:tcBorders>
              <w:tl2br w:val="nil"/>
              <w:tr2bl w:val="nil"/>
            </w:tcBorders>
            <w:shd w:val="clear" w:color="auto" w:fill="FFFFFF"/>
            <w:noWrap w:val="0"/>
            <w:vAlign w:val="center"/>
          </w:tcPr>
          <w:p w14:paraId="400C5980">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污染物</w:t>
            </w:r>
          </w:p>
          <w:p w14:paraId="55FA3CBF">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项目</w:t>
            </w:r>
          </w:p>
        </w:tc>
        <w:tc>
          <w:tcPr>
            <w:tcW w:w="3360" w:type="dxa"/>
            <w:tcBorders>
              <w:tl2br w:val="nil"/>
              <w:tr2bl w:val="nil"/>
            </w:tcBorders>
            <w:shd w:val="clear" w:color="auto" w:fill="FFFFFF"/>
            <w:noWrap w:val="0"/>
            <w:vAlign w:val="center"/>
          </w:tcPr>
          <w:p w14:paraId="61E082EB">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环境保护措施</w:t>
            </w:r>
          </w:p>
        </w:tc>
        <w:tc>
          <w:tcPr>
            <w:tcW w:w="1850" w:type="dxa"/>
            <w:tcBorders>
              <w:tl2br w:val="nil"/>
              <w:tr2bl w:val="nil"/>
            </w:tcBorders>
            <w:shd w:val="clear" w:color="auto" w:fill="FFFFFF"/>
            <w:noWrap w:val="0"/>
            <w:vAlign w:val="center"/>
          </w:tcPr>
          <w:p w14:paraId="11F6E2A2">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执行标准</w:t>
            </w:r>
          </w:p>
        </w:tc>
      </w:tr>
      <w:tr w14:paraId="3672C29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25" w:hRule="atLeast"/>
          <w:jc w:val="center"/>
        </w:trPr>
        <w:tc>
          <w:tcPr>
            <w:tcW w:w="1310" w:type="dxa"/>
            <w:vMerge w:val="restart"/>
            <w:tcBorders>
              <w:tl2br w:val="nil"/>
              <w:tr2bl w:val="nil"/>
            </w:tcBorders>
            <w:shd w:val="clear" w:color="auto" w:fill="FFFDFA"/>
            <w:noWrap w:val="0"/>
            <w:vAlign w:val="center"/>
          </w:tcPr>
          <w:p w14:paraId="00B76BF5">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大气环境</w:t>
            </w:r>
          </w:p>
        </w:tc>
        <w:tc>
          <w:tcPr>
            <w:tcW w:w="1290" w:type="dxa"/>
            <w:tcBorders>
              <w:tl2br w:val="nil"/>
              <w:tr2bl w:val="nil"/>
            </w:tcBorders>
            <w:shd w:val="clear" w:color="auto" w:fill="FFFDFA"/>
            <w:noWrap w:val="0"/>
            <w:vAlign w:val="center"/>
          </w:tcPr>
          <w:p w14:paraId="70E8390A">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cs="宋体"/>
                <w:color w:val="auto"/>
                <w:sz w:val="21"/>
                <w:szCs w:val="21"/>
                <w:lang w:eastAsia="zh-CN"/>
              </w:rPr>
              <w:t>运输扬尘</w:t>
            </w:r>
          </w:p>
        </w:tc>
        <w:tc>
          <w:tcPr>
            <w:tcW w:w="990" w:type="dxa"/>
            <w:vMerge w:val="restart"/>
            <w:tcBorders>
              <w:tl2br w:val="nil"/>
              <w:tr2bl w:val="nil"/>
            </w:tcBorders>
            <w:shd w:val="clear" w:color="auto" w:fill="FFFDFA"/>
            <w:noWrap w:val="0"/>
            <w:vAlign w:val="center"/>
          </w:tcPr>
          <w:p w14:paraId="4DCD4BAB">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无组织</w:t>
            </w:r>
          </w:p>
          <w:p w14:paraId="2F76881A">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颗粒物</w:t>
            </w:r>
          </w:p>
        </w:tc>
        <w:tc>
          <w:tcPr>
            <w:tcW w:w="3360" w:type="dxa"/>
            <w:tcBorders>
              <w:tl2br w:val="nil"/>
              <w:tr2bl w:val="nil"/>
            </w:tcBorders>
            <w:shd w:val="clear" w:color="auto" w:fill="FFFDFA"/>
            <w:noWrap w:val="0"/>
            <w:vAlign w:val="center"/>
          </w:tcPr>
          <w:p w14:paraId="7D992F1F">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道路硬化</w:t>
            </w:r>
            <w:r>
              <w:rPr>
                <w:rFonts w:hint="eastAsia" w:ascii="宋体" w:hAnsi="宋体" w:cs="宋体"/>
                <w:color w:val="auto"/>
                <w:sz w:val="21"/>
                <w:szCs w:val="21"/>
                <w:lang w:eastAsia="zh-CN"/>
              </w:rPr>
              <w:t>面积</w:t>
            </w:r>
            <w:r>
              <w:rPr>
                <w:rFonts w:hint="default" w:ascii="Times New Roman" w:hAnsi="Times New Roman" w:cs="Times New Roman"/>
                <w:color w:val="auto"/>
                <w:sz w:val="21"/>
                <w:szCs w:val="21"/>
                <w:lang w:eastAsia="zh-CN"/>
              </w:rPr>
              <w:t>为</w:t>
            </w:r>
            <w:r>
              <w:rPr>
                <w:rFonts w:hint="default" w:ascii="Times New Roman" w:hAnsi="Times New Roman" w:cs="Times New Roman"/>
                <w:color w:val="auto"/>
                <w:sz w:val="21"/>
                <w:szCs w:val="21"/>
                <w:lang w:val="en-US" w:eastAsia="zh-CN"/>
              </w:rPr>
              <w:t>10558m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lang w:val="en-US" w:eastAsia="zh-CN"/>
              </w:rPr>
              <w:t>其</w:t>
            </w:r>
            <w:r>
              <w:rPr>
                <w:rFonts w:hint="eastAsia" w:ascii="宋体" w:hAnsi="宋体" w:cs="宋体"/>
                <w:color w:val="auto"/>
                <w:sz w:val="21"/>
                <w:szCs w:val="21"/>
                <w:lang w:val="en-US" w:eastAsia="zh-CN"/>
              </w:rPr>
              <w:t>中道路部分采用水泥硬化</w:t>
            </w:r>
            <w:r>
              <w:rPr>
                <w:rFonts w:hint="eastAsia" w:ascii="宋体" w:hAnsi="宋体" w:eastAsia="宋体" w:cs="宋体"/>
                <w:color w:val="auto"/>
                <w:sz w:val="21"/>
                <w:szCs w:val="21"/>
              </w:rPr>
              <w:t>，及时清扫地面并在运输道路路面和两侧洒水</w:t>
            </w:r>
          </w:p>
        </w:tc>
        <w:tc>
          <w:tcPr>
            <w:tcW w:w="1850" w:type="dxa"/>
            <w:vMerge w:val="restart"/>
            <w:tcBorders>
              <w:tl2br w:val="nil"/>
              <w:tr2bl w:val="nil"/>
            </w:tcBorders>
            <w:shd w:val="clear" w:color="auto" w:fill="FFFDFA"/>
            <w:noWrap w:val="0"/>
            <w:vAlign w:val="center"/>
          </w:tcPr>
          <w:p w14:paraId="58D87420">
            <w:pPr>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rPr>
              <w:t>《煤炭工业污染物排放标准》（GB20426-2006）中表5煤炭工业无组织排放限值</w:t>
            </w:r>
          </w:p>
        </w:tc>
      </w:tr>
      <w:tr w14:paraId="5ED8379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25" w:hRule="atLeast"/>
          <w:jc w:val="center"/>
        </w:trPr>
        <w:tc>
          <w:tcPr>
            <w:tcW w:w="1310" w:type="dxa"/>
            <w:vMerge w:val="continue"/>
            <w:tcBorders>
              <w:tl2br w:val="nil"/>
              <w:tr2bl w:val="nil"/>
            </w:tcBorders>
            <w:shd w:val="clear" w:color="auto" w:fill="FFFFFF"/>
            <w:noWrap w:val="0"/>
            <w:vAlign w:val="center"/>
          </w:tcPr>
          <w:p w14:paraId="7356B076">
            <w:pPr>
              <w:adjustRightInd w:val="0"/>
              <w:snapToGrid w:val="0"/>
              <w:jc w:val="center"/>
              <w:rPr>
                <w:rFonts w:hint="eastAsia" w:ascii="宋体" w:hAnsi="宋体" w:eastAsia="宋体" w:cs="宋体"/>
                <w:color w:val="auto"/>
                <w:sz w:val="21"/>
                <w:szCs w:val="21"/>
              </w:rPr>
            </w:pPr>
          </w:p>
        </w:tc>
        <w:tc>
          <w:tcPr>
            <w:tcW w:w="1290" w:type="dxa"/>
            <w:tcBorders>
              <w:tl2br w:val="nil"/>
              <w:tr2bl w:val="nil"/>
            </w:tcBorders>
            <w:shd w:val="clear" w:color="auto" w:fill="FFFFFF"/>
            <w:noWrap w:val="0"/>
            <w:vAlign w:val="center"/>
          </w:tcPr>
          <w:p w14:paraId="04EA8428">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原料装卸扬尘</w:t>
            </w:r>
          </w:p>
        </w:tc>
        <w:tc>
          <w:tcPr>
            <w:tcW w:w="990" w:type="dxa"/>
            <w:vMerge w:val="continue"/>
            <w:tcBorders>
              <w:tl2br w:val="nil"/>
              <w:tr2bl w:val="nil"/>
            </w:tcBorders>
            <w:shd w:val="clear" w:color="auto" w:fill="FFFFFF"/>
            <w:noWrap w:val="0"/>
            <w:vAlign w:val="center"/>
          </w:tcPr>
          <w:p w14:paraId="5A1867F7">
            <w:pPr>
              <w:spacing w:line="240" w:lineRule="atLeast"/>
              <w:ind w:left="-105" w:leftChars="-50" w:right="-105" w:rightChars="-50"/>
              <w:jc w:val="center"/>
              <w:rPr>
                <w:rFonts w:hint="eastAsia" w:ascii="宋体" w:hAnsi="宋体" w:eastAsia="宋体" w:cs="宋体"/>
                <w:color w:val="auto"/>
                <w:sz w:val="21"/>
                <w:szCs w:val="21"/>
              </w:rPr>
            </w:pPr>
          </w:p>
        </w:tc>
        <w:tc>
          <w:tcPr>
            <w:tcW w:w="3360" w:type="dxa"/>
            <w:tcBorders>
              <w:tl2br w:val="nil"/>
              <w:tr2bl w:val="nil"/>
            </w:tcBorders>
            <w:shd w:val="clear" w:color="auto" w:fill="FFFFFF"/>
            <w:noWrap w:val="0"/>
            <w:vAlign w:val="center"/>
          </w:tcPr>
          <w:p w14:paraId="078DE03C">
            <w:pPr>
              <w:spacing w:line="240" w:lineRule="atLeast"/>
              <w:ind w:left="-105" w:leftChars="-50" w:right="-105" w:rightChars="-50"/>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eastAsia="zh-CN"/>
              </w:rPr>
              <w:t>采用洒水车进行厂区内</w:t>
            </w:r>
            <w:r>
              <w:rPr>
                <w:rFonts w:hint="eastAsia" w:ascii="宋体" w:hAnsi="宋体" w:eastAsia="宋体" w:cs="宋体"/>
                <w:color w:val="auto"/>
                <w:sz w:val="21"/>
                <w:szCs w:val="21"/>
              </w:rPr>
              <w:t>洒水降尘，装卸过程在防风抑尘网内进行</w:t>
            </w:r>
          </w:p>
        </w:tc>
        <w:tc>
          <w:tcPr>
            <w:tcW w:w="1850" w:type="dxa"/>
            <w:vMerge w:val="continue"/>
            <w:tcBorders>
              <w:tl2br w:val="nil"/>
              <w:tr2bl w:val="nil"/>
            </w:tcBorders>
            <w:shd w:val="clear" w:color="auto" w:fill="FFFFFF"/>
            <w:noWrap w:val="0"/>
            <w:vAlign w:val="center"/>
          </w:tcPr>
          <w:p w14:paraId="52C187A4">
            <w:pPr>
              <w:rPr>
                <w:rFonts w:hint="eastAsia" w:ascii="宋体" w:hAnsi="宋体" w:eastAsia="宋体" w:cs="宋体"/>
                <w:color w:val="auto"/>
                <w:sz w:val="21"/>
                <w:szCs w:val="21"/>
              </w:rPr>
            </w:pPr>
          </w:p>
        </w:tc>
      </w:tr>
      <w:tr w14:paraId="056C9A4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25" w:hRule="atLeast"/>
          <w:jc w:val="center"/>
        </w:trPr>
        <w:tc>
          <w:tcPr>
            <w:tcW w:w="1310" w:type="dxa"/>
            <w:vMerge w:val="continue"/>
            <w:tcBorders>
              <w:tl2br w:val="nil"/>
              <w:tr2bl w:val="nil"/>
            </w:tcBorders>
            <w:shd w:val="clear" w:color="auto" w:fill="FFFDFA"/>
            <w:noWrap w:val="0"/>
            <w:vAlign w:val="center"/>
          </w:tcPr>
          <w:p w14:paraId="19C4B5E1">
            <w:pPr>
              <w:adjustRightInd w:val="0"/>
              <w:snapToGrid w:val="0"/>
              <w:jc w:val="center"/>
              <w:rPr>
                <w:rFonts w:hint="eastAsia" w:ascii="宋体" w:hAnsi="宋体" w:eastAsia="宋体" w:cs="宋体"/>
                <w:color w:val="auto"/>
                <w:sz w:val="21"/>
                <w:szCs w:val="21"/>
              </w:rPr>
            </w:pPr>
          </w:p>
        </w:tc>
        <w:tc>
          <w:tcPr>
            <w:tcW w:w="1290" w:type="dxa"/>
            <w:tcBorders>
              <w:tl2br w:val="nil"/>
              <w:tr2bl w:val="nil"/>
            </w:tcBorders>
            <w:shd w:val="clear" w:color="auto" w:fill="FFFDFA"/>
            <w:noWrap w:val="0"/>
            <w:vAlign w:val="center"/>
          </w:tcPr>
          <w:p w14:paraId="2827F621">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堆场扬尘</w:t>
            </w:r>
          </w:p>
        </w:tc>
        <w:tc>
          <w:tcPr>
            <w:tcW w:w="990" w:type="dxa"/>
            <w:vMerge w:val="continue"/>
            <w:tcBorders>
              <w:tl2br w:val="nil"/>
              <w:tr2bl w:val="nil"/>
            </w:tcBorders>
            <w:shd w:val="clear" w:color="auto" w:fill="FFFDFA"/>
            <w:noWrap w:val="0"/>
            <w:vAlign w:val="center"/>
          </w:tcPr>
          <w:p w14:paraId="11B97800">
            <w:pPr>
              <w:spacing w:line="240" w:lineRule="atLeast"/>
              <w:ind w:left="-105" w:leftChars="-50" w:right="-105" w:rightChars="-50"/>
              <w:jc w:val="center"/>
              <w:rPr>
                <w:rFonts w:hint="eastAsia" w:ascii="宋体" w:hAnsi="宋体" w:eastAsia="宋体" w:cs="宋体"/>
                <w:color w:val="auto"/>
                <w:sz w:val="21"/>
                <w:szCs w:val="21"/>
              </w:rPr>
            </w:pPr>
          </w:p>
        </w:tc>
        <w:tc>
          <w:tcPr>
            <w:tcW w:w="3360" w:type="dxa"/>
            <w:tcBorders>
              <w:tl2br w:val="nil"/>
              <w:tr2bl w:val="nil"/>
            </w:tcBorders>
            <w:shd w:val="clear" w:color="auto" w:fill="FFFDFA"/>
            <w:noWrap w:val="0"/>
            <w:vAlign w:val="center"/>
          </w:tcPr>
          <w:p w14:paraId="4B301E20">
            <w:pPr>
              <w:spacing w:line="240" w:lineRule="atLeast"/>
              <w:ind w:left="-105" w:leftChars="-50" w:right="-105" w:rightChars="-50"/>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洒水降尘、防风抑尘网</w:t>
            </w:r>
            <w:r>
              <w:rPr>
                <w:rFonts w:hint="eastAsia" w:ascii="宋体" w:hAnsi="宋体" w:cs="宋体"/>
                <w:color w:val="auto"/>
                <w:sz w:val="21"/>
                <w:szCs w:val="21"/>
                <w:lang w:eastAsia="zh-CN"/>
              </w:rPr>
              <w:t>（抑尘网长度为</w:t>
            </w:r>
            <w:r>
              <w:rPr>
                <w:rFonts w:hint="eastAsia" w:ascii="Times New Roman" w:hAnsi="Times New Roman" w:cs="Times New Roman"/>
                <w:color w:val="auto"/>
                <w:sz w:val="21"/>
                <w:szCs w:val="21"/>
                <w:lang w:val="en-US" w:eastAsia="zh-CN"/>
              </w:rPr>
              <w:t>290</w:t>
            </w:r>
            <w:r>
              <w:rPr>
                <w:rFonts w:hint="default" w:ascii="Times New Roman" w:hAnsi="Times New Roman" w:cs="Times New Roman"/>
                <w:color w:val="auto"/>
                <w:sz w:val="21"/>
                <w:szCs w:val="21"/>
                <w:lang w:val="en-US" w:eastAsia="zh-CN"/>
              </w:rPr>
              <w:t>m</w:t>
            </w:r>
            <w:r>
              <w:rPr>
                <w:rFonts w:hint="eastAsia" w:ascii="宋体" w:hAnsi="宋体" w:cs="宋体"/>
                <w:color w:val="auto"/>
                <w:sz w:val="21"/>
                <w:szCs w:val="21"/>
                <w:lang w:eastAsia="zh-CN"/>
              </w:rPr>
              <w:t>）</w:t>
            </w:r>
            <w:r>
              <w:rPr>
                <w:rFonts w:hint="eastAsia" w:ascii="宋体" w:hAnsi="宋体" w:eastAsia="宋体" w:cs="宋体"/>
                <w:color w:val="auto"/>
                <w:sz w:val="21"/>
                <w:szCs w:val="21"/>
              </w:rPr>
              <w:t>和苫布苫盖等措施</w:t>
            </w:r>
            <w:r>
              <w:rPr>
                <w:rFonts w:hint="eastAsia" w:ascii="宋体" w:hAnsi="宋体" w:cs="宋体"/>
                <w:color w:val="auto"/>
                <w:sz w:val="21"/>
                <w:szCs w:val="21"/>
                <w:lang w:eastAsia="zh-CN"/>
              </w:rPr>
              <w:t>，抑尘效率</w:t>
            </w:r>
            <w:r>
              <w:rPr>
                <w:rFonts w:hint="eastAsia" w:ascii="Times New Roman" w:hAnsi="Times New Roman" w:cs="Times New Roman"/>
                <w:color w:val="auto"/>
                <w:sz w:val="21"/>
                <w:szCs w:val="21"/>
                <w:lang w:eastAsia="zh-CN"/>
              </w:rPr>
              <w:t>为</w:t>
            </w:r>
            <w:r>
              <w:rPr>
                <w:rFonts w:hint="default" w:ascii="Times New Roman" w:hAnsi="Times New Roman" w:cs="Times New Roman"/>
                <w:color w:val="auto"/>
                <w:sz w:val="21"/>
                <w:szCs w:val="21"/>
                <w:lang w:val="en-US" w:eastAsia="zh-CN"/>
              </w:rPr>
              <w:t>86%</w:t>
            </w:r>
          </w:p>
        </w:tc>
        <w:tc>
          <w:tcPr>
            <w:tcW w:w="1850" w:type="dxa"/>
            <w:vMerge w:val="continue"/>
            <w:tcBorders>
              <w:tl2br w:val="nil"/>
              <w:tr2bl w:val="nil"/>
            </w:tcBorders>
            <w:shd w:val="clear" w:color="auto" w:fill="FFFDFA"/>
            <w:noWrap w:val="0"/>
            <w:vAlign w:val="center"/>
          </w:tcPr>
          <w:p w14:paraId="1301C875">
            <w:pPr>
              <w:rPr>
                <w:rFonts w:hint="eastAsia" w:ascii="宋体" w:hAnsi="宋体" w:eastAsia="宋体" w:cs="宋体"/>
                <w:color w:val="auto"/>
                <w:sz w:val="21"/>
                <w:szCs w:val="21"/>
              </w:rPr>
            </w:pPr>
          </w:p>
        </w:tc>
      </w:tr>
      <w:tr w14:paraId="4741826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25" w:hRule="atLeast"/>
          <w:jc w:val="center"/>
        </w:trPr>
        <w:tc>
          <w:tcPr>
            <w:tcW w:w="1310" w:type="dxa"/>
            <w:vMerge w:val="restart"/>
            <w:tcBorders>
              <w:tl2br w:val="nil"/>
              <w:tr2bl w:val="nil"/>
            </w:tcBorders>
            <w:shd w:val="clear" w:color="auto" w:fill="FFFDFA"/>
            <w:noWrap w:val="0"/>
            <w:vAlign w:val="center"/>
          </w:tcPr>
          <w:p w14:paraId="7B11115C">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地表水环境</w:t>
            </w:r>
          </w:p>
        </w:tc>
        <w:tc>
          <w:tcPr>
            <w:tcW w:w="1290" w:type="dxa"/>
            <w:tcBorders>
              <w:tl2br w:val="nil"/>
              <w:tr2bl w:val="nil"/>
            </w:tcBorders>
            <w:shd w:val="clear" w:color="auto" w:fill="FFFDFA"/>
            <w:noWrap w:val="0"/>
            <w:vAlign w:val="center"/>
          </w:tcPr>
          <w:p w14:paraId="6D9B97C9">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员工</w:t>
            </w:r>
          </w:p>
        </w:tc>
        <w:tc>
          <w:tcPr>
            <w:tcW w:w="990" w:type="dxa"/>
            <w:tcBorders>
              <w:tl2br w:val="nil"/>
              <w:tr2bl w:val="nil"/>
            </w:tcBorders>
            <w:shd w:val="clear" w:color="auto" w:fill="FFFDFA"/>
            <w:noWrap w:val="0"/>
            <w:vAlign w:val="center"/>
          </w:tcPr>
          <w:p w14:paraId="23C9CD44">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生活污水</w:t>
            </w:r>
          </w:p>
        </w:tc>
        <w:tc>
          <w:tcPr>
            <w:tcW w:w="3360" w:type="dxa"/>
            <w:tcBorders>
              <w:tl2br w:val="nil"/>
              <w:tr2bl w:val="nil"/>
            </w:tcBorders>
            <w:shd w:val="clear" w:color="auto" w:fill="FFFDFA"/>
            <w:noWrap w:val="0"/>
            <w:vAlign w:val="center"/>
          </w:tcPr>
          <w:p w14:paraId="26A8BB72">
            <w:pPr>
              <w:spacing w:line="240" w:lineRule="atLeast"/>
              <w:ind w:left="-105" w:leftChars="-50" w:right="-105" w:rightChars="-50"/>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排入防渗旱厕，定期清掏，外运堆肥</w:t>
            </w:r>
          </w:p>
        </w:tc>
        <w:tc>
          <w:tcPr>
            <w:tcW w:w="1850" w:type="dxa"/>
            <w:tcBorders>
              <w:tl2br w:val="nil"/>
              <w:tr2bl w:val="nil"/>
            </w:tcBorders>
            <w:shd w:val="clear" w:color="auto" w:fill="FFFDFA"/>
            <w:noWrap w:val="0"/>
            <w:vAlign w:val="center"/>
          </w:tcPr>
          <w:p w14:paraId="6FB0B6FF">
            <w:pPr>
              <w:spacing w:line="240" w:lineRule="atLeast"/>
              <w:ind w:left="-105" w:leftChars="-50" w:right="-105" w:rightChars="-50"/>
              <w:jc w:val="center"/>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r>
      <w:tr w14:paraId="35E719C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25" w:hRule="atLeast"/>
          <w:jc w:val="center"/>
        </w:trPr>
        <w:tc>
          <w:tcPr>
            <w:tcW w:w="1310" w:type="dxa"/>
            <w:vMerge w:val="continue"/>
            <w:tcBorders>
              <w:tl2br w:val="nil"/>
              <w:tr2bl w:val="nil"/>
            </w:tcBorders>
            <w:shd w:val="clear" w:color="auto" w:fill="FFFFFF"/>
            <w:noWrap w:val="0"/>
            <w:vAlign w:val="center"/>
          </w:tcPr>
          <w:p w14:paraId="1256CD73">
            <w:pPr>
              <w:adjustRightInd w:val="0"/>
              <w:snapToGrid w:val="0"/>
              <w:jc w:val="center"/>
              <w:rPr>
                <w:rFonts w:hint="eastAsia" w:ascii="宋体" w:hAnsi="宋体" w:eastAsia="宋体" w:cs="宋体"/>
                <w:color w:val="auto"/>
                <w:sz w:val="21"/>
                <w:szCs w:val="21"/>
              </w:rPr>
            </w:pPr>
          </w:p>
        </w:tc>
        <w:tc>
          <w:tcPr>
            <w:tcW w:w="1290" w:type="dxa"/>
            <w:tcBorders>
              <w:tl2br w:val="nil"/>
              <w:tr2bl w:val="nil"/>
            </w:tcBorders>
            <w:shd w:val="clear" w:color="auto" w:fill="FFFFFF"/>
            <w:noWrap w:val="0"/>
            <w:vAlign w:val="center"/>
          </w:tcPr>
          <w:p w14:paraId="24618AC7">
            <w:pPr>
              <w:spacing w:line="240" w:lineRule="atLeast"/>
              <w:ind w:left="-105" w:leftChars="-50" w:right="-105" w:rightChars="-50"/>
              <w:jc w:val="center"/>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初期雨水</w:t>
            </w:r>
          </w:p>
        </w:tc>
        <w:tc>
          <w:tcPr>
            <w:tcW w:w="990" w:type="dxa"/>
            <w:tcBorders>
              <w:tl2br w:val="nil"/>
              <w:tr2bl w:val="nil"/>
            </w:tcBorders>
            <w:shd w:val="clear" w:color="auto" w:fill="FFFFFF"/>
            <w:noWrap w:val="0"/>
            <w:vAlign w:val="center"/>
          </w:tcPr>
          <w:p w14:paraId="6F0DAF3A">
            <w:pPr>
              <w:spacing w:line="240" w:lineRule="atLeast"/>
              <w:ind w:left="-105" w:leftChars="-50" w:right="-105" w:rightChars="-50"/>
              <w:jc w:val="center"/>
              <w:rPr>
                <w:rFonts w:hint="eastAsia" w:ascii="宋体" w:hAnsi="宋体" w:eastAsia="宋体" w:cs="宋体"/>
                <w:color w:val="auto"/>
                <w:sz w:val="21"/>
                <w:szCs w:val="21"/>
                <w:lang w:eastAsia="zh-CN"/>
              </w:rPr>
            </w:pPr>
            <w:r>
              <w:rPr>
                <w:rFonts w:hint="eastAsia" w:ascii="宋体" w:hAnsi="宋体" w:cs="宋体"/>
                <w:color w:val="auto"/>
                <w:sz w:val="21"/>
                <w:szCs w:val="21"/>
                <w:lang w:eastAsia="zh-CN"/>
              </w:rPr>
              <w:t>雨水</w:t>
            </w:r>
          </w:p>
        </w:tc>
        <w:tc>
          <w:tcPr>
            <w:tcW w:w="3360" w:type="dxa"/>
            <w:tcBorders>
              <w:tl2br w:val="nil"/>
              <w:tr2bl w:val="nil"/>
            </w:tcBorders>
            <w:shd w:val="clear" w:color="auto" w:fill="FFFFFF"/>
            <w:noWrap w:val="0"/>
            <w:vAlign w:val="center"/>
          </w:tcPr>
          <w:p w14:paraId="1A120F93">
            <w:pPr>
              <w:spacing w:line="240" w:lineRule="atLeast"/>
              <w:ind w:left="-105" w:leftChars="-50" w:right="-105" w:rightChars="-50"/>
              <w:rPr>
                <w:rFonts w:hint="eastAsia" w:ascii="宋体" w:hAnsi="宋体" w:eastAsia="宋体" w:cs="宋体"/>
                <w:color w:val="auto"/>
                <w:sz w:val="21"/>
                <w:szCs w:val="21"/>
              </w:rPr>
            </w:pPr>
            <w:r>
              <w:rPr>
                <w:rFonts w:hint="eastAsia" w:ascii="宋体" w:hAnsi="宋体" w:eastAsia="宋体" w:cs="宋体"/>
                <w:color w:val="auto"/>
                <w:sz w:val="21"/>
                <w:szCs w:val="21"/>
              </w:rPr>
              <w:t>厂区四周设置</w:t>
            </w:r>
            <w:r>
              <w:rPr>
                <w:rFonts w:hint="default" w:ascii="Times New Roman" w:hAnsi="Times New Roman" w:cs="Times New Roman"/>
                <w:color w:val="auto"/>
                <w:sz w:val="21"/>
                <w:szCs w:val="21"/>
                <w:lang w:val="en-US" w:eastAsia="zh-CN"/>
              </w:rPr>
              <w:t>300m</w:t>
            </w:r>
            <w:r>
              <w:rPr>
                <w:rFonts w:hint="eastAsia" w:ascii="宋体" w:hAnsi="宋体" w:eastAsia="宋体" w:cs="宋体"/>
                <w:color w:val="auto"/>
                <w:sz w:val="21"/>
                <w:szCs w:val="21"/>
              </w:rPr>
              <w:t>雨水收集渠，收集雨水进入雨水收集池</w:t>
            </w:r>
            <w:r>
              <w:rPr>
                <w:rFonts w:hint="eastAsia" w:ascii="宋体" w:hAnsi="宋体" w:cs="宋体"/>
                <w:color w:val="auto"/>
                <w:sz w:val="21"/>
                <w:szCs w:val="21"/>
                <w:lang w:eastAsia="zh-CN"/>
              </w:rPr>
              <w:t>（</w:t>
            </w:r>
            <w:r>
              <w:rPr>
                <w:rFonts w:hint="default" w:ascii="Times New Roman" w:hAnsi="Times New Roman" w:cs="Times New Roman"/>
                <w:color w:val="auto"/>
                <w:sz w:val="21"/>
                <w:szCs w:val="21"/>
                <w:lang w:val="en-US" w:eastAsia="zh-CN"/>
              </w:rPr>
              <w:t>180m</w:t>
            </w:r>
            <w:r>
              <w:rPr>
                <w:rFonts w:hint="default" w:ascii="Times New Roman" w:hAnsi="Times New Roman" w:cs="Times New Roman"/>
                <w:color w:val="auto"/>
                <w:sz w:val="21"/>
                <w:szCs w:val="21"/>
                <w:vertAlign w:val="superscript"/>
                <w:lang w:val="en-US" w:eastAsia="zh-CN"/>
              </w:rPr>
              <w:t>3</w:t>
            </w:r>
            <w:r>
              <w:rPr>
                <w:rFonts w:hint="eastAsia" w:ascii="宋体" w:hAnsi="宋体" w:cs="宋体"/>
                <w:color w:val="auto"/>
                <w:sz w:val="21"/>
                <w:szCs w:val="21"/>
                <w:lang w:eastAsia="zh-CN"/>
              </w:rPr>
              <w:t>）</w:t>
            </w:r>
            <w:r>
              <w:rPr>
                <w:rFonts w:hint="eastAsia" w:ascii="宋体" w:hAnsi="宋体" w:eastAsia="宋体" w:cs="宋体"/>
                <w:color w:val="auto"/>
                <w:sz w:val="21"/>
                <w:szCs w:val="21"/>
              </w:rPr>
              <w:t>，经沉淀后用于洒水降尘</w:t>
            </w:r>
          </w:p>
        </w:tc>
        <w:tc>
          <w:tcPr>
            <w:tcW w:w="1850" w:type="dxa"/>
            <w:tcBorders>
              <w:tl2br w:val="nil"/>
              <w:tr2bl w:val="nil"/>
            </w:tcBorders>
            <w:shd w:val="clear" w:color="auto" w:fill="FFFFFF"/>
            <w:noWrap w:val="0"/>
            <w:vAlign w:val="center"/>
          </w:tcPr>
          <w:p w14:paraId="79E7FC12">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不外排</w:t>
            </w:r>
          </w:p>
        </w:tc>
      </w:tr>
      <w:tr w14:paraId="65EF767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25" w:hRule="atLeast"/>
          <w:jc w:val="center"/>
        </w:trPr>
        <w:tc>
          <w:tcPr>
            <w:tcW w:w="1310" w:type="dxa"/>
            <w:tcBorders>
              <w:tl2br w:val="nil"/>
              <w:tr2bl w:val="nil"/>
            </w:tcBorders>
            <w:shd w:val="clear" w:color="auto" w:fill="FFFDFA"/>
            <w:noWrap w:val="0"/>
            <w:vAlign w:val="center"/>
          </w:tcPr>
          <w:p w14:paraId="4C060C90">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声环境</w:t>
            </w:r>
          </w:p>
        </w:tc>
        <w:tc>
          <w:tcPr>
            <w:tcW w:w="1290" w:type="dxa"/>
            <w:tcBorders>
              <w:tl2br w:val="nil"/>
              <w:tr2bl w:val="nil"/>
            </w:tcBorders>
            <w:shd w:val="clear" w:color="auto" w:fill="FFFDFA"/>
            <w:noWrap w:val="0"/>
            <w:vAlign w:val="center"/>
          </w:tcPr>
          <w:p w14:paraId="2650BDD8">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设备运行</w:t>
            </w:r>
          </w:p>
        </w:tc>
        <w:tc>
          <w:tcPr>
            <w:tcW w:w="990" w:type="dxa"/>
            <w:tcBorders>
              <w:tl2br w:val="nil"/>
              <w:tr2bl w:val="nil"/>
            </w:tcBorders>
            <w:shd w:val="clear" w:color="auto" w:fill="FFFDFA"/>
            <w:noWrap w:val="0"/>
            <w:vAlign w:val="center"/>
          </w:tcPr>
          <w:p w14:paraId="39431F8F">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噪声</w:t>
            </w:r>
          </w:p>
        </w:tc>
        <w:tc>
          <w:tcPr>
            <w:tcW w:w="3360" w:type="dxa"/>
            <w:tcBorders>
              <w:tl2br w:val="nil"/>
              <w:tr2bl w:val="nil"/>
            </w:tcBorders>
            <w:shd w:val="clear" w:color="auto" w:fill="FFFDFA"/>
            <w:noWrap w:val="0"/>
            <w:vAlign w:val="center"/>
          </w:tcPr>
          <w:p w14:paraId="227DCF1B">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低噪设备、距离衰减、夜间不作业</w:t>
            </w:r>
          </w:p>
        </w:tc>
        <w:tc>
          <w:tcPr>
            <w:tcW w:w="1850" w:type="dxa"/>
            <w:tcBorders>
              <w:tl2br w:val="nil"/>
              <w:tr2bl w:val="nil"/>
            </w:tcBorders>
            <w:shd w:val="clear" w:color="auto" w:fill="FFFDFA"/>
            <w:noWrap w:val="0"/>
            <w:vAlign w:val="center"/>
          </w:tcPr>
          <w:p w14:paraId="7AB604A6">
            <w:pPr>
              <w:spacing w:line="240" w:lineRule="atLeast"/>
              <w:ind w:left="-105" w:leftChars="-50" w:right="-105" w:rightChars="-50"/>
              <w:jc w:val="center"/>
              <w:rPr>
                <w:rFonts w:hint="eastAsia" w:ascii="宋体" w:hAnsi="宋体" w:eastAsia="宋体" w:cs="宋体"/>
                <w:color w:val="auto"/>
                <w:sz w:val="21"/>
                <w:szCs w:val="21"/>
              </w:rPr>
            </w:pPr>
            <w:r>
              <w:rPr>
                <w:rFonts w:hint="eastAsia" w:ascii="宋体" w:hAnsi="宋体" w:eastAsia="宋体" w:cs="宋体"/>
                <w:color w:val="auto"/>
                <w:sz w:val="21"/>
                <w:szCs w:val="21"/>
              </w:rPr>
              <w:t>厂界四周满足《工业企业厂界环境噪声排放标准》（GB12348-2008）表1中2类标准</w:t>
            </w:r>
          </w:p>
        </w:tc>
      </w:tr>
      <w:tr w14:paraId="39B9A30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25" w:hRule="atLeast"/>
          <w:jc w:val="center"/>
        </w:trPr>
        <w:tc>
          <w:tcPr>
            <w:tcW w:w="1310" w:type="dxa"/>
            <w:tcBorders>
              <w:tl2br w:val="nil"/>
              <w:tr2bl w:val="nil"/>
            </w:tcBorders>
            <w:shd w:val="clear" w:color="auto" w:fill="FFFFFF"/>
            <w:noWrap w:val="0"/>
            <w:vAlign w:val="center"/>
          </w:tcPr>
          <w:p w14:paraId="29F8526A">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电磁辐射</w:t>
            </w:r>
          </w:p>
        </w:tc>
        <w:tc>
          <w:tcPr>
            <w:tcW w:w="7490" w:type="dxa"/>
            <w:gridSpan w:val="4"/>
            <w:tcBorders>
              <w:tl2br w:val="nil"/>
              <w:tr2bl w:val="nil"/>
            </w:tcBorders>
            <w:shd w:val="clear" w:color="auto" w:fill="FFFFFF"/>
            <w:noWrap w:val="0"/>
            <w:vAlign w:val="center"/>
          </w:tcPr>
          <w:p w14:paraId="1227E599">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r w14:paraId="34CAAF1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132" w:hRule="atLeast"/>
          <w:jc w:val="center"/>
        </w:trPr>
        <w:tc>
          <w:tcPr>
            <w:tcW w:w="1310" w:type="dxa"/>
            <w:tcBorders>
              <w:tl2br w:val="nil"/>
              <w:tr2bl w:val="nil"/>
            </w:tcBorders>
            <w:shd w:val="clear" w:color="auto" w:fill="FFFDFA"/>
            <w:noWrap w:val="0"/>
            <w:vAlign w:val="center"/>
          </w:tcPr>
          <w:p w14:paraId="7B948149">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固体废物</w:t>
            </w:r>
          </w:p>
        </w:tc>
        <w:tc>
          <w:tcPr>
            <w:tcW w:w="7490" w:type="dxa"/>
            <w:gridSpan w:val="4"/>
            <w:tcBorders>
              <w:tl2br w:val="nil"/>
              <w:tr2bl w:val="nil"/>
            </w:tcBorders>
            <w:shd w:val="clear" w:color="auto" w:fill="FFFDFA"/>
            <w:noWrap w:val="0"/>
            <w:vAlign w:val="center"/>
          </w:tcPr>
          <w:p w14:paraId="712ED9CE">
            <w:pPr>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eastAsia" w:ascii="宋体" w:hAnsi="宋体" w:eastAsia="宋体" w:cs="宋体"/>
                <w:color w:val="auto"/>
                <w:sz w:val="21"/>
                <w:szCs w:val="21"/>
                <w:lang w:eastAsia="zh-CN"/>
              </w:rPr>
            </w:pPr>
            <w:r>
              <w:rPr>
                <w:rFonts w:hint="default" w:ascii="Times New Roman" w:hAnsi="Times New Roman" w:cs="Times New Roman"/>
                <w:color w:val="auto"/>
                <w:sz w:val="21"/>
                <w:szCs w:val="21"/>
                <w:highlight w:val="none"/>
              </w:rPr>
              <w:t>厂区设置垃圾桶</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员工生活垃圾暂存垃圾桶委托环卫部门统一处理；</w:t>
            </w:r>
            <w:r>
              <w:rPr>
                <w:rFonts w:hint="eastAsia" w:cs="Times New Roman"/>
                <w:color w:val="auto"/>
                <w:sz w:val="21"/>
                <w:szCs w:val="21"/>
                <w:highlight w:val="none"/>
                <w:lang w:val="en-US" w:eastAsia="zh-CN"/>
              </w:rPr>
              <w:t>雨水收集池沉渣定期清理后外售综合利用</w:t>
            </w:r>
            <w:r>
              <w:rPr>
                <w:rFonts w:hint="eastAsia" w:cs="Times New Roman"/>
                <w:color w:val="auto"/>
                <w:sz w:val="21"/>
                <w:szCs w:val="21"/>
                <w:highlight w:val="none"/>
                <w:lang w:val="en-US" w:eastAsia="zh-CN"/>
              </w:rPr>
              <w:t>；破损防风抑尘网作为废旧物资外售；破损苫布作为废旧物资外售。</w:t>
            </w:r>
          </w:p>
        </w:tc>
      </w:tr>
      <w:tr w14:paraId="25CD96C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276" w:hRule="atLeast"/>
          <w:jc w:val="center"/>
        </w:trPr>
        <w:tc>
          <w:tcPr>
            <w:tcW w:w="1310" w:type="dxa"/>
            <w:tcBorders>
              <w:tl2br w:val="nil"/>
              <w:tr2bl w:val="nil"/>
            </w:tcBorders>
            <w:shd w:val="clear" w:color="auto" w:fill="FFFDFA"/>
            <w:noWrap w:val="0"/>
            <w:vAlign w:val="center"/>
          </w:tcPr>
          <w:p w14:paraId="1F3FE6F0">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土壤及地下水污染防治措施</w:t>
            </w:r>
          </w:p>
        </w:tc>
        <w:tc>
          <w:tcPr>
            <w:tcW w:w="7490" w:type="dxa"/>
            <w:gridSpan w:val="4"/>
            <w:tcBorders>
              <w:tl2br w:val="nil"/>
              <w:tr2bl w:val="nil"/>
            </w:tcBorders>
            <w:shd w:val="clear" w:color="auto" w:fill="FFFDFA"/>
            <w:noWrap w:val="0"/>
            <w:vAlign w:val="center"/>
          </w:tcPr>
          <w:p w14:paraId="1B828F7F">
            <w:pPr>
              <w:spacing w:line="360" w:lineRule="auto"/>
              <w:ind w:firstLine="420" w:firstLineChars="200"/>
              <w:rPr>
                <w:rFonts w:hint="eastAsia" w:ascii="宋体" w:hAnsi="宋体" w:eastAsia="宋体" w:cs="宋体"/>
                <w:color w:val="auto"/>
                <w:sz w:val="21"/>
                <w:szCs w:val="21"/>
              </w:rPr>
            </w:pPr>
            <w:r>
              <w:rPr>
                <w:rFonts w:hint="default" w:ascii="Times New Roman" w:hAnsi="Times New Roman" w:cs="Times New Roman"/>
                <w:color w:val="auto"/>
                <w:sz w:val="21"/>
                <w:szCs w:val="21"/>
                <w:lang w:eastAsia="zh-CN"/>
              </w:rPr>
              <w:t>煤炭</w:t>
            </w:r>
            <w:r>
              <w:rPr>
                <w:rFonts w:hint="default" w:ascii="Times New Roman" w:hAnsi="Times New Roman" w:eastAsia="宋体" w:cs="Times New Roman"/>
                <w:color w:val="auto"/>
                <w:sz w:val="21"/>
                <w:szCs w:val="21"/>
                <w:lang w:eastAsia="zh-CN"/>
              </w:rPr>
              <w:t>堆场</w:t>
            </w:r>
            <w:r>
              <w:rPr>
                <w:rFonts w:hint="default" w:ascii="Times New Roman" w:hAnsi="Times New Roman" w:cs="Times New Roman"/>
                <w:color w:val="auto"/>
                <w:sz w:val="21"/>
                <w:szCs w:val="21"/>
                <w:lang w:eastAsia="zh-CN"/>
              </w:rPr>
              <w:t>以及厂区地面通过铺设一定厚度的碎石配合压路机等设备进行多层压实以及高分子聚合物进行表层处理使其Mb≥1.5m，</w:t>
            </w:r>
            <w:r>
              <w:rPr>
                <w:rFonts w:hint="default" w:ascii="Times New Roman" w:hAnsi="Times New Roman" w:eastAsia="宋体" w:cs="Times New Roman"/>
                <w:color w:val="auto"/>
                <w:sz w:val="21"/>
                <w:szCs w:val="21"/>
                <w:lang w:eastAsia="zh-CN"/>
              </w:rPr>
              <w:t>渗透系数≤1×10</w:t>
            </w:r>
            <w:r>
              <w:rPr>
                <w:rFonts w:hint="default" w:ascii="Times New Roman" w:hAnsi="Times New Roman" w:eastAsia="宋体" w:cs="Times New Roman"/>
                <w:color w:val="auto"/>
                <w:sz w:val="21"/>
                <w:szCs w:val="21"/>
                <w:vertAlign w:val="superscript"/>
                <w:lang w:eastAsia="zh-CN"/>
              </w:rPr>
              <w:t>-7</w:t>
            </w:r>
            <w:r>
              <w:rPr>
                <w:rFonts w:hint="default" w:ascii="Times New Roman" w:hAnsi="Times New Roman" w:eastAsia="宋体" w:cs="Times New Roman"/>
                <w:color w:val="auto"/>
                <w:sz w:val="21"/>
                <w:szCs w:val="21"/>
                <w:lang w:eastAsia="zh-CN"/>
              </w:rPr>
              <w:t>cm/s</w:t>
            </w:r>
            <w:r>
              <w:rPr>
                <w:rFonts w:hint="default" w:ascii="Times New Roman" w:hAnsi="Times New Roman" w:cs="Times New Roman"/>
                <w:color w:val="auto"/>
                <w:sz w:val="21"/>
                <w:szCs w:val="21"/>
                <w:lang w:eastAsia="zh-CN"/>
              </w:rPr>
              <w:t>，防渗旱厕和</w:t>
            </w:r>
            <w:r>
              <w:rPr>
                <w:rFonts w:hint="default" w:ascii="Times New Roman" w:hAnsi="Times New Roman" w:eastAsia="宋体" w:cs="Times New Roman"/>
                <w:color w:val="auto"/>
                <w:sz w:val="21"/>
                <w:szCs w:val="21"/>
                <w:lang w:eastAsia="zh-CN"/>
              </w:rPr>
              <w:t>雨水收集池建构筑物采取一般防渗措施采用抗渗钢纤维混凝土面，层中掺水泥基透结晶型防水剂，其下粘土务实，单位面积防渗能力达到等效黏土防渗层Mb≥1.5m，渗透系数≤1×10</w:t>
            </w:r>
            <w:r>
              <w:rPr>
                <w:rFonts w:hint="default" w:ascii="Times New Roman" w:hAnsi="Times New Roman" w:eastAsia="宋体" w:cs="Times New Roman"/>
                <w:color w:val="auto"/>
                <w:sz w:val="21"/>
                <w:szCs w:val="21"/>
                <w:vertAlign w:val="superscript"/>
                <w:lang w:eastAsia="zh-CN"/>
              </w:rPr>
              <w:t>-7</w:t>
            </w:r>
            <w:r>
              <w:rPr>
                <w:rFonts w:hint="default" w:ascii="Times New Roman" w:hAnsi="Times New Roman" w:eastAsia="宋体" w:cs="Times New Roman"/>
                <w:color w:val="auto"/>
                <w:sz w:val="21"/>
                <w:szCs w:val="21"/>
                <w:lang w:eastAsia="zh-CN"/>
              </w:rPr>
              <w:t>cm/s。除一般防渗区以外，厂区内各建筑物和厂区路面为简单防渗区，采取水泥地面硬化。</w:t>
            </w:r>
          </w:p>
        </w:tc>
      </w:tr>
      <w:tr w14:paraId="6B6C66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1276" w:hRule="atLeast"/>
          <w:jc w:val="center"/>
        </w:trPr>
        <w:tc>
          <w:tcPr>
            <w:tcW w:w="1310" w:type="dxa"/>
            <w:tcBorders>
              <w:tl2br w:val="nil"/>
              <w:tr2bl w:val="nil"/>
            </w:tcBorders>
            <w:shd w:val="clear" w:color="auto" w:fill="FFFFFF"/>
            <w:noWrap w:val="0"/>
            <w:vAlign w:val="center"/>
          </w:tcPr>
          <w:p w14:paraId="3676A67E">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生态保护</w:t>
            </w:r>
          </w:p>
          <w:p w14:paraId="5BA388B6">
            <w:pPr>
              <w:adjustRightInd w:val="0"/>
              <w:snapToGrid w:val="0"/>
              <w:jc w:val="center"/>
              <w:rPr>
                <w:rFonts w:hint="eastAsia" w:ascii="宋体" w:hAnsi="宋体" w:eastAsia="宋体" w:cs="宋体"/>
                <w:color w:val="auto"/>
                <w:sz w:val="21"/>
                <w:szCs w:val="21"/>
              </w:rPr>
            </w:pPr>
            <w:r>
              <w:rPr>
                <w:rFonts w:hint="eastAsia" w:ascii="宋体" w:hAnsi="宋体" w:eastAsia="宋体" w:cs="宋体"/>
                <w:color w:val="auto"/>
                <w:sz w:val="21"/>
                <w:szCs w:val="21"/>
              </w:rPr>
              <w:t>措施</w:t>
            </w:r>
          </w:p>
        </w:tc>
        <w:tc>
          <w:tcPr>
            <w:tcW w:w="7490" w:type="dxa"/>
            <w:gridSpan w:val="4"/>
            <w:tcBorders>
              <w:tl2br w:val="nil"/>
              <w:tr2bl w:val="nil"/>
            </w:tcBorders>
            <w:shd w:val="clear" w:color="auto" w:fill="FFFFFF"/>
            <w:noWrap w:val="0"/>
            <w:vAlign w:val="center"/>
          </w:tcPr>
          <w:p w14:paraId="6C512691">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本项目占地范围内不含生态环境保护目标。本项目运营期对生态环境的影响主要是生产过程中排放的颗粒物对周围生态环境的影响。污染物将通过干沉降和湿沉降以及降雨过程沉降于植物和地表，最终转入土壤并累积于土壤之中。</w:t>
            </w:r>
          </w:p>
          <w:p w14:paraId="2B5C60F0">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为尽可能减轻该部分污染物对周围生态环境的影响，拟采取以下措施：</w:t>
            </w:r>
          </w:p>
          <w:p w14:paraId="640F0854">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（1）加强生产设备的管理和维护，确保除尘效果达到设计水平并稳定运行，加强物料的管理，减少颗粒物的排放总量，这是减轻生态负面影响的关键因素；</w:t>
            </w:r>
          </w:p>
          <w:p w14:paraId="0B707E3A">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（2）在厂区四周设置围墙、种植树木等多种形式的围挡，尽可能限制无组织排放粉尘的扩散范围及强度。</w:t>
            </w:r>
          </w:p>
          <w:p w14:paraId="465FA59D">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采取以上措施后，运营期的颗粒物对周围生态环境的影响很小。</w:t>
            </w:r>
          </w:p>
        </w:tc>
      </w:tr>
      <w:tr w14:paraId="4761AA1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7542" w:hRule="atLeast"/>
          <w:jc w:val="center"/>
        </w:trPr>
        <w:tc>
          <w:tcPr>
            <w:tcW w:w="1310" w:type="dxa"/>
            <w:tcBorders>
              <w:tl2br w:val="nil"/>
              <w:tr2bl w:val="nil"/>
            </w:tcBorders>
            <w:shd w:val="clear" w:color="auto" w:fill="FFFDFA"/>
            <w:noWrap w:val="0"/>
            <w:vAlign w:val="center"/>
          </w:tcPr>
          <w:p w14:paraId="2DADEBDA">
            <w:pPr>
              <w:adjustRightInd w:val="0"/>
              <w:snapToGrid w:val="0"/>
              <w:jc w:val="center"/>
              <w:rPr>
                <w:rFonts w:hint="eastAsia" w:ascii="宋体" w:hAnsi="宋体" w:eastAsia="宋体" w:cs="宋体"/>
                <w:color w:val="auto"/>
                <w:spacing w:val="-8"/>
                <w:sz w:val="21"/>
                <w:szCs w:val="21"/>
              </w:rPr>
            </w:pPr>
            <w:r>
              <w:rPr>
                <w:rFonts w:hint="eastAsia" w:ascii="宋体" w:hAnsi="宋体" w:eastAsia="宋体" w:cs="宋体"/>
                <w:color w:val="auto"/>
                <w:spacing w:val="-8"/>
                <w:sz w:val="21"/>
                <w:szCs w:val="21"/>
              </w:rPr>
              <w:t>环境风险</w:t>
            </w:r>
          </w:p>
          <w:p w14:paraId="00F9F0F7">
            <w:pPr>
              <w:adjustRightInd w:val="0"/>
              <w:snapToGrid w:val="0"/>
              <w:jc w:val="center"/>
              <w:rPr>
                <w:rFonts w:hint="eastAsia" w:ascii="宋体" w:hAnsi="宋体" w:eastAsia="宋体" w:cs="宋体"/>
                <w:color w:val="auto"/>
                <w:spacing w:val="-8"/>
                <w:sz w:val="21"/>
                <w:szCs w:val="21"/>
              </w:rPr>
            </w:pPr>
            <w:r>
              <w:rPr>
                <w:rFonts w:hint="eastAsia" w:ascii="宋体" w:hAnsi="宋体" w:eastAsia="宋体" w:cs="宋体"/>
                <w:color w:val="auto"/>
                <w:spacing w:val="-8"/>
                <w:sz w:val="21"/>
                <w:szCs w:val="21"/>
              </w:rPr>
              <w:t>防范措施</w:t>
            </w:r>
          </w:p>
        </w:tc>
        <w:tc>
          <w:tcPr>
            <w:tcW w:w="7490" w:type="dxa"/>
            <w:gridSpan w:val="4"/>
            <w:tcBorders>
              <w:tl2br w:val="nil"/>
              <w:tr2bl w:val="nil"/>
            </w:tcBorders>
            <w:shd w:val="clear" w:color="auto" w:fill="FFFDFA"/>
            <w:noWrap w:val="0"/>
            <w:vAlign w:val="center"/>
          </w:tcPr>
          <w:p w14:paraId="399032A5">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（1）环境风险防范措施</w:t>
            </w:r>
          </w:p>
          <w:p w14:paraId="64F05B96">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1）本项目环境风险类型包括环保设备故障以及火灾等引发的伴生/次生污染物排放，因此环境风险防范应从控制环保设备故障事故火灾事故发生，切断污染途径、防护环境保护目标方面采取措施。</w:t>
            </w:r>
          </w:p>
          <w:p w14:paraId="1AF3B0B7">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①规范车辆的使用、加强现场巡逻维护，降低故障发生概率。</w:t>
            </w:r>
          </w:p>
          <w:p w14:paraId="273CA09A">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②厂区一切电气设备、照明和电气线路都必须采取防爆型的电器。</w:t>
            </w:r>
          </w:p>
          <w:p w14:paraId="5768ECFF">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③加强人员安全教育、科学管理。增强安全防范风险的意识；加强防爆电气设备的日常巡视和检查工作；严格落实各项规章制度。</w:t>
            </w:r>
          </w:p>
          <w:p w14:paraId="54856C00">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2）二次污染防治措施</w:t>
            </w:r>
          </w:p>
          <w:p w14:paraId="58E66C32">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①用于覆盖、混合吸附泄漏物料后的受污染沙土应置于指定固定桶内收集，及时清扫处理，禁止随意堆放，避免二次污染。</w:t>
            </w:r>
          </w:p>
          <w:p w14:paraId="798CBF5B">
            <w:pPr>
              <w:pStyle w:val="86"/>
              <w:spacing w:line="360" w:lineRule="auto"/>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②火灾事故，除引发热辐射损伤之外，火灾过程还可能产生烟雾、SO2、CO、CO2、NOx、有机废气等有毒有害物质，企业应具有完善的消防系统，配备齐全的消防器材，备有一定数量手提式干粉灭火器及推车式干粉灭火器以扑灭初期火灾及零星火灾；并配有一定数量的防火、防烟面具、防毒面具，以便火灾时人员疏散使用，将火灾事故带来的影响降至最低。</w:t>
            </w:r>
          </w:p>
        </w:tc>
      </w:tr>
      <w:tr w14:paraId="135176C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517" w:hRule="atLeast"/>
          <w:jc w:val="center"/>
        </w:trPr>
        <w:tc>
          <w:tcPr>
            <w:tcW w:w="1310" w:type="dxa"/>
            <w:tcBorders>
              <w:tl2br w:val="nil"/>
              <w:tr2bl w:val="nil"/>
            </w:tcBorders>
            <w:shd w:val="clear" w:color="auto" w:fill="FFFFFF"/>
            <w:noWrap w:val="0"/>
            <w:vAlign w:val="center"/>
          </w:tcPr>
          <w:p w14:paraId="7A3AE49A">
            <w:pPr>
              <w:pStyle w:val="86"/>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其他环境</w:t>
            </w:r>
          </w:p>
          <w:p w14:paraId="21902EEC">
            <w:pPr>
              <w:pStyle w:val="86"/>
              <w:spacing w:line="360" w:lineRule="auto"/>
              <w:jc w:val="center"/>
              <w:rPr>
                <w:rFonts w:hint="eastAsia" w:ascii="宋体" w:hAnsi="宋体" w:eastAsia="宋体" w:cs="宋体"/>
                <w:color w:val="auto"/>
                <w:sz w:val="21"/>
                <w:szCs w:val="21"/>
              </w:rPr>
            </w:pPr>
            <w:r>
              <w:rPr>
                <w:rFonts w:hint="eastAsia" w:ascii="宋体" w:hAnsi="宋体" w:eastAsia="宋体" w:cs="宋体"/>
                <w:color w:val="auto"/>
                <w:sz w:val="21"/>
                <w:szCs w:val="21"/>
              </w:rPr>
              <w:t>管理要求</w:t>
            </w:r>
          </w:p>
        </w:tc>
        <w:tc>
          <w:tcPr>
            <w:tcW w:w="7490" w:type="dxa"/>
            <w:gridSpan w:val="4"/>
            <w:tcBorders>
              <w:tl2br w:val="nil"/>
              <w:tr2bl w:val="nil"/>
            </w:tcBorders>
            <w:shd w:val="clear" w:color="auto" w:fill="FFFFFF"/>
            <w:noWrap w:val="0"/>
            <w:vAlign w:val="center"/>
          </w:tcPr>
          <w:p w14:paraId="638C26F3">
            <w:pPr>
              <w:pStyle w:val="86"/>
              <w:spacing w:line="360" w:lineRule="auto"/>
              <w:ind w:firstLine="420" w:firstLineChars="200"/>
              <w:jc w:val="center"/>
              <w:rPr>
                <w:rFonts w:hint="eastAsia" w:ascii="宋体" w:hAnsi="宋体" w:eastAsia="宋体" w:cs="宋体"/>
                <w:color w:val="auto"/>
                <w:sz w:val="21"/>
                <w:szCs w:val="21"/>
              </w:rPr>
            </w:pPr>
            <w:r>
              <w:rPr>
                <w:rFonts w:hint="eastAsia" w:ascii="宋体" w:hAnsi="宋体" w:eastAsia="宋体" w:cs="宋体"/>
                <w:color w:val="auto"/>
                <w:sz w:val="21"/>
                <w:szCs w:val="21"/>
              </w:rPr>
              <w:t>/</w:t>
            </w:r>
          </w:p>
        </w:tc>
      </w:tr>
    </w:tbl>
    <w:p w14:paraId="2B8A5ED1">
      <w:pPr>
        <w:pStyle w:val="26"/>
        <w:keepNext w:val="0"/>
        <w:keepLines w:val="0"/>
        <w:pageBreakBefore w:val="0"/>
        <w:widowControl/>
        <w:kinsoku/>
        <w:wordWrap/>
        <w:overflowPunct/>
        <w:topLinePunct w:val="0"/>
        <w:autoSpaceDE/>
        <w:autoSpaceDN/>
        <w:bidi w:val="0"/>
        <w:adjustRightInd/>
        <w:snapToGrid/>
        <w:jc w:val="center"/>
        <w:textAlignment w:val="auto"/>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rPr>
        <w:br w:type="page"/>
      </w:r>
      <w:bookmarkStart w:id="31" w:name="_Toc4371"/>
      <w:r>
        <w:rPr>
          <w:rFonts w:hint="default" w:ascii="Times New Roman" w:hAnsi="Times New Roman" w:eastAsia="宋体" w:cs="Times New Roman"/>
          <w:snapToGrid w:val="0"/>
          <w:color w:val="auto"/>
          <w:sz w:val="30"/>
          <w:szCs w:val="30"/>
        </w:rPr>
        <w:t>六、结论</w:t>
      </w:r>
      <w:bookmarkEnd w:id="31"/>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87169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6236A0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属于新建项目，符合国家产业政策，选址布局合理，项目拟采用各项环境保护措施具有经济和技术可行性，可确保达标排放。本项目的建设有利于当地的经济发展，有一定的经济效益和社会效益。产生的各种污染物经相应措施处理后能做到达标排放，产生的污染物对当地的环境影响不大。只要在本项目的建设中认真执行环保</w:t>
            </w:r>
            <w:r>
              <w:rPr>
                <w:rFonts w:hint="eastAsia" w:cs="Times New Roman"/>
                <w:color w:val="auto"/>
                <w:sz w:val="24"/>
                <w:lang w:eastAsia="zh-CN"/>
              </w:rPr>
              <w:t>“</w:t>
            </w:r>
            <w:r>
              <w:rPr>
                <w:rFonts w:hint="default" w:ascii="Times New Roman" w:hAnsi="Times New Roman" w:eastAsia="宋体" w:cs="Times New Roman"/>
                <w:color w:val="auto"/>
                <w:sz w:val="24"/>
              </w:rPr>
              <w:t>三同时</w:t>
            </w:r>
            <w:r>
              <w:rPr>
                <w:rFonts w:hint="eastAsia" w:cs="Times New Roman"/>
                <w:color w:val="auto"/>
                <w:sz w:val="24"/>
                <w:lang w:eastAsia="zh-CN"/>
              </w:rPr>
              <w:t>”</w:t>
            </w:r>
            <w:r>
              <w:rPr>
                <w:rFonts w:hint="default" w:ascii="Times New Roman" w:hAnsi="Times New Roman" w:eastAsia="宋体" w:cs="Times New Roman"/>
                <w:color w:val="auto"/>
                <w:sz w:val="24"/>
              </w:rPr>
              <w:t>，落实本环评中提出的各污染防治措施，从环保角度考虑，建设项目在选定地址内实施是可行的。</w:t>
            </w:r>
          </w:p>
          <w:p w14:paraId="2EAE1814">
            <w:pPr>
              <w:spacing w:line="360" w:lineRule="auto"/>
              <w:rPr>
                <w:rFonts w:hint="default" w:ascii="Times New Roman" w:hAnsi="Times New Roman" w:eastAsia="宋体" w:cs="Times New Roman"/>
                <w:color w:val="auto"/>
                <w:sz w:val="24"/>
              </w:rPr>
            </w:pPr>
          </w:p>
        </w:tc>
      </w:tr>
    </w:tbl>
    <w:p w14:paraId="16D1957A">
      <w:pPr>
        <w:rPr>
          <w:rFonts w:hint="default" w:ascii="Times New Roman" w:hAnsi="Times New Roman" w:eastAsia="宋体" w:cs="Times New Roman"/>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B2A45D9">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hint="default" w:ascii="Times New Roman" w:hAnsi="Times New Roman" w:eastAsia="宋体" w:cs="Times New Roman"/>
          <w:snapToGrid w:val="0"/>
          <w:color w:val="auto"/>
          <w:sz w:val="32"/>
          <w:szCs w:val="32"/>
        </w:rPr>
      </w:pPr>
      <w:bookmarkStart w:id="32" w:name="_Toc13030"/>
      <w:bookmarkStart w:id="33" w:name="_Toc21827"/>
      <w:r>
        <w:rPr>
          <w:rFonts w:hint="default" w:ascii="Times New Roman" w:hAnsi="Times New Roman" w:eastAsia="宋体" w:cs="Times New Roman"/>
          <w:snapToGrid w:val="0"/>
          <w:color w:val="auto"/>
          <w:sz w:val="32"/>
          <w:szCs w:val="32"/>
        </w:rPr>
        <w:t>附表</w:t>
      </w:r>
      <w:bookmarkEnd w:id="32"/>
      <w:bookmarkEnd w:id="33"/>
    </w:p>
    <w:p w14:paraId="66AD58A8">
      <w:pPr>
        <w:pStyle w:val="26"/>
        <w:adjustRightInd w:val="0"/>
        <w:snapToGrid w:val="0"/>
        <w:spacing w:before="0" w:beforeAutospacing="0" w:after="0" w:afterAutospacing="0" w:line="360" w:lineRule="auto"/>
        <w:jc w:val="center"/>
        <w:outlineLvl w:val="0"/>
        <w:rPr>
          <w:rFonts w:hint="default" w:ascii="Times New Roman" w:hAnsi="Times New Roman" w:eastAsia="宋体" w:cs="Times New Roman"/>
          <w:snapToGrid w:val="0"/>
          <w:color w:val="auto"/>
          <w:sz w:val="38"/>
          <w:szCs w:val="38"/>
        </w:rPr>
      </w:pPr>
      <w:bookmarkStart w:id="34" w:name="_Toc11276"/>
      <w:bookmarkStart w:id="35" w:name="_Toc18054"/>
      <w:r>
        <w:rPr>
          <w:rFonts w:hint="default" w:ascii="Times New Roman" w:hAnsi="Times New Roman" w:eastAsia="宋体" w:cs="Times New Roman"/>
          <w:snapToGrid w:val="0"/>
          <w:color w:val="auto"/>
          <w:sz w:val="38"/>
          <w:szCs w:val="38"/>
        </w:rPr>
        <w:t>建设项目污染物排放量汇总表</w:t>
      </w:r>
      <w:bookmarkEnd w:id="34"/>
      <w:bookmarkEnd w:id="35"/>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26"/>
        <w:gridCol w:w="1679"/>
        <w:gridCol w:w="1701"/>
        <w:gridCol w:w="1276"/>
        <w:gridCol w:w="1701"/>
        <w:gridCol w:w="1343"/>
        <w:gridCol w:w="1447"/>
        <w:gridCol w:w="1869"/>
        <w:gridCol w:w="1446"/>
      </w:tblGrid>
      <w:tr w14:paraId="46E19A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326" w:type="dxa"/>
            <w:tcBorders>
              <w:tl2br w:val="single" w:color="auto" w:sz="4" w:space="0"/>
            </w:tcBorders>
            <w:noWrap w:val="0"/>
            <w:tcMar>
              <w:left w:w="28" w:type="dxa"/>
              <w:right w:w="28" w:type="dxa"/>
            </w:tcMar>
            <w:vAlign w:val="center"/>
          </w:tcPr>
          <w:p w14:paraId="57FC33B1">
            <w:pPr>
              <w:pStyle w:val="57"/>
              <w:spacing w:beforeLines="0" w:afterLines="0" w:line="240" w:lineRule="auto"/>
              <w:jc w:val="right"/>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项目</w:t>
            </w:r>
          </w:p>
          <w:p w14:paraId="300813D7">
            <w:pPr>
              <w:pStyle w:val="57"/>
              <w:spacing w:beforeLines="0" w:afterLines="0" w:line="240" w:lineRule="auto"/>
              <w:ind w:left="0" w:leftChars="0" w:firstLine="0" w:firstLineChars="0"/>
              <w:jc w:val="left"/>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分类</w:t>
            </w:r>
          </w:p>
        </w:tc>
        <w:tc>
          <w:tcPr>
            <w:tcW w:w="1679" w:type="dxa"/>
            <w:noWrap w:val="0"/>
            <w:tcMar>
              <w:left w:w="28" w:type="dxa"/>
              <w:right w:w="28" w:type="dxa"/>
            </w:tcMar>
            <w:vAlign w:val="center"/>
          </w:tcPr>
          <w:p w14:paraId="46496D37">
            <w:pPr>
              <w:pStyle w:val="57"/>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污染物名称</w:t>
            </w:r>
          </w:p>
        </w:tc>
        <w:tc>
          <w:tcPr>
            <w:tcW w:w="1701" w:type="dxa"/>
            <w:noWrap w:val="0"/>
            <w:tcMar>
              <w:left w:w="28" w:type="dxa"/>
              <w:right w:w="28" w:type="dxa"/>
            </w:tcMar>
            <w:vAlign w:val="center"/>
          </w:tcPr>
          <w:p w14:paraId="128AEF14">
            <w:pPr>
              <w:pStyle w:val="57"/>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现有工程排放（固体废物产生量）</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kern w:val="2"/>
                <w:szCs w:val="21"/>
              </w:rPr>
              <w:t>①</w:t>
            </w:r>
            <w:r>
              <w:rPr>
                <w:rFonts w:hint="default" w:ascii="Times New Roman" w:hAnsi="Times New Roman" w:eastAsia="宋体" w:cs="Times New Roman"/>
                <w:snapToGrid w:val="0"/>
                <w:color w:val="auto"/>
                <w:spacing w:val="-6"/>
                <w:kern w:val="21"/>
                <w:szCs w:val="21"/>
              </w:rPr>
              <w:fldChar w:fldCharType="end"/>
            </w:r>
          </w:p>
        </w:tc>
        <w:tc>
          <w:tcPr>
            <w:tcW w:w="1276" w:type="dxa"/>
            <w:noWrap w:val="0"/>
            <w:tcMar>
              <w:left w:w="28" w:type="dxa"/>
              <w:right w:w="28" w:type="dxa"/>
            </w:tcMar>
            <w:vAlign w:val="center"/>
          </w:tcPr>
          <w:p w14:paraId="00B33F66">
            <w:pPr>
              <w:pStyle w:val="57"/>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现有工程许可排放量</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2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snapToGrid w:val="0"/>
                <w:color w:val="auto"/>
                <w:spacing w:val="-6"/>
                <w:kern w:val="21"/>
                <w:szCs w:val="21"/>
              </w:rPr>
              <w:t>②</w:t>
            </w:r>
            <w:r>
              <w:rPr>
                <w:rFonts w:hint="default" w:ascii="Times New Roman" w:hAnsi="Times New Roman" w:eastAsia="宋体" w:cs="Times New Roman"/>
                <w:snapToGrid w:val="0"/>
                <w:color w:val="auto"/>
                <w:spacing w:val="-6"/>
                <w:kern w:val="21"/>
                <w:szCs w:val="21"/>
              </w:rPr>
              <w:fldChar w:fldCharType="end"/>
            </w:r>
          </w:p>
        </w:tc>
        <w:tc>
          <w:tcPr>
            <w:tcW w:w="1701" w:type="dxa"/>
            <w:noWrap w:val="0"/>
            <w:tcMar>
              <w:left w:w="28" w:type="dxa"/>
              <w:right w:w="28" w:type="dxa"/>
            </w:tcMar>
            <w:vAlign w:val="center"/>
          </w:tcPr>
          <w:p w14:paraId="51D3F574">
            <w:pPr>
              <w:pStyle w:val="57"/>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在建工程排放量（固体废物产生量）</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3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kern w:val="2"/>
                <w:szCs w:val="21"/>
              </w:rPr>
              <w:t>③</w:t>
            </w:r>
            <w:r>
              <w:rPr>
                <w:rFonts w:hint="default" w:ascii="Times New Roman" w:hAnsi="Times New Roman" w:eastAsia="宋体" w:cs="Times New Roman"/>
                <w:snapToGrid w:val="0"/>
                <w:color w:val="auto"/>
                <w:spacing w:val="-6"/>
                <w:kern w:val="21"/>
                <w:szCs w:val="21"/>
              </w:rPr>
              <w:fldChar w:fldCharType="end"/>
            </w:r>
          </w:p>
        </w:tc>
        <w:tc>
          <w:tcPr>
            <w:tcW w:w="1343" w:type="dxa"/>
            <w:noWrap w:val="0"/>
            <w:tcMar>
              <w:left w:w="28" w:type="dxa"/>
              <w:right w:w="28" w:type="dxa"/>
            </w:tcMar>
            <w:vAlign w:val="center"/>
          </w:tcPr>
          <w:p w14:paraId="6A1993C3">
            <w:pPr>
              <w:pStyle w:val="57"/>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本项目排放量（固体废物产生量）</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4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kern w:val="2"/>
                <w:szCs w:val="21"/>
              </w:rPr>
              <w:t>④</w:t>
            </w:r>
            <w:r>
              <w:rPr>
                <w:rFonts w:hint="default" w:ascii="Times New Roman" w:hAnsi="Times New Roman" w:eastAsia="宋体" w:cs="Times New Roman"/>
                <w:snapToGrid w:val="0"/>
                <w:color w:val="auto"/>
                <w:spacing w:val="-6"/>
                <w:kern w:val="21"/>
                <w:szCs w:val="21"/>
              </w:rPr>
              <w:fldChar w:fldCharType="end"/>
            </w:r>
          </w:p>
        </w:tc>
        <w:tc>
          <w:tcPr>
            <w:tcW w:w="1447" w:type="dxa"/>
            <w:noWrap w:val="0"/>
            <w:tcMar>
              <w:left w:w="28" w:type="dxa"/>
              <w:right w:w="28" w:type="dxa"/>
            </w:tcMar>
            <w:vAlign w:val="center"/>
          </w:tcPr>
          <w:p w14:paraId="2AC487DB">
            <w:pPr>
              <w:pStyle w:val="57"/>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16"/>
                <w:kern w:val="21"/>
                <w:szCs w:val="21"/>
              </w:rPr>
            </w:pPr>
            <w:r>
              <w:rPr>
                <w:rFonts w:hint="default" w:ascii="Times New Roman" w:hAnsi="Times New Roman" w:eastAsia="宋体" w:cs="Times New Roman"/>
                <w:snapToGrid w:val="0"/>
                <w:color w:val="auto"/>
                <w:spacing w:val="-16"/>
                <w:kern w:val="21"/>
                <w:szCs w:val="21"/>
              </w:rPr>
              <w:t>以新带老削减量（新建项目不填）</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5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kern w:val="2"/>
                <w:szCs w:val="21"/>
              </w:rPr>
              <w:t>⑤</w:t>
            </w:r>
            <w:r>
              <w:rPr>
                <w:rFonts w:hint="default" w:ascii="Times New Roman" w:hAnsi="Times New Roman" w:eastAsia="宋体" w:cs="Times New Roman"/>
                <w:snapToGrid w:val="0"/>
                <w:color w:val="auto"/>
                <w:spacing w:val="-16"/>
                <w:kern w:val="21"/>
                <w:szCs w:val="21"/>
              </w:rPr>
              <w:fldChar w:fldCharType="end"/>
            </w:r>
          </w:p>
        </w:tc>
        <w:tc>
          <w:tcPr>
            <w:tcW w:w="1869" w:type="dxa"/>
            <w:noWrap w:val="0"/>
            <w:tcMar>
              <w:left w:w="28" w:type="dxa"/>
              <w:right w:w="28" w:type="dxa"/>
            </w:tcMar>
            <w:vAlign w:val="center"/>
          </w:tcPr>
          <w:p w14:paraId="68DCBFD2">
            <w:pPr>
              <w:pStyle w:val="57"/>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16"/>
                <w:kern w:val="21"/>
                <w:szCs w:val="21"/>
              </w:rPr>
            </w:pPr>
            <w:r>
              <w:rPr>
                <w:rFonts w:hint="default" w:ascii="Times New Roman" w:hAnsi="Times New Roman" w:eastAsia="宋体" w:cs="Times New Roman"/>
                <w:snapToGrid w:val="0"/>
                <w:color w:val="auto"/>
                <w:spacing w:val="-16"/>
                <w:kern w:val="21"/>
                <w:szCs w:val="21"/>
              </w:rPr>
              <w:t>本项目建成后全厂排放量（固体废物产生量）</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kern w:val="2"/>
                <w:szCs w:val="21"/>
              </w:rPr>
              <w:t>⑥</w:t>
            </w:r>
            <w:r>
              <w:rPr>
                <w:rFonts w:hint="default" w:ascii="Times New Roman" w:hAnsi="Times New Roman" w:eastAsia="宋体" w:cs="Times New Roman"/>
                <w:snapToGrid w:val="0"/>
                <w:color w:val="auto"/>
                <w:spacing w:val="-16"/>
                <w:kern w:val="21"/>
                <w:szCs w:val="21"/>
              </w:rPr>
              <w:fldChar w:fldCharType="end"/>
            </w:r>
          </w:p>
        </w:tc>
        <w:tc>
          <w:tcPr>
            <w:tcW w:w="1446" w:type="dxa"/>
            <w:noWrap w:val="0"/>
            <w:tcMar>
              <w:left w:w="28" w:type="dxa"/>
              <w:right w:w="28" w:type="dxa"/>
            </w:tcMar>
            <w:vAlign w:val="center"/>
          </w:tcPr>
          <w:p w14:paraId="117FF0A8">
            <w:pPr>
              <w:pStyle w:val="57"/>
              <w:spacing w:beforeLines="0" w:afterLines="0" w:line="240" w:lineRule="auto"/>
              <w:ind w:left="0" w:leftChars="0" w:firstLine="0" w:firstLineChars="0"/>
              <w:jc w:val="center"/>
              <w:rPr>
                <w:rFonts w:hint="default" w:ascii="Times New Roman" w:hAnsi="Times New Roman" w:eastAsia="宋体" w:cs="Times New Roman"/>
                <w:snapToGrid w:val="0"/>
                <w:color w:val="auto"/>
                <w:spacing w:val="-6"/>
                <w:kern w:val="21"/>
                <w:szCs w:val="21"/>
              </w:rPr>
            </w:pPr>
            <w:r>
              <w:rPr>
                <w:rFonts w:hint="default" w:ascii="Times New Roman" w:hAnsi="Times New Roman" w:eastAsia="宋体" w:cs="Times New Roman"/>
                <w:snapToGrid w:val="0"/>
                <w:color w:val="auto"/>
                <w:spacing w:val="-6"/>
                <w:kern w:val="21"/>
                <w:szCs w:val="21"/>
              </w:rPr>
              <w:t>变化量</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7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kern w:val="2"/>
                <w:szCs w:val="21"/>
              </w:rPr>
              <w:t>⑦</w:t>
            </w:r>
            <w:r>
              <w:rPr>
                <w:rFonts w:hint="default" w:ascii="Times New Roman" w:hAnsi="Times New Roman" w:eastAsia="宋体" w:cs="Times New Roman"/>
                <w:snapToGrid w:val="0"/>
                <w:color w:val="auto"/>
                <w:spacing w:val="-6"/>
                <w:kern w:val="21"/>
                <w:szCs w:val="21"/>
              </w:rPr>
              <w:fldChar w:fldCharType="end"/>
            </w:r>
          </w:p>
        </w:tc>
      </w:tr>
      <w:tr w14:paraId="7E5095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326" w:type="dxa"/>
            <w:noWrap w:val="0"/>
            <w:vAlign w:val="center"/>
          </w:tcPr>
          <w:p w14:paraId="7C922303">
            <w:pPr>
              <w:pStyle w:val="57"/>
              <w:keepNext w:val="0"/>
              <w:keepLines w:val="0"/>
              <w:pageBreakBefore w:val="0"/>
              <w:kinsoku/>
              <w:wordWrap/>
              <w:overflowPunct/>
              <w:topLinePunct w:val="0"/>
              <w:autoSpaceDE/>
              <w:autoSpaceDN/>
              <w:bidi w:val="0"/>
              <w:adjustRightInd/>
              <w:snapToGrid/>
              <w:spacing w:beforeLines="0" w:afterLines="0" w:line="240" w:lineRule="auto"/>
              <w:ind w:left="0" w:leftChars="0" w:firstLine="0" w:firstLineChars="0"/>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废气</w:t>
            </w:r>
          </w:p>
        </w:tc>
        <w:tc>
          <w:tcPr>
            <w:tcW w:w="1679" w:type="dxa"/>
            <w:noWrap w:val="0"/>
            <w:vAlign w:val="center"/>
          </w:tcPr>
          <w:p w14:paraId="58E825C6">
            <w:pPr>
              <w:pStyle w:val="57"/>
              <w:keepNext w:val="0"/>
              <w:keepLines w:val="0"/>
              <w:pageBreakBefore w:val="0"/>
              <w:kinsoku/>
              <w:wordWrap/>
              <w:overflowPunct/>
              <w:topLinePunct w:val="0"/>
              <w:autoSpaceDE/>
              <w:autoSpaceDN/>
              <w:bidi w:val="0"/>
              <w:adjustRightInd/>
              <w:snapToGrid/>
              <w:spacing w:beforeLines="0" w:afterLines="0" w:line="240" w:lineRule="auto"/>
              <w:ind w:left="0" w:leftChars="0" w:firstLine="0" w:firstLineChars="0"/>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颗粒物</w:t>
            </w:r>
          </w:p>
        </w:tc>
        <w:tc>
          <w:tcPr>
            <w:tcW w:w="1701" w:type="dxa"/>
            <w:noWrap w:val="0"/>
            <w:vAlign w:val="center"/>
          </w:tcPr>
          <w:p w14:paraId="2898B057">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276" w:type="dxa"/>
            <w:noWrap w:val="0"/>
            <w:vAlign w:val="center"/>
          </w:tcPr>
          <w:p w14:paraId="1F844E7E">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701" w:type="dxa"/>
            <w:noWrap w:val="0"/>
            <w:vAlign w:val="center"/>
          </w:tcPr>
          <w:p w14:paraId="0BBEAAC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343" w:type="dxa"/>
            <w:noWrap w:val="0"/>
            <w:vAlign w:val="center"/>
          </w:tcPr>
          <w:p w14:paraId="1140EB4C">
            <w:pPr>
              <w:pStyle w:val="57"/>
              <w:keepNext w:val="0"/>
              <w:keepLines w:val="0"/>
              <w:pageBreakBefore w:val="0"/>
              <w:kinsoku/>
              <w:wordWrap/>
              <w:overflowPunct/>
              <w:topLinePunct w:val="0"/>
              <w:autoSpaceDE/>
              <w:autoSpaceDN/>
              <w:bidi w:val="0"/>
              <w:adjustRightInd/>
              <w:snapToGrid/>
              <w:spacing w:beforeLines="0" w:afterLines="0" w:line="240" w:lineRule="auto"/>
              <w:ind w:left="0" w:leftChars="0" w:firstLine="0" w:firstLineChars="0"/>
              <w:jc w:val="center"/>
              <w:textAlignment w:val="auto"/>
              <w:rPr>
                <w:rFonts w:hint="default" w:ascii="Times New Roman" w:hAnsi="Times New Roman" w:eastAsia="宋体" w:cs="Times New Roman"/>
                <w:snapToGrid w:val="0"/>
                <w:color w:val="auto"/>
                <w:kern w:val="21"/>
                <w:szCs w:val="21"/>
                <w:highlight w:val="none"/>
              </w:rPr>
            </w:pPr>
            <w:r>
              <w:rPr>
                <w:rFonts w:hint="eastAsia" w:ascii="Times New Roman" w:cs="Times New Roman"/>
                <w:color w:val="auto"/>
                <w:szCs w:val="21"/>
                <w:highlight w:val="none"/>
                <w:lang w:val="en-US" w:eastAsia="zh-CN"/>
              </w:rPr>
              <w:t>22.212</w:t>
            </w:r>
            <w:r>
              <w:rPr>
                <w:rFonts w:hint="default" w:ascii="Times New Roman" w:hAnsi="Times New Roman" w:eastAsia="宋体" w:cs="Times New Roman"/>
                <w:color w:val="auto"/>
                <w:szCs w:val="21"/>
                <w:highlight w:val="none"/>
              </w:rPr>
              <w:t>t/a</w:t>
            </w:r>
          </w:p>
        </w:tc>
        <w:tc>
          <w:tcPr>
            <w:tcW w:w="1447" w:type="dxa"/>
            <w:noWrap w:val="0"/>
            <w:vAlign w:val="center"/>
          </w:tcPr>
          <w:p w14:paraId="08DA4654">
            <w:pPr>
              <w:pStyle w:val="57"/>
              <w:keepNext w:val="0"/>
              <w:keepLines w:val="0"/>
              <w:pageBreakBefore w:val="0"/>
              <w:kinsoku/>
              <w:wordWrap/>
              <w:overflowPunct/>
              <w:topLinePunct w:val="0"/>
              <w:autoSpaceDE/>
              <w:autoSpaceDN/>
              <w:bidi w:val="0"/>
              <w:adjustRightInd/>
              <w:snapToGrid/>
              <w:spacing w:beforeLines="0" w:afterLines="0" w:line="240" w:lineRule="auto"/>
              <w:ind w:left="0" w:leftChars="0" w:firstLine="0" w:firstLineChars="0"/>
              <w:jc w:val="center"/>
              <w:textAlignment w:val="auto"/>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w:t>
            </w:r>
          </w:p>
        </w:tc>
        <w:tc>
          <w:tcPr>
            <w:tcW w:w="1869" w:type="dxa"/>
            <w:noWrap w:val="0"/>
            <w:vAlign w:val="center"/>
          </w:tcPr>
          <w:p w14:paraId="17533C63">
            <w:pPr>
              <w:pStyle w:val="57"/>
              <w:keepNext w:val="0"/>
              <w:keepLines w:val="0"/>
              <w:pageBreakBefore w:val="0"/>
              <w:kinsoku/>
              <w:wordWrap/>
              <w:overflowPunct/>
              <w:topLinePunct w:val="0"/>
              <w:autoSpaceDE/>
              <w:autoSpaceDN/>
              <w:bidi w:val="0"/>
              <w:adjustRightInd/>
              <w:snapToGrid/>
              <w:spacing w:beforeLines="0" w:afterLines="0" w:line="240" w:lineRule="auto"/>
              <w:ind w:left="0" w:leftChars="0" w:firstLine="0" w:firstLineChars="0"/>
              <w:jc w:val="center"/>
              <w:textAlignment w:val="auto"/>
              <w:rPr>
                <w:rFonts w:hint="default" w:ascii="Times New Roman" w:hAnsi="Times New Roman" w:eastAsia="宋体" w:cs="Times New Roman"/>
                <w:snapToGrid w:val="0"/>
                <w:color w:val="auto"/>
                <w:kern w:val="21"/>
                <w:szCs w:val="21"/>
                <w:highlight w:val="none"/>
              </w:rPr>
            </w:pPr>
            <w:r>
              <w:rPr>
                <w:rFonts w:hint="eastAsia" w:ascii="Times New Roman" w:cs="Times New Roman"/>
                <w:color w:val="auto"/>
                <w:szCs w:val="21"/>
                <w:highlight w:val="none"/>
                <w:lang w:val="en-US" w:eastAsia="zh-CN"/>
              </w:rPr>
              <w:t>22.212</w:t>
            </w:r>
            <w:r>
              <w:rPr>
                <w:rFonts w:hint="default" w:ascii="Times New Roman" w:hAnsi="Times New Roman" w:eastAsia="宋体" w:cs="Times New Roman"/>
                <w:color w:val="auto"/>
                <w:szCs w:val="21"/>
                <w:highlight w:val="none"/>
              </w:rPr>
              <w:t>t/a</w:t>
            </w:r>
          </w:p>
        </w:tc>
        <w:tc>
          <w:tcPr>
            <w:tcW w:w="1446" w:type="dxa"/>
            <w:noWrap w:val="0"/>
            <w:vAlign w:val="center"/>
          </w:tcPr>
          <w:p w14:paraId="42CDAE95">
            <w:pPr>
              <w:pStyle w:val="57"/>
              <w:keepNext w:val="0"/>
              <w:keepLines w:val="0"/>
              <w:pageBreakBefore w:val="0"/>
              <w:widowControl w:val="0"/>
              <w:kinsoku/>
              <w:wordWrap/>
              <w:overflowPunct/>
              <w:topLinePunct w:val="0"/>
              <w:autoSpaceDE/>
              <w:autoSpaceDN/>
              <w:bidi w:val="0"/>
              <w:adjustRightInd/>
              <w:snapToGrid/>
              <w:spacing w:beforeLines="0" w:afterLines="0" w:line="240" w:lineRule="auto"/>
              <w:ind w:firstLine="0"/>
              <w:jc w:val="center"/>
              <w:textAlignment w:val="auto"/>
              <w:rPr>
                <w:rFonts w:hint="default" w:ascii="Times New Roman" w:hAnsi="Times New Roman" w:eastAsia="宋体" w:cs="Times New Roman"/>
                <w:snapToGrid w:val="0"/>
                <w:color w:val="auto"/>
                <w:kern w:val="21"/>
                <w:szCs w:val="21"/>
                <w:highlight w:val="none"/>
              </w:rPr>
            </w:pPr>
            <w:r>
              <w:rPr>
                <w:rFonts w:hint="eastAsia" w:ascii="Times New Roman" w:cs="Times New Roman"/>
                <w:color w:val="auto"/>
                <w:szCs w:val="21"/>
                <w:highlight w:val="none"/>
                <w:lang w:val="en-US" w:eastAsia="zh-CN"/>
              </w:rPr>
              <w:t>22.212</w:t>
            </w:r>
            <w:r>
              <w:rPr>
                <w:rFonts w:hint="default" w:ascii="Times New Roman" w:hAnsi="Times New Roman" w:eastAsia="宋体" w:cs="Times New Roman"/>
                <w:color w:val="auto"/>
                <w:szCs w:val="21"/>
                <w:highlight w:val="none"/>
              </w:rPr>
              <w:t>t/a</w:t>
            </w:r>
          </w:p>
        </w:tc>
      </w:tr>
      <w:tr w14:paraId="3ADC0B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326" w:type="dxa"/>
            <w:noWrap w:val="0"/>
            <w:vAlign w:val="center"/>
          </w:tcPr>
          <w:p w14:paraId="5A7E996D">
            <w:pPr>
              <w:pStyle w:val="57"/>
              <w:keepNext w:val="0"/>
              <w:keepLines w:val="0"/>
              <w:pageBreakBefore w:val="0"/>
              <w:kinsoku/>
              <w:wordWrap/>
              <w:overflowPunct/>
              <w:topLinePunct w:val="0"/>
              <w:autoSpaceDE/>
              <w:autoSpaceDN/>
              <w:bidi w:val="0"/>
              <w:adjustRightInd/>
              <w:snapToGrid/>
              <w:spacing w:beforeLines="0" w:afterLines="0" w:line="240" w:lineRule="auto"/>
              <w:ind w:left="0" w:leftChars="0" w:firstLine="0" w:firstLineChars="0"/>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废水</w:t>
            </w:r>
          </w:p>
        </w:tc>
        <w:tc>
          <w:tcPr>
            <w:tcW w:w="1679" w:type="dxa"/>
            <w:noWrap w:val="0"/>
            <w:vAlign w:val="center"/>
          </w:tcPr>
          <w:p w14:paraId="733BD434">
            <w:pPr>
              <w:pStyle w:val="66"/>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snapToGrid w:val="0"/>
                <w:color w:val="auto"/>
                <w:kern w:val="21"/>
                <w:szCs w:val="21"/>
              </w:rPr>
            </w:pPr>
            <w:r>
              <w:rPr>
                <w:rFonts w:hint="eastAsia" w:ascii="Times New Roman" w:cs="Times New Roman"/>
                <w:snapToGrid w:val="0"/>
                <w:color w:val="auto"/>
                <w:kern w:val="21"/>
                <w:szCs w:val="21"/>
                <w:lang w:val="en-US" w:eastAsia="zh-CN"/>
              </w:rPr>
              <w:t>/</w:t>
            </w:r>
          </w:p>
        </w:tc>
        <w:tc>
          <w:tcPr>
            <w:tcW w:w="1701" w:type="dxa"/>
            <w:noWrap w:val="0"/>
            <w:vAlign w:val="center"/>
          </w:tcPr>
          <w:p w14:paraId="13293B4F">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276" w:type="dxa"/>
            <w:noWrap w:val="0"/>
            <w:vAlign w:val="center"/>
          </w:tcPr>
          <w:p w14:paraId="5BEF013F">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701" w:type="dxa"/>
            <w:noWrap w:val="0"/>
            <w:vAlign w:val="center"/>
          </w:tcPr>
          <w:p w14:paraId="59BDB77E">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343" w:type="dxa"/>
            <w:noWrap w:val="0"/>
            <w:vAlign w:val="center"/>
          </w:tcPr>
          <w:p w14:paraId="32D7AE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447" w:type="dxa"/>
            <w:noWrap w:val="0"/>
            <w:vAlign w:val="center"/>
          </w:tcPr>
          <w:p w14:paraId="4E1F98EB">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869" w:type="dxa"/>
            <w:noWrap w:val="0"/>
            <w:vAlign w:val="center"/>
          </w:tcPr>
          <w:p w14:paraId="68C55A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446" w:type="dxa"/>
            <w:noWrap w:val="0"/>
            <w:vAlign w:val="center"/>
          </w:tcPr>
          <w:p w14:paraId="3CCBC0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r>
      <w:tr w14:paraId="73E06D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326" w:type="dxa"/>
            <w:vMerge w:val="restart"/>
            <w:noWrap w:val="0"/>
            <w:vAlign w:val="center"/>
          </w:tcPr>
          <w:p w14:paraId="3D3CDD59">
            <w:pPr>
              <w:pStyle w:val="57"/>
              <w:keepNext w:val="0"/>
              <w:keepLines w:val="0"/>
              <w:pageBreakBefore w:val="0"/>
              <w:kinsoku/>
              <w:wordWrap/>
              <w:overflowPunct/>
              <w:topLinePunct w:val="0"/>
              <w:autoSpaceDE/>
              <w:autoSpaceDN/>
              <w:bidi w:val="0"/>
              <w:adjustRightInd/>
              <w:snapToGrid/>
              <w:spacing w:beforeLines="0" w:afterLines="0" w:line="240" w:lineRule="auto"/>
              <w:ind w:left="0" w:leftChars="0" w:firstLine="0" w:firstLineChars="0"/>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一般工业固体废物</w:t>
            </w:r>
          </w:p>
        </w:tc>
        <w:tc>
          <w:tcPr>
            <w:tcW w:w="1679" w:type="dxa"/>
            <w:noWrap w:val="0"/>
            <w:vAlign w:val="center"/>
          </w:tcPr>
          <w:p w14:paraId="5FB82288">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color w:val="auto"/>
                <w:szCs w:val="21"/>
              </w:rPr>
              <w:t>生活垃圾</w:t>
            </w:r>
          </w:p>
        </w:tc>
        <w:tc>
          <w:tcPr>
            <w:tcW w:w="1701" w:type="dxa"/>
            <w:noWrap w:val="0"/>
            <w:vAlign w:val="center"/>
          </w:tcPr>
          <w:p w14:paraId="01F18F11">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276" w:type="dxa"/>
            <w:noWrap w:val="0"/>
            <w:vAlign w:val="center"/>
          </w:tcPr>
          <w:p w14:paraId="19113A7A">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701" w:type="dxa"/>
            <w:noWrap w:val="0"/>
            <w:vAlign w:val="center"/>
          </w:tcPr>
          <w:p w14:paraId="7CE3D091">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343" w:type="dxa"/>
            <w:noWrap w:val="0"/>
            <w:vAlign w:val="center"/>
          </w:tcPr>
          <w:p w14:paraId="4E013DEC">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napToGrid w:val="0"/>
                <w:color w:val="auto"/>
                <w:kern w:val="21"/>
                <w:szCs w:val="21"/>
              </w:rPr>
            </w:pPr>
            <w:r>
              <w:rPr>
                <w:rFonts w:hint="eastAsia" w:cs="Times New Roman"/>
                <w:color w:val="auto"/>
                <w:szCs w:val="21"/>
                <w:lang w:val="en-US" w:eastAsia="zh-CN"/>
              </w:rPr>
              <w:t>1.35</w:t>
            </w:r>
            <w:r>
              <w:rPr>
                <w:rFonts w:hint="default" w:ascii="Times New Roman" w:hAnsi="Times New Roman" w:eastAsia="宋体" w:cs="Times New Roman"/>
                <w:color w:val="auto"/>
                <w:szCs w:val="21"/>
              </w:rPr>
              <w:t>t/a</w:t>
            </w:r>
          </w:p>
        </w:tc>
        <w:tc>
          <w:tcPr>
            <w:tcW w:w="1447" w:type="dxa"/>
            <w:noWrap w:val="0"/>
            <w:vAlign w:val="center"/>
          </w:tcPr>
          <w:p w14:paraId="78D24623">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869" w:type="dxa"/>
            <w:noWrap w:val="0"/>
            <w:vAlign w:val="center"/>
          </w:tcPr>
          <w:p w14:paraId="07B7149C">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napToGrid w:val="0"/>
                <w:color w:val="auto"/>
                <w:kern w:val="21"/>
                <w:szCs w:val="21"/>
              </w:rPr>
            </w:pPr>
            <w:r>
              <w:rPr>
                <w:rFonts w:hint="eastAsia" w:cs="Times New Roman"/>
                <w:color w:val="auto"/>
                <w:szCs w:val="21"/>
                <w:lang w:val="en-US" w:eastAsia="zh-CN"/>
              </w:rPr>
              <w:t>1.35</w:t>
            </w:r>
            <w:r>
              <w:rPr>
                <w:rFonts w:hint="default" w:ascii="Times New Roman" w:hAnsi="Times New Roman" w:eastAsia="宋体" w:cs="Times New Roman"/>
                <w:color w:val="auto"/>
                <w:szCs w:val="21"/>
              </w:rPr>
              <w:t>t/a</w:t>
            </w:r>
          </w:p>
        </w:tc>
        <w:tc>
          <w:tcPr>
            <w:tcW w:w="1446" w:type="dxa"/>
            <w:noWrap w:val="0"/>
            <w:vAlign w:val="center"/>
          </w:tcPr>
          <w:p w14:paraId="424C509C">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napToGrid w:val="0"/>
                <w:color w:val="auto"/>
                <w:kern w:val="21"/>
                <w:szCs w:val="21"/>
              </w:rPr>
            </w:pPr>
            <w:r>
              <w:rPr>
                <w:rFonts w:hint="eastAsia" w:cs="Times New Roman"/>
                <w:color w:val="auto"/>
                <w:szCs w:val="21"/>
                <w:lang w:val="en-US" w:eastAsia="zh-CN"/>
              </w:rPr>
              <w:t>1.35</w:t>
            </w:r>
            <w:r>
              <w:rPr>
                <w:rFonts w:hint="default" w:ascii="Times New Roman" w:hAnsi="Times New Roman" w:eastAsia="宋体" w:cs="Times New Roman"/>
                <w:color w:val="auto"/>
                <w:szCs w:val="21"/>
              </w:rPr>
              <w:t>t/a</w:t>
            </w:r>
          </w:p>
        </w:tc>
      </w:tr>
      <w:tr w14:paraId="0F1676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326" w:type="dxa"/>
            <w:vMerge w:val="continue"/>
            <w:noWrap w:val="0"/>
            <w:vAlign w:val="center"/>
          </w:tcPr>
          <w:p w14:paraId="5A8DA2A2">
            <w:pPr>
              <w:pStyle w:val="57"/>
              <w:keepNext w:val="0"/>
              <w:keepLines w:val="0"/>
              <w:pageBreakBefore w:val="0"/>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snapToGrid w:val="0"/>
                <w:color w:val="auto"/>
                <w:kern w:val="21"/>
                <w:szCs w:val="21"/>
              </w:rPr>
            </w:pPr>
          </w:p>
        </w:tc>
        <w:tc>
          <w:tcPr>
            <w:tcW w:w="1679" w:type="dxa"/>
            <w:noWrap w:val="0"/>
            <w:vAlign w:val="center"/>
          </w:tcPr>
          <w:p w14:paraId="5EDE5F90">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Cs w:val="21"/>
              </w:rPr>
            </w:pPr>
            <w:r>
              <w:rPr>
                <w:rFonts w:hint="eastAsia" w:cs="Times New Roman"/>
                <w:color w:val="auto"/>
                <w:szCs w:val="21"/>
                <w:lang w:eastAsia="zh-CN"/>
              </w:rPr>
              <w:t>雨水收集池沉渣</w:t>
            </w:r>
          </w:p>
        </w:tc>
        <w:tc>
          <w:tcPr>
            <w:tcW w:w="1701" w:type="dxa"/>
            <w:noWrap w:val="0"/>
            <w:vAlign w:val="center"/>
          </w:tcPr>
          <w:p w14:paraId="24CD7EB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276" w:type="dxa"/>
            <w:noWrap w:val="0"/>
            <w:vAlign w:val="center"/>
          </w:tcPr>
          <w:p w14:paraId="72E3003B">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701" w:type="dxa"/>
            <w:noWrap w:val="0"/>
            <w:vAlign w:val="center"/>
          </w:tcPr>
          <w:p w14:paraId="130EF5E9">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343" w:type="dxa"/>
            <w:noWrap w:val="0"/>
            <w:vAlign w:val="center"/>
          </w:tcPr>
          <w:p w14:paraId="681A9D2B">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napToGrid w:val="0"/>
                <w:color w:val="auto"/>
                <w:kern w:val="21"/>
                <w:szCs w:val="21"/>
              </w:rPr>
            </w:pPr>
            <w:r>
              <w:rPr>
                <w:rFonts w:hint="eastAsia" w:cs="Times New Roman"/>
                <w:color w:val="auto"/>
                <w:szCs w:val="21"/>
                <w:lang w:val="en-US" w:eastAsia="zh-CN"/>
              </w:rPr>
              <w:t>1</w:t>
            </w:r>
            <w:r>
              <w:rPr>
                <w:rFonts w:hint="default" w:ascii="Times New Roman" w:hAnsi="Times New Roman" w:eastAsia="宋体" w:cs="Times New Roman"/>
                <w:color w:val="auto"/>
                <w:szCs w:val="21"/>
              </w:rPr>
              <w:t>t/a</w:t>
            </w:r>
          </w:p>
        </w:tc>
        <w:tc>
          <w:tcPr>
            <w:tcW w:w="1447" w:type="dxa"/>
            <w:noWrap w:val="0"/>
            <w:vAlign w:val="center"/>
          </w:tcPr>
          <w:p w14:paraId="487AEEF5">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r>
              <w:rPr>
                <w:rFonts w:hint="default" w:ascii="Times New Roman" w:hAnsi="Times New Roman" w:eastAsia="宋体" w:cs="Times New Roman"/>
                <w:snapToGrid w:val="0"/>
                <w:color w:val="auto"/>
                <w:kern w:val="21"/>
                <w:szCs w:val="21"/>
              </w:rPr>
              <w:t>/</w:t>
            </w:r>
          </w:p>
        </w:tc>
        <w:tc>
          <w:tcPr>
            <w:tcW w:w="1869" w:type="dxa"/>
            <w:noWrap w:val="0"/>
            <w:vAlign w:val="center"/>
          </w:tcPr>
          <w:p w14:paraId="57B18218">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napToGrid w:val="0"/>
                <w:color w:val="auto"/>
                <w:kern w:val="21"/>
                <w:szCs w:val="21"/>
              </w:rPr>
            </w:pPr>
            <w:r>
              <w:rPr>
                <w:rFonts w:hint="eastAsia" w:cs="Times New Roman"/>
                <w:color w:val="auto"/>
                <w:szCs w:val="21"/>
                <w:lang w:val="en-US" w:eastAsia="zh-CN"/>
              </w:rPr>
              <w:t>1</w:t>
            </w:r>
            <w:r>
              <w:rPr>
                <w:rFonts w:hint="default" w:ascii="Times New Roman" w:hAnsi="Times New Roman" w:eastAsia="宋体" w:cs="Times New Roman"/>
                <w:color w:val="auto"/>
                <w:szCs w:val="21"/>
              </w:rPr>
              <w:t>t/a</w:t>
            </w:r>
          </w:p>
        </w:tc>
        <w:tc>
          <w:tcPr>
            <w:tcW w:w="1446" w:type="dxa"/>
            <w:noWrap w:val="0"/>
            <w:vAlign w:val="center"/>
          </w:tcPr>
          <w:p w14:paraId="571EDB3E">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napToGrid w:val="0"/>
                <w:color w:val="auto"/>
                <w:kern w:val="21"/>
                <w:szCs w:val="21"/>
              </w:rPr>
            </w:pPr>
            <w:r>
              <w:rPr>
                <w:rFonts w:hint="eastAsia" w:cs="Times New Roman"/>
                <w:color w:val="auto"/>
                <w:szCs w:val="21"/>
                <w:lang w:val="en-US" w:eastAsia="zh-CN"/>
              </w:rPr>
              <w:t>1</w:t>
            </w:r>
            <w:r>
              <w:rPr>
                <w:rFonts w:hint="default" w:ascii="Times New Roman" w:hAnsi="Times New Roman" w:eastAsia="宋体" w:cs="Times New Roman"/>
                <w:color w:val="auto"/>
                <w:szCs w:val="21"/>
              </w:rPr>
              <w:t>t/a</w:t>
            </w:r>
          </w:p>
        </w:tc>
      </w:tr>
      <w:tr w14:paraId="14032D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326" w:type="dxa"/>
            <w:vMerge w:val="continue"/>
            <w:noWrap w:val="0"/>
            <w:vAlign w:val="center"/>
          </w:tcPr>
          <w:p w14:paraId="5B2594B5">
            <w:pPr>
              <w:pStyle w:val="57"/>
              <w:keepNext w:val="0"/>
              <w:keepLines w:val="0"/>
              <w:pageBreakBefore w:val="0"/>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snapToGrid w:val="0"/>
                <w:color w:val="auto"/>
                <w:kern w:val="21"/>
                <w:szCs w:val="21"/>
              </w:rPr>
            </w:pPr>
          </w:p>
        </w:tc>
        <w:tc>
          <w:tcPr>
            <w:tcW w:w="1679" w:type="dxa"/>
            <w:noWrap w:val="0"/>
            <w:vAlign w:val="center"/>
          </w:tcPr>
          <w:p w14:paraId="05E56451">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lang w:eastAsia="zh-CN"/>
              </w:rPr>
              <w:t>破损防风抑尘网</w:t>
            </w:r>
          </w:p>
        </w:tc>
        <w:tc>
          <w:tcPr>
            <w:tcW w:w="1701" w:type="dxa"/>
            <w:noWrap w:val="0"/>
            <w:vAlign w:val="center"/>
          </w:tcPr>
          <w:p w14:paraId="4CA02A31">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p>
        </w:tc>
        <w:tc>
          <w:tcPr>
            <w:tcW w:w="1276" w:type="dxa"/>
            <w:noWrap w:val="0"/>
            <w:vAlign w:val="center"/>
          </w:tcPr>
          <w:p w14:paraId="6D447B09">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p>
        </w:tc>
        <w:tc>
          <w:tcPr>
            <w:tcW w:w="1701" w:type="dxa"/>
            <w:noWrap w:val="0"/>
            <w:vAlign w:val="center"/>
          </w:tcPr>
          <w:p w14:paraId="4286AE4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p>
        </w:tc>
        <w:tc>
          <w:tcPr>
            <w:tcW w:w="1343" w:type="dxa"/>
            <w:noWrap w:val="0"/>
            <w:vAlign w:val="center"/>
          </w:tcPr>
          <w:p w14:paraId="1553D757">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Cs w:val="21"/>
              </w:rPr>
            </w:pPr>
            <w:r>
              <w:rPr>
                <w:rFonts w:hint="eastAsia" w:cs="Times New Roman"/>
                <w:color w:val="auto"/>
                <w:szCs w:val="21"/>
                <w:lang w:val="en-US" w:eastAsia="zh-CN"/>
              </w:rPr>
              <w:t>0.2</w:t>
            </w:r>
            <w:r>
              <w:rPr>
                <w:rFonts w:hint="default" w:ascii="Times New Roman" w:hAnsi="Times New Roman" w:eastAsia="宋体" w:cs="Times New Roman"/>
                <w:color w:val="auto"/>
                <w:szCs w:val="21"/>
              </w:rPr>
              <w:t>t/a</w:t>
            </w:r>
          </w:p>
        </w:tc>
        <w:tc>
          <w:tcPr>
            <w:tcW w:w="1447" w:type="dxa"/>
            <w:noWrap w:val="0"/>
            <w:vAlign w:val="center"/>
          </w:tcPr>
          <w:p w14:paraId="17C83969">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p>
        </w:tc>
        <w:tc>
          <w:tcPr>
            <w:tcW w:w="1869" w:type="dxa"/>
            <w:noWrap w:val="0"/>
            <w:vAlign w:val="center"/>
          </w:tcPr>
          <w:p w14:paraId="42403640">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Cs w:val="21"/>
              </w:rPr>
            </w:pPr>
            <w:r>
              <w:rPr>
                <w:rFonts w:hint="eastAsia" w:cs="Times New Roman"/>
                <w:color w:val="auto"/>
                <w:szCs w:val="21"/>
                <w:lang w:val="en-US" w:eastAsia="zh-CN"/>
              </w:rPr>
              <w:t>0.2</w:t>
            </w:r>
            <w:r>
              <w:rPr>
                <w:rFonts w:hint="default" w:ascii="Times New Roman" w:hAnsi="Times New Roman" w:eastAsia="宋体" w:cs="Times New Roman"/>
                <w:color w:val="auto"/>
                <w:szCs w:val="21"/>
              </w:rPr>
              <w:t>t/a</w:t>
            </w:r>
          </w:p>
        </w:tc>
        <w:tc>
          <w:tcPr>
            <w:tcW w:w="1446" w:type="dxa"/>
            <w:noWrap w:val="0"/>
            <w:vAlign w:val="center"/>
          </w:tcPr>
          <w:p w14:paraId="1C6ED1A3">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Cs w:val="21"/>
              </w:rPr>
            </w:pPr>
            <w:r>
              <w:rPr>
                <w:rFonts w:hint="eastAsia" w:cs="Times New Roman"/>
                <w:color w:val="auto"/>
                <w:szCs w:val="21"/>
                <w:lang w:val="en-US" w:eastAsia="zh-CN"/>
              </w:rPr>
              <w:t>0.2</w:t>
            </w:r>
            <w:r>
              <w:rPr>
                <w:rFonts w:hint="default" w:ascii="Times New Roman" w:hAnsi="Times New Roman" w:eastAsia="宋体" w:cs="Times New Roman"/>
                <w:color w:val="auto"/>
                <w:szCs w:val="21"/>
              </w:rPr>
              <w:t>t/a</w:t>
            </w:r>
          </w:p>
        </w:tc>
      </w:tr>
      <w:tr w14:paraId="67D57B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326" w:type="dxa"/>
            <w:vMerge w:val="continue"/>
            <w:noWrap w:val="0"/>
            <w:vAlign w:val="center"/>
          </w:tcPr>
          <w:p w14:paraId="31FB29D5">
            <w:pPr>
              <w:pStyle w:val="57"/>
              <w:keepNext w:val="0"/>
              <w:keepLines w:val="0"/>
              <w:pageBreakBefore w:val="0"/>
              <w:kinsoku/>
              <w:wordWrap/>
              <w:overflowPunct/>
              <w:topLinePunct w:val="0"/>
              <w:autoSpaceDE/>
              <w:autoSpaceDN/>
              <w:bidi w:val="0"/>
              <w:adjustRightInd/>
              <w:snapToGrid/>
              <w:spacing w:beforeLines="0" w:afterLines="0" w:line="240" w:lineRule="auto"/>
              <w:textAlignment w:val="auto"/>
              <w:rPr>
                <w:rFonts w:hint="default" w:ascii="Times New Roman" w:hAnsi="Times New Roman" w:eastAsia="宋体" w:cs="Times New Roman"/>
                <w:snapToGrid w:val="0"/>
                <w:color w:val="auto"/>
                <w:kern w:val="21"/>
                <w:szCs w:val="21"/>
              </w:rPr>
            </w:pPr>
          </w:p>
        </w:tc>
        <w:tc>
          <w:tcPr>
            <w:tcW w:w="1679" w:type="dxa"/>
            <w:noWrap w:val="0"/>
            <w:vAlign w:val="center"/>
          </w:tcPr>
          <w:p w14:paraId="384C318D">
            <w:pPr>
              <w:keepNext w:val="0"/>
              <w:keepLines w:val="0"/>
              <w:pageBreakBefore w:val="0"/>
              <w:kinsoku/>
              <w:wordWrap/>
              <w:overflowPunct/>
              <w:topLinePunct w:val="0"/>
              <w:autoSpaceDE/>
              <w:autoSpaceDN/>
              <w:bidi w:val="0"/>
              <w:adjustRightInd/>
              <w:snapToGrid/>
              <w:spacing w:line="0" w:lineRule="atLeast"/>
              <w:jc w:val="center"/>
              <w:textAlignment w:val="auto"/>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破损苫布</w:t>
            </w:r>
          </w:p>
        </w:tc>
        <w:tc>
          <w:tcPr>
            <w:tcW w:w="1701" w:type="dxa"/>
            <w:noWrap w:val="0"/>
            <w:vAlign w:val="center"/>
          </w:tcPr>
          <w:p w14:paraId="5F1153B3">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p>
        </w:tc>
        <w:tc>
          <w:tcPr>
            <w:tcW w:w="1276" w:type="dxa"/>
            <w:noWrap w:val="0"/>
            <w:vAlign w:val="center"/>
          </w:tcPr>
          <w:p w14:paraId="3BBA4D85">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p>
        </w:tc>
        <w:tc>
          <w:tcPr>
            <w:tcW w:w="1701" w:type="dxa"/>
            <w:noWrap w:val="0"/>
            <w:vAlign w:val="center"/>
          </w:tcPr>
          <w:p w14:paraId="325F2F39">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w:t>
            </w:r>
          </w:p>
        </w:tc>
        <w:tc>
          <w:tcPr>
            <w:tcW w:w="1343" w:type="dxa"/>
            <w:noWrap w:val="0"/>
            <w:vAlign w:val="center"/>
          </w:tcPr>
          <w:p w14:paraId="1FFA8373">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0.1</w:t>
            </w:r>
            <w:r>
              <w:rPr>
                <w:rFonts w:hint="default" w:ascii="Times New Roman" w:hAnsi="Times New Roman" w:eastAsia="宋体" w:cs="Times New Roman"/>
                <w:color w:val="auto"/>
                <w:szCs w:val="21"/>
              </w:rPr>
              <w:t>t/a</w:t>
            </w:r>
          </w:p>
        </w:tc>
        <w:tc>
          <w:tcPr>
            <w:tcW w:w="1447" w:type="dxa"/>
            <w:noWrap w:val="0"/>
            <w:vAlign w:val="center"/>
          </w:tcPr>
          <w:p w14:paraId="7B50D00C">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napToGrid w:val="0"/>
                <w:color w:val="auto"/>
                <w:kern w:val="21"/>
                <w:szCs w:val="21"/>
              </w:rPr>
            </w:pPr>
          </w:p>
        </w:tc>
        <w:tc>
          <w:tcPr>
            <w:tcW w:w="1869" w:type="dxa"/>
            <w:noWrap w:val="0"/>
            <w:vAlign w:val="center"/>
          </w:tcPr>
          <w:p w14:paraId="562EDC5E">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Cs w:val="21"/>
              </w:rPr>
            </w:pPr>
            <w:r>
              <w:rPr>
                <w:rFonts w:hint="eastAsia" w:cs="Times New Roman"/>
                <w:color w:val="auto"/>
                <w:szCs w:val="21"/>
                <w:lang w:val="en-US" w:eastAsia="zh-CN"/>
              </w:rPr>
              <w:t>0.1</w:t>
            </w:r>
            <w:r>
              <w:rPr>
                <w:rFonts w:hint="default" w:ascii="Times New Roman" w:hAnsi="Times New Roman" w:eastAsia="宋体" w:cs="Times New Roman"/>
                <w:color w:val="auto"/>
                <w:szCs w:val="21"/>
              </w:rPr>
              <w:t>t/a</w:t>
            </w:r>
          </w:p>
        </w:tc>
        <w:tc>
          <w:tcPr>
            <w:tcW w:w="1446" w:type="dxa"/>
            <w:noWrap w:val="0"/>
            <w:vAlign w:val="center"/>
          </w:tcPr>
          <w:p w14:paraId="6B416E49">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Cs w:val="21"/>
              </w:rPr>
            </w:pPr>
            <w:r>
              <w:rPr>
                <w:rFonts w:hint="eastAsia" w:cs="Times New Roman"/>
                <w:color w:val="auto"/>
                <w:szCs w:val="21"/>
                <w:lang w:val="en-US" w:eastAsia="zh-CN"/>
              </w:rPr>
              <w:t>0.1</w:t>
            </w:r>
            <w:r>
              <w:rPr>
                <w:rFonts w:hint="default" w:ascii="Times New Roman" w:hAnsi="Times New Roman" w:eastAsia="宋体" w:cs="Times New Roman"/>
                <w:color w:val="auto"/>
                <w:szCs w:val="21"/>
              </w:rPr>
              <w:t>t/a</w:t>
            </w:r>
          </w:p>
        </w:tc>
      </w:tr>
    </w:tbl>
    <w:p w14:paraId="475F9550">
      <w:pPr>
        <w:pStyle w:val="57"/>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420"/>
        <w:jc w:val="left"/>
        <w:textAlignment w:val="auto"/>
        <w:rPr>
          <w:rFonts w:hint="default" w:ascii="Times New Roman" w:hAnsi="Times New Roman" w:eastAsia="宋体" w:cs="Times New Roman"/>
          <w:color w:val="auto"/>
        </w:rPr>
      </w:pPr>
      <w:r>
        <w:rPr>
          <w:rFonts w:hint="default" w:ascii="Times New Roman" w:hAnsi="Times New Roman" w:eastAsia="宋体" w:cs="Times New Roman"/>
          <w:snapToGrid w:val="0"/>
          <w:color w:val="auto"/>
          <w:kern w:val="21"/>
          <w:szCs w:val="21"/>
        </w:rPr>
        <w:t>注：</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3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③</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4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④</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5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⑤</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7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⑦</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p>
    <w:p w14:paraId="561755BE">
      <w:pPr>
        <w:rPr>
          <w:rFonts w:hint="default" w:ascii="Times New Roman" w:hAnsi="Times New Roman" w:eastAsia="宋体" w:cs="Times New Roman"/>
          <w:color w:val="auto"/>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4A73841">
      <w:pPr>
        <w:pStyle w:val="2"/>
        <w:outlineLvl w:val="0"/>
        <w:rPr>
          <w:rFonts w:hint="default" w:ascii="Times New Roman" w:hAnsi="Times New Roman" w:eastAsia="宋体" w:cs="Times New Roman"/>
          <w:b/>
          <w:bCs/>
          <w:snapToGrid w:val="0"/>
          <w:color w:val="auto"/>
          <w:sz w:val="30"/>
          <w:szCs w:val="30"/>
        </w:rPr>
      </w:pPr>
      <w:bookmarkStart w:id="36" w:name="_Toc81"/>
      <w:r>
        <w:rPr>
          <w:rFonts w:hint="default" w:ascii="Times New Roman" w:hAnsi="Times New Roman" w:eastAsia="宋体" w:cs="Times New Roman"/>
          <w:b/>
          <w:bCs/>
          <w:snapToGrid w:val="0"/>
          <w:color w:val="auto"/>
          <w:sz w:val="30"/>
          <w:szCs w:val="30"/>
        </w:rPr>
        <w:t>附图1 地理位置图</w:t>
      </w:r>
      <w:bookmarkEnd w:id="36"/>
    </w:p>
    <w:p w14:paraId="5B3A9127">
      <w:pPr>
        <w:pStyle w:val="2"/>
        <w:jc w:val="center"/>
        <w:rPr>
          <w:rFonts w:hint="default" w:ascii="Times New Roman" w:hAnsi="Times New Roman" w:eastAsia="宋体" w:cs="Times New Roman"/>
          <w:snapToGrid w:val="0"/>
          <w:color w:val="auto"/>
          <w:sz w:val="30"/>
          <w:szCs w:val="30"/>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rPr>
        <w:drawing>
          <wp:anchor distT="0" distB="0" distL="0" distR="0" simplePos="0" relativeHeight="251663360" behindDoc="0" locked="0" layoutInCell="1" allowOverlap="1">
            <wp:simplePos x="0" y="0"/>
            <wp:positionH relativeFrom="column">
              <wp:posOffset>8067040</wp:posOffset>
            </wp:positionH>
            <wp:positionV relativeFrom="paragraph">
              <wp:posOffset>21590</wp:posOffset>
            </wp:positionV>
            <wp:extent cx="429895" cy="574040"/>
            <wp:effectExtent l="12700" t="12700" r="14605" b="22860"/>
            <wp:wrapNone/>
            <wp:docPr id="2" name="图片 168" descr="指北针"/>
            <wp:cNvGraphicFramePr/>
            <a:graphic xmlns:a="http://schemas.openxmlformats.org/drawingml/2006/main">
              <a:graphicData uri="http://schemas.openxmlformats.org/drawingml/2006/picture">
                <pic:pic xmlns:pic="http://schemas.openxmlformats.org/drawingml/2006/picture">
                  <pic:nvPicPr>
                    <pic:cNvPr id="2" name="图片 168" descr="指北针"/>
                    <pic:cNvPicPr/>
                  </pic:nvPicPr>
                  <pic:blipFill>
                    <a:blip r:embed="rId27"/>
                    <a:stretch>
                      <a:fillRect/>
                    </a:stretch>
                  </pic:blipFill>
                  <pic:spPr>
                    <a:xfrm>
                      <a:off x="0" y="0"/>
                      <a:ext cx="429895" cy="574040"/>
                    </a:xfrm>
                    <a:prstGeom prst="rect">
                      <a:avLst/>
                    </a:prstGeom>
                    <a:noFill/>
                    <a:ln w="12700" cap="flat" cmpd="sng">
                      <a:solidFill>
                        <a:srgbClr val="000000"/>
                      </a:solidFill>
                      <a:prstDash val="solid"/>
                      <a:round/>
                      <a:headEnd type="none" w="med" len="med"/>
                      <a:tailEnd type="none" w="med" len="med"/>
                    </a:ln>
                  </pic:spPr>
                </pic:pic>
              </a:graphicData>
            </a:graphic>
          </wp:anchor>
        </w:drawing>
      </w:r>
      <w:r>
        <w:rPr>
          <w:color w:val="auto"/>
        </w:rPr>
        <w:drawing>
          <wp:inline distT="0" distB="0" distL="114300" distR="114300">
            <wp:extent cx="8522335" cy="4302125"/>
            <wp:effectExtent l="0" t="0" r="12065" b="3175"/>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8"/>
                    <a:stretch>
                      <a:fillRect/>
                    </a:stretch>
                  </pic:blipFill>
                  <pic:spPr>
                    <a:xfrm>
                      <a:off x="0" y="0"/>
                      <a:ext cx="8522335" cy="4302125"/>
                    </a:xfrm>
                    <a:prstGeom prst="rect">
                      <a:avLst/>
                    </a:prstGeom>
                    <a:noFill/>
                    <a:ln>
                      <a:noFill/>
                    </a:ln>
                  </pic:spPr>
                </pic:pic>
              </a:graphicData>
            </a:graphic>
          </wp:inline>
        </w:drawing>
      </w:r>
    </w:p>
    <w:p w14:paraId="47134665">
      <w:pPr>
        <w:pStyle w:val="2"/>
        <w:outlineLvl w:val="0"/>
        <w:rPr>
          <w:rFonts w:hint="eastAsia" w:ascii="Times New Roman" w:hAnsi="Times New Roman" w:eastAsia="宋体" w:cs="Times New Roman"/>
          <w:b/>
          <w:bCs/>
          <w:snapToGrid w:val="0"/>
          <w:color w:val="auto"/>
          <w:sz w:val="30"/>
          <w:szCs w:val="30"/>
          <w:highlight w:val="none"/>
          <w:lang w:eastAsia="zh-CN"/>
        </w:rPr>
      </w:pPr>
      <w:bookmarkStart w:id="37" w:name="_Toc5408"/>
      <w:r>
        <w:rPr>
          <w:rFonts w:hint="default" w:ascii="Times New Roman" w:hAnsi="Times New Roman" w:eastAsia="宋体" w:cs="Times New Roman"/>
          <w:b/>
          <w:bCs/>
          <w:snapToGrid w:val="0"/>
          <w:color w:val="auto"/>
          <w:sz w:val="30"/>
          <w:szCs w:val="30"/>
          <w:highlight w:val="none"/>
        </w:rPr>
        <w:t>附图</w:t>
      </w:r>
      <w:r>
        <w:rPr>
          <w:rFonts w:hint="eastAsia" w:ascii="Times New Roman" w:hAnsi="Times New Roman" w:eastAsia="宋体" w:cs="Times New Roman"/>
          <w:b/>
          <w:bCs/>
          <w:snapToGrid w:val="0"/>
          <w:color w:val="auto"/>
          <w:sz w:val="30"/>
          <w:szCs w:val="30"/>
          <w:highlight w:val="none"/>
          <w:lang w:val="en-US" w:eastAsia="zh-CN"/>
        </w:rPr>
        <w:t>2</w:t>
      </w:r>
      <w:r>
        <w:rPr>
          <w:rFonts w:hint="default" w:ascii="Times New Roman" w:hAnsi="Times New Roman" w:eastAsia="宋体" w:cs="Times New Roman"/>
          <w:b/>
          <w:bCs/>
          <w:snapToGrid w:val="0"/>
          <w:color w:val="auto"/>
          <w:sz w:val="30"/>
          <w:szCs w:val="30"/>
          <w:highlight w:val="none"/>
        </w:rPr>
        <w:t xml:space="preserve"> </w:t>
      </w:r>
      <w:r>
        <w:rPr>
          <w:rFonts w:hint="eastAsia" w:ascii="Times New Roman" w:hAnsi="Times New Roman" w:eastAsia="宋体" w:cs="Times New Roman"/>
          <w:b/>
          <w:bCs/>
          <w:snapToGrid w:val="0"/>
          <w:color w:val="auto"/>
          <w:sz w:val="30"/>
          <w:szCs w:val="30"/>
          <w:highlight w:val="none"/>
          <w:lang w:eastAsia="zh-CN"/>
        </w:rPr>
        <w:t>项目周边环境示意图</w:t>
      </w:r>
    </w:p>
    <w:p w14:paraId="09981030">
      <w:pPr>
        <w:rPr>
          <w:color w:val="auto"/>
        </w:rPr>
      </w:pPr>
      <w:r>
        <w:rPr>
          <w:rFonts w:ascii="Times New Roman" w:hAnsi="Times New Roman" w:cs="Times New Roman"/>
          <w:color w:val="auto"/>
        </w:rPr>
        <mc:AlternateContent>
          <mc:Choice Requires="wps">
            <w:drawing>
              <wp:anchor distT="0" distB="0" distL="114300" distR="114300" simplePos="0" relativeHeight="251683840" behindDoc="0" locked="0" layoutInCell="1" allowOverlap="1">
                <wp:simplePos x="0" y="0"/>
                <wp:positionH relativeFrom="column">
                  <wp:posOffset>5089525</wp:posOffset>
                </wp:positionH>
                <wp:positionV relativeFrom="paragraph">
                  <wp:posOffset>1715770</wp:posOffset>
                </wp:positionV>
                <wp:extent cx="1219200" cy="572135"/>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219200" cy="572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CB2434">
                            <w:pPr>
                              <w:rPr>
                                <w:lang w:eastAsia="zh-CN"/>
                              </w:rPr>
                            </w:pPr>
                            <w:r>
                              <w:rPr>
                                <w:rFonts w:hint="eastAsia"/>
                                <w:color w:val="FFFF00"/>
                                <w:sz w:val="44"/>
                                <w:szCs w:val="44"/>
                                <w:lang w:eastAsia="zh-CN"/>
                              </w:rPr>
                              <w:t>型煤厂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0.75pt;margin-top:135.1pt;height:45.05pt;width:96pt;z-index:251683840;mso-width-relative:page;mso-height-relative:page;" filled="f" stroked="f" coordsize="21600,21600" o:gfxdata="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&#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lwFbk3AAAAAsBAAAPAAAAAAAAAAEAIAAAACIAAABk&#10;cnMvZG93bnJldi54bWxQSwECFAAUAAAACACHTuJAnAFgTDsCAABoBAAADgAAAAAAAAABACAAAAAr&#10;AQAAZHJzL2Uyb0RvYy54bWxQSwUGAAAAAAYABgBZAQAA2AUAAAAA&#10;">
                <v:fill on="f" focussize="0,0"/>
                <v:stroke on="f" weight="0.5pt"/>
                <v:imagedata o:title=""/>
                <o:lock v:ext="edit" aspectratio="f"/>
                <v:textbox>
                  <w:txbxContent>
                    <w:p w14:paraId="09CB2434">
                      <w:pPr>
                        <w:rPr>
                          <w:lang w:eastAsia="zh-CN"/>
                        </w:rPr>
                      </w:pPr>
                      <w:r>
                        <w:rPr>
                          <w:rFonts w:hint="eastAsia"/>
                          <w:color w:val="FFFF00"/>
                          <w:sz w:val="44"/>
                          <w:szCs w:val="44"/>
                          <w:lang w:eastAsia="zh-CN"/>
                        </w:rPr>
                        <w:t>型煤厂</w:t>
                      </w:r>
                    </w:p>
                  </w:txbxContent>
                </v:textbox>
              </v:shape>
            </w:pict>
          </mc:Fallback>
        </mc:AlternateContent>
      </w:r>
      <w:r>
        <w:rPr>
          <w:rFonts w:ascii="Times New Roman" w:hAnsi="Times New Roman" w:cs="Times New Roman"/>
          <w:color w:val="auto"/>
        </w:rPr>
        <mc:AlternateContent>
          <mc:Choice Requires="wps">
            <w:drawing>
              <wp:anchor distT="0" distB="0" distL="114300" distR="114300" simplePos="0" relativeHeight="251680768" behindDoc="0" locked="0" layoutInCell="1" allowOverlap="1">
                <wp:simplePos x="0" y="0"/>
                <wp:positionH relativeFrom="column">
                  <wp:posOffset>3500120</wp:posOffset>
                </wp:positionH>
                <wp:positionV relativeFrom="paragraph">
                  <wp:posOffset>852805</wp:posOffset>
                </wp:positionV>
                <wp:extent cx="863600" cy="57213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863600" cy="572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840BDE">
                            <w:pPr>
                              <w:rPr>
                                <w:lang w:eastAsia="zh-CN"/>
                              </w:rPr>
                            </w:pPr>
                            <w:r>
                              <w:rPr>
                                <w:rFonts w:hint="eastAsia"/>
                                <w:color w:val="FFFF00"/>
                                <w:sz w:val="44"/>
                                <w:szCs w:val="44"/>
                                <w:lang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6pt;margin-top:67.15pt;height:45.05pt;width:68pt;z-index:251680768;mso-width-relative:page;mso-height-relative:page;" filled="f" stroked="f" coordsize="21600,21600" o:gfxdata="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ZzRdTbAAAACwEAAA8AAAAAAAAAAQAgAAAAIgAAAGRy&#10;cy9kb3ducmV2LnhtbFBLAQIUABQAAAAIAIdO4kBnuIjfOwIAAGcEAAAOAAAAAAAAAAEAIAAAACoB&#10;AABkcnMvZTJvRG9jLnhtbFBLBQYAAAAABgAGAFkBAADXBQAAAAA=&#10;">
                <v:fill on="f" focussize="0,0"/>
                <v:stroke on="f" weight="0.5pt"/>
                <v:imagedata o:title=""/>
                <o:lock v:ext="edit" aspectratio="f"/>
                <v:textbox>
                  <w:txbxContent>
                    <w:p w14:paraId="6D840BDE">
                      <w:pPr>
                        <w:rPr>
                          <w:lang w:eastAsia="zh-CN"/>
                        </w:rPr>
                      </w:pPr>
                      <w:r>
                        <w:rPr>
                          <w:rFonts w:hint="eastAsia"/>
                          <w:color w:val="FFFF00"/>
                          <w:sz w:val="44"/>
                          <w:szCs w:val="44"/>
                          <w:lang w:eastAsia="zh-CN"/>
                        </w:rPr>
                        <w:t>空地</w:t>
                      </w:r>
                    </w:p>
                  </w:txbxContent>
                </v:textbox>
              </v:shape>
            </w:pict>
          </mc:Fallback>
        </mc:AlternateContent>
      </w:r>
      <w:r>
        <w:rPr>
          <w:rFonts w:ascii="Times New Roman" w:hAnsi="Times New Roman" w:cs="Times New Roman"/>
          <w:color w:val="auto"/>
        </w:rPr>
        <mc:AlternateContent>
          <mc:Choice Requires="wps">
            <w:drawing>
              <wp:anchor distT="0" distB="0" distL="114300" distR="114300" simplePos="0" relativeHeight="251682816" behindDoc="0" locked="0" layoutInCell="1" allowOverlap="1">
                <wp:simplePos x="0" y="0"/>
                <wp:positionH relativeFrom="column">
                  <wp:posOffset>3571875</wp:posOffset>
                </wp:positionH>
                <wp:positionV relativeFrom="paragraph">
                  <wp:posOffset>2991485</wp:posOffset>
                </wp:positionV>
                <wp:extent cx="863600" cy="57213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863600" cy="572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5BA011">
                            <w:pPr>
                              <w:rPr>
                                <w:lang w:eastAsia="zh-CN"/>
                              </w:rPr>
                            </w:pPr>
                            <w:r>
                              <w:rPr>
                                <w:rFonts w:hint="eastAsia"/>
                                <w:color w:val="FFFF00"/>
                                <w:sz w:val="44"/>
                                <w:szCs w:val="44"/>
                                <w:lang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1.25pt;margin-top:235.55pt;height:45.05pt;width:68pt;z-index:251682816;mso-width-relative:page;mso-height-relative:page;" filled="f" stroked="f" coordsize="21600,21600" o:gfxdata="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1zjbrbAAAACwEAAA8AAAAAAAAAAQAgAAAAIgAAAGRy&#10;cy9kb3ducmV2LnhtbFBLAQIUABQAAAAIAIdO4kCsUk/rOwIAAGcEAAAOAAAAAAAAAAEAIAAAACoB&#10;AABkcnMvZTJvRG9jLnhtbFBLBQYAAAAABgAGAFkBAADXBQAAAAA=&#10;">
                <v:fill on="f" focussize="0,0"/>
                <v:stroke on="f" weight="0.5pt"/>
                <v:imagedata o:title=""/>
                <o:lock v:ext="edit" aspectratio="f"/>
                <v:textbox>
                  <w:txbxContent>
                    <w:p w14:paraId="4E5BA011">
                      <w:pPr>
                        <w:rPr>
                          <w:lang w:eastAsia="zh-CN"/>
                        </w:rPr>
                      </w:pPr>
                      <w:r>
                        <w:rPr>
                          <w:rFonts w:hint="eastAsia"/>
                          <w:color w:val="FFFF00"/>
                          <w:sz w:val="44"/>
                          <w:szCs w:val="44"/>
                          <w:lang w:eastAsia="zh-CN"/>
                        </w:rPr>
                        <w:t>空地</w:t>
                      </w:r>
                    </w:p>
                  </w:txbxContent>
                </v:textbox>
              </v:shape>
            </w:pict>
          </mc:Fallback>
        </mc:AlternateContent>
      </w:r>
      <w:r>
        <w:rPr>
          <w:rFonts w:ascii="Times New Roman" w:hAnsi="Times New Roman" w:cs="Times New Roman"/>
          <w:color w:val="auto"/>
        </w:rPr>
        <mc:AlternateContent>
          <mc:Choice Requires="wps">
            <w:drawing>
              <wp:anchor distT="0" distB="0" distL="114300" distR="114300" simplePos="0" relativeHeight="251681792" behindDoc="0" locked="0" layoutInCell="1" allowOverlap="1">
                <wp:simplePos x="0" y="0"/>
                <wp:positionH relativeFrom="column">
                  <wp:posOffset>2021840</wp:posOffset>
                </wp:positionH>
                <wp:positionV relativeFrom="paragraph">
                  <wp:posOffset>1764665</wp:posOffset>
                </wp:positionV>
                <wp:extent cx="863600" cy="572135"/>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863600" cy="572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673CF4">
                            <w:pPr>
                              <w:rPr>
                                <w:lang w:eastAsia="zh-CN"/>
                              </w:rPr>
                            </w:pPr>
                            <w:r>
                              <w:rPr>
                                <w:rFonts w:hint="eastAsia"/>
                                <w:color w:val="FFFF00"/>
                                <w:sz w:val="44"/>
                                <w:szCs w:val="44"/>
                                <w:lang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2pt;margin-top:138.95pt;height:45.05pt;width:68pt;z-index:251681792;mso-width-relative:page;mso-height-relative:page;" filled="f" stroked="f" coordsize="21600,21600" o:gfxdata="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&#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6pXAP3AAAAAsBAAAPAAAAAAAAAAEAIAAAACIAAABk&#10;cnMvZG93bnJldi54bWxQSwECFAAUAAAACACHTuJA9i2MAzsCAABnBAAADgAAAAAAAAABACAAAAAr&#10;AQAAZHJzL2Uyb0RvYy54bWxQSwUGAAAAAAYABgBZAQAA2AUAAAAA&#10;">
                <v:fill on="f" focussize="0,0"/>
                <v:stroke on="f" weight="0.5pt"/>
                <v:imagedata o:title=""/>
                <o:lock v:ext="edit" aspectratio="f"/>
                <v:textbox>
                  <w:txbxContent>
                    <w:p w14:paraId="06673CF4">
                      <w:pPr>
                        <w:rPr>
                          <w:lang w:eastAsia="zh-CN"/>
                        </w:rPr>
                      </w:pPr>
                      <w:r>
                        <w:rPr>
                          <w:rFonts w:hint="eastAsia"/>
                          <w:color w:val="FFFF00"/>
                          <w:sz w:val="44"/>
                          <w:szCs w:val="44"/>
                          <w:lang w:eastAsia="zh-CN"/>
                        </w:rPr>
                        <w:t>空地</w:t>
                      </w:r>
                    </w:p>
                  </w:txbxContent>
                </v:textbox>
              </v:shape>
            </w:pict>
          </mc:Fallback>
        </mc:AlternateContent>
      </w:r>
      <w:r>
        <w:rPr>
          <w:color w:val="auto"/>
        </w:rPr>
        <w:drawing>
          <wp:inline distT="0" distB="0" distL="114300" distR="114300">
            <wp:extent cx="8521700" cy="4341495"/>
            <wp:effectExtent l="0" t="0" r="12700" b="1905"/>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29"/>
                    <a:srcRect t="2773"/>
                    <a:stretch>
                      <a:fillRect/>
                    </a:stretch>
                  </pic:blipFill>
                  <pic:spPr>
                    <a:xfrm>
                      <a:off x="0" y="0"/>
                      <a:ext cx="8521700" cy="4341495"/>
                    </a:xfrm>
                    <a:prstGeom prst="rect">
                      <a:avLst/>
                    </a:prstGeom>
                    <a:noFill/>
                    <a:ln>
                      <a:noFill/>
                    </a:ln>
                  </pic:spPr>
                </pic:pic>
              </a:graphicData>
            </a:graphic>
          </wp:inline>
        </w:drawing>
      </w:r>
    </w:p>
    <w:p w14:paraId="3D49B1A4">
      <w:pPr>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b/>
          <w:bCs/>
          <w:snapToGrid w:val="0"/>
          <w:color w:val="auto"/>
          <w:sz w:val="30"/>
          <w:szCs w:val="30"/>
        </w:rPr>
        <w:br w:type="page"/>
      </w:r>
    </w:p>
    <w:p w14:paraId="1562F22B">
      <w:pPr>
        <w:pStyle w:val="2"/>
        <w:outlineLvl w:val="0"/>
        <w:rPr>
          <w:rFonts w:hint="default" w:ascii="Times New Roman" w:hAnsi="Times New Roman" w:eastAsia="宋体" w:cs="Times New Roman"/>
          <w:b/>
          <w:bCs/>
          <w:snapToGrid w:val="0"/>
          <w:color w:val="auto"/>
          <w:sz w:val="30"/>
          <w:szCs w:val="30"/>
          <w:highlight w:val="none"/>
        </w:rPr>
      </w:pPr>
      <w:r>
        <w:rPr>
          <w:rFonts w:hint="default" w:ascii="Times New Roman" w:hAnsi="Times New Roman" w:eastAsia="宋体" w:cs="Times New Roman"/>
          <w:b/>
          <w:bCs/>
          <w:snapToGrid w:val="0"/>
          <w:color w:val="auto"/>
          <w:sz w:val="30"/>
          <w:szCs w:val="30"/>
          <w:highlight w:val="none"/>
        </w:rPr>
        <w:t>附图</w:t>
      </w:r>
      <w:r>
        <w:rPr>
          <w:rFonts w:hint="eastAsia" w:cs="Times New Roman"/>
          <w:b/>
          <w:bCs/>
          <w:snapToGrid w:val="0"/>
          <w:color w:val="auto"/>
          <w:sz w:val="30"/>
          <w:szCs w:val="30"/>
          <w:highlight w:val="none"/>
          <w:lang w:val="en-US" w:eastAsia="zh-CN"/>
        </w:rPr>
        <w:t>3</w:t>
      </w:r>
      <w:r>
        <w:rPr>
          <w:rFonts w:hint="default" w:ascii="Times New Roman" w:hAnsi="Times New Roman" w:eastAsia="宋体" w:cs="Times New Roman"/>
          <w:b/>
          <w:bCs/>
          <w:snapToGrid w:val="0"/>
          <w:color w:val="auto"/>
          <w:sz w:val="30"/>
          <w:szCs w:val="30"/>
          <w:highlight w:val="none"/>
        </w:rPr>
        <w:t xml:space="preserve"> 项目四</w:t>
      </w:r>
      <w:r>
        <w:rPr>
          <w:rFonts w:hint="default" w:ascii="Times New Roman" w:hAnsi="Times New Roman" w:eastAsia="宋体" w:cs="Times New Roman"/>
          <w:b/>
          <w:bCs/>
          <w:snapToGrid w:val="0"/>
          <w:color w:val="auto"/>
          <w:sz w:val="30"/>
          <w:szCs w:val="30"/>
          <w:highlight w:val="none"/>
          <w:lang w:eastAsia="zh-CN"/>
        </w:rPr>
        <w:t>周</w:t>
      </w:r>
      <w:r>
        <w:rPr>
          <w:rFonts w:hint="default" w:ascii="Times New Roman" w:hAnsi="Times New Roman" w:eastAsia="宋体" w:cs="Times New Roman"/>
          <w:b/>
          <w:bCs/>
          <w:snapToGrid w:val="0"/>
          <w:color w:val="auto"/>
          <w:sz w:val="30"/>
          <w:szCs w:val="30"/>
          <w:highlight w:val="none"/>
        </w:rPr>
        <w:t>图</w:t>
      </w:r>
      <w:bookmarkEnd w:id="37"/>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85"/>
        <w:gridCol w:w="5297"/>
      </w:tblGrid>
      <w:tr w14:paraId="56147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85" w:type="dxa"/>
            <w:noWrap w:val="0"/>
            <w:vAlign w:val="center"/>
          </w:tcPr>
          <w:p w14:paraId="1EA402A9">
            <w:pPr>
              <w:pStyle w:val="3"/>
              <w:numPr>
                <w:ilvl w:val="0"/>
                <w:numId w:val="0"/>
              </w:numPr>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3217545" cy="2412365"/>
                  <wp:effectExtent l="0" t="0" r="1905" b="6985"/>
                  <wp:docPr id="54" name="图片 54"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东"/>
                          <pic:cNvPicPr>
                            <a:picLocks noChangeAspect="1"/>
                          </pic:cNvPicPr>
                        </pic:nvPicPr>
                        <pic:blipFill>
                          <a:blip r:embed="rId30"/>
                          <a:stretch>
                            <a:fillRect/>
                          </a:stretch>
                        </pic:blipFill>
                        <pic:spPr>
                          <a:xfrm>
                            <a:off x="0" y="0"/>
                            <a:ext cx="3217545" cy="2412365"/>
                          </a:xfrm>
                          <a:prstGeom prst="rect">
                            <a:avLst/>
                          </a:prstGeom>
                        </pic:spPr>
                      </pic:pic>
                    </a:graphicData>
                  </a:graphic>
                </wp:inline>
              </w:drawing>
            </w:r>
          </w:p>
        </w:tc>
        <w:tc>
          <w:tcPr>
            <w:tcW w:w="5297" w:type="dxa"/>
            <w:noWrap w:val="0"/>
            <w:vAlign w:val="center"/>
          </w:tcPr>
          <w:p w14:paraId="412A60F1">
            <w:pPr>
              <w:pStyle w:val="3"/>
              <w:numPr>
                <w:ilvl w:val="0"/>
                <w:numId w:val="0"/>
              </w:numPr>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3217545" cy="2412365"/>
                  <wp:effectExtent l="0" t="0" r="1905" b="6985"/>
                  <wp:docPr id="57" name="图片 57"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南"/>
                          <pic:cNvPicPr>
                            <a:picLocks noChangeAspect="1"/>
                          </pic:cNvPicPr>
                        </pic:nvPicPr>
                        <pic:blipFill>
                          <a:blip r:embed="rId31"/>
                          <a:stretch>
                            <a:fillRect/>
                          </a:stretch>
                        </pic:blipFill>
                        <pic:spPr>
                          <a:xfrm>
                            <a:off x="0" y="0"/>
                            <a:ext cx="3217545" cy="2412365"/>
                          </a:xfrm>
                          <a:prstGeom prst="rect">
                            <a:avLst/>
                          </a:prstGeom>
                        </pic:spPr>
                      </pic:pic>
                    </a:graphicData>
                  </a:graphic>
                </wp:inline>
              </w:drawing>
            </w:r>
          </w:p>
        </w:tc>
      </w:tr>
      <w:tr w14:paraId="7944C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85" w:type="dxa"/>
            <w:noWrap w:val="0"/>
            <w:vAlign w:val="center"/>
          </w:tcPr>
          <w:p w14:paraId="6FD1DBE5">
            <w:pPr>
              <w:pStyle w:val="3"/>
              <w:numPr>
                <w:ilvl w:val="0"/>
                <w:numId w:val="0"/>
              </w:numPr>
              <w:jc w:val="center"/>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东</w:t>
            </w:r>
          </w:p>
        </w:tc>
        <w:tc>
          <w:tcPr>
            <w:tcW w:w="5297" w:type="dxa"/>
            <w:noWrap w:val="0"/>
            <w:vAlign w:val="center"/>
          </w:tcPr>
          <w:p w14:paraId="25C61BF6">
            <w:pPr>
              <w:pStyle w:val="3"/>
              <w:numPr>
                <w:ilvl w:val="0"/>
                <w:numId w:val="0"/>
              </w:num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南</w:t>
            </w:r>
          </w:p>
        </w:tc>
      </w:tr>
      <w:tr w14:paraId="15FFF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85" w:type="dxa"/>
            <w:noWrap w:val="0"/>
            <w:vAlign w:val="center"/>
          </w:tcPr>
          <w:p w14:paraId="57A72064">
            <w:pPr>
              <w:pStyle w:val="3"/>
              <w:numPr>
                <w:ilvl w:val="0"/>
                <w:numId w:val="0"/>
              </w:numPr>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3217545" cy="2412365"/>
                  <wp:effectExtent l="0" t="0" r="1905" b="6985"/>
                  <wp:docPr id="58" name="图片 58" descr="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西"/>
                          <pic:cNvPicPr>
                            <a:picLocks noChangeAspect="1"/>
                          </pic:cNvPicPr>
                        </pic:nvPicPr>
                        <pic:blipFill>
                          <a:blip r:embed="rId32"/>
                          <a:stretch>
                            <a:fillRect/>
                          </a:stretch>
                        </pic:blipFill>
                        <pic:spPr>
                          <a:xfrm>
                            <a:off x="0" y="0"/>
                            <a:ext cx="3217545" cy="2412365"/>
                          </a:xfrm>
                          <a:prstGeom prst="rect">
                            <a:avLst/>
                          </a:prstGeom>
                        </pic:spPr>
                      </pic:pic>
                    </a:graphicData>
                  </a:graphic>
                </wp:inline>
              </w:drawing>
            </w:r>
          </w:p>
        </w:tc>
        <w:tc>
          <w:tcPr>
            <w:tcW w:w="5297" w:type="dxa"/>
            <w:noWrap w:val="0"/>
            <w:vAlign w:val="center"/>
          </w:tcPr>
          <w:p w14:paraId="0DB4897A">
            <w:pPr>
              <w:pStyle w:val="3"/>
              <w:numPr>
                <w:ilvl w:val="0"/>
                <w:numId w:val="0"/>
              </w:numPr>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3217545" cy="2412365"/>
                  <wp:effectExtent l="0" t="0" r="1905" b="6985"/>
                  <wp:docPr id="56" name="图片 56"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北"/>
                          <pic:cNvPicPr>
                            <a:picLocks noChangeAspect="1"/>
                          </pic:cNvPicPr>
                        </pic:nvPicPr>
                        <pic:blipFill>
                          <a:blip r:embed="rId33"/>
                          <a:stretch>
                            <a:fillRect/>
                          </a:stretch>
                        </pic:blipFill>
                        <pic:spPr>
                          <a:xfrm>
                            <a:off x="0" y="0"/>
                            <a:ext cx="3217545" cy="2412365"/>
                          </a:xfrm>
                          <a:prstGeom prst="rect">
                            <a:avLst/>
                          </a:prstGeom>
                        </pic:spPr>
                      </pic:pic>
                    </a:graphicData>
                  </a:graphic>
                </wp:inline>
              </w:drawing>
            </w:r>
          </w:p>
        </w:tc>
      </w:tr>
      <w:tr w14:paraId="77F72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85" w:type="dxa"/>
            <w:noWrap w:val="0"/>
            <w:vAlign w:val="center"/>
          </w:tcPr>
          <w:p w14:paraId="03FB2327">
            <w:pPr>
              <w:pStyle w:val="3"/>
              <w:numPr>
                <w:ilvl w:val="0"/>
                <w:numId w:val="0"/>
              </w:num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西</w:t>
            </w:r>
          </w:p>
        </w:tc>
        <w:tc>
          <w:tcPr>
            <w:tcW w:w="5297" w:type="dxa"/>
            <w:noWrap w:val="0"/>
            <w:vAlign w:val="center"/>
          </w:tcPr>
          <w:p w14:paraId="42C88FC8">
            <w:pPr>
              <w:pStyle w:val="3"/>
              <w:numPr>
                <w:ilvl w:val="0"/>
                <w:numId w:val="0"/>
              </w:numPr>
              <w:jc w:val="center"/>
              <w:rPr>
                <w:rFonts w:hint="default" w:ascii="Times New Roman" w:hAnsi="Times New Roman" w:eastAsia="宋体" w:cs="Times New Roman"/>
                <w:color w:val="auto"/>
              </w:rPr>
            </w:pPr>
            <w:r>
              <w:rPr>
                <w:rFonts w:hint="default" w:ascii="Times New Roman" w:hAnsi="Times New Roman" w:eastAsia="宋体" w:cs="Times New Roman"/>
                <w:color w:val="auto"/>
              </w:rPr>
              <w:t>北</w:t>
            </w:r>
          </w:p>
        </w:tc>
      </w:tr>
    </w:tbl>
    <w:p w14:paraId="65A495A7">
      <w:pPr>
        <w:pStyle w:val="3"/>
        <w:numPr>
          <w:ilvl w:val="0"/>
          <w:numId w:val="0"/>
        </w:numPr>
        <w:rPr>
          <w:rFonts w:hint="default" w:ascii="Times New Roman" w:hAnsi="Times New Roman" w:eastAsia="宋体" w:cs="Times New Roman"/>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04D36C94">
      <w:pPr>
        <w:pStyle w:val="2"/>
        <w:outlineLvl w:val="0"/>
        <w:rPr>
          <w:rFonts w:hint="eastAsia" w:ascii="Times New Roman" w:hAnsi="Times New Roman" w:eastAsia="宋体" w:cs="Times New Roman"/>
          <w:b/>
          <w:bCs/>
          <w:snapToGrid w:val="0"/>
          <w:color w:val="auto"/>
          <w:sz w:val="30"/>
          <w:szCs w:val="30"/>
          <w:highlight w:val="none"/>
          <w:lang w:eastAsia="zh-CN"/>
        </w:rPr>
      </w:pPr>
      <w:bookmarkStart w:id="38" w:name="_Toc13717"/>
      <w:r>
        <w:rPr>
          <w:rFonts w:hint="default" w:ascii="Times New Roman" w:hAnsi="Times New Roman" w:eastAsia="宋体" w:cs="Times New Roman"/>
          <w:b/>
          <w:bCs/>
          <w:snapToGrid w:val="0"/>
          <w:color w:val="auto"/>
          <w:sz w:val="30"/>
          <w:szCs w:val="30"/>
          <w:highlight w:val="none"/>
        </w:rPr>
        <w:t>附图</w:t>
      </w:r>
      <w:r>
        <w:rPr>
          <w:rFonts w:hint="eastAsia" w:ascii="Times New Roman" w:hAnsi="Times New Roman" w:eastAsia="宋体" w:cs="Times New Roman"/>
          <w:b/>
          <w:bCs/>
          <w:snapToGrid w:val="0"/>
          <w:color w:val="auto"/>
          <w:sz w:val="30"/>
          <w:szCs w:val="30"/>
          <w:highlight w:val="none"/>
          <w:lang w:val="en-US" w:eastAsia="zh-CN"/>
        </w:rPr>
        <w:t>4</w:t>
      </w:r>
      <w:r>
        <w:rPr>
          <w:rFonts w:hint="default" w:ascii="Times New Roman" w:hAnsi="Times New Roman" w:eastAsia="宋体" w:cs="Times New Roman"/>
          <w:b/>
          <w:bCs/>
          <w:snapToGrid w:val="0"/>
          <w:color w:val="auto"/>
          <w:sz w:val="30"/>
          <w:szCs w:val="30"/>
          <w:highlight w:val="none"/>
        </w:rPr>
        <w:t xml:space="preserve"> </w:t>
      </w:r>
      <w:r>
        <w:rPr>
          <w:rFonts w:hint="eastAsia" w:ascii="Times New Roman" w:hAnsi="Times New Roman" w:eastAsia="宋体" w:cs="Times New Roman"/>
          <w:b/>
          <w:bCs/>
          <w:snapToGrid w:val="0"/>
          <w:color w:val="auto"/>
          <w:sz w:val="30"/>
          <w:szCs w:val="30"/>
          <w:highlight w:val="none"/>
          <w:lang w:eastAsia="zh-CN"/>
        </w:rPr>
        <w:t>鸡西市单元管控分布图</w:t>
      </w:r>
    </w:p>
    <w:p w14:paraId="56E9DBA5">
      <w:pPr>
        <w:jc w:val="center"/>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color w:val="auto"/>
        </w:rPr>
        <mc:AlternateContent>
          <mc:Choice Requires="wps">
            <w:drawing>
              <wp:anchor distT="0" distB="0" distL="114300" distR="114300" simplePos="0" relativeHeight="251676672" behindDoc="0" locked="0" layoutInCell="1" allowOverlap="1">
                <wp:simplePos x="0" y="0"/>
                <wp:positionH relativeFrom="column">
                  <wp:posOffset>2701925</wp:posOffset>
                </wp:positionH>
                <wp:positionV relativeFrom="paragraph">
                  <wp:posOffset>603250</wp:posOffset>
                </wp:positionV>
                <wp:extent cx="922020" cy="278130"/>
                <wp:effectExtent l="0" t="0" r="0" b="0"/>
                <wp:wrapNone/>
                <wp:docPr id="12" name="文本框 16"/>
                <wp:cNvGraphicFramePr/>
                <a:graphic xmlns:a="http://schemas.openxmlformats.org/drawingml/2006/main">
                  <a:graphicData uri="http://schemas.microsoft.com/office/word/2010/wordprocessingShape">
                    <wps:wsp>
                      <wps:cNvSpPr txBox="1"/>
                      <wps:spPr>
                        <a:xfrm>
                          <a:off x="0" y="0"/>
                          <a:ext cx="922020" cy="278130"/>
                        </a:xfrm>
                        <a:prstGeom prst="rect">
                          <a:avLst/>
                        </a:prstGeom>
                        <a:noFill/>
                        <a:ln>
                          <a:noFill/>
                        </a:ln>
                      </wps:spPr>
                      <wps:txbx>
                        <w:txbxContent>
                          <w:p w14:paraId="274A4570">
                            <w:pPr>
                              <w:rPr>
                                <w:rFonts w:hint="eastAsia"/>
                                <w:b/>
                                <w:bCs/>
                                <w:szCs w:val="21"/>
                              </w:rPr>
                            </w:pPr>
                            <w:r>
                              <w:rPr>
                                <w:rFonts w:hint="eastAsia"/>
                                <w:b/>
                                <w:bCs/>
                                <w:szCs w:val="21"/>
                              </w:rPr>
                              <w:t>本项目位置</w:t>
                            </w:r>
                          </w:p>
                        </w:txbxContent>
                      </wps:txbx>
                      <wps:bodyPr wrap="square" upright="1"/>
                    </wps:wsp>
                  </a:graphicData>
                </a:graphic>
              </wp:anchor>
            </w:drawing>
          </mc:Choice>
          <mc:Fallback>
            <w:pict>
              <v:shape id="文本框 16" o:spid="_x0000_s1026" o:spt="202" type="#_x0000_t202" style="position:absolute;left:0pt;margin-left:212.75pt;margin-top:47.5pt;height:21.9pt;width:72.6pt;z-index:251676672;mso-width-relative:page;mso-height-relative:page;" filled="f" stroked="f" coordsize="21600,21600" o:gfxdata="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66GihNcAAAAKAQAADwAAAAAAAAABACAAAAAiAAAAZHJzL2Rvd25yZXYueG1sUEsBAhQAFAAA&#10;AAgAh07iQGrfpSS3AQAAXQMAAA4AAAAAAAAAAQAgAAAAJgEAAGRycy9lMm9Eb2MueG1sUEsFBgAA&#10;AAAGAAYAWQEAAE8FAAAAAA==&#10;">
                <v:fill on="f" focussize="0,0"/>
                <v:stroke on="f"/>
                <v:imagedata o:title=""/>
                <o:lock v:ext="edit" aspectratio="f"/>
                <v:textbox>
                  <w:txbxContent>
                    <w:p w14:paraId="274A4570">
                      <w:pPr>
                        <w:rPr>
                          <w:rFonts w:hint="eastAsia"/>
                          <w:b/>
                          <w:bCs/>
                          <w:szCs w:val="21"/>
                        </w:rPr>
                      </w:pPr>
                      <w:r>
                        <w:rPr>
                          <w:rFonts w:hint="eastAsia"/>
                          <w:b/>
                          <w:bCs/>
                          <w:szCs w:val="21"/>
                        </w:rPr>
                        <w:t>本项目位置</w:t>
                      </w:r>
                    </w:p>
                  </w:txbxContent>
                </v:textbox>
              </v:shape>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4624" behindDoc="0" locked="0" layoutInCell="1" allowOverlap="1">
                <wp:simplePos x="0" y="0"/>
                <wp:positionH relativeFrom="column">
                  <wp:posOffset>2586355</wp:posOffset>
                </wp:positionH>
                <wp:positionV relativeFrom="paragraph">
                  <wp:posOffset>530860</wp:posOffset>
                </wp:positionV>
                <wp:extent cx="1928495" cy="1443355"/>
                <wp:effectExtent l="612775" t="5080" r="11430" b="1561465"/>
                <wp:wrapNone/>
                <wp:docPr id="7" name="自选图形 14"/>
                <wp:cNvGraphicFramePr/>
                <a:graphic xmlns:a="http://schemas.openxmlformats.org/drawingml/2006/main">
                  <a:graphicData uri="http://schemas.microsoft.com/office/word/2010/wordprocessingShape">
                    <wps:wsp>
                      <wps:cNvSpPr/>
                      <wps:spPr>
                        <a:xfrm>
                          <a:off x="0" y="0"/>
                          <a:ext cx="1928495" cy="1443355"/>
                        </a:xfrm>
                        <a:prstGeom prst="wedgeRectCallout">
                          <a:avLst>
                            <a:gd name="adj1" fmla="val -80551"/>
                            <a:gd name="adj2" fmla="val 155454"/>
                          </a:avLst>
                        </a:prstGeom>
                        <a:solidFill>
                          <a:srgbClr val="FFFFFF"/>
                        </a:solidFill>
                        <a:ln w="9525" cap="flat" cmpd="sng">
                          <a:solidFill>
                            <a:srgbClr val="000000"/>
                          </a:solidFill>
                          <a:prstDash val="solid"/>
                          <a:miter/>
                          <a:headEnd type="none" w="med" len="med"/>
                          <a:tailEnd type="none" w="med" len="med"/>
                        </a:ln>
                      </wps:spPr>
                      <wps:txbx>
                        <w:txbxContent>
                          <w:p w14:paraId="178A2C51">
                            <w:pPr>
                              <w:jc w:val="center"/>
                            </w:pPr>
                            <w:r>
                              <w:drawing>
                                <wp:inline distT="0" distB="0" distL="114300" distR="114300">
                                  <wp:extent cx="1735455" cy="1331595"/>
                                  <wp:effectExtent l="0" t="0" r="17145" b="190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34"/>
                                          <a:stretch>
                                            <a:fillRect/>
                                          </a:stretch>
                                        </pic:blipFill>
                                        <pic:spPr>
                                          <a:xfrm>
                                            <a:off x="0" y="0"/>
                                            <a:ext cx="1735455" cy="1331595"/>
                                          </a:xfrm>
                                          <a:prstGeom prst="rect">
                                            <a:avLst/>
                                          </a:prstGeom>
                                          <a:noFill/>
                                          <a:ln>
                                            <a:noFill/>
                                          </a:ln>
                                        </pic:spPr>
                                      </pic:pic>
                                    </a:graphicData>
                                  </a:graphic>
                                </wp:inline>
                              </w:drawing>
                            </w:r>
                          </w:p>
                        </w:txbxContent>
                      </wps:txbx>
                      <wps:bodyPr wrap="square" upright="1"/>
                    </wps:wsp>
                  </a:graphicData>
                </a:graphic>
              </wp:anchor>
            </w:drawing>
          </mc:Choice>
          <mc:Fallback>
            <w:pict>
              <v:shape id="自选图形 14" o:spid="_x0000_s1026" o:spt="61" type="#_x0000_t61" style="position:absolute;left:0pt;margin-left:203.65pt;margin-top:41.8pt;height:113.65pt;width:151.85pt;z-index:251674624;mso-width-relative:page;mso-height-relative:page;" fillcolor="#FFFFFF" filled="t" stroked="t" coordsize="21600,21600" o:gfxdata="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8cSNJ2AAAAAoBAAAPAAAAAAAAAAEAIAAA&#10;ACIAAABkcnMvZG93bnJldi54bWxQSwECFAAUAAAACACHTuJAYwMFMUUCAACeBAAADgAAAAAAAAAB&#10;ACAAAAAnAQAAZHJzL2Uyb0RvYy54bWxQSwUGAAAAAAYABgBZAQAA3gUAAAAA&#10;" adj="-6599,44378">
                <v:fill on="t" focussize="0,0"/>
                <v:stroke color="#000000" joinstyle="miter"/>
                <v:imagedata o:title=""/>
                <o:lock v:ext="edit" aspectratio="f"/>
                <v:textbox>
                  <w:txbxContent>
                    <w:p w14:paraId="178A2C51">
                      <w:pPr>
                        <w:jc w:val="center"/>
                      </w:pPr>
                      <w:r>
                        <w:drawing>
                          <wp:inline distT="0" distB="0" distL="114300" distR="114300">
                            <wp:extent cx="1735455" cy="1331595"/>
                            <wp:effectExtent l="0" t="0" r="17145" b="190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34"/>
                                    <a:stretch>
                                      <a:fillRect/>
                                    </a:stretch>
                                  </pic:blipFill>
                                  <pic:spPr>
                                    <a:xfrm>
                                      <a:off x="0" y="0"/>
                                      <a:ext cx="1735455" cy="1331595"/>
                                    </a:xfrm>
                                    <a:prstGeom prst="rect">
                                      <a:avLst/>
                                    </a:prstGeom>
                                    <a:noFill/>
                                    <a:ln>
                                      <a:noFill/>
                                    </a:ln>
                                  </pic:spPr>
                                </pic:pic>
                              </a:graphicData>
                            </a:graphic>
                          </wp:inline>
                        </w:drawing>
                      </w:r>
                    </w:p>
                  </w:txbxContent>
                </v:textbox>
              </v:shape>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5648" behindDoc="0" locked="0" layoutInCell="1" allowOverlap="1">
                <wp:simplePos x="0" y="0"/>
                <wp:positionH relativeFrom="column">
                  <wp:posOffset>3484880</wp:posOffset>
                </wp:positionH>
                <wp:positionV relativeFrom="paragraph">
                  <wp:posOffset>1221740</wp:posOffset>
                </wp:positionV>
                <wp:extent cx="76200" cy="76200"/>
                <wp:effectExtent l="13970" t="15875" r="24130" b="22225"/>
                <wp:wrapNone/>
                <wp:docPr id="11" name="自选图形 15"/>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00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15" o:spid="_x0000_s1026" style="position:absolute;left:0pt;margin-left:274.4pt;margin-top:96.2pt;height:6pt;width:6pt;z-index:251675648;mso-width-relative:page;mso-height-relative:page;" fillcolor="#FF0000" filled="t" stroked="t" coordsize="76200,76200" o:gfxdata="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DORf3ZAAAACwEAAA8AAAAAAAAAAQAg&#10;AAAAIgAAAGRycy9kb3ducmV2LnhtbFBLAQIUABQAAAAIAIdO4kCXVEnBDQIAADIEAAAOAAAAAAAA&#10;AAEAIAAAACgBAABkcnMvZTJvRG9jLnhtbFBLBQYAAAAABgAGAFkBAACnBQAAAAA=&#10;" path="m0,29105l29105,29105,38100,0,47094,29105,76199,29105,52652,47093,61647,76199,38100,58211,14552,76199,23547,47093xe">
                <v:path o:connectlocs="38100,0;0,29105;14552,76199;61647,76199;76199,29105" o:connectangles="247,164,82,82,0"/>
                <v:fill on="t" focussize="0,0"/>
                <v:stroke color="#000000" joinstyle="miter"/>
                <v:imagedata o:title=""/>
                <o:lock v:ext="edit" aspectratio="f"/>
              </v:shape>
            </w:pict>
          </mc:Fallback>
        </mc:AlternateContent>
      </w:r>
      <w:r>
        <w:rPr>
          <w:rFonts w:hint="default" w:ascii="Times New Roman" w:hAnsi="Times New Roman" w:eastAsia="宋体" w:cs="Times New Roman"/>
          <w:color w:val="auto"/>
        </w:rPr>
        <w:drawing>
          <wp:inline distT="0" distB="0" distL="114300" distR="114300">
            <wp:extent cx="7228840" cy="5114290"/>
            <wp:effectExtent l="0" t="0" r="10160" b="10160"/>
            <wp:docPr id="6" name="图片 24" descr="971785f5e851cc10cc77fa6b452f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4" descr="971785f5e851cc10cc77fa6b452fc50"/>
                    <pic:cNvPicPr>
                      <a:picLocks noChangeAspect="1"/>
                    </pic:cNvPicPr>
                  </pic:nvPicPr>
                  <pic:blipFill>
                    <a:blip r:embed="rId35"/>
                    <a:stretch>
                      <a:fillRect/>
                    </a:stretch>
                  </pic:blipFill>
                  <pic:spPr>
                    <a:xfrm>
                      <a:off x="0" y="0"/>
                      <a:ext cx="7228840" cy="5114290"/>
                    </a:xfrm>
                    <a:prstGeom prst="rect">
                      <a:avLst/>
                    </a:prstGeom>
                    <a:noFill/>
                    <a:ln>
                      <a:noFill/>
                    </a:ln>
                  </pic:spPr>
                </pic:pic>
              </a:graphicData>
            </a:graphic>
          </wp:inline>
        </w:drawing>
      </w:r>
      <w:r>
        <w:rPr>
          <w:rFonts w:hint="default" w:ascii="Times New Roman" w:hAnsi="Times New Roman" w:eastAsia="宋体" w:cs="Times New Roman"/>
          <w:b/>
          <w:bCs/>
          <w:snapToGrid w:val="0"/>
          <w:color w:val="auto"/>
          <w:sz w:val="30"/>
          <w:szCs w:val="30"/>
        </w:rPr>
        <w:br w:type="page"/>
      </w:r>
    </w:p>
    <w:p w14:paraId="0FCAD3D1">
      <w:pPr>
        <w:pStyle w:val="2"/>
        <w:outlineLvl w:val="0"/>
        <w:rPr>
          <w:rFonts w:hint="eastAsia" w:ascii="Times New Roman" w:hAnsi="Times New Roman" w:eastAsia="宋体" w:cs="Times New Roman"/>
          <w:b/>
          <w:bCs/>
          <w:snapToGrid w:val="0"/>
          <w:color w:val="auto"/>
          <w:sz w:val="30"/>
          <w:szCs w:val="30"/>
          <w:highlight w:val="none"/>
          <w:lang w:eastAsia="zh-CN"/>
        </w:rPr>
      </w:pPr>
      <w:r>
        <w:rPr>
          <w:rFonts w:hint="default" w:ascii="Times New Roman" w:hAnsi="Times New Roman" w:eastAsia="宋体" w:cs="Times New Roman"/>
          <w:b/>
          <w:bCs/>
          <w:snapToGrid w:val="0"/>
          <w:color w:val="auto"/>
          <w:sz w:val="30"/>
          <w:szCs w:val="30"/>
          <w:highlight w:val="none"/>
        </w:rPr>
        <w:t>附图</w:t>
      </w:r>
      <w:r>
        <w:rPr>
          <w:rFonts w:hint="eastAsia" w:ascii="Times New Roman" w:hAnsi="Times New Roman" w:eastAsia="宋体" w:cs="Times New Roman"/>
          <w:b/>
          <w:bCs/>
          <w:snapToGrid w:val="0"/>
          <w:color w:val="auto"/>
          <w:sz w:val="30"/>
          <w:szCs w:val="30"/>
          <w:highlight w:val="none"/>
          <w:lang w:val="en-US" w:eastAsia="zh-CN"/>
        </w:rPr>
        <w:t>5</w:t>
      </w:r>
      <w:r>
        <w:rPr>
          <w:rFonts w:hint="default" w:ascii="Times New Roman" w:hAnsi="Times New Roman" w:eastAsia="宋体" w:cs="Times New Roman"/>
          <w:b/>
          <w:bCs/>
          <w:snapToGrid w:val="0"/>
          <w:color w:val="auto"/>
          <w:sz w:val="30"/>
          <w:szCs w:val="30"/>
          <w:highlight w:val="none"/>
        </w:rPr>
        <w:t xml:space="preserve"> </w:t>
      </w:r>
      <w:r>
        <w:rPr>
          <w:rFonts w:hint="eastAsia" w:ascii="Times New Roman" w:hAnsi="Times New Roman" w:eastAsia="宋体" w:cs="Times New Roman"/>
          <w:b/>
          <w:bCs/>
          <w:snapToGrid w:val="0"/>
          <w:color w:val="auto"/>
          <w:sz w:val="30"/>
          <w:szCs w:val="30"/>
          <w:highlight w:val="none"/>
          <w:lang w:eastAsia="zh-CN"/>
        </w:rPr>
        <w:t>鸡西市生态环境分区管控图</w:t>
      </w:r>
    </w:p>
    <w:p w14:paraId="5C4AB30D">
      <w:pPr>
        <w:jc w:val="center"/>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color w:val="auto"/>
        </w:rPr>
        <mc:AlternateContent>
          <mc:Choice Requires="wps">
            <w:drawing>
              <wp:anchor distT="0" distB="0" distL="114300" distR="114300" simplePos="0" relativeHeight="251679744" behindDoc="0" locked="0" layoutInCell="1" allowOverlap="1">
                <wp:simplePos x="0" y="0"/>
                <wp:positionH relativeFrom="column">
                  <wp:posOffset>2554605</wp:posOffset>
                </wp:positionH>
                <wp:positionV relativeFrom="paragraph">
                  <wp:posOffset>412750</wp:posOffset>
                </wp:positionV>
                <wp:extent cx="922020" cy="278130"/>
                <wp:effectExtent l="0" t="0" r="0" b="0"/>
                <wp:wrapNone/>
                <wp:docPr id="20" name="文本框 16"/>
                <wp:cNvGraphicFramePr/>
                <a:graphic xmlns:a="http://schemas.openxmlformats.org/drawingml/2006/main">
                  <a:graphicData uri="http://schemas.microsoft.com/office/word/2010/wordprocessingShape">
                    <wps:wsp>
                      <wps:cNvSpPr txBox="1"/>
                      <wps:spPr>
                        <a:xfrm>
                          <a:off x="0" y="0"/>
                          <a:ext cx="922020" cy="278130"/>
                        </a:xfrm>
                        <a:prstGeom prst="rect">
                          <a:avLst/>
                        </a:prstGeom>
                        <a:noFill/>
                        <a:ln>
                          <a:noFill/>
                        </a:ln>
                      </wps:spPr>
                      <wps:txbx>
                        <w:txbxContent>
                          <w:p w14:paraId="51B4959D">
                            <w:pPr>
                              <w:rPr>
                                <w:rFonts w:hint="eastAsia"/>
                                <w:b/>
                                <w:bCs/>
                                <w:szCs w:val="21"/>
                              </w:rPr>
                            </w:pPr>
                            <w:r>
                              <w:rPr>
                                <w:rFonts w:hint="eastAsia"/>
                                <w:b/>
                                <w:bCs/>
                                <w:szCs w:val="21"/>
                              </w:rPr>
                              <w:t>本项目位置</w:t>
                            </w:r>
                          </w:p>
                        </w:txbxContent>
                      </wps:txbx>
                      <wps:bodyPr wrap="square" upright="1"/>
                    </wps:wsp>
                  </a:graphicData>
                </a:graphic>
              </wp:anchor>
            </w:drawing>
          </mc:Choice>
          <mc:Fallback>
            <w:pict>
              <v:shape id="文本框 16" o:spid="_x0000_s1026" o:spt="202" type="#_x0000_t202" style="position:absolute;left:0pt;margin-left:201.15pt;margin-top:32.5pt;height:21.9pt;width:72.6pt;z-index:251679744;mso-width-relative:page;mso-height-relative:page;" filled="f" stroked="f" coordsize="21600,21600" o:gfxdata="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WrlsaNcAAAAKAQAADwAAAAAAAAABACAAAAAiAAAAZHJzL2Rvd25yZXYueG1sUEsBAhQAFAAA&#10;AAgAh07iQIaZ5763AQAAXQMAAA4AAAAAAAAAAQAgAAAAJgEAAGRycy9lMm9Eb2MueG1sUEsFBgAA&#10;AAAGAAYAWQEAAE8FAAAAAA==&#10;">
                <v:fill on="f" focussize="0,0"/>
                <v:stroke on="f"/>
                <v:imagedata o:title=""/>
                <o:lock v:ext="edit" aspectratio="f"/>
                <v:textbox>
                  <w:txbxContent>
                    <w:p w14:paraId="51B4959D">
                      <w:pPr>
                        <w:rPr>
                          <w:rFonts w:hint="eastAsia"/>
                          <w:b/>
                          <w:bCs/>
                          <w:szCs w:val="21"/>
                        </w:rPr>
                      </w:pPr>
                      <w:r>
                        <w:rPr>
                          <w:rFonts w:hint="eastAsia"/>
                          <w:b/>
                          <w:bCs/>
                          <w:szCs w:val="21"/>
                        </w:rPr>
                        <w:t>本项目位置</w:t>
                      </w:r>
                    </w:p>
                  </w:txbxContent>
                </v:textbox>
              </v:shape>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8720" behindDoc="0" locked="0" layoutInCell="1" allowOverlap="1">
                <wp:simplePos x="0" y="0"/>
                <wp:positionH relativeFrom="column">
                  <wp:posOffset>3942715</wp:posOffset>
                </wp:positionH>
                <wp:positionV relativeFrom="paragraph">
                  <wp:posOffset>640080</wp:posOffset>
                </wp:positionV>
                <wp:extent cx="76200" cy="76200"/>
                <wp:effectExtent l="13970" t="15875" r="24130" b="22225"/>
                <wp:wrapNone/>
                <wp:docPr id="19" name="自选图形 15"/>
                <wp:cNvGraphicFramePr/>
                <a:graphic xmlns:a="http://schemas.openxmlformats.org/drawingml/2006/main">
                  <a:graphicData uri="http://schemas.microsoft.com/office/word/2010/wordprocessingShape">
                    <wps:wsp>
                      <wps:cNvSpPr/>
                      <wps:spPr>
                        <a:xfrm>
                          <a:off x="0" y="0"/>
                          <a:ext cx="76200" cy="76200"/>
                        </a:xfrm>
                        <a:prstGeom prst="star5">
                          <a:avLst/>
                        </a:prstGeom>
                        <a:solidFill>
                          <a:srgbClr val="FF00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15" o:spid="_x0000_s1026" style="position:absolute;left:0pt;margin-left:310.45pt;margin-top:50.4pt;height:6pt;width:6pt;z-index:251678720;mso-width-relative:page;mso-height-relative:page;" fillcolor="#FF0000" filled="t" stroked="t" coordsize="76200,76200" o:gfxdata="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f9lRtcAAAALAQAADwAAAAAAAAABACAA&#10;AAAiAAAAZHJzL2Rvd25yZXYueG1sUEsBAhQAFAAAAAgAh07iQILkNa4OAgAAMgQAAA4AAAAAAAAA&#10;AQAgAAAAJgEAAGRycy9lMm9Eb2MueG1sUEsFBgAAAAAGAAYAWQEAAKYFAAAAAA==&#10;" path="m0,29105l29105,29105,38100,0,47094,29105,76199,29105,52652,47093,61647,76199,38100,58211,14552,76199,23547,47093xe">
                <v:path o:connectlocs="38100,0;0,29105;14552,76199;61647,76199;76199,29105" o:connectangles="247,164,82,82,0"/>
                <v:fill on="t" focussize="0,0"/>
                <v:stroke color="#000000" joinstyle="miter"/>
                <v:imagedata o:title=""/>
                <o:lock v:ext="edit" aspectratio="f"/>
              </v:shape>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77696" behindDoc="0" locked="0" layoutInCell="1" allowOverlap="1">
                <wp:simplePos x="0" y="0"/>
                <wp:positionH relativeFrom="column">
                  <wp:posOffset>2455545</wp:posOffset>
                </wp:positionH>
                <wp:positionV relativeFrom="paragraph">
                  <wp:posOffset>363220</wp:posOffset>
                </wp:positionV>
                <wp:extent cx="1928495" cy="1443355"/>
                <wp:effectExtent l="612775" t="5080" r="11430" b="1561465"/>
                <wp:wrapNone/>
                <wp:docPr id="16" name="自选图形 14"/>
                <wp:cNvGraphicFramePr/>
                <a:graphic xmlns:a="http://schemas.openxmlformats.org/drawingml/2006/main">
                  <a:graphicData uri="http://schemas.microsoft.com/office/word/2010/wordprocessingShape">
                    <wps:wsp>
                      <wps:cNvSpPr/>
                      <wps:spPr>
                        <a:xfrm>
                          <a:off x="0" y="0"/>
                          <a:ext cx="1928495" cy="1443355"/>
                        </a:xfrm>
                        <a:prstGeom prst="wedgeRectCallout">
                          <a:avLst>
                            <a:gd name="adj1" fmla="val -80551"/>
                            <a:gd name="adj2" fmla="val 155454"/>
                          </a:avLst>
                        </a:prstGeom>
                        <a:solidFill>
                          <a:srgbClr val="FFFFFF"/>
                        </a:solidFill>
                        <a:ln w="9525" cap="flat" cmpd="sng">
                          <a:solidFill>
                            <a:srgbClr val="000000"/>
                          </a:solidFill>
                          <a:prstDash val="solid"/>
                          <a:miter/>
                          <a:headEnd type="none" w="med" len="med"/>
                          <a:tailEnd type="none" w="med" len="med"/>
                        </a:ln>
                      </wps:spPr>
                      <wps:txbx>
                        <w:txbxContent>
                          <w:p w14:paraId="002C832B">
                            <w:pPr>
                              <w:jc w:val="center"/>
                            </w:pPr>
                            <w:r>
                              <w:drawing>
                                <wp:inline distT="0" distB="0" distL="114300" distR="114300">
                                  <wp:extent cx="1731645" cy="1168400"/>
                                  <wp:effectExtent l="0" t="0" r="1905" b="1270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36"/>
                                          <a:stretch>
                                            <a:fillRect/>
                                          </a:stretch>
                                        </pic:blipFill>
                                        <pic:spPr>
                                          <a:xfrm>
                                            <a:off x="0" y="0"/>
                                            <a:ext cx="1731645" cy="1168400"/>
                                          </a:xfrm>
                                          <a:prstGeom prst="rect">
                                            <a:avLst/>
                                          </a:prstGeom>
                                          <a:noFill/>
                                          <a:ln>
                                            <a:noFill/>
                                          </a:ln>
                                        </pic:spPr>
                                      </pic:pic>
                                    </a:graphicData>
                                  </a:graphic>
                                </wp:inline>
                              </w:drawing>
                            </w:r>
                          </w:p>
                        </w:txbxContent>
                      </wps:txbx>
                      <wps:bodyPr wrap="square" upright="1"/>
                    </wps:wsp>
                  </a:graphicData>
                </a:graphic>
              </wp:anchor>
            </w:drawing>
          </mc:Choice>
          <mc:Fallback>
            <w:pict>
              <v:shape id="自选图形 14" o:spid="_x0000_s1026" o:spt="61" type="#_x0000_t61" style="position:absolute;left:0pt;margin-left:193.35pt;margin-top:28.6pt;height:113.65pt;width:151.85pt;z-index:251677696;mso-width-relative:page;mso-height-relative:page;" fillcolor="#FFFFFF" filled="t" stroked="t" coordsize="21600,21600" o:gfxdata="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HgZ9L2gAAAAoBAAAPAAAAAAAAAAEA&#10;IAAAACIAAABkcnMvZG93bnJldi54bWxQSwECFAAUAAAACACHTuJACWGQxEYCAACfBAAADgAAAAAA&#10;AAABACAAAAApAQAAZHJzL2Uyb0RvYy54bWxQSwUGAAAAAAYABgBZAQAA4QUAAAAA&#10;" adj="-6599,44378">
                <v:fill on="t" focussize="0,0"/>
                <v:stroke color="#000000" joinstyle="miter"/>
                <v:imagedata o:title=""/>
                <o:lock v:ext="edit" aspectratio="f"/>
                <v:textbox>
                  <w:txbxContent>
                    <w:p w14:paraId="002C832B">
                      <w:pPr>
                        <w:jc w:val="center"/>
                      </w:pPr>
                      <w:r>
                        <w:drawing>
                          <wp:inline distT="0" distB="0" distL="114300" distR="114300">
                            <wp:extent cx="1731645" cy="1168400"/>
                            <wp:effectExtent l="0" t="0" r="1905" b="1270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36"/>
                                    <a:stretch>
                                      <a:fillRect/>
                                    </a:stretch>
                                  </pic:blipFill>
                                  <pic:spPr>
                                    <a:xfrm>
                                      <a:off x="0" y="0"/>
                                      <a:ext cx="1731645" cy="1168400"/>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8150860" cy="4584700"/>
            <wp:effectExtent l="0" t="0" r="2540" b="635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37"/>
                    <a:stretch>
                      <a:fillRect/>
                    </a:stretch>
                  </pic:blipFill>
                  <pic:spPr>
                    <a:xfrm>
                      <a:off x="0" y="0"/>
                      <a:ext cx="8150860" cy="4584700"/>
                    </a:xfrm>
                    <a:prstGeom prst="rect">
                      <a:avLst/>
                    </a:prstGeom>
                    <a:noFill/>
                    <a:ln>
                      <a:noFill/>
                    </a:ln>
                  </pic:spPr>
                </pic:pic>
              </a:graphicData>
            </a:graphic>
          </wp:inline>
        </w:drawing>
      </w:r>
      <w:r>
        <w:rPr>
          <w:rFonts w:hint="default" w:ascii="Times New Roman" w:hAnsi="Times New Roman" w:eastAsia="宋体" w:cs="Times New Roman"/>
          <w:b/>
          <w:bCs/>
          <w:snapToGrid w:val="0"/>
          <w:color w:val="auto"/>
          <w:sz w:val="30"/>
          <w:szCs w:val="30"/>
        </w:rPr>
        <w:br w:type="page"/>
      </w:r>
    </w:p>
    <w:p w14:paraId="1986B8B1">
      <w:pPr>
        <w:pStyle w:val="2"/>
        <w:outlineLvl w:val="0"/>
        <w:rPr>
          <w:rFonts w:hint="default" w:ascii="Times New Roman" w:hAnsi="Times New Roman" w:eastAsia="宋体" w:cs="Times New Roman"/>
          <w:b/>
          <w:bCs/>
          <w:color w:val="auto"/>
        </w:rPr>
      </w:pPr>
      <w:r>
        <w:rPr>
          <w:rFonts w:hint="default" w:ascii="Times New Roman" w:hAnsi="Times New Roman" w:eastAsia="宋体" w:cs="Times New Roman"/>
          <w:b/>
          <w:bCs/>
          <w:snapToGrid w:val="0"/>
          <w:color w:val="auto"/>
          <w:sz w:val="30"/>
          <w:szCs w:val="30"/>
        </w:rPr>
        <w:t>附图</w:t>
      </w:r>
      <w:r>
        <w:rPr>
          <w:rFonts w:hint="eastAsia" w:cs="Times New Roman"/>
          <w:b/>
          <w:bCs/>
          <w:snapToGrid w:val="0"/>
          <w:color w:val="auto"/>
          <w:sz w:val="30"/>
          <w:szCs w:val="30"/>
          <w:lang w:val="en-US" w:eastAsia="zh-CN"/>
        </w:rPr>
        <w:t>6</w:t>
      </w:r>
      <w:r>
        <w:rPr>
          <w:rFonts w:hint="default" w:ascii="Times New Roman" w:hAnsi="Times New Roman" w:eastAsia="宋体" w:cs="Times New Roman"/>
          <w:b/>
          <w:bCs/>
          <w:snapToGrid w:val="0"/>
          <w:color w:val="auto"/>
          <w:sz w:val="30"/>
          <w:szCs w:val="30"/>
        </w:rPr>
        <w:t xml:space="preserve"> 环境保护目标示意图</w:t>
      </w:r>
      <w:bookmarkEnd w:id="38"/>
    </w:p>
    <w:p w14:paraId="53826EA5">
      <w:pPr>
        <w:jc w:val="cente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rPr>
        <w:drawing>
          <wp:anchor distT="0" distB="0" distL="114300" distR="114300" simplePos="0" relativeHeight="251665408" behindDoc="0" locked="0" layoutInCell="1" allowOverlap="1">
            <wp:simplePos x="0" y="0"/>
            <wp:positionH relativeFrom="column">
              <wp:posOffset>8065770</wp:posOffset>
            </wp:positionH>
            <wp:positionV relativeFrom="paragraph">
              <wp:posOffset>9525</wp:posOffset>
            </wp:positionV>
            <wp:extent cx="429895" cy="574040"/>
            <wp:effectExtent l="12700" t="12700" r="14605" b="22860"/>
            <wp:wrapNone/>
            <wp:docPr id="5" name="图片 168" descr="指北针"/>
            <wp:cNvGraphicFramePr/>
            <a:graphic xmlns:a="http://schemas.openxmlformats.org/drawingml/2006/main">
              <a:graphicData uri="http://schemas.openxmlformats.org/drawingml/2006/picture">
                <pic:pic xmlns:pic="http://schemas.openxmlformats.org/drawingml/2006/picture">
                  <pic:nvPicPr>
                    <pic:cNvPr id="5" name="图片 168" descr="指北针"/>
                    <pic:cNvPicPr/>
                  </pic:nvPicPr>
                  <pic:blipFill>
                    <a:blip r:embed="rId27"/>
                    <a:stretch>
                      <a:fillRect/>
                    </a:stretch>
                  </pic:blipFill>
                  <pic:spPr>
                    <a:xfrm>
                      <a:off x="0" y="0"/>
                      <a:ext cx="429895" cy="574040"/>
                    </a:xfrm>
                    <a:prstGeom prst="rect">
                      <a:avLst/>
                    </a:prstGeom>
                    <a:noFill/>
                    <a:ln w="12700" cap="flat" cmpd="sng">
                      <a:solidFill>
                        <a:srgbClr val="000000"/>
                      </a:solidFill>
                      <a:prstDash val="solid"/>
                      <a:round/>
                      <a:headEnd type="none" w="med" len="med"/>
                      <a:tailEnd type="none" w="med" len="med"/>
                    </a:ln>
                  </pic:spPr>
                </pic:pic>
              </a:graphicData>
            </a:graphic>
          </wp:anchor>
        </w:drawing>
      </w:r>
      <w:r>
        <w:rPr>
          <w:color w:val="auto"/>
          <w:sz w:val="18"/>
        </w:rPr>
        <mc:AlternateContent>
          <mc:Choice Requires="wps">
            <w:drawing>
              <wp:anchor distT="0" distB="0" distL="114300" distR="114300" simplePos="0" relativeHeight="251673600" behindDoc="0" locked="0" layoutInCell="1" allowOverlap="1">
                <wp:simplePos x="0" y="0"/>
                <wp:positionH relativeFrom="column">
                  <wp:posOffset>179070</wp:posOffset>
                </wp:positionH>
                <wp:positionV relativeFrom="paragraph">
                  <wp:posOffset>4153535</wp:posOffset>
                </wp:positionV>
                <wp:extent cx="427990" cy="149860"/>
                <wp:effectExtent l="12700" t="12700" r="16510" b="20320"/>
                <wp:wrapNone/>
                <wp:docPr id="146" name="矩形 146"/>
                <wp:cNvGraphicFramePr/>
                <a:graphic xmlns:a="http://schemas.openxmlformats.org/drawingml/2006/main">
                  <a:graphicData uri="http://schemas.microsoft.com/office/word/2010/wordprocessingShape">
                    <wps:wsp>
                      <wps:cNvSpPr/>
                      <wps:spPr>
                        <a:xfrm>
                          <a:off x="1259205" y="5493385"/>
                          <a:ext cx="427990" cy="149860"/>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pt;margin-top:327.05pt;height:11.8pt;width:33.7pt;z-index:251673600;v-text-anchor:middle;mso-width-relative:page;mso-height-relative:page;" filled="f" stroked="t" coordsize="21600,21600" o:gfxdata="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d0ZfU2QAAAAkBAAAPAAAAAAAAAAEAIAAAACIAAABkcnMvZG93bnJl&#10;di54bWxQSwECFAAUAAAACACHTuJAldqK6m4CAADDBAAADgAAAAAAAAABACAAAAAoAQAAZHJzL2Uy&#10;b0RvYy54bWxQSwUGAAAAAAYABgBZAQAACAYAAAAA&#10;">
                <v:fill on="f" focussize="0,0"/>
                <v:stroke weight="2pt" color="#00B050 [2404]" joinstyle="round"/>
                <v:imagedata o:title=""/>
                <o:lock v:ext="edit" aspectratio="f"/>
              </v:rect>
            </w:pict>
          </mc:Fallback>
        </mc:AlternateContent>
      </w:r>
      <w:r>
        <w:rPr>
          <w:color w:val="auto"/>
          <w:sz w:val="18"/>
        </w:rPr>
        <mc:AlternateContent>
          <mc:Choice Requires="wps">
            <w:drawing>
              <wp:anchor distT="0" distB="0" distL="114300" distR="114300" simplePos="0" relativeHeight="251672576" behindDoc="0" locked="0" layoutInCell="1" allowOverlap="1">
                <wp:simplePos x="0" y="0"/>
                <wp:positionH relativeFrom="column">
                  <wp:posOffset>179070</wp:posOffset>
                </wp:positionH>
                <wp:positionV relativeFrom="paragraph">
                  <wp:posOffset>3883025</wp:posOffset>
                </wp:positionV>
                <wp:extent cx="427990" cy="149860"/>
                <wp:effectExtent l="12700" t="12700" r="16510" b="20320"/>
                <wp:wrapNone/>
                <wp:docPr id="145" name="矩形 145"/>
                <wp:cNvGraphicFramePr/>
                <a:graphic xmlns:a="http://schemas.openxmlformats.org/drawingml/2006/main">
                  <a:graphicData uri="http://schemas.microsoft.com/office/word/2010/wordprocessingShape">
                    <wps:wsp>
                      <wps:cNvSpPr/>
                      <wps:spPr>
                        <a:xfrm>
                          <a:off x="1259205" y="5222875"/>
                          <a:ext cx="427990" cy="14986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pt;margin-top:305.75pt;height:11.8pt;width:33.7pt;z-index:251672576;v-text-anchor:middle;mso-width-relative:page;mso-height-relative:page;" filled="f" stroked="t" coordsize="21600,21600" o:gfxdata="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bL2h6tcAAAAJAQAADwAAAAAAAAABACAAAAAiAAAAZHJzL2Rvd25yZXYueG1s&#10;UEsBAhQAFAAAAAgAh07iQD8YMANrAgAAwwQAAA4AAAAAAAAAAQAgAAAAJgEAAGRycy9lMm9Eb2Mu&#10;eG1sUEsFBgAAAAAGAAYAWQEAAAMGAAAAAA==&#10;">
                <v:fill on="f" focussize="0,0"/>
                <v:stroke weight="2pt" color="#FFFF00 [2404]" joinstyle="round"/>
                <v:imagedata o:title=""/>
                <o:lock v:ext="edit" aspectratio="f"/>
              </v:rect>
            </w:pict>
          </mc:Fallback>
        </mc:AlternateContent>
      </w:r>
      <w:r>
        <w:rPr>
          <w:color w:val="auto"/>
          <w:sz w:val="18"/>
        </w:rPr>
        <mc:AlternateContent>
          <mc:Choice Requires="wps">
            <w:drawing>
              <wp:anchor distT="0" distB="0" distL="114300" distR="114300" simplePos="0" relativeHeight="251671552" behindDoc="0" locked="0" layoutInCell="1" allowOverlap="1">
                <wp:simplePos x="0" y="0"/>
                <wp:positionH relativeFrom="column">
                  <wp:posOffset>179070</wp:posOffset>
                </wp:positionH>
                <wp:positionV relativeFrom="paragraph">
                  <wp:posOffset>3634740</wp:posOffset>
                </wp:positionV>
                <wp:extent cx="427990" cy="149860"/>
                <wp:effectExtent l="12700" t="12700" r="16510" b="20320"/>
                <wp:wrapNone/>
                <wp:docPr id="144" name="矩形 144"/>
                <wp:cNvGraphicFramePr/>
                <a:graphic xmlns:a="http://schemas.openxmlformats.org/drawingml/2006/main">
                  <a:graphicData uri="http://schemas.microsoft.com/office/word/2010/wordprocessingShape">
                    <wps:wsp>
                      <wps:cNvSpPr/>
                      <wps:spPr>
                        <a:xfrm>
                          <a:off x="1259205" y="4974590"/>
                          <a:ext cx="427990" cy="14986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pt;margin-top:286.2pt;height:11.8pt;width:33.7pt;z-index:251671552;v-text-anchor:middle;mso-width-relative:page;mso-height-relative:page;" filled="f" stroked="t" coordsize="21600,21600" o:gfxdata="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NFRY03ZAAAACQEAAA8AAAAAAAAAAQAgAAAAIgAAAGRycy9kb3ducmV2Lnht&#10;bFBLAQIUABQAAAAIAIdO4kAnLS62agIAAMMEAAAOAAAAAAAAAAEAIAAAACgBAABkcnMvZTJvRG9j&#10;LnhtbFBLBQYAAAAABgAGAFkBAAAEBgAAAAA=&#10;">
                <v:fill on="f" focussize="0,0"/>
                <v:stroke weight="2pt" color="#FF0000 [2404]" joinstyle="round"/>
                <v:imagedata o:title=""/>
                <o:lock v:ext="edit" aspectratio="f"/>
              </v:rect>
            </w:pict>
          </mc:Fallback>
        </mc:AlternateContent>
      </w:r>
      <w:r>
        <w:rPr>
          <w:color w:val="auto"/>
          <w:sz w:val="18"/>
        </w:rPr>
        <mc:AlternateContent>
          <mc:Choice Requires="wps">
            <w:drawing>
              <wp:anchor distT="0" distB="0" distL="114300" distR="114300" simplePos="0" relativeHeight="251666432" behindDoc="0" locked="0" layoutInCell="1" allowOverlap="1">
                <wp:simplePos x="0" y="0"/>
                <wp:positionH relativeFrom="column">
                  <wp:posOffset>5715</wp:posOffset>
                </wp:positionH>
                <wp:positionV relativeFrom="paragraph">
                  <wp:posOffset>3253740</wp:posOffset>
                </wp:positionV>
                <wp:extent cx="1757045" cy="1087120"/>
                <wp:effectExtent l="12700" t="12700" r="13335" b="12700"/>
                <wp:wrapNone/>
                <wp:docPr id="105" name="矩形 17"/>
                <wp:cNvGraphicFramePr/>
                <a:graphic xmlns:a="http://schemas.openxmlformats.org/drawingml/2006/main">
                  <a:graphicData uri="http://schemas.microsoft.com/office/word/2010/wordprocessingShape">
                    <wps:wsp>
                      <wps:cNvSpPr/>
                      <wps:spPr>
                        <a:xfrm>
                          <a:off x="1107440" y="4796155"/>
                          <a:ext cx="1757045" cy="10871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7" o:spid="_x0000_s1026" o:spt="1" style="position:absolute;left:0pt;margin-left:0.45pt;margin-top:256.2pt;height:85.6pt;width:138.35pt;z-index:251666432;v-text-anchor:middle;mso-width-relative:page;mso-height-relative:page;" fillcolor="#4F81BD [3204]" filled="t" stroked="t" coordsize="21600,21600" o:gfxdata="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EcwpDjYAAAACAEAAA8AAAAA&#10;AAAAAQAgAAAAIgAAAGRycy9kb3ducmV2LnhtbFBLAQIUABQAAAAIAIdO4kCjjNYEhgIAAA4FAAAO&#10;AAAAAAAAAAEAIAAAACcBAABkcnMvZTJvRG9jLnhtbFBLBQYAAAAABgAGAFkBAAAfBgAAAAA=&#10;">
                <v:fill on="t" focussize="0,0"/>
                <v:stroke weight="2pt" color="#385D8A [3204]" joinstyle="round"/>
                <v:imagedata o:title=""/>
                <o:lock v:ext="edit" aspectratio="f"/>
              </v:rect>
            </w:pict>
          </mc:Fallback>
        </mc:AlternateContent>
      </w:r>
      <w:r>
        <w:rPr>
          <w:color w:val="auto"/>
          <w:sz w:val="18"/>
        </w:rPr>
        <mc:AlternateContent>
          <mc:Choice Requires="wps">
            <w:drawing>
              <wp:anchor distT="0" distB="0" distL="114300" distR="114300" simplePos="0" relativeHeight="251670528" behindDoc="0" locked="0" layoutInCell="1" allowOverlap="1">
                <wp:simplePos x="0" y="0"/>
                <wp:positionH relativeFrom="column">
                  <wp:posOffset>327660</wp:posOffset>
                </wp:positionH>
                <wp:positionV relativeFrom="paragraph">
                  <wp:posOffset>3267710</wp:posOffset>
                </wp:positionV>
                <wp:extent cx="1068705" cy="254000"/>
                <wp:effectExtent l="0" t="0" r="0" b="0"/>
                <wp:wrapNone/>
                <wp:docPr id="143" name="文本框 53"/>
                <wp:cNvGraphicFramePr/>
                <a:graphic xmlns:a="http://schemas.openxmlformats.org/drawingml/2006/main">
                  <a:graphicData uri="http://schemas.microsoft.com/office/word/2010/wordprocessingShape">
                    <wps:wsp>
                      <wps:cNvSpPr txBox="1"/>
                      <wps:spPr>
                        <a:xfrm>
                          <a:off x="0" y="0"/>
                          <a:ext cx="1068705"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C60544">
                            <w:pPr>
                              <w:jc w:val="center"/>
                              <w:rPr>
                                <w:rFonts w:hint="eastAsia" w:eastAsia="宋体"/>
                                <w:lang w:eastAsia="zh-CN"/>
                              </w:rPr>
                            </w:pPr>
                            <w:r>
                              <w:rPr>
                                <w:rFonts w:hint="eastAsia"/>
                                <w:lang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3" o:spid="_x0000_s1026" o:spt="202" type="#_x0000_t202" style="position:absolute;left:0pt;margin-left:25.8pt;margin-top:257.3pt;height:20pt;width:84.15pt;z-index:251670528;mso-width-relative:page;mso-height-relative:page;" filled="f" stroked="f" coordsize="21600,21600" o:gfxdata="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sFFN/ZAAAACgEAAA8AAAAAAAAAAQAgAAAAIgAAAGRy&#10;cy9kb3ducmV2LnhtbFBLAQIUABQAAAAIAIdO4kAKlq/RPQIAAGkEAAAOAAAAAAAAAAEAIAAAACgB&#10;AABkcnMvZTJvRG9jLnhtbFBLBQYAAAAABgAGAFkBAADXBQAAAAA=&#10;">
                <v:fill on="f" focussize="0,0"/>
                <v:stroke on="f" weight="0.5pt"/>
                <v:imagedata o:title=""/>
                <o:lock v:ext="edit" aspectratio="f"/>
                <v:textbox>
                  <w:txbxContent>
                    <w:p w14:paraId="27C60544">
                      <w:pPr>
                        <w:jc w:val="center"/>
                        <w:rPr>
                          <w:rFonts w:hint="eastAsia" w:eastAsia="宋体"/>
                          <w:lang w:eastAsia="zh-CN"/>
                        </w:rPr>
                      </w:pPr>
                      <w:r>
                        <w:rPr>
                          <w:rFonts w:hint="eastAsia"/>
                          <w:lang w:eastAsia="zh-CN"/>
                        </w:rPr>
                        <w:t>图例</w:t>
                      </w:r>
                    </w:p>
                  </w:txbxContent>
                </v:textbox>
              </v:shape>
            </w:pict>
          </mc:Fallback>
        </mc:AlternateContent>
      </w:r>
      <w:r>
        <w:rPr>
          <w:color w:val="auto"/>
          <w:sz w:val="18"/>
        </w:rPr>
        <mc:AlternateContent>
          <mc:Choice Requires="wps">
            <w:drawing>
              <wp:anchor distT="0" distB="0" distL="114300" distR="114300" simplePos="0" relativeHeight="251669504" behindDoc="0" locked="0" layoutInCell="1" allowOverlap="1">
                <wp:simplePos x="0" y="0"/>
                <wp:positionH relativeFrom="column">
                  <wp:posOffset>720725</wp:posOffset>
                </wp:positionH>
                <wp:positionV relativeFrom="paragraph">
                  <wp:posOffset>3819525</wp:posOffset>
                </wp:positionV>
                <wp:extent cx="1227455" cy="254000"/>
                <wp:effectExtent l="0" t="0" r="0" b="0"/>
                <wp:wrapNone/>
                <wp:docPr id="140" name="文本框 89"/>
                <wp:cNvGraphicFramePr/>
                <a:graphic xmlns:a="http://schemas.openxmlformats.org/drawingml/2006/main">
                  <a:graphicData uri="http://schemas.microsoft.com/office/word/2010/wordprocessingShape">
                    <wps:wsp>
                      <wps:cNvSpPr txBox="1"/>
                      <wps:spPr>
                        <a:xfrm>
                          <a:off x="1800860" y="5159375"/>
                          <a:ext cx="1227455"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726924">
                            <w:pPr>
                              <w:rPr>
                                <w:rFonts w:hint="eastAsia" w:eastAsia="宋体"/>
                                <w:lang w:eastAsia="zh-CN"/>
                              </w:rPr>
                            </w:pPr>
                            <w:r>
                              <w:rPr>
                                <w:rFonts w:hint="eastAsia"/>
                                <w:lang w:eastAsia="zh-CN"/>
                              </w:rPr>
                              <w:t>噪声评价范围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26" o:spt="202" type="#_x0000_t202" style="position:absolute;left:0pt;margin-left:56.75pt;margin-top:300.75pt;height:20pt;width:96.65pt;z-index:251669504;mso-width-relative:page;mso-height-relative:page;" filled="f" stroked="f" coordsize="21600,21600" o:gfxdata="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1t63nYAAAACwEAAA8AAAAAAAAA&#10;AQAgAAAAIgAAAGRycy9kb3ducmV2LnhtbFBLAQIUABQAAAAIAIdO4kBH1DKcSgIAAHUEAAAOAAAA&#10;AAAAAAEAIAAAACcBAABkcnMvZTJvRG9jLnhtbFBLBQYAAAAABgAGAFkBAADjBQAAAAA=&#10;">
                <v:fill on="f" focussize="0,0"/>
                <v:stroke on="f" weight="0.5pt"/>
                <v:imagedata o:title=""/>
                <o:lock v:ext="edit" aspectratio="f"/>
                <v:textbox>
                  <w:txbxContent>
                    <w:p w14:paraId="57726924">
                      <w:pPr>
                        <w:rPr>
                          <w:rFonts w:hint="eastAsia" w:eastAsia="宋体"/>
                          <w:lang w:eastAsia="zh-CN"/>
                        </w:rPr>
                      </w:pPr>
                      <w:r>
                        <w:rPr>
                          <w:rFonts w:hint="eastAsia"/>
                          <w:lang w:eastAsia="zh-CN"/>
                        </w:rPr>
                        <w:t>噪声评价范围</w:t>
                      </w:r>
                    </w:p>
                  </w:txbxContent>
                </v:textbox>
              </v:shape>
            </w:pict>
          </mc:Fallback>
        </mc:AlternateContent>
      </w:r>
      <w:r>
        <w:rPr>
          <w:color w:val="auto"/>
          <w:sz w:val="18"/>
        </w:rPr>
        <mc:AlternateContent>
          <mc:Choice Requires="wps">
            <w:drawing>
              <wp:anchor distT="0" distB="0" distL="114300" distR="114300" simplePos="0" relativeHeight="251668480" behindDoc="0" locked="0" layoutInCell="1" allowOverlap="1">
                <wp:simplePos x="0" y="0"/>
                <wp:positionH relativeFrom="column">
                  <wp:posOffset>742315</wp:posOffset>
                </wp:positionH>
                <wp:positionV relativeFrom="paragraph">
                  <wp:posOffset>3554095</wp:posOffset>
                </wp:positionV>
                <wp:extent cx="1068705" cy="254000"/>
                <wp:effectExtent l="0" t="0" r="0" b="0"/>
                <wp:wrapNone/>
                <wp:docPr id="139" name="文本框 53"/>
                <wp:cNvGraphicFramePr/>
                <a:graphic xmlns:a="http://schemas.openxmlformats.org/drawingml/2006/main">
                  <a:graphicData uri="http://schemas.microsoft.com/office/word/2010/wordprocessingShape">
                    <wps:wsp>
                      <wps:cNvSpPr txBox="1"/>
                      <wps:spPr>
                        <a:xfrm>
                          <a:off x="1822450" y="4893945"/>
                          <a:ext cx="1068705"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7F676C">
                            <w:pPr>
                              <w:rPr>
                                <w:rFonts w:hint="eastAsia" w:eastAsia="宋体"/>
                                <w:lang w:eastAsia="zh-CN"/>
                              </w:rPr>
                            </w:pPr>
                            <w:r>
                              <w:rPr>
                                <w:rFonts w:hint="eastAsia"/>
                                <w:lang w:eastAsia="zh-CN"/>
                              </w:rPr>
                              <w:t>项目厂界范围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3" o:spid="_x0000_s1026" o:spt="202" type="#_x0000_t202" style="position:absolute;left:0pt;margin-left:58.45pt;margin-top:279.85pt;height:20pt;width:84.15pt;z-index:251668480;mso-width-relative:page;mso-height-relative:page;" filled="f" stroked="f" coordsize="21600,21600" o:gfxdata="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Scj1D9oAAAALAQAADwAAAAAA&#10;AAABACAAAAAiAAAAZHJzL2Rvd25yZXYueG1sUEsBAhQAFAAAAAgAh07iQO9wfeRKAgAAdQQAAA4A&#10;AAAAAAAAAQAgAAAAKQEAAGRycy9lMm9Eb2MueG1sUEsFBgAAAAAGAAYAWQEAAOUFAAAAAA==&#10;">
                <v:fill on="f" focussize="0,0"/>
                <v:stroke on="f" weight="0.5pt"/>
                <v:imagedata o:title=""/>
                <o:lock v:ext="edit" aspectratio="f"/>
                <v:textbox>
                  <w:txbxContent>
                    <w:p w14:paraId="577F676C">
                      <w:pPr>
                        <w:rPr>
                          <w:rFonts w:hint="eastAsia" w:eastAsia="宋体"/>
                          <w:lang w:eastAsia="zh-CN"/>
                        </w:rPr>
                      </w:pPr>
                      <w:r>
                        <w:rPr>
                          <w:rFonts w:hint="eastAsia"/>
                          <w:lang w:eastAsia="zh-CN"/>
                        </w:rPr>
                        <w:t>项目厂界范围</w:t>
                      </w:r>
                    </w:p>
                  </w:txbxContent>
                </v:textbox>
              </v:shape>
            </w:pict>
          </mc:Fallback>
        </mc:AlternateContent>
      </w:r>
      <w:r>
        <w:rPr>
          <w:color w:val="auto"/>
          <w:sz w:val="18"/>
        </w:rPr>
        <mc:AlternateContent>
          <mc:Choice Requires="wps">
            <w:drawing>
              <wp:anchor distT="0" distB="0" distL="114300" distR="114300" simplePos="0" relativeHeight="251667456" behindDoc="0" locked="0" layoutInCell="1" allowOverlap="1">
                <wp:simplePos x="0" y="0"/>
                <wp:positionH relativeFrom="column">
                  <wp:posOffset>709930</wp:posOffset>
                </wp:positionH>
                <wp:positionV relativeFrom="paragraph">
                  <wp:posOffset>4093845</wp:posOffset>
                </wp:positionV>
                <wp:extent cx="1068705" cy="254000"/>
                <wp:effectExtent l="0" t="0" r="0" b="0"/>
                <wp:wrapNone/>
                <wp:docPr id="141" name="文本框 91"/>
                <wp:cNvGraphicFramePr/>
                <a:graphic xmlns:a="http://schemas.openxmlformats.org/drawingml/2006/main">
                  <a:graphicData uri="http://schemas.microsoft.com/office/word/2010/wordprocessingShape">
                    <wps:wsp>
                      <wps:cNvSpPr txBox="1"/>
                      <wps:spPr>
                        <a:xfrm>
                          <a:off x="1790065" y="5433695"/>
                          <a:ext cx="1068705"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7BA1B0">
                            <w:pPr>
                              <w:rPr>
                                <w:rFonts w:hint="eastAsia" w:eastAsia="宋体"/>
                                <w:lang w:eastAsia="zh-CN"/>
                              </w:rPr>
                            </w:pPr>
                            <w:r>
                              <w:rPr>
                                <w:rFonts w:hint="eastAsia"/>
                                <w:lang w:eastAsia="zh-CN"/>
                              </w:rPr>
                              <w:t>大气评价范围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1" o:spid="_x0000_s1026" o:spt="202" type="#_x0000_t202" style="position:absolute;left:0pt;margin-left:55.9pt;margin-top:322.35pt;height:20pt;width:84.15pt;z-index:251667456;mso-width-relative:page;mso-height-relative:page;" filled="f" stroked="f" coordsize="21600,21600" o:gfxdata="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wCpbaAAAACwEAAA8AAAAAAAAA&#10;AQAgAAAAIgAAAGRycy9kb3ducmV2LnhtbFBLAQIUABQAAAAIAIdO4kBRyMIKSAIAAHUEAAAOAAAA&#10;AAAAAAEAIAAAACkBAABkcnMvZTJvRG9jLnhtbFBLBQYAAAAABgAGAFkBAADjBQAAAAA=&#10;">
                <v:fill on="f" focussize="0,0"/>
                <v:stroke on="f" weight="0.5pt"/>
                <v:imagedata o:title=""/>
                <o:lock v:ext="edit" aspectratio="f"/>
                <v:textbox>
                  <w:txbxContent>
                    <w:p w14:paraId="097BA1B0">
                      <w:pPr>
                        <w:rPr>
                          <w:rFonts w:hint="eastAsia" w:eastAsia="宋体"/>
                          <w:lang w:eastAsia="zh-CN"/>
                        </w:rPr>
                      </w:pPr>
                      <w:r>
                        <w:rPr>
                          <w:rFonts w:hint="eastAsia"/>
                          <w:lang w:eastAsia="zh-CN"/>
                        </w:rPr>
                        <w:t>大气评价范围</w:t>
                      </w:r>
                    </w:p>
                  </w:txbxContent>
                </v:textbox>
              </v:shape>
            </w:pict>
          </mc:Fallback>
        </mc:AlternateContent>
      </w:r>
      <w:r>
        <w:rPr>
          <w:color w:val="auto"/>
        </w:rPr>
        <w:drawing>
          <wp:inline distT="0" distB="0" distL="114300" distR="114300">
            <wp:extent cx="8522335" cy="4353560"/>
            <wp:effectExtent l="0" t="0" r="12065" b="8890"/>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38"/>
                    <a:stretch>
                      <a:fillRect/>
                    </a:stretch>
                  </pic:blipFill>
                  <pic:spPr>
                    <a:xfrm>
                      <a:off x="0" y="0"/>
                      <a:ext cx="8522335" cy="4353560"/>
                    </a:xfrm>
                    <a:prstGeom prst="rect">
                      <a:avLst/>
                    </a:prstGeom>
                    <a:noFill/>
                    <a:ln>
                      <a:noFill/>
                    </a:ln>
                  </pic:spPr>
                </pic:pic>
              </a:graphicData>
            </a:graphic>
          </wp:inline>
        </w:drawing>
      </w:r>
    </w:p>
    <w:p w14:paraId="4A89336E">
      <w:pPr>
        <w:pStyle w:val="29"/>
        <w:outlineLvl w:val="0"/>
        <w:rPr>
          <w:rFonts w:hint="eastAsia" w:cs="Times New Roman"/>
          <w:b/>
          <w:bCs/>
          <w:snapToGrid w:val="0"/>
          <w:color w:val="auto"/>
          <w:sz w:val="30"/>
          <w:szCs w:val="30"/>
          <w:lang w:val="en-US" w:eastAsia="zh-CN"/>
        </w:rPr>
      </w:pPr>
      <w:r>
        <w:rPr>
          <w:rFonts w:hint="eastAsia" w:cs="Times New Roman"/>
          <w:b/>
          <w:bCs/>
          <w:snapToGrid w:val="0"/>
          <w:color w:val="auto"/>
          <w:sz w:val="30"/>
          <w:szCs w:val="30"/>
          <w:lang w:eastAsia="zh-CN"/>
        </w:rPr>
        <w:t>附图</w:t>
      </w:r>
      <w:r>
        <w:rPr>
          <w:rFonts w:hint="eastAsia" w:cs="Times New Roman"/>
          <w:b/>
          <w:bCs/>
          <w:snapToGrid w:val="0"/>
          <w:color w:val="auto"/>
          <w:sz w:val="30"/>
          <w:szCs w:val="30"/>
          <w:lang w:val="en-US" w:eastAsia="zh-CN"/>
        </w:rPr>
        <w:t>7 厂区平面布置图</w:t>
      </w:r>
    </w:p>
    <w:p w14:paraId="27C9C9B0">
      <w:pPr>
        <w:pStyle w:val="29"/>
        <w:jc w:val="center"/>
        <w:rPr>
          <w:color w:val="auto"/>
        </w:rPr>
      </w:pPr>
      <w:r>
        <w:rPr>
          <w:color w:val="auto"/>
        </w:rPr>
        <w:drawing>
          <wp:inline distT="0" distB="0" distL="114300" distR="114300">
            <wp:extent cx="6785610" cy="5026660"/>
            <wp:effectExtent l="0" t="0" r="15240" b="254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39"/>
                    <a:stretch>
                      <a:fillRect/>
                    </a:stretch>
                  </pic:blipFill>
                  <pic:spPr>
                    <a:xfrm>
                      <a:off x="0" y="0"/>
                      <a:ext cx="6785610" cy="5026660"/>
                    </a:xfrm>
                    <a:prstGeom prst="rect">
                      <a:avLst/>
                    </a:prstGeom>
                    <a:noFill/>
                    <a:ln>
                      <a:noFill/>
                    </a:ln>
                  </pic:spPr>
                </pic:pic>
              </a:graphicData>
            </a:graphic>
          </wp:inline>
        </w:drawing>
      </w:r>
    </w:p>
    <w:p w14:paraId="30D152F9">
      <w:pPr>
        <w:rPr>
          <w:color w:val="auto"/>
        </w:rPr>
      </w:pPr>
      <w:r>
        <w:rPr>
          <w:color w:val="auto"/>
        </w:rPr>
        <w:br w:type="page"/>
      </w:r>
    </w:p>
    <w:p w14:paraId="2CF0A065">
      <w:pPr>
        <w:jc w:val="both"/>
        <w:outlineLvl w:val="0"/>
        <w:rPr>
          <w:color w:val="auto"/>
        </w:rPr>
      </w:pPr>
      <w:r>
        <w:rPr>
          <w:rFonts w:hint="default" w:ascii="Times New Roman" w:hAnsi="Times New Roman" w:eastAsia="宋体" w:cs="Times New Roman"/>
          <w:b/>
          <w:bCs/>
          <w:snapToGrid w:val="0"/>
          <w:color w:val="auto"/>
          <w:sz w:val="30"/>
          <w:szCs w:val="30"/>
        </w:rPr>
        <w:t>附图</w:t>
      </w:r>
      <w:r>
        <w:rPr>
          <w:rFonts w:hint="eastAsia" w:cs="Times New Roman"/>
          <w:b/>
          <w:bCs/>
          <w:snapToGrid w:val="0"/>
          <w:color w:val="auto"/>
          <w:sz w:val="30"/>
          <w:szCs w:val="30"/>
          <w:lang w:val="en-US" w:eastAsia="zh-CN"/>
        </w:rPr>
        <w:t>8</w:t>
      </w:r>
      <w:r>
        <w:rPr>
          <w:rFonts w:hint="default" w:ascii="Times New Roman" w:hAnsi="Times New Roman" w:eastAsia="宋体" w:cs="Times New Roman"/>
          <w:b/>
          <w:bCs/>
          <w:snapToGrid w:val="0"/>
          <w:color w:val="auto"/>
          <w:sz w:val="30"/>
          <w:szCs w:val="30"/>
        </w:rPr>
        <w:t xml:space="preserve"> 厂区平面</w:t>
      </w:r>
      <w:r>
        <w:rPr>
          <w:rFonts w:hint="default" w:ascii="Times New Roman" w:hAnsi="Times New Roman" w:eastAsia="宋体" w:cs="Times New Roman"/>
          <w:b/>
          <w:bCs/>
          <w:snapToGrid w:val="0"/>
          <w:color w:val="auto"/>
          <w:sz w:val="30"/>
          <w:szCs w:val="30"/>
          <w:lang w:eastAsia="zh-CN"/>
        </w:rPr>
        <w:t>防渗</w:t>
      </w:r>
      <w:r>
        <w:rPr>
          <w:rFonts w:hint="eastAsia" w:cs="Times New Roman"/>
          <w:b/>
          <w:bCs/>
          <w:snapToGrid w:val="0"/>
          <w:color w:val="auto"/>
          <w:sz w:val="30"/>
          <w:szCs w:val="30"/>
          <w:lang w:eastAsia="zh-CN"/>
        </w:rPr>
        <w:t>图</w:t>
      </w:r>
    </w:p>
    <w:p w14:paraId="114CC2E5">
      <w:pPr>
        <w:pStyle w:val="29"/>
        <w:jc w:val="center"/>
        <w:rPr>
          <w:rFonts w:hint="eastAsia"/>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114300" distR="114300">
            <wp:extent cx="7085330" cy="5252085"/>
            <wp:effectExtent l="0" t="0" r="1270" b="571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40"/>
                    <a:stretch>
                      <a:fillRect/>
                    </a:stretch>
                  </pic:blipFill>
                  <pic:spPr>
                    <a:xfrm>
                      <a:off x="0" y="0"/>
                      <a:ext cx="7085330" cy="5252085"/>
                    </a:xfrm>
                    <a:prstGeom prst="rect">
                      <a:avLst/>
                    </a:prstGeom>
                    <a:noFill/>
                    <a:ln>
                      <a:noFill/>
                    </a:ln>
                  </pic:spPr>
                </pic:pic>
              </a:graphicData>
            </a:graphic>
          </wp:inline>
        </w:drawing>
      </w:r>
    </w:p>
    <w:p w14:paraId="14AA7AC4">
      <w:pPr>
        <w:jc w:val="both"/>
        <w:outlineLvl w:val="0"/>
        <w:rPr>
          <w:color w:val="auto"/>
        </w:rPr>
      </w:pPr>
      <w:bookmarkStart w:id="39" w:name="_Toc30166"/>
      <w:r>
        <w:rPr>
          <w:rFonts w:hint="default" w:ascii="Times New Roman" w:hAnsi="Times New Roman" w:eastAsia="宋体" w:cs="Times New Roman"/>
          <w:b/>
          <w:bCs/>
          <w:snapToGrid w:val="0"/>
          <w:color w:val="auto"/>
          <w:sz w:val="30"/>
          <w:szCs w:val="30"/>
        </w:rPr>
        <w:t>附图</w:t>
      </w:r>
      <w:r>
        <w:rPr>
          <w:rFonts w:hint="eastAsia" w:cs="Times New Roman"/>
          <w:b/>
          <w:bCs/>
          <w:snapToGrid w:val="0"/>
          <w:color w:val="auto"/>
          <w:sz w:val="30"/>
          <w:szCs w:val="30"/>
          <w:lang w:val="en-US" w:eastAsia="zh-CN"/>
        </w:rPr>
        <w:t>9</w:t>
      </w:r>
      <w:r>
        <w:rPr>
          <w:rFonts w:hint="default" w:ascii="Times New Roman" w:hAnsi="Times New Roman" w:eastAsia="宋体" w:cs="Times New Roman"/>
          <w:b/>
          <w:bCs/>
          <w:snapToGrid w:val="0"/>
          <w:color w:val="auto"/>
          <w:sz w:val="30"/>
          <w:szCs w:val="30"/>
        </w:rPr>
        <w:t xml:space="preserve"> </w:t>
      </w:r>
      <w:r>
        <w:rPr>
          <w:rFonts w:hint="eastAsia" w:cs="Times New Roman"/>
          <w:b/>
          <w:bCs/>
          <w:snapToGrid w:val="0"/>
          <w:color w:val="auto"/>
          <w:sz w:val="30"/>
          <w:szCs w:val="30"/>
          <w:lang w:eastAsia="zh-CN"/>
        </w:rPr>
        <w:t>运输路线图</w:t>
      </w:r>
    </w:p>
    <w:p w14:paraId="6E2081EE">
      <w:pPr>
        <w:pStyle w:val="29"/>
        <w:jc w:val="center"/>
        <w:rPr>
          <w:rFonts w:hint="eastAsia"/>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114300" distR="114300">
            <wp:extent cx="8258810" cy="4211320"/>
            <wp:effectExtent l="0" t="0" r="8890" b="1778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41"/>
                    <a:stretch>
                      <a:fillRect/>
                    </a:stretch>
                  </pic:blipFill>
                  <pic:spPr>
                    <a:xfrm>
                      <a:off x="0" y="0"/>
                      <a:ext cx="8258810" cy="4211320"/>
                    </a:xfrm>
                    <a:prstGeom prst="rect">
                      <a:avLst/>
                    </a:prstGeom>
                    <a:noFill/>
                    <a:ln>
                      <a:noFill/>
                    </a:ln>
                  </pic:spPr>
                </pic:pic>
              </a:graphicData>
            </a:graphic>
          </wp:inline>
        </w:drawing>
      </w:r>
    </w:p>
    <w:p w14:paraId="1462BB0D">
      <w:pPr>
        <w:pStyle w:val="2"/>
        <w:outlineLvl w:val="0"/>
        <w:rPr>
          <w:rFonts w:hint="default" w:ascii="Times New Roman" w:hAnsi="Times New Roman" w:eastAsia="宋体" w:cs="Times New Roman"/>
          <w:b/>
          <w:bCs/>
          <w:snapToGrid w:val="0"/>
          <w:color w:val="auto"/>
          <w:sz w:val="30"/>
          <w:szCs w:val="30"/>
        </w:rPr>
      </w:pPr>
      <w:r>
        <w:rPr>
          <w:rFonts w:hint="default" w:ascii="Times New Roman" w:hAnsi="Times New Roman" w:eastAsia="宋体" w:cs="Times New Roman"/>
          <w:b/>
          <w:bCs/>
          <w:snapToGrid w:val="0"/>
          <w:color w:val="auto"/>
          <w:sz w:val="30"/>
          <w:szCs w:val="30"/>
        </w:rPr>
        <w:t>附件1 营业执照</w:t>
      </w:r>
      <w:bookmarkEnd w:id="39"/>
    </w:p>
    <w:p w14:paraId="11FBF693">
      <w:pPr>
        <w:pStyle w:val="2"/>
        <w:jc w:val="center"/>
        <w:rPr>
          <w:rFonts w:hint="default" w:ascii="Times New Roman" w:hAnsi="Times New Roman" w:eastAsia="宋体" w:cs="Times New Roman"/>
          <w:snapToGrid w:val="0"/>
          <w:color w:val="auto"/>
          <w:sz w:val="30"/>
          <w:szCs w:val="30"/>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s="Times New Roman"/>
          <w:snapToGrid w:val="0"/>
          <w:color w:val="auto"/>
          <w:sz w:val="30"/>
          <w:szCs w:val="30"/>
          <w:lang w:val="en-US" w:eastAsia="zh-CN"/>
        </w:rPr>
        <w:drawing>
          <wp:inline distT="0" distB="0" distL="114300" distR="114300">
            <wp:extent cx="6767195" cy="4983480"/>
            <wp:effectExtent l="0" t="0" r="14605" b="7620"/>
            <wp:docPr id="112" name="图片 112"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营业执照"/>
                    <pic:cNvPicPr>
                      <a:picLocks noChangeAspect="1"/>
                    </pic:cNvPicPr>
                  </pic:nvPicPr>
                  <pic:blipFill>
                    <a:blip r:embed="rId42"/>
                    <a:srcRect l="4307" t="5870" r="5157" b="5201"/>
                    <a:stretch>
                      <a:fillRect/>
                    </a:stretch>
                  </pic:blipFill>
                  <pic:spPr>
                    <a:xfrm>
                      <a:off x="0" y="0"/>
                      <a:ext cx="6767195" cy="4983480"/>
                    </a:xfrm>
                    <a:prstGeom prst="rect">
                      <a:avLst/>
                    </a:prstGeom>
                  </pic:spPr>
                </pic:pic>
              </a:graphicData>
            </a:graphic>
          </wp:inline>
        </w:drawing>
      </w:r>
      <w:r>
        <w:rPr>
          <w:rFonts w:hint="eastAsia" w:cs="Times New Roman"/>
          <w:snapToGrid w:val="0"/>
          <w:color w:val="auto"/>
          <w:sz w:val="30"/>
          <w:szCs w:val="30"/>
          <w:lang w:val="en-US" w:eastAsia="zh-CN"/>
        </w:rPr>
        <w:t xml:space="preserve"> </w:t>
      </w:r>
    </w:p>
    <w:p w14:paraId="211974A4">
      <w:pPr>
        <w:pStyle w:val="2"/>
        <w:outlineLvl w:val="0"/>
        <w:rPr>
          <w:rFonts w:hint="default" w:ascii="Times New Roman" w:hAnsi="Times New Roman" w:eastAsia="宋体" w:cs="Times New Roman"/>
          <w:b/>
          <w:bCs/>
          <w:color w:val="auto"/>
        </w:rPr>
      </w:pPr>
      <w:bookmarkStart w:id="40" w:name="_Toc14761"/>
      <w:r>
        <w:rPr>
          <w:rFonts w:hint="default" w:ascii="Times New Roman" w:hAnsi="Times New Roman" w:eastAsia="宋体" w:cs="Times New Roman"/>
          <w:b/>
          <w:bCs/>
          <w:snapToGrid w:val="0"/>
          <w:color w:val="auto"/>
          <w:sz w:val="30"/>
          <w:szCs w:val="30"/>
        </w:rPr>
        <w:t xml:space="preserve">附件2 </w:t>
      </w:r>
      <w:r>
        <w:rPr>
          <w:rFonts w:hint="eastAsia" w:cs="Times New Roman"/>
          <w:b/>
          <w:bCs/>
          <w:snapToGrid w:val="0"/>
          <w:color w:val="auto"/>
          <w:sz w:val="30"/>
          <w:szCs w:val="30"/>
          <w:lang w:eastAsia="zh-CN"/>
        </w:rPr>
        <w:t>采矿用地</w:t>
      </w:r>
      <w:r>
        <w:rPr>
          <w:rFonts w:hint="default" w:ascii="Times New Roman" w:hAnsi="Times New Roman" w:eastAsia="宋体" w:cs="Times New Roman"/>
          <w:b/>
          <w:bCs/>
          <w:snapToGrid w:val="0"/>
          <w:color w:val="auto"/>
          <w:sz w:val="30"/>
          <w:szCs w:val="30"/>
        </w:rPr>
        <w:t>证明</w:t>
      </w:r>
    </w:p>
    <w:p w14:paraId="37D2E1AF">
      <w:pPr>
        <w:pStyle w:val="3"/>
        <w:keepNext w:val="0"/>
        <w:keepLines w:val="0"/>
        <w:pageBreakBefore w:val="0"/>
        <w:widowControl w:val="0"/>
        <w:numPr>
          <w:ilvl w:val="0"/>
          <w:numId w:val="0"/>
        </w:numPr>
        <w:kinsoku/>
        <w:wordWrap/>
        <w:overflowPunct/>
        <w:topLinePunct w:val="0"/>
        <w:autoSpaceDE/>
        <w:autoSpaceDN/>
        <w:bidi w:val="0"/>
        <w:adjustRightInd/>
        <w:snapToGrid/>
        <w:ind w:left="0" w:leftChars="0"/>
        <w:jc w:val="center"/>
        <w:textAlignment w:val="auto"/>
        <w:rPr>
          <w:rFonts w:hint="default"/>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lang w:val="en-US" w:eastAsia="zh-CN"/>
        </w:rPr>
        <w:drawing>
          <wp:inline distT="0" distB="0" distL="114300" distR="114300">
            <wp:extent cx="7418070" cy="5149850"/>
            <wp:effectExtent l="0" t="0" r="11430" b="12700"/>
            <wp:docPr id="113" name="图片 113" descr="鸡西海霖煤炭销售有限公司地块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鸡西海霖煤炭销售有限公司地块位置图"/>
                    <pic:cNvPicPr>
                      <a:picLocks noChangeAspect="1"/>
                    </pic:cNvPicPr>
                  </pic:nvPicPr>
                  <pic:blipFill>
                    <a:blip r:embed="rId43"/>
                    <a:srcRect l="7785" t="12559" r="3837" b="5648"/>
                    <a:stretch>
                      <a:fillRect/>
                    </a:stretch>
                  </pic:blipFill>
                  <pic:spPr>
                    <a:xfrm>
                      <a:off x="0" y="0"/>
                      <a:ext cx="7418070" cy="5149850"/>
                    </a:xfrm>
                    <a:prstGeom prst="rect">
                      <a:avLst/>
                    </a:prstGeom>
                  </pic:spPr>
                </pic:pic>
              </a:graphicData>
            </a:graphic>
          </wp:inline>
        </w:drawing>
      </w:r>
    </w:p>
    <w:p w14:paraId="58CDA372">
      <w:pPr>
        <w:pStyle w:val="2"/>
        <w:jc w:val="left"/>
        <w:outlineLvl w:val="0"/>
        <w:rPr>
          <w:rFonts w:hint="eastAsia" w:cs="Times New Roman"/>
          <w:b/>
          <w:bCs/>
          <w:snapToGrid w:val="0"/>
          <w:color w:val="auto"/>
          <w:sz w:val="30"/>
          <w:szCs w:val="30"/>
          <w:lang w:val="en-US" w:eastAsia="zh-CN"/>
        </w:rPr>
      </w:pPr>
      <w:r>
        <w:rPr>
          <w:rFonts w:hint="eastAsia" w:cs="Times New Roman"/>
          <w:b/>
          <w:bCs/>
          <w:snapToGrid w:val="0"/>
          <w:color w:val="auto"/>
          <w:sz w:val="30"/>
          <w:szCs w:val="30"/>
          <w:lang w:eastAsia="zh-CN"/>
        </w:rPr>
        <w:t>附件</w:t>
      </w:r>
      <w:r>
        <w:rPr>
          <w:rFonts w:hint="eastAsia" w:cs="Times New Roman"/>
          <w:b/>
          <w:bCs/>
          <w:snapToGrid w:val="0"/>
          <w:color w:val="auto"/>
          <w:sz w:val="30"/>
          <w:szCs w:val="30"/>
          <w:lang w:val="en-US" w:eastAsia="zh-CN"/>
        </w:rPr>
        <w:t>3 《鸡西海霖煤炭销售有限公司储煤场建设项目生态环境分区管控分析报告》</w:t>
      </w:r>
    </w:p>
    <w:p w14:paraId="0FD1DE4F">
      <w:pPr>
        <w:pStyle w:val="2"/>
        <w:jc w:val="center"/>
        <w:outlineLvl w:val="0"/>
        <w:rPr>
          <w:rFonts w:hint="default" w:cs="Times New Roman"/>
          <w:b/>
          <w:bCs/>
          <w:snapToGrid w:val="0"/>
          <w:color w:val="auto"/>
          <w:sz w:val="30"/>
          <w:szCs w:val="30"/>
          <w:lang w:val="en-US" w:eastAsia="zh-CN"/>
        </w:rPr>
      </w:pPr>
      <w:r>
        <w:rPr>
          <w:color w:val="auto"/>
        </w:rPr>
        <w:drawing>
          <wp:inline distT="0" distB="0" distL="114300" distR="114300">
            <wp:extent cx="7242175" cy="5118100"/>
            <wp:effectExtent l="0" t="0" r="15875" b="6350"/>
            <wp:docPr id="1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
                    <pic:cNvPicPr>
                      <a:picLocks noChangeAspect="1"/>
                    </pic:cNvPicPr>
                  </pic:nvPicPr>
                  <pic:blipFill>
                    <a:blip r:embed="rId44"/>
                    <a:stretch>
                      <a:fillRect/>
                    </a:stretch>
                  </pic:blipFill>
                  <pic:spPr>
                    <a:xfrm>
                      <a:off x="0" y="0"/>
                      <a:ext cx="7242175" cy="5118100"/>
                    </a:xfrm>
                    <a:prstGeom prst="rect">
                      <a:avLst/>
                    </a:prstGeom>
                    <a:noFill/>
                    <a:ln>
                      <a:noFill/>
                    </a:ln>
                  </pic:spPr>
                </pic:pic>
              </a:graphicData>
            </a:graphic>
          </wp:inline>
        </w:drawing>
      </w:r>
    </w:p>
    <w:p w14:paraId="26CB741B">
      <w:pPr>
        <w:pStyle w:val="29"/>
        <w:jc w:val="center"/>
        <w:rPr>
          <w:color w:val="auto"/>
        </w:rPr>
      </w:pPr>
      <w:r>
        <w:rPr>
          <w:color w:val="auto"/>
        </w:rPr>
        <w:drawing>
          <wp:inline distT="0" distB="0" distL="114300" distR="114300">
            <wp:extent cx="7922260" cy="5614670"/>
            <wp:effectExtent l="0" t="0" r="2540" b="5080"/>
            <wp:docPr id="1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
                    <pic:cNvPicPr>
                      <a:picLocks noChangeAspect="1"/>
                    </pic:cNvPicPr>
                  </pic:nvPicPr>
                  <pic:blipFill>
                    <a:blip r:embed="rId45"/>
                    <a:stretch>
                      <a:fillRect/>
                    </a:stretch>
                  </pic:blipFill>
                  <pic:spPr>
                    <a:xfrm>
                      <a:off x="0" y="0"/>
                      <a:ext cx="7922260" cy="5614670"/>
                    </a:xfrm>
                    <a:prstGeom prst="rect">
                      <a:avLst/>
                    </a:prstGeom>
                    <a:noFill/>
                    <a:ln>
                      <a:noFill/>
                    </a:ln>
                  </pic:spPr>
                </pic:pic>
              </a:graphicData>
            </a:graphic>
          </wp:inline>
        </w:drawing>
      </w:r>
    </w:p>
    <w:p w14:paraId="18B6AA6F">
      <w:pPr>
        <w:jc w:val="center"/>
        <w:rPr>
          <w:color w:val="auto"/>
        </w:rPr>
      </w:pPr>
      <w:r>
        <w:rPr>
          <w:color w:val="auto"/>
        </w:rPr>
        <w:drawing>
          <wp:inline distT="0" distB="0" distL="114300" distR="114300">
            <wp:extent cx="7931785" cy="5614670"/>
            <wp:effectExtent l="0" t="0" r="12065" b="5080"/>
            <wp:docPr id="1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pic:cNvPicPr>
                      <a:picLocks noChangeAspect="1"/>
                    </pic:cNvPicPr>
                  </pic:nvPicPr>
                  <pic:blipFill>
                    <a:blip r:embed="rId46"/>
                    <a:stretch>
                      <a:fillRect/>
                    </a:stretch>
                  </pic:blipFill>
                  <pic:spPr>
                    <a:xfrm>
                      <a:off x="0" y="0"/>
                      <a:ext cx="7931785" cy="5614670"/>
                    </a:xfrm>
                    <a:prstGeom prst="rect">
                      <a:avLst/>
                    </a:prstGeom>
                    <a:noFill/>
                    <a:ln>
                      <a:noFill/>
                    </a:ln>
                  </pic:spPr>
                </pic:pic>
              </a:graphicData>
            </a:graphic>
          </wp:inline>
        </w:drawing>
      </w:r>
    </w:p>
    <w:p w14:paraId="3CE6F2E6">
      <w:pPr>
        <w:pStyle w:val="29"/>
        <w:rPr>
          <w:color w:val="auto"/>
        </w:rPr>
      </w:pPr>
      <w:r>
        <w:rPr>
          <w:color w:val="auto"/>
        </w:rPr>
        <w:drawing>
          <wp:inline distT="0" distB="0" distL="114300" distR="114300">
            <wp:extent cx="7915910" cy="5612765"/>
            <wp:effectExtent l="0" t="0" r="8890" b="6985"/>
            <wp:docPr id="1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
                    <pic:cNvPicPr>
                      <a:picLocks noChangeAspect="1"/>
                    </pic:cNvPicPr>
                  </pic:nvPicPr>
                  <pic:blipFill>
                    <a:blip r:embed="rId47"/>
                    <a:stretch>
                      <a:fillRect/>
                    </a:stretch>
                  </pic:blipFill>
                  <pic:spPr>
                    <a:xfrm>
                      <a:off x="0" y="0"/>
                      <a:ext cx="7915910" cy="5612765"/>
                    </a:xfrm>
                    <a:prstGeom prst="rect">
                      <a:avLst/>
                    </a:prstGeom>
                    <a:noFill/>
                    <a:ln>
                      <a:noFill/>
                    </a:ln>
                  </pic:spPr>
                </pic:pic>
              </a:graphicData>
            </a:graphic>
          </wp:inline>
        </w:drawing>
      </w:r>
    </w:p>
    <w:p w14:paraId="30A8559B">
      <w:pPr>
        <w:jc w:val="center"/>
        <w:rPr>
          <w:color w:val="auto"/>
        </w:rPr>
      </w:pPr>
      <w:r>
        <w:rPr>
          <w:color w:val="auto"/>
        </w:rPr>
        <w:drawing>
          <wp:inline distT="0" distB="0" distL="114300" distR="114300">
            <wp:extent cx="7908925" cy="5610225"/>
            <wp:effectExtent l="0" t="0" r="15875" b="9525"/>
            <wp:docPr id="1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
                    <pic:cNvPicPr>
                      <a:picLocks noChangeAspect="1"/>
                    </pic:cNvPicPr>
                  </pic:nvPicPr>
                  <pic:blipFill>
                    <a:blip r:embed="rId48"/>
                    <a:stretch>
                      <a:fillRect/>
                    </a:stretch>
                  </pic:blipFill>
                  <pic:spPr>
                    <a:xfrm>
                      <a:off x="0" y="0"/>
                      <a:ext cx="7908925" cy="5610225"/>
                    </a:xfrm>
                    <a:prstGeom prst="rect">
                      <a:avLst/>
                    </a:prstGeom>
                    <a:noFill/>
                    <a:ln>
                      <a:noFill/>
                    </a:ln>
                  </pic:spPr>
                </pic:pic>
              </a:graphicData>
            </a:graphic>
          </wp:inline>
        </w:drawing>
      </w:r>
    </w:p>
    <w:p w14:paraId="5D26ECFA">
      <w:pPr>
        <w:pStyle w:val="29"/>
        <w:jc w:val="center"/>
        <w:rPr>
          <w:color w:val="auto"/>
        </w:rPr>
      </w:pPr>
      <w:r>
        <w:rPr>
          <w:color w:val="auto"/>
        </w:rPr>
        <w:drawing>
          <wp:inline distT="0" distB="0" distL="114300" distR="114300">
            <wp:extent cx="7931785" cy="5614670"/>
            <wp:effectExtent l="0" t="0" r="12065" b="5080"/>
            <wp:docPr id="1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8"/>
                    <pic:cNvPicPr>
                      <a:picLocks noChangeAspect="1"/>
                    </pic:cNvPicPr>
                  </pic:nvPicPr>
                  <pic:blipFill>
                    <a:blip r:embed="rId49"/>
                    <a:stretch>
                      <a:fillRect/>
                    </a:stretch>
                  </pic:blipFill>
                  <pic:spPr>
                    <a:xfrm>
                      <a:off x="0" y="0"/>
                      <a:ext cx="7931785" cy="5614670"/>
                    </a:xfrm>
                    <a:prstGeom prst="rect">
                      <a:avLst/>
                    </a:prstGeom>
                    <a:noFill/>
                    <a:ln>
                      <a:noFill/>
                    </a:ln>
                  </pic:spPr>
                </pic:pic>
              </a:graphicData>
            </a:graphic>
          </wp:inline>
        </w:drawing>
      </w:r>
    </w:p>
    <w:p w14:paraId="681A85ED">
      <w:pPr>
        <w:pStyle w:val="29"/>
        <w:rPr>
          <w:color w:val="auto"/>
        </w:rPr>
      </w:pPr>
      <w:r>
        <w:rPr>
          <w:color w:val="auto"/>
        </w:rPr>
        <w:drawing>
          <wp:inline distT="0" distB="0" distL="114300" distR="114300">
            <wp:extent cx="7931785" cy="5614670"/>
            <wp:effectExtent l="0" t="0" r="12065" b="5080"/>
            <wp:docPr id="1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
                    <pic:cNvPicPr>
                      <a:picLocks noChangeAspect="1"/>
                    </pic:cNvPicPr>
                  </pic:nvPicPr>
                  <pic:blipFill>
                    <a:blip r:embed="rId50"/>
                    <a:stretch>
                      <a:fillRect/>
                    </a:stretch>
                  </pic:blipFill>
                  <pic:spPr>
                    <a:xfrm>
                      <a:off x="0" y="0"/>
                      <a:ext cx="7931785" cy="5614670"/>
                    </a:xfrm>
                    <a:prstGeom prst="rect">
                      <a:avLst/>
                    </a:prstGeom>
                    <a:noFill/>
                    <a:ln>
                      <a:noFill/>
                    </a:ln>
                  </pic:spPr>
                </pic:pic>
              </a:graphicData>
            </a:graphic>
          </wp:inline>
        </w:drawing>
      </w:r>
    </w:p>
    <w:p w14:paraId="7CD9E8F4">
      <w:pPr>
        <w:jc w:val="center"/>
        <w:rPr>
          <w:color w:val="auto"/>
        </w:rPr>
      </w:pPr>
      <w:r>
        <w:rPr>
          <w:color w:val="auto"/>
        </w:rPr>
        <w:drawing>
          <wp:inline distT="0" distB="0" distL="114300" distR="114300">
            <wp:extent cx="7925435" cy="5612765"/>
            <wp:effectExtent l="0" t="0" r="18415" b="6985"/>
            <wp:docPr id="1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0"/>
                    <pic:cNvPicPr>
                      <a:picLocks noChangeAspect="1"/>
                    </pic:cNvPicPr>
                  </pic:nvPicPr>
                  <pic:blipFill>
                    <a:blip r:embed="rId51"/>
                    <a:stretch>
                      <a:fillRect/>
                    </a:stretch>
                  </pic:blipFill>
                  <pic:spPr>
                    <a:xfrm>
                      <a:off x="0" y="0"/>
                      <a:ext cx="7925435" cy="5612765"/>
                    </a:xfrm>
                    <a:prstGeom prst="rect">
                      <a:avLst/>
                    </a:prstGeom>
                    <a:noFill/>
                    <a:ln>
                      <a:noFill/>
                    </a:ln>
                  </pic:spPr>
                </pic:pic>
              </a:graphicData>
            </a:graphic>
          </wp:inline>
        </w:drawing>
      </w:r>
    </w:p>
    <w:p w14:paraId="33BD1257">
      <w:pPr>
        <w:pStyle w:val="29"/>
        <w:jc w:val="center"/>
        <w:rPr>
          <w:color w:val="auto"/>
        </w:rPr>
      </w:pPr>
      <w:r>
        <w:rPr>
          <w:color w:val="auto"/>
        </w:rPr>
        <w:drawing>
          <wp:inline distT="0" distB="0" distL="114300" distR="114300">
            <wp:extent cx="7910195" cy="5614035"/>
            <wp:effectExtent l="0" t="0" r="14605" b="5715"/>
            <wp:docPr id="1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1"/>
                    <pic:cNvPicPr>
                      <a:picLocks noChangeAspect="1"/>
                    </pic:cNvPicPr>
                  </pic:nvPicPr>
                  <pic:blipFill>
                    <a:blip r:embed="rId52"/>
                    <a:stretch>
                      <a:fillRect/>
                    </a:stretch>
                  </pic:blipFill>
                  <pic:spPr>
                    <a:xfrm>
                      <a:off x="0" y="0"/>
                      <a:ext cx="7910195" cy="5614035"/>
                    </a:xfrm>
                    <a:prstGeom prst="rect">
                      <a:avLst/>
                    </a:prstGeom>
                    <a:noFill/>
                    <a:ln>
                      <a:noFill/>
                    </a:ln>
                  </pic:spPr>
                </pic:pic>
              </a:graphicData>
            </a:graphic>
          </wp:inline>
        </w:drawing>
      </w:r>
    </w:p>
    <w:p w14:paraId="3350E7CD">
      <w:pPr>
        <w:jc w:val="center"/>
        <w:rPr>
          <w:color w:val="auto"/>
        </w:rPr>
      </w:pPr>
      <w:r>
        <w:rPr>
          <w:color w:val="auto"/>
        </w:rPr>
        <w:drawing>
          <wp:inline distT="0" distB="0" distL="114300" distR="114300">
            <wp:extent cx="7903845" cy="5612130"/>
            <wp:effectExtent l="0" t="0" r="1905" b="7620"/>
            <wp:docPr id="1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
                    <pic:cNvPicPr>
                      <a:picLocks noChangeAspect="1"/>
                    </pic:cNvPicPr>
                  </pic:nvPicPr>
                  <pic:blipFill>
                    <a:blip r:embed="rId53"/>
                    <a:stretch>
                      <a:fillRect/>
                    </a:stretch>
                  </pic:blipFill>
                  <pic:spPr>
                    <a:xfrm>
                      <a:off x="0" y="0"/>
                      <a:ext cx="7903845" cy="5612130"/>
                    </a:xfrm>
                    <a:prstGeom prst="rect">
                      <a:avLst/>
                    </a:prstGeom>
                    <a:noFill/>
                    <a:ln>
                      <a:noFill/>
                    </a:ln>
                  </pic:spPr>
                </pic:pic>
              </a:graphicData>
            </a:graphic>
          </wp:inline>
        </w:drawing>
      </w:r>
    </w:p>
    <w:p w14:paraId="6719BDF4">
      <w:pPr>
        <w:rPr>
          <w:rFonts w:hint="default"/>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1159CF91">
      <w:pPr>
        <w:pStyle w:val="2"/>
        <w:outlineLvl w:val="0"/>
        <w:rPr>
          <w:rFonts w:hint="eastAsia" w:cs="Times New Roman"/>
          <w:b/>
          <w:bCs/>
          <w:snapToGrid w:val="0"/>
          <w:color w:val="auto"/>
          <w:sz w:val="30"/>
          <w:szCs w:val="30"/>
          <w:highlight w:val="none"/>
          <w:lang w:eastAsia="zh-CN"/>
        </w:rPr>
      </w:pPr>
      <w:r>
        <w:rPr>
          <w:rFonts w:hint="default" w:ascii="Times New Roman" w:hAnsi="Times New Roman" w:eastAsia="宋体" w:cs="Times New Roman"/>
          <w:b/>
          <w:bCs/>
          <w:snapToGrid w:val="0"/>
          <w:color w:val="auto"/>
          <w:sz w:val="30"/>
          <w:szCs w:val="30"/>
          <w:highlight w:val="none"/>
        </w:rPr>
        <w:t>附件</w:t>
      </w:r>
      <w:r>
        <w:rPr>
          <w:rFonts w:hint="eastAsia" w:cs="Times New Roman"/>
          <w:b/>
          <w:bCs/>
          <w:snapToGrid w:val="0"/>
          <w:color w:val="auto"/>
          <w:sz w:val="30"/>
          <w:szCs w:val="30"/>
          <w:highlight w:val="none"/>
          <w:lang w:val="en-US" w:eastAsia="zh-CN"/>
        </w:rPr>
        <w:t xml:space="preserve">4 </w:t>
      </w:r>
      <w:r>
        <w:rPr>
          <w:rFonts w:hint="eastAsia" w:cs="Times New Roman"/>
          <w:b/>
          <w:bCs/>
          <w:snapToGrid w:val="0"/>
          <w:color w:val="auto"/>
          <w:sz w:val="30"/>
          <w:szCs w:val="30"/>
          <w:highlight w:val="none"/>
          <w:lang w:eastAsia="zh-CN"/>
        </w:rPr>
        <w:t>现状监测引用报告</w:t>
      </w:r>
    </w:p>
    <w:p w14:paraId="50773664">
      <w:pPr>
        <w:pStyle w:val="2"/>
        <w:jc w:val="center"/>
        <w:outlineLvl w:val="0"/>
        <w:rPr>
          <w:rFonts w:hint="eastAsia" w:ascii="Times New Roman" w:hAnsi="Times New Roman" w:eastAsia="宋体" w:cs="Times New Roman"/>
          <w:b/>
          <w:bCs/>
          <w:snapToGrid w:val="0"/>
          <w:color w:val="auto"/>
          <w:sz w:val="30"/>
          <w:szCs w:val="30"/>
          <w:highlight w:val="none"/>
          <w:lang w:eastAsia="zh-CN"/>
        </w:rPr>
      </w:pPr>
      <w:r>
        <w:rPr>
          <w:color w:val="auto"/>
        </w:rPr>
        <w:drawing>
          <wp:inline distT="0" distB="0" distL="114300" distR="114300">
            <wp:extent cx="5385435" cy="7598410"/>
            <wp:effectExtent l="0" t="0" r="5715" b="2540"/>
            <wp:docPr id="6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1"/>
                    <pic:cNvPicPr>
                      <a:picLocks noChangeAspect="1"/>
                    </pic:cNvPicPr>
                  </pic:nvPicPr>
                  <pic:blipFill>
                    <a:blip r:embed="rId54"/>
                    <a:stretch>
                      <a:fillRect/>
                    </a:stretch>
                  </pic:blipFill>
                  <pic:spPr>
                    <a:xfrm>
                      <a:off x="0" y="0"/>
                      <a:ext cx="5385435" cy="7598410"/>
                    </a:xfrm>
                    <a:prstGeom prst="rect">
                      <a:avLst/>
                    </a:prstGeom>
                    <a:noFill/>
                    <a:ln>
                      <a:noFill/>
                    </a:ln>
                  </pic:spPr>
                </pic:pic>
              </a:graphicData>
            </a:graphic>
          </wp:inline>
        </w:drawing>
      </w:r>
    </w:p>
    <w:p w14:paraId="19695827">
      <w:pPr>
        <w:jc w:val="left"/>
        <w:outlineLvl w:val="0"/>
        <w:rPr>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w:drawing>
          <wp:inline distT="0" distB="0" distL="114300" distR="114300">
            <wp:extent cx="5614670" cy="7905750"/>
            <wp:effectExtent l="0" t="0" r="5080" b="0"/>
            <wp:docPr id="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pic:cNvPicPr>
                      <a:picLocks noChangeAspect="1"/>
                    </pic:cNvPicPr>
                  </pic:nvPicPr>
                  <pic:blipFill>
                    <a:blip r:embed="rId55"/>
                    <a:stretch>
                      <a:fillRect/>
                    </a:stretch>
                  </pic:blipFill>
                  <pic:spPr>
                    <a:xfrm>
                      <a:off x="0" y="0"/>
                      <a:ext cx="5614670" cy="7905750"/>
                    </a:xfrm>
                    <a:prstGeom prst="rect">
                      <a:avLst/>
                    </a:prstGeom>
                    <a:noFill/>
                    <a:ln>
                      <a:noFill/>
                    </a:ln>
                  </pic:spPr>
                </pic:pic>
              </a:graphicData>
            </a:graphic>
          </wp:inline>
        </w:drawing>
      </w:r>
      <w:r>
        <w:rPr>
          <w:color w:val="auto"/>
        </w:rPr>
        <w:drawing>
          <wp:inline distT="0" distB="0" distL="114300" distR="114300">
            <wp:extent cx="5591175" cy="7915275"/>
            <wp:effectExtent l="0" t="0" r="9525" b="9525"/>
            <wp:docPr id="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pic:cNvPicPr>
                      <a:picLocks noChangeAspect="1"/>
                    </pic:cNvPicPr>
                  </pic:nvPicPr>
                  <pic:blipFill>
                    <a:blip r:embed="rId56"/>
                    <a:stretch>
                      <a:fillRect/>
                    </a:stretch>
                  </pic:blipFill>
                  <pic:spPr>
                    <a:xfrm>
                      <a:off x="0" y="0"/>
                      <a:ext cx="5591175" cy="7915275"/>
                    </a:xfrm>
                    <a:prstGeom prst="rect">
                      <a:avLst/>
                    </a:prstGeom>
                    <a:noFill/>
                    <a:ln>
                      <a:noFill/>
                    </a:ln>
                  </pic:spPr>
                </pic:pic>
              </a:graphicData>
            </a:graphic>
          </wp:inline>
        </w:drawing>
      </w:r>
      <w:r>
        <w:rPr>
          <w:color w:val="auto"/>
        </w:rPr>
        <w:drawing>
          <wp:inline distT="0" distB="0" distL="114300" distR="114300">
            <wp:extent cx="5612130" cy="7910830"/>
            <wp:effectExtent l="0" t="0" r="7620" b="13970"/>
            <wp:docPr id="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
                    <pic:cNvPicPr>
                      <a:picLocks noChangeAspect="1"/>
                    </pic:cNvPicPr>
                  </pic:nvPicPr>
                  <pic:blipFill>
                    <a:blip r:embed="rId57"/>
                    <a:stretch>
                      <a:fillRect/>
                    </a:stretch>
                  </pic:blipFill>
                  <pic:spPr>
                    <a:xfrm>
                      <a:off x="0" y="0"/>
                      <a:ext cx="5612130" cy="7910830"/>
                    </a:xfrm>
                    <a:prstGeom prst="rect">
                      <a:avLst/>
                    </a:prstGeom>
                    <a:noFill/>
                    <a:ln>
                      <a:noFill/>
                    </a:ln>
                  </pic:spPr>
                </pic:pic>
              </a:graphicData>
            </a:graphic>
          </wp:inline>
        </w:drawing>
      </w:r>
      <w:bookmarkEnd w:id="40"/>
    </w:p>
    <w:p w14:paraId="182146A9">
      <w:pPr>
        <w:pStyle w:val="2"/>
        <w:outlineLvl w:val="0"/>
        <w:rPr>
          <w:rFonts w:hint="eastAsia" w:cs="Times New Roman"/>
          <w:b/>
          <w:bCs/>
          <w:snapToGrid w:val="0"/>
          <w:color w:val="auto"/>
          <w:sz w:val="30"/>
          <w:szCs w:val="30"/>
          <w:highlight w:val="none"/>
          <w:lang w:eastAsia="zh-CN"/>
        </w:rPr>
      </w:pPr>
      <w:r>
        <w:rPr>
          <w:rFonts w:hint="default" w:ascii="Times New Roman" w:hAnsi="Times New Roman" w:eastAsia="宋体" w:cs="Times New Roman"/>
          <w:b/>
          <w:bCs/>
          <w:snapToGrid w:val="0"/>
          <w:color w:val="auto"/>
          <w:sz w:val="30"/>
          <w:szCs w:val="30"/>
          <w:highlight w:val="none"/>
        </w:rPr>
        <w:t>附件</w:t>
      </w:r>
      <w:r>
        <w:rPr>
          <w:rFonts w:hint="eastAsia" w:cs="Times New Roman"/>
          <w:b/>
          <w:bCs/>
          <w:snapToGrid w:val="0"/>
          <w:color w:val="auto"/>
          <w:sz w:val="30"/>
          <w:szCs w:val="30"/>
          <w:highlight w:val="none"/>
          <w:lang w:val="en-US" w:eastAsia="zh-CN"/>
        </w:rPr>
        <w:t xml:space="preserve">5 </w:t>
      </w:r>
      <w:r>
        <w:rPr>
          <w:rFonts w:hint="eastAsia" w:cs="Times New Roman"/>
          <w:b/>
          <w:bCs/>
          <w:snapToGrid w:val="0"/>
          <w:color w:val="auto"/>
          <w:sz w:val="30"/>
          <w:szCs w:val="30"/>
          <w:highlight w:val="none"/>
          <w:lang w:eastAsia="zh-CN"/>
        </w:rPr>
        <w:t>法人与联系人关系证明</w:t>
      </w:r>
    </w:p>
    <w:p w14:paraId="3BC43A29">
      <w:pPr>
        <w:pStyle w:val="2"/>
        <w:jc w:val="center"/>
        <w:outlineLvl w:val="0"/>
        <w:rPr>
          <w:rFonts w:hint="default"/>
          <w:color w:val="auto"/>
          <w:lang w:val="en-US" w:eastAsia="zh-CN"/>
        </w:rPr>
      </w:pPr>
      <w:r>
        <w:rPr>
          <w:rFonts w:hint="eastAsia" w:cs="Times New Roman"/>
          <w:b/>
          <w:bCs/>
          <w:snapToGrid w:val="0"/>
          <w:color w:val="auto"/>
          <w:sz w:val="30"/>
          <w:szCs w:val="30"/>
          <w:highlight w:val="none"/>
          <w:lang w:val="en-US" w:eastAsia="zh-CN"/>
        </w:rPr>
        <w:drawing>
          <wp:inline distT="0" distB="0" distL="114300" distR="114300">
            <wp:extent cx="5173980" cy="6344285"/>
            <wp:effectExtent l="0" t="0" r="18415" b="7620"/>
            <wp:docPr id="9" name="图片 9" descr="292cafcd41bb3d11d3f7788e33058d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92cafcd41bb3d11d3f7788e33058d21"/>
                    <pic:cNvPicPr>
                      <a:picLocks noChangeAspect="1"/>
                    </pic:cNvPicPr>
                  </pic:nvPicPr>
                  <pic:blipFill>
                    <a:blip r:embed="rId58"/>
                    <a:srcRect l="6354" t="16597" r="16322" b="12301"/>
                    <a:stretch>
                      <a:fillRect/>
                    </a:stretch>
                  </pic:blipFill>
                  <pic:spPr>
                    <a:xfrm rot="16200000">
                      <a:off x="0" y="0"/>
                      <a:ext cx="5173980" cy="6344285"/>
                    </a:xfrm>
                    <a:prstGeom prst="rect">
                      <a:avLst/>
                    </a:prstGeom>
                  </pic:spPr>
                </pic:pic>
              </a:graphicData>
            </a:graphic>
          </wp:inline>
        </w:drawing>
      </w:r>
    </w:p>
    <w:p w14:paraId="1094F64B">
      <w:pPr>
        <w:pStyle w:val="2"/>
        <w:rPr>
          <w:rFonts w:hint="eastAsia"/>
          <w:color w:val="auto"/>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675C79CF">
      <w:pPr>
        <w:pStyle w:val="29"/>
        <w:ind w:left="0" w:leftChars="0" w:firstLine="0" w:firstLineChars="0"/>
        <w:rPr>
          <w:rFonts w:hint="eastAsia"/>
          <w:color w:val="auto"/>
          <w:lang w:eastAsia="zh-CN"/>
        </w:rPr>
      </w:pPr>
    </w:p>
    <w:sectPr>
      <w:footerReference r:id="rId8"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modern"/>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行楷">
    <w:panose1 w:val="02010800040101010101"/>
    <w:charset w:val="86"/>
    <w:family w:val="auto"/>
    <w:pitch w:val="default"/>
    <w:sig w:usb0="00000001" w:usb1="080F0000" w:usb2="0000000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Math">
    <w:altName w:val="DejaVu Math TeX Gyre"/>
    <w:panose1 w:val="02040503050406030204"/>
    <w:charset w:val="00"/>
    <w:family w:val="roman"/>
    <w:pitch w:val="default"/>
    <w:sig w:usb0="00000000" w:usb1="00000000" w:usb2="02000000" w:usb3="00000000" w:csb0="2000019F" w:csb1="00000000"/>
  </w:font>
  <w:font w:name="DejaVu Math TeX Gyre">
    <w:panose1 w:val="02000503000000000000"/>
    <w:charset w:val="00"/>
    <w:family w:val="auto"/>
    <w:pitch w:val="default"/>
    <w:sig w:usb0="A10000EF" w:usb1="4201F9EE" w:usb2="02000000" w:usb3="00000000" w:csb0="60000193" w:csb1="0DD4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DC0E62">
    <w:pPr>
      <w:pStyle w:val="17"/>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ACB308">
    <w:pPr>
      <w:pStyle w:val="17"/>
      <w:framePr w:wrap="around" w:vAnchor="text" w:hAnchor="margin" w:xAlign="center" w:y="1"/>
      <w:rPr>
        <w:rStyle w:val="34"/>
      </w:rPr>
    </w:pPr>
    <w:r>
      <w:fldChar w:fldCharType="begin"/>
    </w:r>
    <w:r>
      <w:rPr>
        <w:rStyle w:val="34"/>
      </w:rPr>
      <w:instrText xml:space="preserve">PAGE  </w:instrText>
    </w:r>
    <w:r>
      <w:fldChar w:fldCharType="end"/>
    </w:r>
  </w:p>
  <w:p w14:paraId="3482AFA7">
    <w:pPr>
      <w:pStyle w:val="1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4172B1">
    <w:pPr>
      <w:pStyle w:val="17"/>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4"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F49E17E">
                          <w:pPr>
                            <w:pStyle w:val="17"/>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9</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Oyi+NyQEAAJsDAAAOAAAAAAAAAAEAIAAAAB4BAABkcnMvZTJvRG9j&#10;LnhtbFBLBQYAAAAABgAGAFkBAABZBQAAAAA=&#10;">
              <v:fill on="f" focussize="0,0"/>
              <v:stroke on="f"/>
              <v:imagedata o:title=""/>
              <o:lock v:ext="edit" aspectratio="f"/>
              <v:textbox inset="0mm,0mm,0mm,0mm" style="mso-fit-shape-to-text:t;">
                <w:txbxContent>
                  <w:p w14:paraId="4F49E17E">
                    <w:pPr>
                      <w:pStyle w:val="17"/>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9</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D37D6">
    <w:pPr>
      <w:pStyle w:val="17"/>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5"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F489509">
                          <w:pPr>
                            <w:pStyle w:val="17"/>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10</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txbxContent>
                    </wps:txbx>
                    <wps:bodyPr wrap="none" lIns="0" tIns="0" rIns="0" bIns="0" upright="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CY+jMoBAACb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SLm/D6DSWOWxz5+eeP868/59/f&#10;yTIL1AeoMe82YGYa3vsBk2c/oDPzHlS0+YuMCMZR3tNFXjkkIvKj1XK1qjAkMDZfEJ/dPw8R0gfp&#10;LclGQyPOr8jKj58gjalzSq7m/I02pszQuP8ciJk9LPc+9pitNOyGidDOtyfk0+PoG+pw0ykxHx0q&#10;m7dkNuJs7GbjEKLed2WNcj0I7w4Jmyi95Qoj7FQYZ1bYTfuVl+Lfe8m6/6c2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vCY+jMoBAACbAwAADgAAAAAAAAABACAAAAAeAQAAZHJzL2Uyb0Rv&#10;Yy54bWxQSwUGAAAAAAYABgBZAQAAWgUAAAAA&#10;">
              <v:fill on="f" focussize="0,0"/>
              <v:stroke on="f"/>
              <v:imagedata o:title=""/>
              <o:lock v:ext="edit" aspectratio="f"/>
              <v:textbox inset="0mm,0mm,0mm,0mm" style="mso-fit-shape-to-text:t;">
                <w:txbxContent>
                  <w:p w14:paraId="3F489509">
                    <w:pPr>
                      <w:pStyle w:val="17"/>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10</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FE667D">
    <w:pPr>
      <w:pStyle w:val="17"/>
      <w:ind w:right="360" w:firstLine="360"/>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0FEF979">
                          <w:pPr>
                            <w:pStyle w:val="17"/>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11</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txbxContent>
                    </wps:txbx>
                    <wps:bodyPr wrap="none" lIns="0" tIns="0" rIns="0" bIns="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8uCFsgBAACa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uAkoieMWJ37++eP86/H88J28&#10;yfr0AWpMuwuYmIb3fsDc2Q/ozLQHFW3+IiGCcYQ6XdSVQyIiP1otV6sKQwJj8wXx2dPzECF9kN6S&#10;bDQ04viKqvz4CdKYOqfkas7famPKCI37y4GY2cNy72OP2UrDbpgI7Xx7Qj49Tr6hDhedEvPRobDY&#10;X5qNOBu72TiEqPdd2aJcD8K7Q8ImSm+5wgg7FcaRFXbTeuWd+PNesp5+qc1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GfLghbIAQAAmgMAAA4AAAAAAAAAAQAgAAAAHgEAAGRycy9lMm9Eb2Mu&#10;eG1sUEsFBgAAAAAGAAYAWQEAAFgFAAAAAA==&#10;">
              <v:fill on="f" focussize="0,0"/>
              <v:stroke on="f"/>
              <v:imagedata o:title=""/>
              <o:lock v:ext="edit" aspectratio="f"/>
              <v:textbox inset="0mm,0mm,0mm,0mm" style="mso-fit-shape-to-text:t;">
                <w:txbxContent>
                  <w:p w14:paraId="30FEF979">
                    <w:pPr>
                      <w:pStyle w:val="17"/>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11</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43E770">
    <w:pPr>
      <w:pStyle w:val="17"/>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75DA84D">
                          <w:pPr>
                            <w:pStyle w:val="17"/>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11</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txbxContent>
                    </wps:txbx>
                    <wps:bodyPr wrap="none" lIns="0" tIns="0" rIns="0" bIns="0" upright="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rgdB4soBAACbAwAADgAAAAAAAAABACAAAAAeAQAAZHJzL2Uyb0Rv&#10;Yy54bWxQSwUGAAAAAAYABgBZAQAAWgUAAAAA&#10;">
              <v:fill on="f" focussize="0,0"/>
              <v:stroke on="f"/>
              <v:imagedata o:title=""/>
              <o:lock v:ext="edit" aspectratio="f"/>
              <v:textbox inset="0mm,0mm,0mm,0mm" style="mso-fit-shape-to-text:t;">
                <w:txbxContent>
                  <w:p w14:paraId="775DA84D">
                    <w:pPr>
                      <w:pStyle w:val="17"/>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11</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A579026"/>
    <w:multiLevelType w:val="singleLevel"/>
    <w:tmpl w:val="5A579026"/>
    <w:lvl w:ilvl="0" w:tentative="0">
      <w:start w:val="1"/>
      <w:numFmt w:val="bullet"/>
      <w:pStyle w:val="3"/>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9"/>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liNDMyNmEyYzkzNTZmNjZmNzQ3ZWQ3OWVkNjhiZTgifQ=="/>
    <w:docVar w:name="KSO_WPS_MARK_KEY" w:val="67b26b6a-5537-4dd4-85d0-c9b6faf76435"/>
  </w:docVars>
  <w:rsids>
    <w:rsidRoot w:val="00A14947"/>
    <w:rsid w:val="000060B3"/>
    <w:rsid w:val="000421CE"/>
    <w:rsid w:val="0004364B"/>
    <w:rsid w:val="00061B1F"/>
    <w:rsid w:val="000733C4"/>
    <w:rsid w:val="00074783"/>
    <w:rsid w:val="00076791"/>
    <w:rsid w:val="0008070B"/>
    <w:rsid w:val="000810AC"/>
    <w:rsid w:val="00081A02"/>
    <w:rsid w:val="00082231"/>
    <w:rsid w:val="00092D38"/>
    <w:rsid w:val="0009377B"/>
    <w:rsid w:val="000A20C9"/>
    <w:rsid w:val="000B058F"/>
    <w:rsid w:val="000B4467"/>
    <w:rsid w:val="000B4DB9"/>
    <w:rsid w:val="000C09AC"/>
    <w:rsid w:val="000C0FBD"/>
    <w:rsid w:val="000C767F"/>
    <w:rsid w:val="000D5A44"/>
    <w:rsid w:val="000E3ED2"/>
    <w:rsid w:val="000F5645"/>
    <w:rsid w:val="001244A4"/>
    <w:rsid w:val="00131F42"/>
    <w:rsid w:val="00135135"/>
    <w:rsid w:val="001357F1"/>
    <w:rsid w:val="00140FA8"/>
    <w:rsid w:val="00142FEB"/>
    <w:rsid w:val="00143A2D"/>
    <w:rsid w:val="00145A41"/>
    <w:rsid w:val="00151675"/>
    <w:rsid w:val="001546BE"/>
    <w:rsid w:val="00157435"/>
    <w:rsid w:val="0017504D"/>
    <w:rsid w:val="0017671A"/>
    <w:rsid w:val="00177422"/>
    <w:rsid w:val="00184590"/>
    <w:rsid w:val="001870D1"/>
    <w:rsid w:val="0018781E"/>
    <w:rsid w:val="0019262D"/>
    <w:rsid w:val="001A1B35"/>
    <w:rsid w:val="001A4716"/>
    <w:rsid w:val="001A48A2"/>
    <w:rsid w:val="001A6F61"/>
    <w:rsid w:val="001B72B8"/>
    <w:rsid w:val="001C69B3"/>
    <w:rsid w:val="001D2578"/>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37A6E"/>
    <w:rsid w:val="002506BC"/>
    <w:rsid w:val="00254345"/>
    <w:rsid w:val="00264557"/>
    <w:rsid w:val="002805AB"/>
    <w:rsid w:val="00284204"/>
    <w:rsid w:val="00291773"/>
    <w:rsid w:val="00294A18"/>
    <w:rsid w:val="002A168C"/>
    <w:rsid w:val="002A3DC7"/>
    <w:rsid w:val="002B49E2"/>
    <w:rsid w:val="002B7B00"/>
    <w:rsid w:val="002B7C44"/>
    <w:rsid w:val="002C2B17"/>
    <w:rsid w:val="002D3DD0"/>
    <w:rsid w:val="002D5AFF"/>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25F4"/>
    <w:rsid w:val="00384676"/>
    <w:rsid w:val="003846D5"/>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96DA9"/>
    <w:rsid w:val="004A3823"/>
    <w:rsid w:val="004C7F99"/>
    <w:rsid w:val="004E6946"/>
    <w:rsid w:val="004F1AD8"/>
    <w:rsid w:val="005039CB"/>
    <w:rsid w:val="0050558F"/>
    <w:rsid w:val="00506286"/>
    <w:rsid w:val="00510813"/>
    <w:rsid w:val="00511990"/>
    <w:rsid w:val="00511DE0"/>
    <w:rsid w:val="00514870"/>
    <w:rsid w:val="00514B9B"/>
    <w:rsid w:val="00515C5E"/>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5E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473"/>
    <w:rsid w:val="00706C5D"/>
    <w:rsid w:val="00716397"/>
    <w:rsid w:val="00720E58"/>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47026"/>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8F6EB2"/>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96463"/>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6F64"/>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26861"/>
    <w:rsid w:val="00B31ABF"/>
    <w:rsid w:val="00B33BE3"/>
    <w:rsid w:val="00B53B5D"/>
    <w:rsid w:val="00B6055E"/>
    <w:rsid w:val="00B6317D"/>
    <w:rsid w:val="00B70413"/>
    <w:rsid w:val="00B7723F"/>
    <w:rsid w:val="00B80534"/>
    <w:rsid w:val="00B819B8"/>
    <w:rsid w:val="00B8433C"/>
    <w:rsid w:val="00B87491"/>
    <w:rsid w:val="00BA29E9"/>
    <w:rsid w:val="00BA7142"/>
    <w:rsid w:val="00BB237C"/>
    <w:rsid w:val="00BB41A3"/>
    <w:rsid w:val="00BC32DC"/>
    <w:rsid w:val="00BC35B6"/>
    <w:rsid w:val="00BD1B51"/>
    <w:rsid w:val="00BD4596"/>
    <w:rsid w:val="00BE1405"/>
    <w:rsid w:val="00BE312D"/>
    <w:rsid w:val="00BF0A66"/>
    <w:rsid w:val="00BF1C20"/>
    <w:rsid w:val="00C04F23"/>
    <w:rsid w:val="00C10578"/>
    <w:rsid w:val="00C135BC"/>
    <w:rsid w:val="00C15C95"/>
    <w:rsid w:val="00C2596A"/>
    <w:rsid w:val="00C27537"/>
    <w:rsid w:val="00C328FE"/>
    <w:rsid w:val="00C33507"/>
    <w:rsid w:val="00C4409D"/>
    <w:rsid w:val="00C44E72"/>
    <w:rsid w:val="00C45A06"/>
    <w:rsid w:val="00C47E5B"/>
    <w:rsid w:val="00C50B26"/>
    <w:rsid w:val="00C61E4B"/>
    <w:rsid w:val="00C64BFF"/>
    <w:rsid w:val="00C704E9"/>
    <w:rsid w:val="00C763C9"/>
    <w:rsid w:val="00C80057"/>
    <w:rsid w:val="00C82232"/>
    <w:rsid w:val="00C82913"/>
    <w:rsid w:val="00C91946"/>
    <w:rsid w:val="00C972B1"/>
    <w:rsid w:val="00CA2CCE"/>
    <w:rsid w:val="00CA43FD"/>
    <w:rsid w:val="00CA4DCC"/>
    <w:rsid w:val="00CA7EF8"/>
    <w:rsid w:val="00CC489B"/>
    <w:rsid w:val="00CD2BCD"/>
    <w:rsid w:val="00CD3A4C"/>
    <w:rsid w:val="00CE10E9"/>
    <w:rsid w:val="00CE2910"/>
    <w:rsid w:val="00CE5393"/>
    <w:rsid w:val="00CE6EB1"/>
    <w:rsid w:val="00CF36BE"/>
    <w:rsid w:val="00CF6000"/>
    <w:rsid w:val="00D003F3"/>
    <w:rsid w:val="00D0364F"/>
    <w:rsid w:val="00D06834"/>
    <w:rsid w:val="00D308ED"/>
    <w:rsid w:val="00D36D86"/>
    <w:rsid w:val="00D428AA"/>
    <w:rsid w:val="00D50A34"/>
    <w:rsid w:val="00D5379E"/>
    <w:rsid w:val="00D53EFA"/>
    <w:rsid w:val="00D75A3D"/>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57581"/>
    <w:rsid w:val="00E60982"/>
    <w:rsid w:val="00E62C62"/>
    <w:rsid w:val="00E654C1"/>
    <w:rsid w:val="00E65D97"/>
    <w:rsid w:val="00E72A5A"/>
    <w:rsid w:val="00E73354"/>
    <w:rsid w:val="00E9242D"/>
    <w:rsid w:val="00EB5255"/>
    <w:rsid w:val="00EB5C47"/>
    <w:rsid w:val="00ED0639"/>
    <w:rsid w:val="00EF4755"/>
    <w:rsid w:val="00EF7135"/>
    <w:rsid w:val="00F027DB"/>
    <w:rsid w:val="00F1191B"/>
    <w:rsid w:val="00F14A7A"/>
    <w:rsid w:val="00F22985"/>
    <w:rsid w:val="00F3383E"/>
    <w:rsid w:val="00F465A7"/>
    <w:rsid w:val="00F50B7C"/>
    <w:rsid w:val="00F550E6"/>
    <w:rsid w:val="00F74345"/>
    <w:rsid w:val="00F74587"/>
    <w:rsid w:val="00F80A0A"/>
    <w:rsid w:val="00F82B19"/>
    <w:rsid w:val="00F9212D"/>
    <w:rsid w:val="00F965DA"/>
    <w:rsid w:val="00FA406A"/>
    <w:rsid w:val="00FB503A"/>
    <w:rsid w:val="00FB516C"/>
    <w:rsid w:val="00FD0236"/>
    <w:rsid w:val="00FD18F4"/>
    <w:rsid w:val="00FD54DB"/>
    <w:rsid w:val="00FD619F"/>
    <w:rsid w:val="010C0636"/>
    <w:rsid w:val="010E55B7"/>
    <w:rsid w:val="01290F7E"/>
    <w:rsid w:val="01527EDF"/>
    <w:rsid w:val="015D1E09"/>
    <w:rsid w:val="016D2577"/>
    <w:rsid w:val="017E2281"/>
    <w:rsid w:val="017F4D0E"/>
    <w:rsid w:val="019771E5"/>
    <w:rsid w:val="019E57CC"/>
    <w:rsid w:val="01AE14BE"/>
    <w:rsid w:val="01CA5DA6"/>
    <w:rsid w:val="01D0693F"/>
    <w:rsid w:val="01EA636A"/>
    <w:rsid w:val="01FC587D"/>
    <w:rsid w:val="0204567E"/>
    <w:rsid w:val="021C29C7"/>
    <w:rsid w:val="023575E5"/>
    <w:rsid w:val="02445A7C"/>
    <w:rsid w:val="02467A44"/>
    <w:rsid w:val="0249736D"/>
    <w:rsid w:val="025008C3"/>
    <w:rsid w:val="025F0F74"/>
    <w:rsid w:val="02697903"/>
    <w:rsid w:val="027E07FC"/>
    <w:rsid w:val="02936A01"/>
    <w:rsid w:val="029C58B6"/>
    <w:rsid w:val="02A951CD"/>
    <w:rsid w:val="02CB7F49"/>
    <w:rsid w:val="02E1591A"/>
    <w:rsid w:val="02E82052"/>
    <w:rsid w:val="02F96569"/>
    <w:rsid w:val="030376E3"/>
    <w:rsid w:val="0317318F"/>
    <w:rsid w:val="031B5571"/>
    <w:rsid w:val="035717DD"/>
    <w:rsid w:val="03676684"/>
    <w:rsid w:val="036A7762"/>
    <w:rsid w:val="03804568"/>
    <w:rsid w:val="03964C18"/>
    <w:rsid w:val="03A4019A"/>
    <w:rsid w:val="03A70BA6"/>
    <w:rsid w:val="03AA6C54"/>
    <w:rsid w:val="03AD58A1"/>
    <w:rsid w:val="03CD0705"/>
    <w:rsid w:val="03D35307"/>
    <w:rsid w:val="03D57B70"/>
    <w:rsid w:val="03E80687"/>
    <w:rsid w:val="03EA7B21"/>
    <w:rsid w:val="04117BDE"/>
    <w:rsid w:val="04133956"/>
    <w:rsid w:val="0432329F"/>
    <w:rsid w:val="043833BC"/>
    <w:rsid w:val="043D09D3"/>
    <w:rsid w:val="044C7E49"/>
    <w:rsid w:val="044E2BE0"/>
    <w:rsid w:val="045B1761"/>
    <w:rsid w:val="045E52C7"/>
    <w:rsid w:val="04602913"/>
    <w:rsid w:val="04891E6A"/>
    <w:rsid w:val="048E122E"/>
    <w:rsid w:val="04960907"/>
    <w:rsid w:val="049D41E9"/>
    <w:rsid w:val="04DA4474"/>
    <w:rsid w:val="05104339"/>
    <w:rsid w:val="051E6D92"/>
    <w:rsid w:val="052F7062"/>
    <w:rsid w:val="053757AC"/>
    <w:rsid w:val="054F6C10"/>
    <w:rsid w:val="057743B8"/>
    <w:rsid w:val="0580326D"/>
    <w:rsid w:val="058A298E"/>
    <w:rsid w:val="059E280D"/>
    <w:rsid w:val="05B750AD"/>
    <w:rsid w:val="05D13AC9"/>
    <w:rsid w:val="05D16A27"/>
    <w:rsid w:val="05D610DF"/>
    <w:rsid w:val="05F83EAE"/>
    <w:rsid w:val="06026861"/>
    <w:rsid w:val="06085010"/>
    <w:rsid w:val="06093262"/>
    <w:rsid w:val="063B3638"/>
    <w:rsid w:val="063E7D85"/>
    <w:rsid w:val="065B7836"/>
    <w:rsid w:val="06823015"/>
    <w:rsid w:val="06842E47"/>
    <w:rsid w:val="06AA4FFE"/>
    <w:rsid w:val="06AB23F1"/>
    <w:rsid w:val="06BC3920"/>
    <w:rsid w:val="06C75A13"/>
    <w:rsid w:val="06CB676A"/>
    <w:rsid w:val="06E93094"/>
    <w:rsid w:val="06F37A6F"/>
    <w:rsid w:val="06FC6923"/>
    <w:rsid w:val="070039B3"/>
    <w:rsid w:val="071A324D"/>
    <w:rsid w:val="071F2612"/>
    <w:rsid w:val="071F77B2"/>
    <w:rsid w:val="07293586"/>
    <w:rsid w:val="07295285"/>
    <w:rsid w:val="072C6C75"/>
    <w:rsid w:val="075C73C2"/>
    <w:rsid w:val="07636392"/>
    <w:rsid w:val="07683FB9"/>
    <w:rsid w:val="076D15CF"/>
    <w:rsid w:val="077671D5"/>
    <w:rsid w:val="07770C56"/>
    <w:rsid w:val="077B43C9"/>
    <w:rsid w:val="079110F8"/>
    <w:rsid w:val="079528D4"/>
    <w:rsid w:val="0797664C"/>
    <w:rsid w:val="07A30FBC"/>
    <w:rsid w:val="07BC4304"/>
    <w:rsid w:val="07D115AF"/>
    <w:rsid w:val="07E37AE3"/>
    <w:rsid w:val="082A2CAB"/>
    <w:rsid w:val="085F360E"/>
    <w:rsid w:val="088766C0"/>
    <w:rsid w:val="08D26154"/>
    <w:rsid w:val="08E91129"/>
    <w:rsid w:val="09023F99"/>
    <w:rsid w:val="09165CE7"/>
    <w:rsid w:val="092217DD"/>
    <w:rsid w:val="093A7294"/>
    <w:rsid w:val="095011A8"/>
    <w:rsid w:val="095073FA"/>
    <w:rsid w:val="09631DB4"/>
    <w:rsid w:val="097035F9"/>
    <w:rsid w:val="097A4477"/>
    <w:rsid w:val="09847500"/>
    <w:rsid w:val="098826F0"/>
    <w:rsid w:val="098F0B0A"/>
    <w:rsid w:val="09976486"/>
    <w:rsid w:val="09A205F7"/>
    <w:rsid w:val="09AB2883"/>
    <w:rsid w:val="09AC2E40"/>
    <w:rsid w:val="09B51008"/>
    <w:rsid w:val="09C656E8"/>
    <w:rsid w:val="09CD0B07"/>
    <w:rsid w:val="09D27B0D"/>
    <w:rsid w:val="09EE025A"/>
    <w:rsid w:val="0A076181"/>
    <w:rsid w:val="0A081A83"/>
    <w:rsid w:val="0A0F3905"/>
    <w:rsid w:val="0A1B3564"/>
    <w:rsid w:val="0A263993"/>
    <w:rsid w:val="0A2D3AC2"/>
    <w:rsid w:val="0A333B18"/>
    <w:rsid w:val="0A4B4050"/>
    <w:rsid w:val="0A876C58"/>
    <w:rsid w:val="0A913826"/>
    <w:rsid w:val="0A93177F"/>
    <w:rsid w:val="0A9357F1"/>
    <w:rsid w:val="0AA755DF"/>
    <w:rsid w:val="0ABB6C78"/>
    <w:rsid w:val="0AC67DFE"/>
    <w:rsid w:val="0ACE4A7B"/>
    <w:rsid w:val="0AD876A7"/>
    <w:rsid w:val="0ADA341F"/>
    <w:rsid w:val="0AF22EF3"/>
    <w:rsid w:val="0AFF1587"/>
    <w:rsid w:val="0B120D44"/>
    <w:rsid w:val="0B2B5A29"/>
    <w:rsid w:val="0B561090"/>
    <w:rsid w:val="0B705DF0"/>
    <w:rsid w:val="0B927856"/>
    <w:rsid w:val="0BB27EF8"/>
    <w:rsid w:val="0BB93035"/>
    <w:rsid w:val="0BBA4FFF"/>
    <w:rsid w:val="0BD27BF6"/>
    <w:rsid w:val="0BD460C1"/>
    <w:rsid w:val="0C3B3C7D"/>
    <w:rsid w:val="0C434157"/>
    <w:rsid w:val="0C5C7E64"/>
    <w:rsid w:val="0C64491C"/>
    <w:rsid w:val="0C6F1945"/>
    <w:rsid w:val="0C7D27EA"/>
    <w:rsid w:val="0C8155D0"/>
    <w:rsid w:val="0C943AA2"/>
    <w:rsid w:val="0CAA3030"/>
    <w:rsid w:val="0CAB2EAE"/>
    <w:rsid w:val="0CAE6912"/>
    <w:rsid w:val="0CB832EC"/>
    <w:rsid w:val="0CC5653B"/>
    <w:rsid w:val="0CD67C16"/>
    <w:rsid w:val="0CD75E26"/>
    <w:rsid w:val="0CD8398F"/>
    <w:rsid w:val="0CEE6B82"/>
    <w:rsid w:val="0CF47A5E"/>
    <w:rsid w:val="0CFD51A3"/>
    <w:rsid w:val="0D1129FD"/>
    <w:rsid w:val="0D2A58ED"/>
    <w:rsid w:val="0D2E35AF"/>
    <w:rsid w:val="0D363500"/>
    <w:rsid w:val="0D3744BF"/>
    <w:rsid w:val="0D490C52"/>
    <w:rsid w:val="0D4C7ED9"/>
    <w:rsid w:val="0D621C7D"/>
    <w:rsid w:val="0D935B07"/>
    <w:rsid w:val="0DC518BE"/>
    <w:rsid w:val="0DDF0D4D"/>
    <w:rsid w:val="0E342E47"/>
    <w:rsid w:val="0E3F163E"/>
    <w:rsid w:val="0E4868F2"/>
    <w:rsid w:val="0E6A2D0C"/>
    <w:rsid w:val="0E73034D"/>
    <w:rsid w:val="0E751AA8"/>
    <w:rsid w:val="0E792437"/>
    <w:rsid w:val="0E884F40"/>
    <w:rsid w:val="0E8D0A84"/>
    <w:rsid w:val="0EA02501"/>
    <w:rsid w:val="0EA27661"/>
    <w:rsid w:val="0EA343BD"/>
    <w:rsid w:val="0ECA7307"/>
    <w:rsid w:val="0ECF2B6F"/>
    <w:rsid w:val="0ED308B1"/>
    <w:rsid w:val="0EDC34A8"/>
    <w:rsid w:val="0EFB4015"/>
    <w:rsid w:val="0F0A4FD6"/>
    <w:rsid w:val="0F13775A"/>
    <w:rsid w:val="0F276507"/>
    <w:rsid w:val="0F3139F2"/>
    <w:rsid w:val="0F3918EE"/>
    <w:rsid w:val="0F5F45FE"/>
    <w:rsid w:val="0F7E1158"/>
    <w:rsid w:val="0F9A112B"/>
    <w:rsid w:val="0F9C18C3"/>
    <w:rsid w:val="0F9D184F"/>
    <w:rsid w:val="0FA3151B"/>
    <w:rsid w:val="0FA67D74"/>
    <w:rsid w:val="0FBA737B"/>
    <w:rsid w:val="0FF82B59"/>
    <w:rsid w:val="0FFA00C0"/>
    <w:rsid w:val="101E5AF1"/>
    <w:rsid w:val="103D53D6"/>
    <w:rsid w:val="10466E61"/>
    <w:rsid w:val="1054157E"/>
    <w:rsid w:val="106D2F64"/>
    <w:rsid w:val="10757746"/>
    <w:rsid w:val="107C0612"/>
    <w:rsid w:val="10A63ABF"/>
    <w:rsid w:val="10B63710"/>
    <w:rsid w:val="10CD7582"/>
    <w:rsid w:val="10CF355A"/>
    <w:rsid w:val="10D631A9"/>
    <w:rsid w:val="10D75D0B"/>
    <w:rsid w:val="10E50428"/>
    <w:rsid w:val="10E8616A"/>
    <w:rsid w:val="10EE19D3"/>
    <w:rsid w:val="10F10820"/>
    <w:rsid w:val="110549BE"/>
    <w:rsid w:val="110A3048"/>
    <w:rsid w:val="1114178A"/>
    <w:rsid w:val="111C2F7A"/>
    <w:rsid w:val="11274492"/>
    <w:rsid w:val="1148696D"/>
    <w:rsid w:val="114D01D0"/>
    <w:rsid w:val="11557367"/>
    <w:rsid w:val="11665CA1"/>
    <w:rsid w:val="11687684"/>
    <w:rsid w:val="116E48C1"/>
    <w:rsid w:val="117D4B05"/>
    <w:rsid w:val="11877D9F"/>
    <w:rsid w:val="118C2F9A"/>
    <w:rsid w:val="11951EDB"/>
    <w:rsid w:val="119875D6"/>
    <w:rsid w:val="11A42091"/>
    <w:rsid w:val="11C479EB"/>
    <w:rsid w:val="11C91AF8"/>
    <w:rsid w:val="11E93F48"/>
    <w:rsid w:val="12061E88"/>
    <w:rsid w:val="12130FC5"/>
    <w:rsid w:val="12152F8F"/>
    <w:rsid w:val="12176D07"/>
    <w:rsid w:val="122B1A31"/>
    <w:rsid w:val="122D7D4A"/>
    <w:rsid w:val="12374CB3"/>
    <w:rsid w:val="12483BB9"/>
    <w:rsid w:val="12543AB7"/>
    <w:rsid w:val="125E4936"/>
    <w:rsid w:val="12691FC8"/>
    <w:rsid w:val="127C4DBC"/>
    <w:rsid w:val="129465AA"/>
    <w:rsid w:val="12966833"/>
    <w:rsid w:val="129B3D89"/>
    <w:rsid w:val="12B10F0A"/>
    <w:rsid w:val="12CB5D1A"/>
    <w:rsid w:val="12DF4D5F"/>
    <w:rsid w:val="12E56E05"/>
    <w:rsid w:val="12F42BA4"/>
    <w:rsid w:val="12F84BA0"/>
    <w:rsid w:val="12FE1373"/>
    <w:rsid w:val="131746D3"/>
    <w:rsid w:val="13180F89"/>
    <w:rsid w:val="131B64E3"/>
    <w:rsid w:val="134A6FE6"/>
    <w:rsid w:val="1352499F"/>
    <w:rsid w:val="136511BC"/>
    <w:rsid w:val="13781A27"/>
    <w:rsid w:val="139323BD"/>
    <w:rsid w:val="13951726"/>
    <w:rsid w:val="139B4B35"/>
    <w:rsid w:val="141F00F5"/>
    <w:rsid w:val="142005FD"/>
    <w:rsid w:val="142474B9"/>
    <w:rsid w:val="142D2812"/>
    <w:rsid w:val="14396509"/>
    <w:rsid w:val="14487F78"/>
    <w:rsid w:val="14522278"/>
    <w:rsid w:val="14593607"/>
    <w:rsid w:val="145B1858"/>
    <w:rsid w:val="1466110B"/>
    <w:rsid w:val="148E6651"/>
    <w:rsid w:val="14927E49"/>
    <w:rsid w:val="1494463F"/>
    <w:rsid w:val="14A14FAE"/>
    <w:rsid w:val="14A95C11"/>
    <w:rsid w:val="14D0319D"/>
    <w:rsid w:val="14D7277E"/>
    <w:rsid w:val="14DD2C3C"/>
    <w:rsid w:val="14DE359A"/>
    <w:rsid w:val="14E6675C"/>
    <w:rsid w:val="150D2643"/>
    <w:rsid w:val="152C0DC1"/>
    <w:rsid w:val="152F112D"/>
    <w:rsid w:val="15355769"/>
    <w:rsid w:val="154020D1"/>
    <w:rsid w:val="154C67C8"/>
    <w:rsid w:val="15525395"/>
    <w:rsid w:val="155C4563"/>
    <w:rsid w:val="156245DE"/>
    <w:rsid w:val="15627B30"/>
    <w:rsid w:val="156F0C08"/>
    <w:rsid w:val="15823615"/>
    <w:rsid w:val="159A1B6C"/>
    <w:rsid w:val="159C634A"/>
    <w:rsid w:val="15A72150"/>
    <w:rsid w:val="15A85EC8"/>
    <w:rsid w:val="15BD1974"/>
    <w:rsid w:val="15BE2AAD"/>
    <w:rsid w:val="15C727F2"/>
    <w:rsid w:val="15D16CEE"/>
    <w:rsid w:val="15D36A70"/>
    <w:rsid w:val="15D85784"/>
    <w:rsid w:val="15DB019E"/>
    <w:rsid w:val="15E93E01"/>
    <w:rsid w:val="16087E1D"/>
    <w:rsid w:val="161378D0"/>
    <w:rsid w:val="16260854"/>
    <w:rsid w:val="1632454E"/>
    <w:rsid w:val="1640086D"/>
    <w:rsid w:val="164A521D"/>
    <w:rsid w:val="1651030E"/>
    <w:rsid w:val="16551AED"/>
    <w:rsid w:val="165F1C73"/>
    <w:rsid w:val="166E0EC0"/>
    <w:rsid w:val="168611E5"/>
    <w:rsid w:val="16A11295"/>
    <w:rsid w:val="16AB2AE8"/>
    <w:rsid w:val="170B670F"/>
    <w:rsid w:val="172D48D7"/>
    <w:rsid w:val="176F6C9D"/>
    <w:rsid w:val="17701D14"/>
    <w:rsid w:val="17732C32"/>
    <w:rsid w:val="17735226"/>
    <w:rsid w:val="177E5132"/>
    <w:rsid w:val="17874176"/>
    <w:rsid w:val="17877C80"/>
    <w:rsid w:val="178F10EE"/>
    <w:rsid w:val="17B730F8"/>
    <w:rsid w:val="17C0399D"/>
    <w:rsid w:val="17C27715"/>
    <w:rsid w:val="17D86E86"/>
    <w:rsid w:val="17D91402"/>
    <w:rsid w:val="18116E91"/>
    <w:rsid w:val="182E58C8"/>
    <w:rsid w:val="183A1895"/>
    <w:rsid w:val="18455C50"/>
    <w:rsid w:val="184B770B"/>
    <w:rsid w:val="18616DE8"/>
    <w:rsid w:val="18622CA6"/>
    <w:rsid w:val="18786FC3"/>
    <w:rsid w:val="18842FE8"/>
    <w:rsid w:val="18896025"/>
    <w:rsid w:val="188E32B4"/>
    <w:rsid w:val="189F624C"/>
    <w:rsid w:val="18C748B7"/>
    <w:rsid w:val="18CB75E5"/>
    <w:rsid w:val="18CE3E98"/>
    <w:rsid w:val="18D45952"/>
    <w:rsid w:val="18DC536E"/>
    <w:rsid w:val="18EF423C"/>
    <w:rsid w:val="19014B26"/>
    <w:rsid w:val="1910625E"/>
    <w:rsid w:val="1927658A"/>
    <w:rsid w:val="192F6848"/>
    <w:rsid w:val="193208CA"/>
    <w:rsid w:val="19494F3B"/>
    <w:rsid w:val="19831126"/>
    <w:rsid w:val="198C1D89"/>
    <w:rsid w:val="198F7ACB"/>
    <w:rsid w:val="199450E1"/>
    <w:rsid w:val="1995584C"/>
    <w:rsid w:val="19960E59"/>
    <w:rsid w:val="199717ED"/>
    <w:rsid w:val="199B021E"/>
    <w:rsid w:val="199B056F"/>
    <w:rsid w:val="199D0358"/>
    <w:rsid w:val="19A10FBE"/>
    <w:rsid w:val="19A8293B"/>
    <w:rsid w:val="19AE61A3"/>
    <w:rsid w:val="19BD6919"/>
    <w:rsid w:val="19C808E7"/>
    <w:rsid w:val="19D61256"/>
    <w:rsid w:val="19E869FE"/>
    <w:rsid w:val="1A02029D"/>
    <w:rsid w:val="1A165AF6"/>
    <w:rsid w:val="1A1C66C0"/>
    <w:rsid w:val="1A2B7038"/>
    <w:rsid w:val="1A383CBF"/>
    <w:rsid w:val="1A3E23ED"/>
    <w:rsid w:val="1A42393B"/>
    <w:rsid w:val="1A444411"/>
    <w:rsid w:val="1A512FD2"/>
    <w:rsid w:val="1A644AB4"/>
    <w:rsid w:val="1A6C3968"/>
    <w:rsid w:val="1A734CF7"/>
    <w:rsid w:val="1A7A6085"/>
    <w:rsid w:val="1AA0476B"/>
    <w:rsid w:val="1AA84695"/>
    <w:rsid w:val="1AAD45DE"/>
    <w:rsid w:val="1ADA4D76"/>
    <w:rsid w:val="1AE31E7C"/>
    <w:rsid w:val="1B046F80"/>
    <w:rsid w:val="1B080EE5"/>
    <w:rsid w:val="1B0B3181"/>
    <w:rsid w:val="1B263CAE"/>
    <w:rsid w:val="1B3267B5"/>
    <w:rsid w:val="1B341A3A"/>
    <w:rsid w:val="1B40161D"/>
    <w:rsid w:val="1B441859"/>
    <w:rsid w:val="1B4641B9"/>
    <w:rsid w:val="1B5508A0"/>
    <w:rsid w:val="1B6606B1"/>
    <w:rsid w:val="1B99078D"/>
    <w:rsid w:val="1BA62EAA"/>
    <w:rsid w:val="1BA6760A"/>
    <w:rsid w:val="1BFB4FA4"/>
    <w:rsid w:val="1BFD6F3E"/>
    <w:rsid w:val="1C26720F"/>
    <w:rsid w:val="1C323082"/>
    <w:rsid w:val="1C523CD7"/>
    <w:rsid w:val="1C5A43C0"/>
    <w:rsid w:val="1C5E7925"/>
    <w:rsid w:val="1C6C5EA1"/>
    <w:rsid w:val="1C8651B5"/>
    <w:rsid w:val="1C8C6544"/>
    <w:rsid w:val="1C906860"/>
    <w:rsid w:val="1CBA4E5F"/>
    <w:rsid w:val="1CC21F65"/>
    <w:rsid w:val="1CC22665"/>
    <w:rsid w:val="1CCB3459"/>
    <w:rsid w:val="1CD13F56"/>
    <w:rsid w:val="1CE41EDC"/>
    <w:rsid w:val="1CEA4B98"/>
    <w:rsid w:val="1CFD070F"/>
    <w:rsid w:val="1D0E0D07"/>
    <w:rsid w:val="1D0E51AB"/>
    <w:rsid w:val="1D16559C"/>
    <w:rsid w:val="1D1F26E5"/>
    <w:rsid w:val="1D362FC9"/>
    <w:rsid w:val="1D5F6196"/>
    <w:rsid w:val="1D6132A5"/>
    <w:rsid w:val="1D791244"/>
    <w:rsid w:val="1D7B0893"/>
    <w:rsid w:val="1D807436"/>
    <w:rsid w:val="1D813AFC"/>
    <w:rsid w:val="1D835251"/>
    <w:rsid w:val="1D8E56D5"/>
    <w:rsid w:val="1D8F1E47"/>
    <w:rsid w:val="1DB95116"/>
    <w:rsid w:val="1DBF7B9B"/>
    <w:rsid w:val="1DDC1F50"/>
    <w:rsid w:val="1DE57CB9"/>
    <w:rsid w:val="1DF20F2E"/>
    <w:rsid w:val="1DFB572F"/>
    <w:rsid w:val="1E110AAE"/>
    <w:rsid w:val="1E2F362A"/>
    <w:rsid w:val="1E5B441F"/>
    <w:rsid w:val="1E7A43DA"/>
    <w:rsid w:val="1E9B35BD"/>
    <w:rsid w:val="1ED3465F"/>
    <w:rsid w:val="1EE61F3B"/>
    <w:rsid w:val="1EF34658"/>
    <w:rsid w:val="1F2C50A9"/>
    <w:rsid w:val="1F2D783B"/>
    <w:rsid w:val="1F5F1CED"/>
    <w:rsid w:val="1F777037"/>
    <w:rsid w:val="1F9B56D0"/>
    <w:rsid w:val="1FE7539E"/>
    <w:rsid w:val="1FEC17D3"/>
    <w:rsid w:val="1FEE323A"/>
    <w:rsid w:val="1FF64400"/>
    <w:rsid w:val="202D5EA0"/>
    <w:rsid w:val="20671BE0"/>
    <w:rsid w:val="20922883"/>
    <w:rsid w:val="20963CB8"/>
    <w:rsid w:val="209C2837"/>
    <w:rsid w:val="20A81A1B"/>
    <w:rsid w:val="20B07FB6"/>
    <w:rsid w:val="20B646FB"/>
    <w:rsid w:val="20D1582A"/>
    <w:rsid w:val="20EB1A8B"/>
    <w:rsid w:val="210B52D0"/>
    <w:rsid w:val="211475CC"/>
    <w:rsid w:val="21292BC7"/>
    <w:rsid w:val="21336F8E"/>
    <w:rsid w:val="213B74B1"/>
    <w:rsid w:val="215A2310"/>
    <w:rsid w:val="21621621"/>
    <w:rsid w:val="21787096"/>
    <w:rsid w:val="218358F0"/>
    <w:rsid w:val="218C66A1"/>
    <w:rsid w:val="219F4623"/>
    <w:rsid w:val="21A41C3A"/>
    <w:rsid w:val="21BE0F4D"/>
    <w:rsid w:val="21CC1AA7"/>
    <w:rsid w:val="21CD354E"/>
    <w:rsid w:val="21D00C81"/>
    <w:rsid w:val="21DE318A"/>
    <w:rsid w:val="21E464DA"/>
    <w:rsid w:val="21ED5A20"/>
    <w:rsid w:val="21EF5B80"/>
    <w:rsid w:val="21F77FBB"/>
    <w:rsid w:val="220625AD"/>
    <w:rsid w:val="221424D5"/>
    <w:rsid w:val="22255D1E"/>
    <w:rsid w:val="222C235B"/>
    <w:rsid w:val="223034CD"/>
    <w:rsid w:val="22342FBD"/>
    <w:rsid w:val="22394A78"/>
    <w:rsid w:val="224A27E1"/>
    <w:rsid w:val="22576990"/>
    <w:rsid w:val="22604B19"/>
    <w:rsid w:val="226B2757"/>
    <w:rsid w:val="226C32AF"/>
    <w:rsid w:val="22803731"/>
    <w:rsid w:val="22910C2B"/>
    <w:rsid w:val="22973515"/>
    <w:rsid w:val="22A5210D"/>
    <w:rsid w:val="22B42048"/>
    <w:rsid w:val="22D8025E"/>
    <w:rsid w:val="22D84291"/>
    <w:rsid w:val="22F16DB7"/>
    <w:rsid w:val="22F47480"/>
    <w:rsid w:val="230010F2"/>
    <w:rsid w:val="230B0E74"/>
    <w:rsid w:val="2315246A"/>
    <w:rsid w:val="231E0C58"/>
    <w:rsid w:val="232F19D7"/>
    <w:rsid w:val="23372ABA"/>
    <w:rsid w:val="237C2E6E"/>
    <w:rsid w:val="2382155F"/>
    <w:rsid w:val="23977FD5"/>
    <w:rsid w:val="23A14EBC"/>
    <w:rsid w:val="23A93537"/>
    <w:rsid w:val="23B42AC3"/>
    <w:rsid w:val="23C860B3"/>
    <w:rsid w:val="23CD191B"/>
    <w:rsid w:val="23CE11F0"/>
    <w:rsid w:val="23DE1C48"/>
    <w:rsid w:val="23E40A13"/>
    <w:rsid w:val="23E853E1"/>
    <w:rsid w:val="23FA1FE5"/>
    <w:rsid w:val="23FA3D93"/>
    <w:rsid w:val="240210CD"/>
    <w:rsid w:val="241100FB"/>
    <w:rsid w:val="24125580"/>
    <w:rsid w:val="242A28CA"/>
    <w:rsid w:val="243A63CC"/>
    <w:rsid w:val="24623773"/>
    <w:rsid w:val="247720B0"/>
    <w:rsid w:val="247E0E57"/>
    <w:rsid w:val="248D4C07"/>
    <w:rsid w:val="24B2462D"/>
    <w:rsid w:val="24B93C4E"/>
    <w:rsid w:val="24BC729A"/>
    <w:rsid w:val="24BF09F7"/>
    <w:rsid w:val="24CE3859"/>
    <w:rsid w:val="24E16D01"/>
    <w:rsid w:val="250E667B"/>
    <w:rsid w:val="25253091"/>
    <w:rsid w:val="252D53FE"/>
    <w:rsid w:val="253D03DB"/>
    <w:rsid w:val="254C6B6C"/>
    <w:rsid w:val="25633758"/>
    <w:rsid w:val="25906EC2"/>
    <w:rsid w:val="25981AB5"/>
    <w:rsid w:val="25993C19"/>
    <w:rsid w:val="259D3DA1"/>
    <w:rsid w:val="25A4045A"/>
    <w:rsid w:val="25DE1472"/>
    <w:rsid w:val="25E145B4"/>
    <w:rsid w:val="25EC2D81"/>
    <w:rsid w:val="25F413E1"/>
    <w:rsid w:val="25F637EA"/>
    <w:rsid w:val="262B46D7"/>
    <w:rsid w:val="262E4AD8"/>
    <w:rsid w:val="265E685B"/>
    <w:rsid w:val="2686661B"/>
    <w:rsid w:val="26894213"/>
    <w:rsid w:val="2692371F"/>
    <w:rsid w:val="26AF5308"/>
    <w:rsid w:val="26B96187"/>
    <w:rsid w:val="26C84B2B"/>
    <w:rsid w:val="26D7660D"/>
    <w:rsid w:val="26E3633D"/>
    <w:rsid w:val="27441EF5"/>
    <w:rsid w:val="274719E5"/>
    <w:rsid w:val="27566AAC"/>
    <w:rsid w:val="277057A2"/>
    <w:rsid w:val="27816FE9"/>
    <w:rsid w:val="278A18D2"/>
    <w:rsid w:val="27917315"/>
    <w:rsid w:val="27C86F13"/>
    <w:rsid w:val="27D33279"/>
    <w:rsid w:val="27E13FB7"/>
    <w:rsid w:val="27EB78CC"/>
    <w:rsid w:val="27F751B9"/>
    <w:rsid w:val="28147025"/>
    <w:rsid w:val="281F026C"/>
    <w:rsid w:val="28215D92"/>
    <w:rsid w:val="28235FAE"/>
    <w:rsid w:val="283F26BC"/>
    <w:rsid w:val="285C4E77"/>
    <w:rsid w:val="286B525F"/>
    <w:rsid w:val="286D0FD7"/>
    <w:rsid w:val="28981E2E"/>
    <w:rsid w:val="289C18BC"/>
    <w:rsid w:val="28A26E6A"/>
    <w:rsid w:val="28BA7F95"/>
    <w:rsid w:val="28BC1F5F"/>
    <w:rsid w:val="28CA35DE"/>
    <w:rsid w:val="28D252DE"/>
    <w:rsid w:val="28FB16F8"/>
    <w:rsid w:val="29206EB8"/>
    <w:rsid w:val="29347D47"/>
    <w:rsid w:val="29595666"/>
    <w:rsid w:val="29804D3A"/>
    <w:rsid w:val="29874881"/>
    <w:rsid w:val="29A547A1"/>
    <w:rsid w:val="29B82EC3"/>
    <w:rsid w:val="29B9008A"/>
    <w:rsid w:val="29CB3B42"/>
    <w:rsid w:val="29D55086"/>
    <w:rsid w:val="29E325E0"/>
    <w:rsid w:val="2A1A6F3D"/>
    <w:rsid w:val="2A452503"/>
    <w:rsid w:val="2A5172FE"/>
    <w:rsid w:val="2A573CED"/>
    <w:rsid w:val="2A5C57A7"/>
    <w:rsid w:val="2A63426B"/>
    <w:rsid w:val="2A744081"/>
    <w:rsid w:val="2A9071FF"/>
    <w:rsid w:val="2A921656"/>
    <w:rsid w:val="2A924D25"/>
    <w:rsid w:val="2ABC6246"/>
    <w:rsid w:val="2ACB0237"/>
    <w:rsid w:val="2AD01CF1"/>
    <w:rsid w:val="2AF4469B"/>
    <w:rsid w:val="2B092EE4"/>
    <w:rsid w:val="2B204A27"/>
    <w:rsid w:val="2B5244B4"/>
    <w:rsid w:val="2B5446D0"/>
    <w:rsid w:val="2B6C3A94"/>
    <w:rsid w:val="2B762277"/>
    <w:rsid w:val="2B810D2E"/>
    <w:rsid w:val="2B8879A9"/>
    <w:rsid w:val="2B9A6E28"/>
    <w:rsid w:val="2BA936A8"/>
    <w:rsid w:val="2BCA04EF"/>
    <w:rsid w:val="2BCD0428"/>
    <w:rsid w:val="2BDE46DE"/>
    <w:rsid w:val="2BFA5278"/>
    <w:rsid w:val="2C0B1233"/>
    <w:rsid w:val="2C161986"/>
    <w:rsid w:val="2C1705CE"/>
    <w:rsid w:val="2C31056E"/>
    <w:rsid w:val="2C315A5A"/>
    <w:rsid w:val="2C4B1C25"/>
    <w:rsid w:val="2C83526D"/>
    <w:rsid w:val="2C8B613C"/>
    <w:rsid w:val="2C8E70D0"/>
    <w:rsid w:val="2D0A14EA"/>
    <w:rsid w:val="2D306F11"/>
    <w:rsid w:val="2D4B0D3D"/>
    <w:rsid w:val="2D8A43D9"/>
    <w:rsid w:val="2D8F514F"/>
    <w:rsid w:val="2D9E56F5"/>
    <w:rsid w:val="2DA3549B"/>
    <w:rsid w:val="2DDE6882"/>
    <w:rsid w:val="2DE14B3C"/>
    <w:rsid w:val="2E0660A4"/>
    <w:rsid w:val="2E0837C3"/>
    <w:rsid w:val="2E0E500A"/>
    <w:rsid w:val="2E222864"/>
    <w:rsid w:val="2E2760CC"/>
    <w:rsid w:val="2E3B5CB5"/>
    <w:rsid w:val="2E440A2C"/>
    <w:rsid w:val="2E4E3659"/>
    <w:rsid w:val="2E56075F"/>
    <w:rsid w:val="2E667F96"/>
    <w:rsid w:val="2E692241"/>
    <w:rsid w:val="2E6D66C6"/>
    <w:rsid w:val="2E821554"/>
    <w:rsid w:val="2E8226AB"/>
    <w:rsid w:val="2EA82616"/>
    <w:rsid w:val="2EC456DD"/>
    <w:rsid w:val="2EC7265D"/>
    <w:rsid w:val="2ED51684"/>
    <w:rsid w:val="2EF57F78"/>
    <w:rsid w:val="2F0A55D3"/>
    <w:rsid w:val="2F5A43FB"/>
    <w:rsid w:val="2F725125"/>
    <w:rsid w:val="2F852CAD"/>
    <w:rsid w:val="2F967065"/>
    <w:rsid w:val="2FC8743B"/>
    <w:rsid w:val="2FD065E6"/>
    <w:rsid w:val="2FD96870"/>
    <w:rsid w:val="2FDC6A42"/>
    <w:rsid w:val="2FF456E6"/>
    <w:rsid w:val="2FFE2E5D"/>
    <w:rsid w:val="300E30A0"/>
    <w:rsid w:val="3025488D"/>
    <w:rsid w:val="3038011D"/>
    <w:rsid w:val="30580BC9"/>
    <w:rsid w:val="306B6744"/>
    <w:rsid w:val="307355F9"/>
    <w:rsid w:val="3079660A"/>
    <w:rsid w:val="307F5D4C"/>
    <w:rsid w:val="30823732"/>
    <w:rsid w:val="3082583C"/>
    <w:rsid w:val="30843362"/>
    <w:rsid w:val="30872E52"/>
    <w:rsid w:val="309335A5"/>
    <w:rsid w:val="30937A49"/>
    <w:rsid w:val="30B17ECF"/>
    <w:rsid w:val="30B7786D"/>
    <w:rsid w:val="30DA2FC6"/>
    <w:rsid w:val="310F6037"/>
    <w:rsid w:val="31185043"/>
    <w:rsid w:val="31197F4E"/>
    <w:rsid w:val="311E2ED7"/>
    <w:rsid w:val="31355B86"/>
    <w:rsid w:val="3140197F"/>
    <w:rsid w:val="315619EE"/>
    <w:rsid w:val="315C449C"/>
    <w:rsid w:val="3175714F"/>
    <w:rsid w:val="317C228B"/>
    <w:rsid w:val="31A14754"/>
    <w:rsid w:val="31AD68E8"/>
    <w:rsid w:val="31B45EC9"/>
    <w:rsid w:val="31B82709"/>
    <w:rsid w:val="31C75BFC"/>
    <w:rsid w:val="31CB261E"/>
    <w:rsid w:val="31D05482"/>
    <w:rsid w:val="31E16951"/>
    <w:rsid w:val="31F52F9B"/>
    <w:rsid w:val="31F91B2E"/>
    <w:rsid w:val="31F97E76"/>
    <w:rsid w:val="31FC33CC"/>
    <w:rsid w:val="320353C8"/>
    <w:rsid w:val="320A7897"/>
    <w:rsid w:val="321626E0"/>
    <w:rsid w:val="32175711"/>
    <w:rsid w:val="32235805"/>
    <w:rsid w:val="322C5A5F"/>
    <w:rsid w:val="322F72FD"/>
    <w:rsid w:val="32400B34"/>
    <w:rsid w:val="3266322E"/>
    <w:rsid w:val="32681A7D"/>
    <w:rsid w:val="32681C88"/>
    <w:rsid w:val="327B5EC5"/>
    <w:rsid w:val="328C4750"/>
    <w:rsid w:val="32943604"/>
    <w:rsid w:val="329E6876"/>
    <w:rsid w:val="329E7A07"/>
    <w:rsid w:val="32AE2918"/>
    <w:rsid w:val="32BE7B4C"/>
    <w:rsid w:val="32C043F9"/>
    <w:rsid w:val="32C71C2C"/>
    <w:rsid w:val="330B4EBD"/>
    <w:rsid w:val="333015F2"/>
    <w:rsid w:val="334B6320"/>
    <w:rsid w:val="33546851"/>
    <w:rsid w:val="335B12CA"/>
    <w:rsid w:val="33664ED5"/>
    <w:rsid w:val="337F42B4"/>
    <w:rsid w:val="337F6063"/>
    <w:rsid w:val="33813746"/>
    <w:rsid w:val="338166C9"/>
    <w:rsid w:val="339A2E9C"/>
    <w:rsid w:val="339C6C14"/>
    <w:rsid w:val="33BC379D"/>
    <w:rsid w:val="33C34B98"/>
    <w:rsid w:val="33C661B3"/>
    <w:rsid w:val="33D11A5A"/>
    <w:rsid w:val="33D24CF1"/>
    <w:rsid w:val="33D934D4"/>
    <w:rsid w:val="33F16F60"/>
    <w:rsid w:val="33F962C3"/>
    <w:rsid w:val="33FC7CF2"/>
    <w:rsid w:val="33FE2F6A"/>
    <w:rsid w:val="33FF6CCA"/>
    <w:rsid w:val="34074D73"/>
    <w:rsid w:val="340E07E5"/>
    <w:rsid w:val="34126ED7"/>
    <w:rsid w:val="34152F31"/>
    <w:rsid w:val="341B5D8B"/>
    <w:rsid w:val="34235BF7"/>
    <w:rsid w:val="34384B8F"/>
    <w:rsid w:val="343E7CCC"/>
    <w:rsid w:val="344A2B14"/>
    <w:rsid w:val="34656A02"/>
    <w:rsid w:val="347739AA"/>
    <w:rsid w:val="34784F8C"/>
    <w:rsid w:val="348576A9"/>
    <w:rsid w:val="34977F25"/>
    <w:rsid w:val="34A2025B"/>
    <w:rsid w:val="34BA6DF8"/>
    <w:rsid w:val="34C9456A"/>
    <w:rsid w:val="34D05010"/>
    <w:rsid w:val="34D310A6"/>
    <w:rsid w:val="34D507EF"/>
    <w:rsid w:val="34D944CB"/>
    <w:rsid w:val="34DA3E98"/>
    <w:rsid w:val="34E16FD5"/>
    <w:rsid w:val="34F72A66"/>
    <w:rsid w:val="34FD3793"/>
    <w:rsid w:val="35040F15"/>
    <w:rsid w:val="350E58F0"/>
    <w:rsid w:val="351E6F9D"/>
    <w:rsid w:val="355359F9"/>
    <w:rsid w:val="355E1959"/>
    <w:rsid w:val="358C5FA8"/>
    <w:rsid w:val="359C2CD9"/>
    <w:rsid w:val="35C15C81"/>
    <w:rsid w:val="35C15DF1"/>
    <w:rsid w:val="35E30B2B"/>
    <w:rsid w:val="35E84393"/>
    <w:rsid w:val="35EB2358"/>
    <w:rsid w:val="35F577DD"/>
    <w:rsid w:val="35F9034E"/>
    <w:rsid w:val="35FA6EBB"/>
    <w:rsid w:val="360016DD"/>
    <w:rsid w:val="36074A7F"/>
    <w:rsid w:val="36096A17"/>
    <w:rsid w:val="361909F0"/>
    <w:rsid w:val="36201D7F"/>
    <w:rsid w:val="36237179"/>
    <w:rsid w:val="362C0724"/>
    <w:rsid w:val="363475D8"/>
    <w:rsid w:val="366D348D"/>
    <w:rsid w:val="36745C27"/>
    <w:rsid w:val="368C2F70"/>
    <w:rsid w:val="36923549"/>
    <w:rsid w:val="369736C3"/>
    <w:rsid w:val="36AD2EE7"/>
    <w:rsid w:val="36B6623F"/>
    <w:rsid w:val="36B75FBF"/>
    <w:rsid w:val="36BD0C45"/>
    <w:rsid w:val="36C22E36"/>
    <w:rsid w:val="36C271A6"/>
    <w:rsid w:val="36D01774"/>
    <w:rsid w:val="36F21258"/>
    <w:rsid w:val="3707576C"/>
    <w:rsid w:val="37377380"/>
    <w:rsid w:val="373B7854"/>
    <w:rsid w:val="374E6478"/>
    <w:rsid w:val="3757357E"/>
    <w:rsid w:val="37893954"/>
    <w:rsid w:val="37A90660"/>
    <w:rsid w:val="37E00298"/>
    <w:rsid w:val="37EA0060"/>
    <w:rsid w:val="37F92887"/>
    <w:rsid w:val="37FB14CB"/>
    <w:rsid w:val="38251D62"/>
    <w:rsid w:val="382C5C4E"/>
    <w:rsid w:val="38340C1D"/>
    <w:rsid w:val="38433B03"/>
    <w:rsid w:val="38455ACD"/>
    <w:rsid w:val="385701C1"/>
    <w:rsid w:val="385E4184"/>
    <w:rsid w:val="386121DB"/>
    <w:rsid w:val="388365F5"/>
    <w:rsid w:val="388760E5"/>
    <w:rsid w:val="38995E18"/>
    <w:rsid w:val="38A642A2"/>
    <w:rsid w:val="38B302F9"/>
    <w:rsid w:val="38BC58B1"/>
    <w:rsid w:val="38BD1065"/>
    <w:rsid w:val="38C56C0D"/>
    <w:rsid w:val="38C73846"/>
    <w:rsid w:val="38C904AC"/>
    <w:rsid w:val="38F12CD3"/>
    <w:rsid w:val="38F66DC7"/>
    <w:rsid w:val="38F94775"/>
    <w:rsid w:val="39033292"/>
    <w:rsid w:val="390E4110"/>
    <w:rsid w:val="390F1C37"/>
    <w:rsid w:val="391B3FFA"/>
    <w:rsid w:val="392971ED"/>
    <w:rsid w:val="392B6A40"/>
    <w:rsid w:val="39325651"/>
    <w:rsid w:val="393C6ED0"/>
    <w:rsid w:val="395117AF"/>
    <w:rsid w:val="3951224F"/>
    <w:rsid w:val="39513F13"/>
    <w:rsid w:val="39594CBE"/>
    <w:rsid w:val="39730417"/>
    <w:rsid w:val="39890968"/>
    <w:rsid w:val="399565E0"/>
    <w:rsid w:val="39B527DE"/>
    <w:rsid w:val="39C42A21"/>
    <w:rsid w:val="39DB7C2D"/>
    <w:rsid w:val="39DF3FCD"/>
    <w:rsid w:val="39EC13BE"/>
    <w:rsid w:val="39FB385B"/>
    <w:rsid w:val="3A1B22AF"/>
    <w:rsid w:val="3A2B0CF2"/>
    <w:rsid w:val="3A3A2CE3"/>
    <w:rsid w:val="3A4A1178"/>
    <w:rsid w:val="3A4E69A4"/>
    <w:rsid w:val="3A5D30BD"/>
    <w:rsid w:val="3A6B1B7A"/>
    <w:rsid w:val="3A7F9935"/>
    <w:rsid w:val="3A872856"/>
    <w:rsid w:val="3AE0789A"/>
    <w:rsid w:val="3AE07C06"/>
    <w:rsid w:val="3B125121"/>
    <w:rsid w:val="3B340808"/>
    <w:rsid w:val="3B37372B"/>
    <w:rsid w:val="3B3763D1"/>
    <w:rsid w:val="3B43343F"/>
    <w:rsid w:val="3B436010"/>
    <w:rsid w:val="3B5E1A0C"/>
    <w:rsid w:val="3B691AD2"/>
    <w:rsid w:val="3B7B5679"/>
    <w:rsid w:val="3B822B94"/>
    <w:rsid w:val="3B9A7EDD"/>
    <w:rsid w:val="3BAF7989"/>
    <w:rsid w:val="3BB97BB1"/>
    <w:rsid w:val="3BBA2E14"/>
    <w:rsid w:val="3BC248D5"/>
    <w:rsid w:val="3BD01B51"/>
    <w:rsid w:val="3BFA6F92"/>
    <w:rsid w:val="3C1035A3"/>
    <w:rsid w:val="3C161A03"/>
    <w:rsid w:val="3C1E2486"/>
    <w:rsid w:val="3C241E9D"/>
    <w:rsid w:val="3C265C15"/>
    <w:rsid w:val="3C2F6E1E"/>
    <w:rsid w:val="3C363A4E"/>
    <w:rsid w:val="3C48190C"/>
    <w:rsid w:val="3C4F64BA"/>
    <w:rsid w:val="3C5C33E5"/>
    <w:rsid w:val="3C6D114E"/>
    <w:rsid w:val="3C6E4EC6"/>
    <w:rsid w:val="3CAD37F8"/>
    <w:rsid w:val="3CC851F4"/>
    <w:rsid w:val="3CCF1E09"/>
    <w:rsid w:val="3CDA245A"/>
    <w:rsid w:val="3CF67395"/>
    <w:rsid w:val="3D1E06B7"/>
    <w:rsid w:val="3D250042"/>
    <w:rsid w:val="3D2739F3"/>
    <w:rsid w:val="3D2F1E5D"/>
    <w:rsid w:val="3D3561A5"/>
    <w:rsid w:val="3D3B749E"/>
    <w:rsid w:val="3D49799E"/>
    <w:rsid w:val="3D515E86"/>
    <w:rsid w:val="3D5E2D21"/>
    <w:rsid w:val="3D7370A9"/>
    <w:rsid w:val="3D805CA2"/>
    <w:rsid w:val="3D842BF3"/>
    <w:rsid w:val="3D851666"/>
    <w:rsid w:val="3D9B6278"/>
    <w:rsid w:val="3DA65146"/>
    <w:rsid w:val="3DA74B34"/>
    <w:rsid w:val="3DD541A9"/>
    <w:rsid w:val="3DDD2303"/>
    <w:rsid w:val="3DDE4B72"/>
    <w:rsid w:val="3DE541D4"/>
    <w:rsid w:val="3DFC0F76"/>
    <w:rsid w:val="3E014244"/>
    <w:rsid w:val="3E175A62"/>
    <w:rsid w:val="3E192F16"/>
    <w:rsid w:val="3E1A70B4"/>
    <w:rsid w:val="3E506FA6"/>
    <w:rsid w:val="3E520DC7"/>
    <w:rsid w:val="3E691DE9"/>
    <w:rsid w:val="3E6B62C8"/>
    <w:rsid w:val="3E7C7D6E"/>
    <w:rsid w:val="3E7D214D"/>
    <w:rsid w:val="3EA572C5"/>
    <w:rsid w:val="3ECA6D2C"/>
    <w:rsid w:val="3ECD05CA"/>
    <w:rsid w:val="3ECF24D7"/>
    <w:rsid w:val="3ED92B93"/>
    <w:rsid w:val="3EDA0523"/>
    <w:rsid w:val="3EDB13A4"/>
    <w:rsid w:val="3EE80F60"/>
    <w:rsid w:val="3EFB5D3C"/>
    <w:rsid w:val="3F0C7DF4"/>
    <w:rsid w:val="3F0F2A2D"/>
    <w:rsid w:val="3F1D716E"/>
    <w:rsid w:val="3F30190B"/>
    <w:rsid w:val="3F3D5750"/>
    <w:rsid w:val="3F3D773D"/>
    <w:rsid w:val="3F446ADE"/>
    <w:rsid w:val="3F4563B2"/>
    <w:rsid w:val="3F68214A"/>
    <w:rsid w:val="3F765358"/>
    <w:rsid w:val="3F852C53"/>
    <w:rsid w:val="3FA63BA7"/>
    <w:rsid w:val="3FA75521"/>
    <w:rsid w:val="3FAD3AAE"/>
    <w:rsid w:val="3FAE7D66"/>
    <w:rsid w:val="3FB35A12"/>
    <w:rsid w:val="3FC76DC7"/>
    <w:rsid w:val="3FD615E1"/>
    <w:rsid w:val="3FD84146"/>
    <w:rsid w:val="3FDD43A0"/>
    <w:rsid w:val="3FE200A5"/>
    <w:rsid w:val="3FF11122"/>
    <w:rsid w:val="3FF148BD"/>
    <w:rsid w:val="3FF76E4E"/>
    <w:rsid w:val="40006503"/>
    <w:rsid w:val="40095632"/>
    <w:rsid w:val="40185875"/>
    <w:rsid w:val="401C35B7"/>
    <w:rsid w:val="401C5365"/>
    <w:rsid w:val="401F6421"/>
    <w:rsid w:val="40210BCD"/>
    <w:rsid w:val="402971CE"/>
    <w:rsid w:val="40311615"/>
    <w:rsid w:val="40322DDA"/>
    <w:rsid w:val="40380DBA"/>
    <w:rsid w:val="40554C72"/>
    <w:rsid w:val="405F16F6"/>
    <w:rsid w:val="40645965"/>
    <w:rsid w:val="40692574"/>
    <w:rsid w:val="406D1341"/>
    <w:rsid w:val="40714F85"/>
    <w:rsid w:val="4079618D"/>
    <w:rsid w:val="407A02DD"/>
    <w:rsid w:val="407A6407"/>
    <w:rsid w:val="40970E8F"/>
    <w:rsid w:val="40AF61D9"/>
    <w:rsid w:val="40D07EFD"/>
    <w:rsid w:val="40D91984"/>
    <w:rsid w:val="40EB11DB"/>
    <w:rsid w:val="40FE0F0E"/>
    <w:rsid w:val="41065AEE"/>
    <w:rsid w:val="4108712E"/>
    <w:rsid w:val="41180F9F"/>
    <w:rsid w:val="411E510D"/>
    <w:rsid w:val="412311F0"/>
    <w:rsid w:val="41261422"/>
    <w:rsid w:val="415A3A76"/>
    <w:rsid w:val="416E7E42"/>
    <w:rsid w:val="417640FB"/>
    <w:rsid w:val="41847666"/>
    <w:rsid w:val="418A7B8D"/>
    <w:rsid w:val="419E7FFC"/>
    <w:rsid w:val="41A35612"/>
    <w:rsid w:val="41C9151C"/>
    <w:rsid w:val="41D672DA"/>
    <w:rsid w:val="41E2613A"/>
    <w:rsid w:val="41E40104"/>
    <w:rsid w:val="4200449D"/>
    <w:rsid w:val="42024A2E"/>
    <w:rsid w:val="42094B0A"/>
    <w:rsid w:val="42156510"/>
    <w:rsid w:val="4218129D"/>
    <w:rsid w:val="423A3BCC"/>
    <w:rsid w:val="423A41C8"/>
    <w:rsid w:val="424E57D2"/>
    <w:rsid w:val="425071B5"/>
    <w:rsid w:val="426E3E72"/>
    <w:rsid w:val="4285798E"/>
    <w:rsid w:val="42B26C49"/>
    <w:rsid w:val="42ED1A99"/>
    <w:rsid w:val="42F10F80"/>
    <w:rsid w:val="42F11022"/>
    <w:rsid w:val="43144A19"/>
    <w:rsid w:val="433A6FE6"/>
    <w:rsid w:val="433C187A"/>
    <w:rsid w:val="43480868"/>
    <w:rsid w:val="434E44E4"/>
    <w:rsid w:val="4350713C"/>
    <w:rsid w:val="435412BA"/>
    <w:rsid w:val="43574906"/>
    <w:rsid w:val="436653E0"/>
    <w:rsid w:val="43702039"/>
    <w:rsid w:val="43AC2539"/>
    <w:rsid w:val="43B92ECB"/>
    <w:rsid w:val="43C4431A"/>
    <w:rsid w:val="43D02B82"/>
    <w:rsid w:val="43DD305D"/>
    <w:rsid w:val="43EA39CC"/>
    <w:rsid w:val="43ED075C"/>
    <w:rsid w:val="441C0974"/>
    <w:rsid w:val="443A225E"/>
    <w:rsid w:val="444B4D0A"/>
    <w:rsid w:val="445F1CC4"/>
    <w:rsid w:val="44682965"/>
    <w:rsid w:val="447137A5"/>
    <w:rsid w:val="449776B0"/>
    <w:rsid w:val="449F3A39"/>
    <w:rsid w:val="44B54378"/>
    <w:rsid w:val="44B951CC"/>
    <w:rsid w:val="44C4421D"/>
    <w:rsid w:val="44C63AF1"/>
    <w:rsid w:val="44C71617"/>
    <w:rsid w:val="44CD14E0"/>
    <w:rsid w:val="44E16DBA"/>
    <w:rsid w:val="44F20B0B"/>
    <w:rsid w:val="450D1720"/>
    <w:rsid w:val="4517259F"/>
    <w:rsid w:val="452D3B70"/>
    <w:rsid w:val="452E5F4C"/>
    <w:rsid w:val="45372C41"/>
    <w:rsid w:val="45471D22"/>
    <w:rsid w:val="454E0A4E"/>
    <w:rsid w:val="4551211D"/>
    <w:rsid w:val="45612018"/>
    <w:rsid w:val="4565330A"/>
    <w:rsid w:val="4576748D"/>
    <w:rsid w:val="458946E9"/>
    <w:rsid w:val="458F73C4"/>
    <w:rsid w:val="459B4F7E"/>
    <w:rsid w:val="45A47C0E"/>
    <w:rsid w:val="45C05006"/>
    <w:rsid w:val="45DB537A"/>
    <w:rsid w:val="45E2495B"/>
    <w:rsid w:val="45E83F3B"/>
    <w:rsid w:val="45F4468E"/>
    <w:rsid w:val="45F96148"/>
    <w:rsid w:val="4601100F"/>
    <w:rsid w:val="46040D75"/>
    <w:rsid w:val="461E170B"/>
    <w:rsid w:val="462A6302"/>
    <w:rsid w:val="46321927"/>
    <w:rsid w:val="46366A55"/>
    <w:rsid w:val="463A4797"/>
    <w:rsid w:val="46571DAF"/>
    <w:rsid w:val="46577FD6"/>
    <w:rsid w:val="4670640B"/>
    <w:rsid w:val="467F03FC"/>
    <w:rsid w:val="4680333C"/>
    <w:rsid w:val="468501EC"/>
    <w:rsid w:val="46966487"/>
    <w:rsid w:val="469960A1"/>
    <w:rsid w:val="46B920EC"/>
    <w:rsid w:val="46BD0D06"/>
    <w:rsid w:val="46C77FC2"/>
    <w:rsid w:val="46D67755"/>
    <w:rsid w:val="46D955A7"/>
    <w:rsid w:val="46F6396C"/>
    <w:rsid w:val="470C2F65"/>
    <w:rsid w:val="47133957"/>
    <w:rsid w:val="471548BC"/>
    <w:rsid w:val="472924B7"/>
    <w:rsid w:val="473F5DDD"/>
    <w:rsid w:val="47503B46"/>
    <w:rsid w:val="4774202F"/>
    <w:rsid w:val="477737C9"/>
    <w:rsid w:val="47774056"/>
    <w:rsid w:val="47777325"/>
    <w:rsid w:val="477C493B"/>
    <w:rsid w:val="47A07E0C"/>
    <w:rsid w:val="47A45C40"/>
    <w:rsid w:val="47AC3472"/>
    <w:rsid w:val="47BC11DC"/>
    <w:rsid w:val="47D64B00"/>
    <w:rsid w:val="480542FE"/>
    <w:rsid w:val="480A0199"/>
    <w:rsid w:val="484713ED"/>
    <w:rsid w:val="4870272E"/>
    <w:rsid w:val="487844BA"/>
    <w:rsid w:val="488A12DA"/>
    <w:rsid w:val="48B06F92"/>
    <w:rsid w:val="48BA0D95"/>
    <w:rsid w:val="48C3755E"/>
    <w:rsid w:val="48F00331"/>
    <w:rsid w:val="49064E04"/>
    <w:rsid w:val="490E1F0B"/>
    <w:rsid w:val="4910358D"/>
    <w:rsid w:val="4916592F"/>
    <w:rsid w:val="4938109C"/>
    <w:rsid w:val="49476E0B"/>
    <w:rsid w:val="49647D7D"/>
    <w:rsid w:val="496A54E7"/>
    <w:rsid w:val="496B110B"/>
    <w:rsid w:val="49830203"/>
    <w:rsid w:val="4987340E"/>
    <w:rsid w:val="49917C1E"/>
    <w:rsid w:val="499F0DB5"/>
    <w:rsid w:val="49D43F8B"/>
    <w:rsid w:val="49D62A28"/>
    <w:rsid w:val="49DC7715"/>
    <w:rsid w:val="49DE1F3B"/>
    <w:rsid w:val="49DE368B"/>
    <w:rsid w:val="49EF2E43"/>
    <w:rsid w:val="49F25388"/>
    <w:rsid w:val="49F51DFA"/>
    <w:rsid w:val="4A023139"/>
    <w:rsid w:val="4A115C99"/>
    <w:rsid w:val="4A166124"/>
    <w:rsid w:val="4A187736"/>
    <w:rsid w:val="4A1E7F2C"/>
    <w:rsid w:val="4A282B58"/>
    <w:rsid w:val="4A2C177F"/>
    <w:rsid w:val="4A2D293A"/>
    <w:rsid w:val="4A3D2AA8"/>
    <w:rsid w:val="4A3E412A"/>
    <w:rsid w:val="4A4F62B5"/>
    <w:rsid w:val="4A5676C5"/>
    <w:rsid w:val="4A7B576F"/>
    <w:rsid w:val="4A890EAC"/>
    <w:rsid w:val="4A936B49"/>
    <w:rsid w:val="4AA7327D"/>
    <w:rsid w:val="4ABF34BD"/>
    <w:rsid w:val="4ACB58F7"/>
    <w:rsid w:val="4ADF3D55"/>
    <w:rsid w:val="4AE34C39"/>
    <w:rsid w:val="4AEB2504"/>
    <w:rsid w:val="4AEC627C"/>
    <w:rsid w:val="4AF561A9"/>
    <w:rsid w:val="4AFD3FE5"/>
    <w:rsid w:val="4B140ACE"/>
    <w:rsid w:val="4B157243"/>
    <w:rsid w:val="4B1B26BD"/>
    <w:rsid w:val="4B1E307D"/>
    <w:rsid w:val="4B26353C"/>
    <w:rsid w:val="4B2A5942"/>
    <w:rsid w:val="4B4707C3"/>
    <w:rsid w:val="4B687657"/>
    <w:rsid w:val="4B7A73E4"/>
    <w:rsid w:val="4B914CC4"/>
    <w:rsid w:val="4B92297F"/>
    <w:rsid w:val="4B9F223D"/>
    <w:rsid w:val="4B9F7ABC"/>
    <w:rsid w:val="4BC85335"/>
    <w:rsid w:val="4BCA036B"/>
    <w:rsid w:val="4BDC009E"/>
    <w:rsid w:val="4BE331DB"/>
    <w:rsid w:val="4BE34F89"/>
    <w:rsid w:val="4BE6166D"/>
    <w:rsid w:val="4BF21670"/>
    <w:rsid w:val="4C061383"/>
    <w:rsid w:val="4C103416"/>
    <w:rsid w:val="4C2555A1"/>
    <w:rsid w:val="4C341C88"/>
    <w:rsid w:val="4C373527"/>
    <w:rsid w:val="4C3C7D1F"/>
    <w:rsid w:val="4C4A0649"/>
    <w:rsid w:val="4C63431C"/>
    <w:rsid w:val="4C673E0C"/>
    <w:rsid w:val="4C6F019F"/>
    <w:rsid w:val="4C7E5ECA"/>
    <w:rsid w:val="4C83051A"/>
    <w:rsid w:val="4C876AA5"/>
    <w:rsid w:val="4C942727"/>
    <w:rsid w:val="4CA549E0"/>
    <w:rsid w:val="4CA82EA2"/>
    <w:rsid w:val="4CB212A0"/>
    <w:rsid w:val="4CB30DFF"/>
    <w:rsid w:val="4CD32F73"/>
    <w:rsid w:val="4CF84F7F"/>
    <w:rsid w:val="4D027104"/>
    <w:rsid w:val="4D05599E"/>
    <w:rsid w:val="4D0E00FB"/>
    <w:rsid w:val="4D176606"/>
    <w:rsid w:val="4D2515D1"/>
    <w:rsid w:val="4D623459"/>
    <w:rsid w:val="4D645E9F"/>
    <w:rsid w:val="4D662315"/>
    <w:rsid w:val="4D6A54D9"/>
    <w:rsid w:val="4D6E6AAF"/>
    <w:rsid w:val="4D7847BE"/>
    <w:rsid w:val="4D8010E3"/>
    <w:rsid w:val="4D986247"/>
    <w:rsid w:val="4D987FF5"/>
    <w:rsid w:val="4DBC0187"/>
    <w:rsid w:val="4DCC07AF"/>
    <w:rsid w:val="4DE5791A"/>
    <w:rsid w:val="4DE65204"/>
    <w:rsid w:val="4DEC4FB0"/>
    <w:rsid w:val="4DF571F5"/>
    <w:rsid w:val="4DF72F6D"/>
    <w:rsid w:val="4DFC4A28"/>
    <w:rsid w:val="4E040DF2"/>
    <w:rsid w:val="4E075D8A"/>
    <w:rsid w:val="4E456D26"/>
    <w:rsid w:val="4E61488B"/>
    <w:rsid w:val="4E6A7BE3"/>
    <w:rsid w:val="4E724728"/>
    <w:rsid w:val="4E7B3B9E"/>
    <w:rsid w:val="4E7C55B8"/>
    <w:rsid w:val="4E8642F1"/>
    <w:rsid w:val="4E8949AC"/>
    <w:rsid w:val="4E922C96"/>
    <w:rsid w:val="4EA053B3"/>
    <w:rsid w:val="4EB1136E"/>
    <w:rsid w:val="4EB56151"/>
    <w:rsid w:val="4EB91C18"/>
    <w:rsid w:val="4EC00FAD"/>
    <w:rsid w:val="4EC15329"/>
    <w:rsid w:val="4EE5336B"/>
    <w:rsid w:val="4EEC5FD3"/>
    <w:rsid w:val="4EF83441"/>
    <w:rsid w:val="4EFE20DA"/>
    <w:rsid w:val="4F0C78AF"/>
    <w:rsid w:val="4F313AC1"/>
    <w:rsid w:val="4F38383D"/>
    <w:rsid w:val="4F462EF3"/>
    <w:rsid w:val="4F533B42"/>
    <w:rsid w:val="4F5A1A06"/>
    <w:rsid w:val="4F7D1494"/>
    <w:rsid w:val="4F950C90"/>
    <w:rsid w:val="4F9843DC"/>
    <w:rsid w:val="4F9A0494"/>
    <w:rsid w:val="4FA44741"/>
    <w:rsid w:val="4FB939C0"/>
    <w:rsid w:val="4FC51A14"/>
    <w:rsid w:val="4FC62A8C"/>
    <w:rsid w:val="4FCF212F"/>
    <w:rsid w:val="4FE20F0D"/>
    <w:rsid w:val="4FE51552"/>
    <w:rsid w:val="4FF54082"/>
    <w:rsid w:val="501658E5"/>
    <w:rsid w:val="501E717A"/>
    <w:rsid w:val="502643B9"/>
    <w:rsid w:val="50302767"/>
    <w:rsid w:val="503653F1"/>
    <w:rsid w:val="504F48BB"/>
    <w:rsid w:val="50504C4B"/>
    <w:rsid w:val="50581991"/>
    <w:rsid w:val="5060304C"/>
    <w:rsid w:val="50834F8C"/>
    <w:rsid w:val="50852290"/>
    <w:rsid w:val="509C6E7C"/>
    <w:rsid w:val="50C04BB5"/>
    <w:rsid w:val="50CC06E1"/>
    <w:rsid w:val="50E33C7D"/>
    <w:rsid w:val="50E84DEF"/>
    <w:rsid w:val="50E911DE"/>
    <w:rsid w:val="50F623E6"/>
    <w:rsid w:val="510B6C70"/>
    <w:rsid w:val="512E222D"/>
    <w:rsid w:val="51501312"/>
    <w:rsid w:val="51583191"/>
    <w:rsid w:val="5162104E"/>
    <w:rsid w:val="5176064D"/>
    <w:rsid w:val="51842D6A"/>
    <w:rsid w:val="51964435"/>
    <w:rsid w:val="51A74CAA"/>
    <w:rsid w:val="51D26EE6"/>
    <w:rsid w:val="51E101BC"/>
    <w:rsid w:val="520E4D2A"/>
    <w:rsid w:val="5229021A"/>
    <w:rsid w:val="52293911"/>
    <w:rsid w:val="524E33D8"/>
    <w:rsid w:val="526163C5"/>
    <w:rsid w:val="526A01B2"/>
    <w:rsid w:val="52917B48"/>
    <w:rsid w:val="529203E4"/>
    <w:rsid w:val="52D32CA1"/>
    <w:rsid w:val="52D47D21"/>
    <w:rsid w:val="52E15F9A"/>
    <w:rsid w:val="530C074E"/>
    <w:rsid w:val="5314011E"/>
    <w:rsid w:val="531A7E97"/>
    <w:rsid w:val="534F55FA"/>
    <w:rsid w:val="536C1D08"/>
    <w:rsid w:val="539A6875"/>
    <w:rsid w:val="53A039CC"/>
    <w:rsid w:val="53A1505A"/>
    <w:rsid w:val="53C2134B"/>
    <w:rsid w:val="53F31B17"/>
    <w:rsid w:val="53FC12DE"/>
    <w:rsid w:val="54063E08"/>
    <w:rsid w:val="540957A8"/>
    <w:rsid w:val="54102FDB"/>
    <w:rsid w:val="541E2156"/>
    <w:rsid w:val="54213A20"/>
    <w:rsid w:val="543437E8"/>
    <w:rsid w:val="54414F42"/>
    <w:rsid w:val="54444A33"/>
    <w:rsid w:val="545255E6"/>
    <w:rsid w:val="54613836"/>
    <w:rsid w:val="546B5441"/>
    <w:rsid w:val="546C0D2F"/>
    <w:rsid w:val="547F1F0F"/>
    <w:rsid w:val="54824278"/>
    <w:rsid w:val="5495703C"/>
    <w:rsid w:val="54A159E1"/>
    <w:rsid w:val="54DC485C"/>
    <w:rsid w:val="54ED661C"/>
    <w:rsid w:val="54EF499E"/>
    <w:rsid w:val="54F55D2D"/>
    <w:rsid w:val="54F71AA5"/>
    <w:rsid w:val="54F73313"/>
    <w:rsid w:val="54F80955"/>
    <w:rsid w:val="553D7E00"/>
    <w:rsid w:val="553E5926"/>
    <w:rsid w:val="555170A7"/>
    <w:rsid w:val="55670004"/>
    <w:rsid w:val="556829A3"/>
    <w:rsid w:val="556E7FB9"/>
    <w:rsid w:val="55766E6E"/>
    <w:rsid w:val="557F72A0"/>
    <w:rsid w:val="5587536D"/>
    <w:rsid w:val="558F0B2F"/>
    <w:rsid w:val="559417F6"/>
    <w:rsid w:val="559B174B"/>
    <w:rsid w:val="55BB2AD2"/>
    <w:rsid w:val="55BE25C3"/>
    <w:rsid w:val="55C30E9C"/>
    <w:rsid w:val="55C51BA3"/>
    <w:rsid w:val="55CE0CF4"/>
    <w:rsid w:val="55DB2282"/>
    <w:rsid w:val="55DD513F"/>
    <w:rsid w:val="55F52488"/>
    <w:rsid w:val="56024BA5"/>
    <w:rsid w:val="56044157"/>
    <w:rsid w:val="56076DEF"/>
    <w:rsid w:val="563928D7"/>
    <w:rsid w:val="56414848"/>
    <w:rsid w:val="5654276F"/>
    <w:rsid w:val="56794E67"/>
    <w:rsid w:val="567F1D52"/>
    <w:rsid w:val="568E7F23"/>
    <w:rsid w:val="56A22AAF"/>
    <w:rsid w:val="56B22A9C"/>
    <w:rsid w:val="56B70EC3"/>
    <w:rsid w:val="56C854A7"/>
    <w:rsid w:val="56CA164B"/>
    <w:rsid w:val="56CE6835"/>
    <w:rsid w:val="56DA342C"/>
    <w:rsid w:val="56E11772"/>
    <w:rsid w:val="56F444EE"/>
    <w:rsid w:val="56F66886"/>
    <w:rsid w:val="56F73FDE"/>
    <w:rsid w:val="56FA587C"/>
    <w:rsid w:val="56FD7888"/>
    <w:rsid w:val="57081B8F"/>
    <w:rsid w:val="57127941"/>
    <w:rsid w:val="571827DA"/>
    <w:rsid w:val="572D3C16"/>
    <w:rsid w:val="5730129E"/>
    <w:rsid w:val="57517B92"/>
    <w:rsid w:val="57A31178"/>
    <w:rsid w:val="57B72A76"/>
    <w:rsid w:val="57C3426C"/>
    <w:rsid w:val="57CA6046"/>
    <w:rsid w:val="57CE1F93"/>
    <w:rsid w:val="57E11687"/>
    <w:rsid w:val="57F549C2"/>
    <w:rsid w:val="57FA6AEB"/>
    <w:rsid w:val="58041B09"/>
    <w:rsid w:val="581D1822"/>
    <w:rsid w:val="582A5A86"/>
    <w:rsid w:val="582E1C82"/>
    <w:rsid w:val="5830511C"/>
    <w:rsid w:val="584D3472"/>
    <w:rsid w:val="5850568B"/>
    <w:rsid w:val="58533496"/>
    <w:rsid w:val="58610E09"/>
    <w:rsid w:val="588743D1"/>
    <w:rsid w:val="5887701A"/>
    <w:rsid w:val="58D560E2"/>
    <w:rsid w:val="58EC5313"/>
    <w:rsid w:val="58FF1DB4"/>
    <w:rsid w:val="5917442C"/>
    <w:rsid w:val="59205A6E"/>
    <w:rsid w:val="59246BE1"/>
    <w:rsid w:val="59260BAB"/>
    <w:rsid w:val="594352B9"/>
    <w:rsid w:val="596B1101"/>
    <w:rsid w:val="596F2552"/>
    <w:rsid w:val="59851D75"/>
    <w:rsid w:val="598B2E17"/>
    <w:rsid w:val="59A96F42"/>
    <w:rsid w:val="59AA358A"/>
    <w:rsid w:val="59AD12C2"/>
    <w:rsid w:val="59C0439F"/>
    <w:rsid w:val="59D13ABB"/>
    <w:rsid w:val="59EF369D"/>
    <w:rsid w:val="5A47527D"/>
    <w:rsid w:val="5A4C2893"/>
    <w:rsid w:val="5A6C6A91"/>
    <w:rsid w:val="5A8B6F17"/>
    <w:rsid w:val="5A8E4EF3"/>
    <w:rsid w:val="5A971D60"/>
    <w:rsid w:val="5AA24261"/>
    <w:rsid w:val="5AB5676A"/>
    <w:rsid w:val="5AB67D0C"/>
    <w:rsid w:val="5ABE2233"/>
    <w:rsid w:val="5AFA409D"/>
    <w:rsid w:val="5B014984"/>
    <w:rsid w:val="5B072D7E"/>
    <w:rsid w:val="5B13515F"/>
    <w:rsid w:val="5B2630E4"/>
    <w:rsid w:val="5B280C0A"/>
    <w:rsid w:val="5B392E17"/>
    <w:rsid w:val="5B525C87"/>
    <w:rsid w:val="5B597015"/>
    <w:rsid w:val="5B812B8F"/>
    <w:rsid w:val="5B816490"/>
    <w:rsid w:val="5B937C2C"/>
    <w:rsid w:val="5BCB0E8D"/>
    <w:rsid w:val="5BDF5D95"/>
    <w:rsid w:val="5BE30034"/>
    <w:rsid w:val="5BE32D83"/>
    <w:rsid w:val="5BE43E6C"/>
    <w:rsid w:val="5BFE7528"/>
    <w:rsid w:val="5C1F025F"/>
    <w:rsid w:val="5C302BB6"/>
    <w:rsid w:val="5C5B0B6B"/>
    <w:rsid w:val="5C891B7C"/>
    <w:rsid w:val="5C9C18B0"/>
    <w:rsid w:val="5CAA4AC3"/>
    <w:rsid w:val="5CD64696"/>
    <w:rsid w:val="5CEC5C67"/>
    <w:rsid w:val="5CEE7379"/>
    <w:rsid w:val="5CF823CC"/>
    <w:rsid w:val="5CF8285E"/>
    <w:rsid w:val="5CFB6D53"/>
    <w:rsid w:val="5D1F603D"/>
    <w:rsid w:val="5D347D3A"/>
    <w:rsid w:val="5D574DAC"/>
    <w:rsid w:val="5D6D4FFA"/>
    <w:rsid w:val="5D974BFB"/>
    <w:rsid w:val="5DB81865"/>
    <w:rsid w:val="5DC03EC2"/>
    <w:rsid w:val="5DD46E27"/>
    <w:rsid w:val="5DE14DB0"/>
    <w:rsid w:val="5DEA664B"/>
    <w:rsid w:val="5DED7EE9"/>
    <w:rsid w:val="5DEFBA99"/>
    <w:rsid w:val="5DF40AB4"/>
    <w:rsid w:val="5DF70D68"/>
    <w:rsid w:val="5DFB0858"/>
    <w:rsid w:val="5DFD6560"/>
    <w:rsid w:val="5E055233"/>
    <w:rsid w:val="5E2467F1"/>
    <w:rsid w:val="5E3F11B2"/>
    <w:rsid w:val="5E58606E"/>
    <w:rsid w:val="5E74041D"/>
    <w:rsid w:val="5E7474F9"/>
    <w:rsid w:val="5E906449"/>
    <w:rsid w:val="5E977CE2"/>
    <w:rsid w:val="5EB05CD7"/>
    <w:rsid w:val="5ECC3EAD"/>
    <w:rsid w:val="5ECC3FA2"/>
    <w:rsid w:val="5ED30E8D"/>
    <w:rsid w:val="5EDC1131"/>
    <w:rsid w:val="5F096FA4"/>
    <w:rsid w:val="5F0A700E"/>
    <w:rsid w:val="5F1640C3"/>
    <w:rsid w:val="5F1A2B43"/>
    <w:rsid w:val="5F3833E6"/>
    <w:rsid w:val="5F4678B1"/>
    <w:rsid w:val="5F75351C"/>
    <w:rsid w:val="5F9F2AC4"/>
    <w:rsid w:val="5FA138F4"/>
    <w:rsid w:val="5FA647F3"/>
    <w:rsid w:val="5FA765C3"/>
    <w:rsid w:val="5FB837BB"/>
    <w:rsid w:val="5FD8472D"/>
    <w:rsid w:val="5FECB9BF"/>
    <w:rsid w:val="5FFFDD75"/>
    <w:rsid w:val="603B4F3C"/>
    <w:rsid w:val="604829FA"/>
    <w:rsid w:val="60505B92"/>
    <w:rsid w:val="60582DA7"/>
    <w:rsid w:val="605F7E99"/>
    <w:rsid w:val="606909A2"/>
    <w:rsid w:val="608B7F65"/>
    <w:rsid w:val="608C1C3B"/>
    <w:rsid w:val="60AE3C1A"/>
    <w:rsid w:val="60B50F9E"/>
    <w:rsid w:val="60BA7393"/>
    <w:rsid w:val="60CC405A"/>
    <w:rsid w:val="610546FB"/>
    <w:rsid w:val="611410C8"/>
    <w:rsid w:val="611F03B9"/>
    <w:rsid w:val="613100ED"/>
    <w:rsid w:val="615C785F"/>
    <w:rsid w:val="61691F7C"/>
    <w:rsid w:val="617632EE"/>
    <w:rsid w:val="61774B9A"/>
    <w:rsid w:val="617A1A94"/>
    <w:rsid w:val="61C22B27"/>
    <w:rsid w:val="61C471B3"/>
    <w:rsid w:val="61D5316E"/>
    <w:rsid w:val="61E215D8"/>
    <w:rsid w:val="62004B9F"/>
    <w:rsid w:val="6204387C"/>
    <w:rsid w:val="621B3775"/>
    <w:rsid w:val="621C65F1"/>
    <w:rsid w:val="62364782"/>
    <w:rsid w:val="623C4F9B"/>
    <w:rsid w:val="62554129"/>
    <w:rsid w:val="62682234"/>
    <w:rsid w:val="627D2655"/>
    <w:rsid w:val="627F36F2"/>
    <w:rsid w:val="62C4234D"/>
    <w:rsid w:val="62DD7EA2"/>
    <w:rsid w:val="62E82237"/>
    <w:rsid w:val="62E872D9"/>
    <w:rsid w:val="62F13FD7"/>
    <w:rsid w:val="630062FA"/>
    <w:rsid w:val="63051831"/>
    <w:rsid w:val="631755EE"/>
    <w:rsid w:val="632803BF"/>
    <w:rsid w:val="632A3916"/>
    <w:rsid w:val="633157B8"/>
    <w:rsid w:val="634B78A4"/>
    <w:rsid w:val="636430B3"/>
    <w:rsid w:val="637BEF4B"/>
    <w:rsid w:val="63926312"/>
    <w:rsid w:val="6394356A"/>
    <w:rsid w:val="6395792C"/>
    <w:rsid w:val="63A25979"/>
    <w:rsid w:val="63C61B2C"/>
    <w:rsid w:val="63D119C2"/>
    <w:rsid w:val="63D40BE9"/>
    <w:rsid w:val="63DB5069"/>
    <w:rsid w:val="63E578CD"/>
    <w:rsid w:val="63EB0A27"/>
    <w:rsid w:val="63F27B94"/>
    <w:rsid w:val="63F73EC8"/>
    <w:rsid w:val="64102431"/>
    <w:rsid w:val="64267CB1"/>
    <w:rsid w:val="64485DB5"/>
    <w:rsid w:val="64491CD0"/>
    <w:rsid w:val="644E3AA6"/>
    <w:rsid w:val="645A549E"/>
    <w:rsid w:val="645F5B23"/>
    <w:rsid w:val="64616F3B"/>
    <w:rsid w:val="64664201"/>
    <w:rsid w:val="646B7DB9"/>
    <w:rsid w:val="646C2571"/>
    <w:rsid w:val="646F78AA"/>
    <w:rsid w:val="64761E32"/>
    <w:rsid w:val="647F3368"/>
    <w:rsid w:val="64986E00"/>
    <w:rsid w:val="64A5243A"/>
    <w:rsid w:val="64AD2180"/>
    <w:rsid w:val="64CF20F6"/>
    <w:rsid w:val="64D21BE7"/>
    <w:rsid w:val="64D22B78"/>
    <w:rsid w:val="64DE0668"/>
    <w:rsid w:val="64EB4C02"/>
    <w:rsid w:val="64ED0156"/>
    <w:rsid w:val="64F531DE"/>
    <w:rsid w:val="653603C7"/>
    <w:rsid w:val="65373578"/>
    <w:rsid w:val="6546685C"/>
    <w:rsid w:val="657959A7"/>
    <w:rsid w:val="657A018B"/>
    <w:rsid w:val="65817895"/>
    <w:rsid w:val="65931376"/>
    <w:rsid w:val="65A417D5"/>
    <w:rsid w:val="65AE6280"/>
    <w:rsid w:val="65BC5BD6"/>
    <w:rsid w:val="65C43C25"/>
    <w:rsid w:val="65D7023C"/>
    <w:rsid w:val="65E11907"/>
    <w:rsid w:val="65E816C2"/>
    <w:rsid w:val="65F31E15"/>
    <w:rsid w:val="65FC519A"/>
    <w:rsid w:val="65FF173D"/>
    <w:rsid w:val="66061B92"/>
    <w:rsid w:val="661A238D"/>
    <w:rsid w:val="661F4E5F"/>
    <w:rsid w:val="66630D48"/>
    <w:rsid w:val="66637257"/>
    <w:rsid w:val="667123FB"/>
    <w:rsid w:val="667473F9"/>
    <w:rsid w:val="668D5F30"/>
    <w:rsid w:val="668D72D5"/>
    <w:rsid w:val="66953585"/>
    <w:rsid w:val="66CD08B8"/>
    <w:rsid w:val="66CD6B09"/>
    <w:rsid w:val="66E71979"/>
    <w:rsid w:val="66E82D5C"/>
    <w:rsid w:val="66E969C9"/>
    <w:rsid w:val="66F44096"/>
    <w:rsid w:val="671D04B7"/>
    <w:rsid w:val="671F124A"/>
    <w:rsid w:val="67284F32"/>
    <w:rsid w:val="672C3830"/>
    <w:rsid w:val="67334BBF"/>
    <w:rsid w:val="673B21BF"/>
    <w:rsid w:val="67486190"/>
    <w:rsid w:val="675E775A"/>
    <w:rsid w:val="677A0A3F"/>
    <w:rsid w:val="677A33C6"/>
    <w:rsid w:val="678056D4"/>
    <w:rsid w:val="679D472E"/>
    <w:rsid w:val="67A64F95"/>
    <w:rsid w:val="67C25F42"/>
    <w:rsid w:val="67FA1B80"/>
    <w:rsid w:val="67FF0F45"/>
    <w:rsid w:val="681F6961"/>
    <w:rsid w:val="682B3AE8"/>
    <w:rsid w:val="68610A2F"/>
    <w:rsid w:val="68692862"/>
    <w:rsid w:val="686F6FB6"/>
    <w:rsid w:val="68805514"/>
    <w:rsid w:val="68815DFE"/>
    <w:rsid w:val="68866F70"/>
    <w:rsid w:val="68901650"/>
    <w:rsid w:val="68AA4997"/>
    <w:rsid w:val="68CA04BB"/>
    <w:rsid w:val="68E024D2"/>
    <w:rsid w:val="68EA5751"/>
    <w:rsid w:val="68FB170C"/>
    <w:rsid w:val="690279FE"/>
    <w:rsid w:val="69061635"/>
    <w:rsid w:val="69196036"/>
    <w:rsid w:val="692C7EDB"/>
    <w:rsid w:val="692D47C9"/>
    <w:rsid w:val="69316E2F"/>
    <w:rsid w:val="693E784B"/>
    <w:rsid w:val="69434D16"/>
    <w:rsid w:val="694E2071"/>
    <w:rsid w:val="6951757E"/>
    <w:rsid w:val="6958090C"/>
    <w:rsid w:val="696C22F1"/>
    <w:rsid w:val="69766163"/>
    <w:rsid w:val="697A3B33"/>
    <w:rsid w:val="69862D66"/>
    <w:rsid w:val="699F5DE9"/>
    <w:rsid w:val="69BE5C08"/>
    <w:rsid w:val="69C1051C"/>
    <w:rsid w:val="69D038DA"/>
    <w:rsid w:val="69D41F5D"/>
    <w:rsid w:val="69D44760"/>
    <w:rsid w:val="69DB2652"/>
    <w:rsid w:val="69DD3507"/>
    <w:rsid w:val="69E55FFC"/>
    <w:rsid w:val="69E859B0"/>
    <w:rsid w:val="69FE41B5"/>
    <w:rsid w:val="6A017532"/>
    <w:rsid w:val="6A2922A9"/>
    <w:rsid w:val="6A301889"/>
    <w:rsid w:val="6A3749C6"/>
    <w:rsid w:val="6A3A656D"/>
    <w:rsid w:val="6A520EC7"/>
    <w:rsid w:val="6A525A54"/>
    <w:rsid w:val="6A535578"/>
    <w:rsid w:val="6A5A4B58"/>
    <w:rsid w:val="6A617C95"/>
    <w:rsid w:val="6A8F0BD5"/>
    <w:rsid w:val="6A9C18BD"/>
    <w:rsid w:val="6AA95BC6"/>
    <w:rsid w:val="6AB04778"/>
    <w:rsid w:val="6ABE50E7"/>
    <w:rsid w:val="6AC975E8"/>
    <w:rsid w:val="6ACA2E4F"/>
    <w:rsid w:val="6AE67B40"/>
    <w:rsid w:val="6AF87E20"/>
    <w:rsid w:val="6B317667"/>
    <w:rsid w:val="6B322639"/>
    <w:rsid w:val="6B4E646B"/>
    <w:rsid w:val="6B4F21E3"/>
    <w:rsid w:val="6B7E5C45"/>
    <w:rsid w:val="6B8005EE"/>
    <w:rsid w:val="6B833C3B"/>
    <w:rsid w:val="6BAC13E3"/>
    <w:rsid w:val="6BAF2E6E"/>
    <w:rsid w:val="6BB003FD"/>
    <w:rsid w:val="6BDF70C3"/>
    <w:rsid w:val="6BFB5EC7"/>
    <w:rsid w:val="6C092FE4"/>
    <w:rsid w:val="6C103720"/>
    <w:rsid w:val="6C141D47"/>
    <w:rsid w:val="6C1D7BEB"/>
    <w:rsid w:val="6C200E33"/>
    <w:rsid w:val="6C3815B7"/>
    <w:rsid w:val="6C496C32"/>
    <w:rsid w:val="6C4C2F75"/>
    <w:rsid w:val="6C4C56DA"/>
    <w:rsid w:val="6C596D7E"/>
    <w:rsid w:val="6C636C38"/>
    <w:rsid w:val="6C6E6699"/>
    <w:rsid w:val="6C74433B"/>
    <w:rsid w:val="6C7A3A5E"/>
    <w:rsid w:val="6C876BC0"/>
    <w:rsid w:val="6C9D2ADA"/>
    <w:rsid w:val="6CB90374"/>
    <w:rsid w:val="6CDA3D2E"/>
    <w:rsid w:val="6CE1330F"/>
    <w:rsid w:val="6CE81FA7"/>
    <w:rsid w:val="6CE95D1F"/>
    <w:rsid w:val="6CEE0507"/>
    <w:rsid w:val="6D5127FB"/>
    <w:rsid w:val="6D6E4EDE"/>
    <w:rsid w:val="6D803863"/>
    <w:rsid w:val="6DB34098"/>
    <w:rsid w:val="6DB545B6"/>
    <w:rsid w:val="6DC9627D"/>
    <w:rsid w:val="6DD33776"/>
    <w:rsid w:val="6DE02FB4"/>
    <w:rsid w:val="6DEC564E"/>
    <w:rsid w:val="6E051C5B"/>
    <w:rsid w:val="6E331D73"/>
    <w:rsid w:val="6E4F6056"/>
    <w:rsid w:val="6E514CED"/>
    <w:rsid w:val="6E514FCF"/>
    <w:rsid w:val="6E621798"/>
    <w:rsid w:val="6E71421E"/>
    <w:rsid w:val="6E8201DA"/>
    <w:rsid w:val="6E824E85"/>
    <w:rsid w:val="6E937954"/>
    <w:rsid w:val="6E957F0D"/>
    <w:rsid w:val="6EB14DA4"/>
    <w:rsid w:val="6EB563D5"/>
    <w:rsid w:val="6EBA5BC5"/>
    <w:rsid w:val="6EBD7464"/>
    <w:rsid w:val="6EBF4F8A"/>
    <w:rsid w:val="6EC86534"/>
    <w:rsid w:val="6EC922AC"/>
    <w:rsid w:val="6ED03A29"/>
    <w:rsid w:val="6ED924EF"/>
    <w:rsid w:val="6ED92677"/>
    <w:rsid w:val="6EFC7F8C"/>
    <w:rsid w:val="6F011A46"/>
    <w:rsid w:val="6F1F3C7A"/>
    <w:rsid w:val="6F225983"/>
    <w:rsid w:val="6F241291"/>
    <w:rsid w:val="6F293DF3"/>
    <w:rsid w:val="6F30460B"/>
    <w:rsid w:val="6F3A69AA"/>
    <w:rsid w:val="6F5A4CB2"/>
    <w:rsid w:val="6F7A4223"/>
    <w:rsid w:val="6F7FDDB2"/>
    <w:rsid w:val="6F820D3E"/>
    <w:rsid w:val="6F8B2DA0"/>
    <w:rsid w:val="6FAD572A"/>
    <w:rsid w:val="6FC22F83"/>
    <w:rsid w:val="6FDDF5CF"/>
    <w:rsid w:val="6FE56C72"/>
    <w:rsid w:val="6FFC5590"/>
    <w:rsid w:val="70180B2E"/>
    <w:rsid w:val="702C48A1"/>
    <w:rsid w:val="7053007F"/>
    <w:rsid w:val="706D1DD0"/>
    <w:rsid w:val="707341CC"/>
    <w:rsid w:val="70856B87"/>
    <w:rsid w:val="70A54711"/>
    <w:rsid w:val="70B06601"/>
    <w:rsid w:val="70D34D1C"/>
    <w:rsid w:val="70D51926"/>
    <w:rsid w:val="70D527EE"/>
    <w:rsid w:val="70EE0923"/>
    <w:rsid w:val="710D69E6"/>
    <w:rsid w:val="711F4406"/>
    <w:rsid w:val="712120A0"/>
    <w:rsid w:val="712B2DAA"/>
    <w:rsid w:val="713E0126"/>
    <w:rsid w:val="713E2889"/>
    <w:rsid w:val="715B5300"/>
    <w:rsid w:val="71840265"/>
    <w:rsid w:val="71864485"/>
    <w:rsid w:val="71B2527A"/>
    <w:rsid w:val="71B52674"/>
    <w:rsid w:val="71B608C6"/>
    <w:rsid w:val="71BA40BB"/>
    <w:rsid w:val="71C50B09"/>
    <w:rsid w:val="71D27F8A"/>
    <w:rsid w:val="71F83914"/>
    <w:rsid w:val="721F275F"/>
    <w:rsid w:val="7229553C"/>
    <w:rsid w:val="7238577F"/>
    <w:rsid w:val="724063E2"/>
    <w:rsid w:val="72553024"/>
    <w:rsid w:val="726F7529"/>
    <w:rsid w:val="72801E01"/>
    <w:rsid w:val="72834520"/>
    <w:rsid w:val="72912200"/>
    <w:rsid w:val="72916639"/>
    <w:rsid w:val="729329B5"/>
    <w:rsid w:val="7296195D"/>
    <w:rsid w:val="72A71D9C"/>
    <w:rsid w:val="72B74068"/>
    <w:rsid w:val="72BC0C11"/>
    <w:rsid w:val="72C25048"/>
    <w:rsid w:val="72D653CE"/>
    <w:rsid w:val="72D74F98"/>
    <w:rsid w:val="72DD6326"/>
    <w:rsid w:val="730D3CF9"/>
    <w:rsid w:val="73122968"/>
    <w:rsid w:val="73125FD0"/>
    <w:rsid w:val="731F5D5E"/>
    <w:rsid w:val="735C549D"/>
    <w:rsid w:val="735D64A6"/>
    <w:rsid w:val="736507F6"/>
    <w:rsid w:val="736D76AA"/>
    <w:rsid w:val="73A35363"/>
    <w:rsid w:val="73B70925"/>
    <w:rsid w:val="73C3376E"/>
    <w:rsid w:val="73C51AD5"/>
    <w:rsid w:val="73C6500C"/>
    <w:rsid w:val="73E159A2"/>
    <w:rsid w:val="73F31DD4"/>
    <w:rsid w:val="73F6620B"/>
    <w:rsid w:val="73FE1814"/>
    <w:rsid w:val="7404125C"/>
    <w:rsid w:val="741E793C"/>
    <w:rsid w:val="7439758C"/>
    <w:rsid w:val="743A1639"/>
    <w:rsid w:val="74442409"/>
    <w:rsid w:val="74463FB2"/>
    <w:rsid w:val="744C3764"/>
    <w:rsid w:val="74510D7A"/>
    <w:rsid w:val="74597C2E"/>
    <w:rsid w:val="745E3944"/>
    <w:rsid w:val="749F1AE5"/>
    <w:rsid w:val="74AC51E0"/>
    <w:rsid w:val="74B530B7"/>
    <w:rsid w:val="74B9247B"/>
    <w:rsid w:val="74E1166C"/>
    <w:rsid w:val="750556C0"/>
    <w:rsid w:val="7507768A"/>
    <w:rsid w:val="750D4601"/>
    <w:rsid w:val="751A73BE"/>
    <w:rsid w:val="7530098F"/>
    <w:rsid w:val="753C15DA"/>
    <w:rsid w:val="754D7793"/>
    <w:rsid w:val="7593485D"/>
    <w:rsid w:val="759E7FEF"/>
    <w:rsid w:val="75EC1293"/>
    <w:rsid w:val="75F25C45"/>
    <w:rsid w:val="76022B63"/>
    <w:rsid w:val="761402B1"/>
    <w:rsid w:val="76161308"/>
    <w:rsid w:val="761E4C8C"/>
    <w:rsid w:val="7621652A"/>
    <w:rsid w:val="762229CE"/>
    <w:rsid w:val="7635099D"/>
    <w:rsid w:val="765635E9"/>
    <w:rsid w:val="76662487"/>
    <w:rsid w:val="767F2EBF"/>
    <w:rsid w:val="76984A3E"/>
    <w:rsid w:val="769B452E"/>
    <w:rsid w:val="769F401E"/>
    <w:rsid w:val="76AC4B38"/>
    <w:rsid w:val="76CC46E8"/>
    <w:rsid w:val="76CF5F86"/>
    <w:rsid w:val="77093C64"/>
    <w:rsid w:val="772715D8"/>
    <w:rsid w:val="77430953"/>
    <w:rsid w:val="77707769"/>
    <w:rsid w:val="77711F30"/>
    <w:rsid w:val="77762421"/>
    <w:rsid w:val="77764653"/>
    <w:rsid w:val="77A15B74"/>
    <w:rsid w:val="77B56B1F"/>
    <w:rsid w:val="77C23A41"/>
    <w:rsid w:val="77F15CD9"/>
    <w:rsid w:val="77F22F4D"/>
    <w:rsid w:val="77FA102B"/>
    <w:rsid w:val="780F09F4"/>
    <w:rsid w:val="782B18E2"/>
    <w:rsid w:val="78423357"/>
    <w:rsid w:val="784908C6"/>
    <w:rsid w:val="784B5AE0"/>
    <w:rsid w:val="784C1F84"/>
    <w:rsid w:val="786B5A9C"/>
    <w:rsid w:val="78891344"/>
    <w:rsid w:val="78A90480"/>
    <w:rsid w:val="78A920C0"/>
    <w:rsid w:val="78B813C8"/>
    <w:rsid w:val="78BB0EB8"/>
    <w:rsid w:val="78C80EDF"/>
    <w:rsid w:val="78CC09CF"/>
    <w:rsid w:val="78D67AA0"/>
    <w:rsid w:val="79112886"/>
    <w:rsid w:val="791B54B2"/>
    <w:rsid w:val="79492020"/>
    <w:rsid w:val="795450A1"/>
    <w:rsid w:val="79623EAF"/>
    <w:rsid w:val="797709B7"/>
    <w:rsid w:val="797852CE"/>
    <w:rsid w:val="79865022"/>
    <w:rsid w:val="798D6C88"/>
    <w:rsid w:val="799D236B"/>
    <w:rsid w:val="79B25E17"/>
    <w:rsid w:val="79C142AC"/>
    <w:rsid w:val="79D538D1"/>
    <w:rsid w:val="79E35140"/>
    <w:rsid w:val="79F301DD"/>
    <w:rsid w:val="79F63973"/>
    <w:rsid w:val="79F67F18"/>
    <w:rsid w:val="79FF3026"/>
    <w:rsid w:val="7A08099B"/>
    <w:rsid w:val="7A083C89"/>
    <w:rsid w:val="7A0A5C53"/>
    <w:rsid w:val="7A230778"/>
    <w:rsid w:val="7A35105F"/>
    <w:rsid w:val="7A3525A4"/>
    <w:rsid w:val="7A364017"/>
    <w:rsid w:val="7A410F49"/>
    <w:rsid w:val="7A426076"/>
    <w:rsid w:val="7A454D22"/>
    <w:rsid w:val="7A5B64AE"/>
    <w:rsid w:val="7A8265E1"/>
    <w:rsid w:val="7A886B78"/>
    <w:rsid w:val="7A895BD0"/>
    <w:rsid w:val="7A8B6668"/>
    <w:rsid w:val="7A9F3BEA"/>
    <w:rsid w:val="7AA02113"/>
    <w:rsid w:val="7AD82A70"/>
    <w:rsid w:val="7AD97A6C"/>
    <w:rsid w:val="7AE446F6"/>
    <w:rsid w:val="7AED10D1"/>
    <w:rsid w:val="7AF95CC7"/>
    <w:rsid w:val="7AFD57B8"/>
    <w:rsid w:val="7B2014A6"/>
    <w:rsid w:val="7B2368A0"/>
    <w:rsid w:val="7B25086A"/>
    <w:rsid w:val="7B2871C4"/>
    <w:rsid w:val="7B32675B"/>
    <w:rsid w:val="7B354418"/>
    <w:rsid w:val="7B4E59F0"/>
    <w:rsid w:val="7B686D42"/>
    <w:rsid w:val="7B6A22D9"/>
    <w:rsid w:val="7B841746"/>
    <w:rsid w:val="7B960689"/>
    <w:rsid w:val="7BA94FF8"/>
    <w:rsid w:val="7BB10B26"/>
    <w:rsid w:val="7BBAC11E"/>
    <w:rsid w:val="7BBE4FF1"/>
    <w:rsid w:val="7BC93671"/>
    <w:rsid w:val="7BCE2CB0"/>
    <w:rsid w:val="7BD0674A"/>
    <w:rsid w:val="7BDE40CC"/>
    <w:rsid w:val="7BDF6C6B"/>
    <w:rsid w:val="7BEE6EAE"/>
    <w:rsid w:val="7C1C7B10"/>
    <w:rsid w:val="7C29438A"/>
    <w:rsid w:val="7C3B3EC8"/>
    <w:rsid w:val="7C5A0E1C"/>
    <w:rsid w:val="7C5B2AA6"/>
    <w:rsid w:val="7C5F05F7"/>
    <w:rsid w:val="7C623A41"/>
    <w:rsid w:val="7C6C5AC7"/>
    <w:rsid w:val="7C7553A2"/>
    <w:rsid w:val="7C835849"/>
    <w:rsid w:val="7C8D19BD"/>
    <w:rsid w:val="7CC24FC1"/>
    <w:rsid w:val="7CC6544B"/>
    <w:rsid w:val="7CD7482D"/>
    <w:rsid w:val="7CDC31AB"/>
    <w:rsid w:val="7CE24C65"/>
    <w:rsid w:val="7CE539D6"/>
    <w:rsid w:val="7CEA105F"/>
    <w:rsid w:val="7CF254B8"/>
    <w:rsid w:val="7D0239FF"/>
    <w:rsid w:val="7D13731B"/>
    <w:rsid w:val="7D1E04AA"/>
    <w:rsid w:val="7D2863F0"/>
    <w:rsid w:val="7D406CC8"/>
    <w:rsid w:val="7D5E40CD"/>
    <w:rsid w:val="7D717D97"/>
    <w:rsid w:val="7D807FDA"/>
    <w:rsid w:val="7D853842"/>
    <w:rsid w:val="7D892D8E"/>
    <w:rsid w:val="7D8A0E59"/>
    <w:rsid w:val="7DAA4869"/>
    <w:rsid w:val="7DCD56F2"/>
    <w:rsid w:val="7DE8230C"/>
    <w:rsid w:val="7DFE4C7B"/>
    <w:rsid w:val="7E1757F1"/>
    <w:rsid w:val="7E2F032C"/>
    <w:rsid w:val="7E3A2950"/>
    <w:rsid w:val="7E3B32BD"/>
    <w:rsid w:val="7E6416AA"/>
    <w:rsid w:val="7E6D4A02"/>
    <w:rsid w:val="7E6F077A"/>
    <w:rsid w:val="7E733923"/>
    <w:rsid w:val="7E856FAF"/>
    <w:rsid w:val="7E8B3E08"/>
    <w:rsid w:val="7EB54AD6"/>
    <w:rsid w:val="7EBC7738"/>
    <w:rsid w:val="7EE66D6B"/>
    <w:rsid w:val="7F001CE7"/>
    <w:rsid w:val="7F01514B"/>
    <w:rsid w:val="7F3B13B2"/>
    <w:rsid w:val="7F4A0FC0"/>
    <w:rsid w:val="7F4E65E2"/>
    <w:rsid w:val="7F6B1076"/>
    <w:rsid w:val="7F957235"/>
    <w:rsid w:val="7FB81800"/>
    <w:rsid w:val="7FBB7A2E"/>
    <w:rsid w:val="7FD4460D"/>
    <w:rsid w:val="7FE47E50"/>
    <w:rsid w:val="7FFFB170"/>
    <w:rsid w:val="9DBBDF94"/>
    <w:rsid w:val="A3D3146E"/>
    <w:rsid w:val="AF77A756"/>
    <w:rsid w:val="DAFEFBD5"/>
    <w:rsid w:val="DAFF83E9"/>
    <w:rsid w:val="DFF95821"/>
    <w:rsid w:val="EF5B3CC4"/>
    <w:rsid w:val="FF6F33F8"/>
    <w:rsid w:val="FFFFE62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qFormat="1"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3"/>
    <w:basedOn w:val="1"/>
    <w:next w:val="1"/>
    <w:autoRedefine/>
    <w:qFormat/>
    <w:locked/>
    <w:uiPriority w:val="0"/>
    <w:pPr>
      <w:keepNext/>
      <w:keepLines/>
      <w:spacing w:before="260" w:after="260" w:line="416" w:lineRule="auto"/>
      <w:outlineLvl w:val="2"/>
    </w:pPr>
    <w:rPr>
      <w:rFonts w:eastAsia="宋体"/>
      <w:b/>
      <w:bCs/>
      <w:kern w:val="0"/>
      <w:sz w:val="32"/>
      <w:szCs w:val="32"/>
    </w:rPr>
  </w:style>
  <w:style w:type="paragraph" w:styleId="6">
    <w:name w:val="heading 4"/>
    <w:basedOn w:val="1"/>
    <w:next w:val="1"/>
    <w:autoRedefine/>
    <w:qFormat/>
    <w:locked/>
    <w:uiPriority w:val="0"/>
    <w:pPr>
      <w:keepNext/>
      <w:keepLines/>
      <w:snapToGrid w:val="0"/>
      <w:spacing w:line="360" w:lineRule="auto"/>
      <w:jc w:val="left"/>
      <w:outlineLvl w:val="3"/>
    </w:pPr>
    <w:rPr>
      <w:rFonts w:ascii="Arial" w:hAnsi="Arial"/>
      <w:bCs/>
      <w:sz w:val="24"/>
    </w:rPr>
  </w:style>
  <w:style w:type="character" w:default="1" w:styleId="32">
    <w:name w:val="Default Paragraph Font"/>
    <w:autoRedefine/>
    <w:semiHidden/>
    <w:qFormat/>
    <w:uiPriority w:val="0"/>
  </w:style>
  <w:style w:type="table" w:default="1" w:styleId="30">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3"/>
    <w:link w:val="42"/>
    <w:autoRedefine/>
    <w:qFormat/>
    <w:uiPriority w:val="0"/>
    <w:pPr>
      <w:widowControl/>
      <w:snapToGrid w:val="0"/>
      <w:spacing w:before="60" w:after="160" w:line="259" w:lineRule="auto"/>
      <w:ind w:right="113"/>
    </w:pPr>
    <w:rPr>
      <w:kern w:val="0"/>
      <w:sz w:val="18"/>
      <w:szCs w:val="20"/>
    </w:rPr>
  </w:style>
  <w:style w:type="paragraph" w:styleId="3">
    <w:name w:val="List Bullet 5"/>
    <w:basedOn w:val="1"/>
    <w:autoRedefine/>
    <w:qFormat/>
    <w:locked/>
    <w:uiPriority w:val="0"/>
    <w:pPr>
      <w:numPr>
        <w:ilvl w:val="0"/>
        <w:numId w:val="1"/>
      </w:numPr>
    </w:pPr>
  </w:style>
  <w:style w:type="paragraph" w:styleId="7">
    <w:name w:val="Normal Indent"/>
    <w:basedOn w:val="1"/>
    <w:next w:val="1"/>
    <w:autoRedefine/>
    <w:qFormat/>
    <w:locked/>
    <w:uiPriority w:val="0"/>
    <w:pPr>
      <w:ind w:firstLine="420"/>
    </w:pPr>
  </w:style>
  <w:style w:type="paragraph" w:styleId="8">
    <w:name w:val="annotation text"/>
    <w:basedOn w:val="1"/>
    <w:next w:val="9"/>
    <w:link w:val="43"/>
    <w:autoRedefine/>
    <w:semiHidden/>
    <w:qFormat/>
    <w:uiPriority w:val="0"/>
    <w:pPr>
      <w:jc w:val="left"/>
    </w:pPr>
    <w:rPr>
      <w:kern w:val="0"/>
      <w:sz w:val="24"/>
      <w:szCs w:val="20"/>
    </w:rPr>
  </w:style>
  <w:style w:type="paragraph" w:styleId="9">
    <w:name w:val="toc 5"/>
    <w:basedOn w:val="1"/>
    <w:next w:val="1"/>
    <w:autoRedefine/>
    <w:qFormat/>
    <w:locked/>
    <w:uiPriority w:val="0"/>
    <w:pPr>
      <w:ind w:left="1680"/>
    </w:pPr>
  </w:style>
  <w:style w:type="paragraph" w:styleId="10">
    <w:name w:val="Body Text Indent"/>
    <w:basedOn w:val="1"/>
    <w:next w:val="11"/>
    <w:link w:val="44"/>
    <w:autoRedefine/>
    <w:qFormat/>
    <w:uiPriority w:val="0"/>
    <w:pPr>
      <w:spacing w:after="120"/>
      <w:ind w:left="420" w:leftChars="200"/>
    </w:pPr>
    <w:rPr>
      <w:kern w:val="0"/>
      <w:sz w:val="24"/>
      <w:szCs w:val="20"/>
    </w:rPr>
  </w:style>
  <w:style w:type="paragraph" w:styleId="11">
    <w:name w:val="Body Text Indent 2"/>
    <w:basedOn w:val="1"/>
    <w:next w:val="12"/>
    <w:autoRedefine/>
    <w:qFormat/>
    <w:locked/>
    <w:uiPriority w:val="0"/>
    <w:pPr>
      <w:spacing w:line="400" w:lineRule="exact"/>
      <w:ind w:firstLine="480" w:firstLineChars="200"/>
    </w:pPr>
    <w:rPr>
      <w:rFonts w:ascii="Times New Roman" w:hAnsi="Times New Roman" w:eastAsia="宋体" w:cs="Times New Roman"/>
      <w:sz w:val="24"/>
    </w:rPr>
  </w:style>
  <w:style w:type="paragraph" w:styleId="12">
    <w:name w:val="Body Text First Indent 2"/>
    <w:basedOn w:val="10"/>
    <w:next w:val="1"/>
    <w:autoRedefine/>
    <w:qFormat/>
    <w:locked/>
    <w:uiPriority w:val="0"/>
    <w:pPr>
      <w:ind w:firstLine="420" w:firstLineChars="200"/>
    </w:pPr>
    <w:rPr>
      <w:kern w:val="2"/>
      <w:sz w:val="21"/>
      <w:szCs w:val="24"/>
    </w:rPr>
  </w:style>
  <w:style w:type="paragraph" w:styleId="13">
    <w:name w:val="Block Text"/>
    <w:basedOn w:val="1"/>
    <w:next w:val="1"/>
    <w:autoRedefine/>
    <w:qFormat/>
    <w:locked/>
    <w:uiPriority w:val="0"/>
    <w:pPr>
      <w:ind w:left="113" w:right="113" w:firstLine="555"/>
      <w:jc w:val="left"/>
    </w:pPr>
    <w:rPr>
      <w:sz w:val="28"/>
    </w:rPr>
  </w:style>
  <w:style w:type="paragraph" w:styleId="14">
    <w:name w:val="Plain Text"/>
    <w:basedOn w:val="1"/>
    <w:autoRedefine/>
    <w:qFormat/>
    <w:locked/>
    <w:uiPriority w:val="0"/>
    <w:rPr>
      <w:rFonts w:ascii="宋体" w:hAnsi="Courier New" w:eastAsia="宋体" w:cs="Courier New"/>
      <w:kern w:val="2"/>
      <w:sz w:val="21"/>
      <w:szCs w:val="21"/>
      <w:lang w:val="en-US" w:eastAsia="zh-CN" w:bidi="ar-SA"/>
    </w:rPr>
  </w:style>
  <w:style w:type="paragraph" w:styleId="15">
    <w:name w:val="Date"/>
    <w:basedOn w:val="1"/>
    <w:next w:val="1"/>
    <w:link w:val="45"/>
    <w:autoRedefine/>
    <w:qFormat/>
    <w:uiPriority w:val="0"/>
    <w:pPr>
      <w:ind w:left="100" w:leftChars="2500"/>
    </w:pPr>
    <w:rPr>
      <w:kern w:val="0"/>
      <w:sz w:val="24"/>
      <w:szCs w:val="20"/>
    </w:rPr>
  </w:style>
  <w:style w:type="paragraph" w:styleId="16">
    <w:name w:val="Balloon Text"/>
    <w:basedOn w:val="1"/>
    <w:link w:val="46"/>
    <w:autoRedefine/>
    <w:semiHidden/>
    <w:qFormat/>
    <w:uiPriority w:val="0"/>
    <w:rPr>
      <w:kern w:val="0"/>
      <w:sz w:val="18"/>
      <w:szCs w:val="20"/>
    </w:rPr>
  </w:style>
  <w:style w:type="paragraph" w:styleId="17">
    <w:name w:val="footer"/>
    <w:basedOn w:val="1"/>
    <w:link w:val="47"/>
    <w:autoRedefine/>
    <w:qFormat/>
    <w:uiPriority w:val="99"/>
    <w:pPr>
      <w:tabs>
        <w:tab w:val="center" w:pos="4153"/>
        <w:tab w:val="right" w:pos="8306"/>
      </w:tabs>
      <w:snapToGrid w:val="0"/>
      <w:jc w:val="left"/>
    </w:pPr>
    <w:rPr>
      <w:kern w:val="0"/>
      <w:sz w:val="18"/>
      <w:szCs w:val="20"/>
    </w:rPr>
  </w:style>
  <w:style w:type="paragraph" w:styleId="18">
    <w:name w:val="header"/>
    <w:basedOn w:val="1"/>
    <w:next w:val="19"/>
    <w:link w:val="48"/>
    <w:autoRedefine/>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9">
    <w:name w:val="样式5"/>
    <w:basedOn w:val="2"/>
    <w:autoRedefine/>
    <w:unhideWhenUsed/>
    <w:qFormat/>
    <w:uiPriority w:val="0"/>
    <w:pPr>
      <w:spacing w:beforeLines="0" w:afterLines="0" w:line="380" w:lineRule="exact"/>
      <w:ind w:firstLine="566" w:firstLineChars="202"/>
    </w:pPr>
    <w:rPr>
      <w:rFonts w:hint="default" w:eastAsia="华文行楷"/>
      <w:sz w:val="28"/>
      <w:szCs w:val="24"/>
    </w:rPr>
  </w:style>
  <w:style w:type="paragraph" w:styleId="20">
    <w:name w:val="toc 1"/>
    <w:basedOn w:val="1"/>
    <w:next w:val="1"/>
    <w:autoRedefine/>
    <w:qFormat/>
    <w:locked/>
    <w:uiPriority w:val="0"/>
  </w:style>
  <w:style w:type="paragraph" w:styleId="21">
    <w:name w:val="List"/>
    <w:basedOn w:val="1"/>
    <w:next w:val="1"/>
    <w:autoRedefine/>
    <w:qFormat/>
    <w:locked/>
    <w:uiPriority w:val="0"/>
    <w:pPr>
      <w:widowControl w:val="0"/>
      <w:ind w:left="200" w:hanging="200" w:hangingChars="200"/>
      <w:jc w:val="both"/>
    </w:pPr>
    <w:rPr>
      <w:rFonts w:ascii="Times New Roman" w:hAnsi="Times New Roman" w:eastAsia="宋体" w:cs="Times New Roman"/>
      <w:kern w:val="2"/>
      <w:sz w:val="21"/>
      <w:lang w:val="en-US" w:eastAsia="zh-CN" w:bidi="ar-SA"/>
    </w:rPr>
  </w:style>
  <w:style w:type="paragraph" w:styleId="22">
    <w:name w:val="Body Text Indent 3"/>
    <w:basedOn w:val="1"/>
    <w:qFormat/>
    <w:locked/>
    <w:uiPriority w:val="0"/>
    <w:pPr>
      <w:spacing w:line="360" w:lineRule="auto"/>
      <w:ind w:firstLine="573"/>
    </w:pPr>
    <w:rPr>
      <w:rFonts w:ascii="宋体"/>
      <w:sz w:val="24"/>
    </w:rPr>
  </w:style>
  <w:style w:type="paragraph" w:styleId="23">
    <w:name w:val="toc 2"/>
    <w:basedOn w:val="1"/>
    <w:next w:val="1"/>
    <w:autoRedefine/>
    <w:unhideWhenUsed/>
    <w:qFormat/>
    <w:locked/>
    <w:uiPriority w:val="39"/>
    <w:pPr>
      <w:widowControl/>
      <w:ind w:left="420" w:leftChars="200"/>
      <w:jc w:val="left"/>
    </w:pPr>
    <w:rPr>
      <w:rFonts w:ascii="Calibri" w:hAnsi="Calibri"/>
      <w:sz w:val="24"/>
      <w:szCs w:val="22"/>
    </w:rPr>
  </w:style>
  <w:style w:type="paragraph" w:styleId="24">
    <w:name w:val="Body Text 2"/>
    <w:basedOn w:val="1"/>
    <w:next w:val="1"/>
    <w:autoRedefine/>
    <w:unhideWhenUsed/>
    <w:qFormat/>
    <w:locked/>
    <w:uiPriority w:val="0"/>
    <w:rPr>
      <w:sz w:val="24"/>
    </w:rPr>
  </w:style>
  <w:style w:type="paragraph" w:styleId="25">
    <w:name w:val="Message Header"/>
    <w:basedOn w:val="1"/>
    <w:autoRedefine/>
    <w:qFormat/>
    <w:locked/>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szCs w:val="24"/>
    </w:rPr>
  </w:style>
  <w:style w:type="paragraph" w:styleId="26">
    <w:name w:val="Normal (Web)"/>
    <w:basedOn w:val="1"/>
    <w:link w:val="49"/>
    <w:autoRedefine/>
    <w:qFormat/>
    <w:uiPriority w:val="0"/>
    <w:pPr>
      <w:widowControl/>
      <w:spacing w:before="100" w:beforeAutospacing="1" w:after="100" w:afterAutospacing="1"/>
      <w:jc w:val="left"/>
    </w:pPr>
    <w:rPr>
      <w:rFonts w:ascii="宋体" w:hAnsi="宋体"/>
      <w:kern w:val="0"/>
      <w:sz w:val="24"/>
      <w:szCs w:val="20"/>
    </w:rPr>
  </w:style>
  <w:style w:type="paragraph" w:styleId="27">
    <w:name w:val="Title"/>
    <w:basedOn w:val="1"/>
    <w:next w:val="4"/>
    <w:autoRedefine/>
    <w:qFormat/>
    <w:locked/>
    <w:uiPriority w:val="0"/>
    <w:pPr>
      <w:spacing w:before="240" w:after="60"/>
      <w:jc w:val="center"/>
      <w:outlineLvl w:val="0"/>
    </w:pPr>
    <w:rPr>
      <w:rFonts w:ascii="等线 Light" w:hAnsi="等线 Light"/>
      <w:b/>
      <w:bCs/>
      <w:sz w:val="32"/>
      <w:szCs w:val="32"/>
    </w:rPr>
  </w:style>
  <w:style w:type="paragraph" w:styleId="28">
    <w:name w:val="annotation subject"/>
    <w:basedOn w:val="8"/>
    <w:next w:val="8"/>
    <w:link w:val="50"/>
    <w:autoRedefine/>
    <w:semiHidden/>
    <w:qFormat/>
    <w:uiPriority w:val="0"/>
    <w:rPr>
      <w:b/>
      <w:sz w:val="24"/>
      <w:szCs w:val="20"/>
    </w:rPr>
  </w:style>
  <w:style w:type="paragraph" w:styleId="29">
    <w:name w:val="Body Text First Indent"/>
    <w:basedOn w:val="2"/>
    <w:next w:val="1"/>
    <w:autoRedefine/>
    <w:qFormat/>
    <w:locked/>
    <w:uiPriority w:val="0"/>
    <w:pPr>
      <w:ind w:firstLine="420" w:firstLineChars="100"/>
    </w:pPr>
  </w:style>
  <w:style w:type="table" w:styleId="31">
    <w:name w:val="Table Grid"/>
    <w:basedOn w:val="30"/>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basedOn w:val="32"/>
    <w:qFormat/>
    <w:locked/>
    <w:uiPriority w:val="0"/>
    <w:rPr>
      <w:b/>
    </w:rPr>
  </w:style>
  <w:style w:type="character" w:styleId="34">
    <w:name w:val="page number"/>
    <w:autoRedefine/>
    <w:qFormat/>
    <w:locked/>
    <w:uiPriority w:val="0"/>
  </w:style>
  <w:style w:type="character" w:styleId="35">
    <w:name w:val="Hyperlink"/>
    <w:autoRedefine/>
    <w:qFormat/>
    <w:locked/>
    <w:uiPriority w:val="0"/>
    <w:rPr>
      <w:color w:val="0000FF"/>
      <w:u w:val="single"/>
    </w:rPr>
  </w:style>
  <w:style w:type="character" w:styleId="36">
    <w:name w:val="annotation reference"/>
    <w:basedOn w:val="32"/>
    <w:autoRedefine/>
    <w:semiHidden/>
    <w:qFormat/>
    <w:uiPriority w:val="0"/>
    <w:rPr>
      <w:sz w:val="21"/>
    </w:rPr>
  </w:style>
  <w:style w:type="paragraph" w:customStyle="1" w:styleId="37">
    <w:name w:val="Default"/>
    <w:basedOn w:val="38"/>
    <w:next w:val="21"/>
    <w:autoRedefine/>
    <w:qFormat/>
    <w:uiPriority w:val="0"/>
    <w:pPr>
      <w:widowControl w:val="0"/>
      <w:autoSpaceDE w:val="0"/>
      <w:autoSpaceDN w:val="0"/>
      <w:adjustRightInd w:val="0"/>
    </w:pPr>
    <w:rPr>
      <w:rFonts w:ascii="宋体" w:hAnsi="Calibri" w:eastAsia="宋体" w:cs="Times New Roman"/>
      <w:color w:val="000000"/>
      <w:sz w:val="24"/>
      <w:lang w:val="en-US" w:eastAsia="zh-CN" w:bidi="ar-SA"/>
    </w:rPr>
  </w:style>
  <w:style w:type="paragraph" w:customStyle="1" w:styleId="38">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9">
    <w:name w:val="正文文字1"/>
    <w:basedOn w:val="1"/>
    <w:autoRedefine/>
    <w:qFormat/>
    <w:uiPriority w:val="0"/>
    <w:pPr>
      <w:spacing w:line="360" w:lineRule="auto"/>
      <w:ind w:firstLine="200" w:firstLineChars="200"/>
    </w:pPr>
    <w:rPr>
      <w:rFonts w:eastAsia="仿宋_GB2312"/>
      <w:sz w:val="32"/>
      <w:szCs w:val="20"/>
    </w:rPr>
  </w:style>
  <w:style w:type="paragraph" w:customStyle="1" w:styleId="40">
    <w:name w:val="报告书正文"/>
    <w:basedOn w:val="11"/>
    <w:autoRedefine/>
    <w:qFormat/>
    <w:uiPriority w:val="0"/>
    <w:pPr>
      <w:adjustRightInd w:val="0"/>
      <w:snapToGrid w:val="0"/>
      <w:spacing w:line="360" w:lineRule="auto"/>
      <w:ind w:firstLine="425"/>
      <w:textAlignment w:val="baseline"/>
    </w:pPr>
    <w:rPr>
      <w:rFonts w:ascii="Arial" w:hAnsi="Arial" w:eastAsia="宋体" w:cs="Times New Roman"/>
    </w:rPr>
  </w:style>
  <w:style w:type="paragraph" w:customStyle="1" w:styleId="41">
    <w:name w:val="表格内"/>
    <w:basedOn w:val="1"/>
    <w:autoRedefine/>
    <w:qFormat/>
    <w:uiPriority w:val="0"/>
    <w:pPr>
      <w:adjustRightInd w:val="0"/>
      <w:snapToGrid w:val="0"/>
      <w:spacing w:line="360" w:lineRule="exact"/>
      <w:jc w:val="center"/>
    </w:pPr>
    <w:rPr>
      <w:rFonts w:ascii="Times New Roman" w:hAnsi="Times New Roman"/>
      <w:snapToGrid/>
      <w:kern w:val="0"/>
      <w:szCs w:val="21"/>
    </w:rPr>
  </w:style>
  <w:style w:type="character" w:customStyle="1" w:styleId="42">
    <w:name w:val="正文文本 字符"/>
    <w:link w:val="2"/>
    <w:autoRedefine/>
    <w:qFormat/>
    <w:locked/>
    <w:uiPriority w:val="0"/>
    <w:rPr>
      <w:sz w:val="18"/>
    </w:rPr>
  </w:style>
  <w:style w:type="character" w:customStyle="1" w:styleId="43">
    <w:name w:val="批注文字 字符"/>
    <w:link w:val="8"/>
    <w:autoRedefine/>
    <w:qFormat/>
    <w:locked/>
    <w:uiPriority w:val="0"/>
    <w:rPr>
      <w:rFonts w:ascii="Times New Roman" w:hAnsi="Times New Roman" w:eastAsia="宋体"/>
      <w:sz w:val="24"/>
    </w:rPr>
  </w:style>
  <w:style w:type="character" w:customStyle="1" w:styleId="44">
    <w:name w:val="正文文本缩进 字符"/>
    <w:link w:val="10"/>
    <w:autoRedefine/>
    <w:semiHidden/>
    <w:qFormat/>
    <w:locked/>
    <w:uiPriority w:val="0"/>
    <w:rPr>
      <w:rFonts w:ascii="Times New Roman" w:hAnsi="Times New Roman" w:eastAsia="宋体"/>
      <w:sz w:val="24"/>
    </w:rPr>
  </w:style>
  <w:style w:type="character" w:customStyle="1" w:styleId="45">
    <w:name w:val="日期 字符1"/>
    <w:link w:val="15"/>
    <w:autoRedefine/>
    <w:qFormat/>
    <w:locked/>
    <w:uiPriority w:val="0"/>
    <w:rPr>
      <w:rFonts w:ascii="Times New Roman" w:hAnsi="Times New Roman" w:eastAsia="宋体"/>
      <w:sz w:val="24"/>
    </w:rPr>
  </w:style>
  <w:style w:type="character" w:customStyle="1" w:styleId="46">
    <w:name w:val="批注框文本 字符"/>
    <w:link w:val="16"/>
    <w:autoRedefine/>
    <w:semiHidden/>
    <w:qFormat/>
    <w:locked/>
    <w:uiPriority w:val="0"/>
    <w:rPr>
      <w:rFonts w:ascii="Times New Roman" w:hAnsi="Times New Roman" w:eastAsia="宋体"/>
      <w:sz w:val="18"/>
    </w:rPr>
  </w:style>
  <w:style w:type="character" w:customStyle="1" w:styleId="47">
    <w:name w:val="页脚 字符1"/>
    <w:link w:val="17"/>
    <w:autoRedefine/>
    <w:qFormat/>
    <w:locked/>
    <w:uiPriority w:val="99"/>
    <w:rPr>
      <w:sz w:val="18"/>
    </w:rPr>
  </w:style>
  <w:style w:type="character" w:customStyle="1" w:styleId="48">
    <w:name w:val="页眉 字符"/>
    <w:link w:val="18"/>
    <w:autoRedefine/>
    <w:qFormat/>
    <w:locked/>
    <w:uiPriority w:val="0"/>
    <w:rPr>
      <w:sz w:val="18"/>
    </w:rPr>
  </w:style>
  <w:style w:type="character" w:customStyle="1" w:styleId="49">
    <w:name w:val="普通(网站) 字符"/>
    <w:link w:val="26"/>
    <w:autoRedefine/>
    <w:qFormat/>
    <w:locked/>
    <w:uiPriority w:val="0"/>
    <w:rPr>
      <w:rFonts w:ascii="宋体" w:hAnsi="宋体" w:eastAsia="宋体"/>
      <w:sz w:val="24"/>
    </w:rPr>
  </w:style>
  <w:style w:type="character" w:customStyle="1" w:styleId="50">
    <w:name w:val="批注主题 字符"/>
    <w:link w:val="28"/>
    <w:autoRedefine/>
    <w:semiHidden/>
    <w:qFormat/>
    <w:locked/>
    <w:uiPriority w:val="0"/>
    <w:rPr>
      <w:rFonts w:ascii="Times New Roman" w:hAnsi="Times New Roman" w:eastAsia="宋体"/>
      <w:b/>
      <w:kern w:val="2"/>
      <w:sz w:val="24"/>
    </w:rPr>
  </w:style>
  <w:style w:type="paragraph" w:customStyle="1" w:styleId="51">
    <w:name w:val="Normal (Web)1"/>
    <w:basedOn w:val="1"/>
    <w:next w:val="52"/>
    <w:autoRedefine/>
    <w:qFormat/>
    <w:uiPriority w:val="0"/>
    <w:pPr>
      <w:widowControl/>
    </w:pPr>
    <w:rPr>
      <w:rFonts w:ascii="宋体" w:eastAsia="宋体" w:cs="Times New Roman"/>
      <w:sz w:val="24"/>
      <w:szCs w:val="21"/>
    </w:rPr>
  </w:style>
  <w:style w:type="paragraph" w:customStyle="1" w:styleId="52">
    <w:name w:val="Date1"/>
    <w:basedOn w:val="1"/>
    <w:next w:val="1"/>
    <w:autoRedefine/>
    <w:qFormat/>
    <w:uiPriority w:val="0"/>
    <w:pPr>
      <w:ind w:left="2500" w:leftChars="2500"/>
    </w:pPr>
  </w:style>
  <w:style w:type="paragraph" w:customStyle="1" w:styleId="53">
    <w:name w:val="0正文"/>
    <w:basedOn w:val="10"/>
    <w:autoRedefine/>
    <w:qFormat/>
    <w:uiPriority w:val="0"/>
    <w:pPr>
      <w:spacing w:line="300" w:lineRule="auto"/>
    </w:pPr>
    <w:rPr>
      <w:rFonts w:ascii="Times New Roman" w:hAnsi="Times New Roman" w:cs="宋体"/>
      <w:color w:val="auto"/>
      <w:kern w:val="0"/>
    </w:rPr>
  </w:style>
  <w:style w:type="character" w:customStyle="1" w:styleId="54">
    <w:name w:val="页脚 字符"/>
    <w:autoRedefine/>
    <w:qFormat/>
    <w:uiPriority w:val="99"/>
  </w:style>
  <w:style w:type="character" w:customStyle="1" w:styleId="55">
    <w:name w:val="正文文本 字符1"/>
    <w:semiHidden/>
    <w:qFormat/>
    <w:uiPriority w:val="0"/>
    <w:rPr>
      <w:rFonts w:ascii="Times New Roman" w:hAnsi="Times New Roman" w:eastAsia="宋体"/>
      <w:sz w:val="24"/>
    </w:rPr>
  </w:style>
  <w:style w:type="character" w:customStyle="1" w:styleId="56">
    <w:name w:val="表格 Char"/>
    <w:link w:val="57"/>
    <w:autoRedefine/>
    <w:qFormat/>
    <w:locked/>
    <w:uiPriority w:val="0"/>
    <w:rPr>
      <w:rFonts w:ascii="宋体"/>
      <w:sz w:val="21"/>
    </w:rPr>
  </w:style>
  <w:style w:type="paragraph" w:customStyle="1" w:styleId="57">
    <w:name w:val="表格"/>
    <w:basedOn w:val="58"/>
    <w:next w:val="1"/>
    <w:link w:val="56"/>
    <w:autoRedefine/>
    <w:qFormat/>
    <w:uiPriority w:val="0"/>
    <w:pPr>
      <w:adjustRightInd w:val="0"/>
      <w:snapToGrid w:val="0"/>
      <w:spacing w:beforeLines="10" w:afterLines="10" w:line="259" w:lineRule="auto"/>
      <w:jc w:val="center"/>
    </w:pPr>
    <w:rPr>
      <w:rFonts w:ascii="宋体"/>
      <w:kern w:val="0"/>
      <w:szCs w:val="20"/>
    </w:rPr>
  </w:style>
  <w:style w:type="paragraph" w:customStyle="1" w:styleId="58">
    <w:name w:val="Normal Indent"/>
    <w:basedOn w:val="1"/>
    <w:autoRedefine/>
    <w:qFormat/>
    <w:uiPriority w:val="0"/>
    <w:pPr>
      <w:ind w:firstLine="420"/>
    </w:pPr>
  </w:style>
  <w:style w:type="character" w:customStyle="1" w:styleId="59">
    <w:name w:val="日期 字符"/>
    <w:autoRedefine/>
    <w:semiHidden/>
    <w:qFormat/>
    <w:uiPriority w:val="0"/>
    <w:rPr>
      <w:rFonts w:ascii="Times New Roman" w:hAnsi="Times New Roman" w:eastAsia="宋体"/>
      <w:sz w:val="24"/>
    </w:rPr>
  </w:style>
  <w:style w:type="character" w:customStyle="1" w:styleId="60">
    <w:name w:val="批注文字 字符1"/>
    <w:autoRedefine/>
    <w:semiHidden/>
    <w:qFormat/>
    <w:uiPriority w:val="0"/>
    <w:rPr>
      <w:rFonts w:ascii="Times New Roman" w:hAnsi="Times New Roman" w:eastAsia="宋体"/>
      <w:sz w:val="24"/>
    </w:rPr>
  </w:style>
  <w:style w:type="paragraph" w:customStyle="1" w:styleId="61">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2">
    <w:name w:val="普通(网站)2"/>
    <w:basedOn w:val="1"/>
    <w:autoRedefine/>
    <w:qFormat/>
    <w:uiPriority w:val="0"/>
    <w:pPr>
      <w:widowControl/>
      <w:spacing w:before="100" w:beforeAutospacing="1" w:after="100" w:afterAutospacing="1"/>
      <w:jc w:val="left"/>
    </w:pPr>
    <w:rPr>
      <w:rFonts w:ascii="宋体" w:hAnsi="宋体"/>
      <w:sz w:val="24"/>
      <w:szCs w:val="20"/>
    </w:rPr>
  </w:style>
  <w:style w:type="table" w:customStyle="1" w:styleId="63">
    <w:name w:val="Table Normal"/>
    <w:autoRedefine/>
    <w:unhideWhenUsed/>
    <w:qFormat/>
    <w:uiPriority w:val="0"/>
    <w:rPr>
      <w:lang w:val="en-US" w:eastAsia="zh-CN" w:bidi="ar-SA"/>
    </w:rPr>
    <w:tblPr>
      <w:tblCellMar>
        <w:top w:w="0" w:type="dxa"/>
        <w:left w:w="0" w:type="dxa"/>
        <w:bottom w:w="0" w:type="dxa"/>
        <w:right w:w="0" w:type="dxa"/>
      </w:tblCellMar>
    </w:tblPr>
  </w:style>
  <w:style w:type="paragraph" w:customStyle="1" w:styleId="64">
    <w:name w:val="报告表内正文"/>
    <w:autoRedefine/>
    <w:qFormat/>
    <w:uiPriority w:val="0"/>
    <w:pPr>
      <w:ind w:firstLine="640" w:firstLineChars="200"/>
    </w:pPr>
    <w:rPr>
      <w:rFonts w:ascii="Calibri" w:hAnsi="Calibri" w:eastAsia="Calibri" w:cs="Times New Roman"/>
      <w:sz w:val="28"/>
      <w:szCs w:val="22"/>
      <w:lang w:val="en-US" w:eastAsia="zh-CN" w:bidi="ar-SA"/>
    </w:rPr>
  </w:style>
  <w:style w:type="paragraph" w:customStyle="1" w:styleId="65">
    <w:name w:val="正文(首行缩进)"/>
    <w:basedOn w:val="7"/>
    <w:autoRedefine/>
    <w:qFormat/>
    <w:uiPriority w:val="0"/>
    <w:pPr>
      <w:spacing w:line="360" w:lineRule="auto"/>
      <w:ind w:firstLine="540" w:firstLineChars="225"/>
    </w:pPr>
    <w:rPr>
      <w:snapToGrid w:val="0"/>
      <w:color w:val="000000"/>
      <w:kern w:val="0"/>
      <w:sz w:val="24"/>
    </w:rPr>
  </w:style>
  <w:style w:type="paragraph" w:customStyle="1" w:styleId="66">
    <w:name w:val="【表中文字】"/>
    <w:basedOn w:val="1"/>
    <w:autoRedefine/>
    <w:qFormat/>
    <w:uiPriority w:val="0"/>
    <w:pPr>
      <w:widowControl/>
      <w:jc w:val="center"/>
    </w:pPr>
    <w:rPr>
      <w:rFonts w:ascii="Calibri" w:hAnsi="Calibri" w:eastAsia="宋体" w:cs="Times New Roman"/>
      <w:szCs w:val="22"/>
    </w:rPr>
  </w:style>
  <w:style w:type="paragraph" w:customStyle="1" w:styleId="67">
    <w:name w:val="正文1"/>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68">
    <w:name w:val="xl27"/>
    <w:basedOn w:val="1"/>
    <w:next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69">
    <w:name w:val="【表头】"/>
    <w:basedOn w:val="1"/>
    <w:autoRedefine/>
    <w:qFormat/>
    <w:uiPriority w:val="0"/>
    <w:pPr>
      <w:spacing w:line="460" w:lineRule="exact"/>
      <w:jc w:val="center"/>
    </w:pPr>
    <w:rPr>
      <w:rFonts w:ascii="Times New Roman" w:hAnsi="Times New Roman" w:eastAsia="黑体"/>
      <w:kern w:val="0"/>
      <w:sz w:val="24"/>
      <w:szCs w:val="20"/>
    </w:rPr>
  </w:style>
  <w:style w:type="paragraph" w:customStyle="1" w:styleId="70">
    <w:name w:val="表格内容"/>
    <w:basedOn w:val="1"/>
    <w:qFormat/>
    <w:uiPriority w:val="0"/>
    <w:pPr>
      <w:jc w:val="center"/>
    </w:pPr>
    <w:rPr>
      <w:rFonts w:cs="宋体"/>
      <w:szCs w:val="20"/>
    </w:rPr>
  </w:style>
  <w:style w:type="paragraph" w:customStyle="1" w:styleId="71">
    <w:name w:val="【正文】"/>
    <w:basedOn w:val="1"/>
    <w:next w:val="25"/>
    <w:autoRedefine/>
    <w:qFormat/>
    <w:uiPriority w:val="0"/>
    <w:pPr>
      <w:spacing w:line="360" w:lineRule="auto"/>
      <w:ind w:firstLine="480" w:firstLineChars="200"/>
    </w:pPr>
    <w:rPr>
      <w:sz w:val="24"/>
    </w:rPr>
  </w:style>
  <w:style w:type="paragraph" w:customStyle="1" w:styleId="72">
    <w:name w:val="a正文"/>
    <w:basedOn w:val="73"/>
    <w:autoRedefine/>
    <w:qFormat/>
    <w:uiPriority w:val="0"/>
    <w:pPr>
      <w:spacing w:line="520" w:lineRule="exact"/>
      <w:ind w:firstLine="561"/>
    </w:pPr>
    <w:rPr>
      <w:sz w:val="28"/>
      <w:szCs w:val="20"/>
    </w:rPr>
  </w:style>
  <w:style w:type="paragraph" w:customStyle="1" w:styleId="73">
    <w:name w:val="正文格式"/>
    <w:basedOn w:val="1"/>
    <w:autoRedefine/>
    <w:qFormat/>
    <w:uiPriority w:val="0"/>
    <w:pPr>
      <w:spacing w:line="360" w:lineRule="auto"/>
      <w:ind w:firstLine="420" w:firstLineChars="200"/>
    </w:pPr>
    <w:rPr>
      <w:kern w:val="0"/>
      <w:szCs w:val="21"/>
    </w:rPr>
  </w:style>
  <w:style w:type="paragraph" w:customStyle="1" w:styleId="74">
    <w:name w:val="正文缩进1"/>
    <w:basedOn w:val="1"/>
    <w:autoRedefine/>
    <w:qFormat/>
    <w:uiPriority w:val="0"/>
    <w:pPr>
      <w:spacing w:line="520" w:lineRule="exact"/>
      <w:ind w:firstLine="624"/>
    </w:pPr>
    <w:rPr>
      <w:sz w:val="28"/>
    </w:rPr>
  </w:style>
  <w:style w:type="paragraph" w:customStyle="1" w:styleId="75">
    <w:name w:val="表格中文字"/>
    <w:basedOn w:val="76"/>
    <w:autoRedefine/>
    <w:qFormat/>
    <w:uiPriority w:val="0"/>
    <w:pPr>
      <w:spacing w:line="360" w:lineRule="exact"/>
      <w:ind w:firstLine="0" w:firstLineChars="0"/>
      <w:jc w:val="center"/>
    </w:pPr>
    <w:rPr>
      <w:rFonts w:ascii="宋体" w:hAnsi="宋体" w:eastAsia="宋体"/>
      <w:sz w:val="21"/>
      <w:szCs w:val="21"/>
    </w:rPr>
  </w:style>
  <w:style w:type="paragraph" w:customStyle="1" w:styleId="76">
    <w:name w:val="填表正文"/>
    <w:basedOn w:val="1"/>
    <w:autoRedefine/>
    <w:qFormat/>
    <w:uiPriority w:val="0"/>
    <w:pPr>
      <w:adjustRightInd w:val="0"/>
      <w:snapToGrid w:val="0"/>
      <w:jc w:val="center"/>
    </w:pPr>
    <w:rPr>
      <w:rFonts w:ascii="宋体" w:hAnsi="Calibri"/>
      <w:color w:val="000000"/>
      <w:kern w:val="0"/>
      <w:szCs w:val="44"/>
    </w:rPr>
  </w:style>
  <w:style w:type="paragraph" w:customStyle="1" w:styleId="77">
    <w:name w:val="样式1"/>
    <w:basedOn w:val="1"/>
    <w:autoRedefine/>
    <w:qFormat/>
    <w:uiPriority w:val="0"/>
    <w:pPr>
      <w:widowControl/>
      <w:spacing w:line="360" w:lineRule="auto"/>
      <w:ind w:firstLine="200" w:firstLineChars="200"/>
      <w:jc w:val="left"/>
    </w:pPr>
    <w:rPr>
      <w:rFonts w:ascii="宋体" w:hAnsi="宋体" w:eastAsia="宋体"/>
      <w:bCs/>
      <w:kern w:val="0"/>
      <w:sz w:val="24"/>
      <w:szCs w:val="20"/>
    </w:rPr>
  </w:style>
  <w:style w:type="paragraph" w:customStyle="1" w:styleId="78">
    <w:name w:val="样式2"/>
    <w:basedOn w:val="1"/>
    <w:autoRedefine/>
    <w:qFormat/>
    <w:uiPriority w:val="0"/>
    <w:pPr>
      <w:adjustRightInd w:val="0"/>
      <w:spacing w:line="360" w:lineRule="auto"/>
      <w:jc w:val="left"/>
      <w:textAlignment w:val="baseline"/>
    </w:pPr>
    <w:rPr>
      <w:rFonts w:ascii="Times New Roman" w:hAnsi="Times New Roman" w:eastAsia="宋体"/>
      <w:b/>
      <w:kern w:val="0"/>
      <w:sz w:val="24"/>
      <w:szCs w:val="20"/>
    </w:rPr>
  </w:style>
  <w:style w:type="paragraph" w:customStyle="1" w:styleId="79">
    <w:name w:val="p0"/>
    <w:basedOn w:val="1"/>
    <w:autoRedefine/>
    <w:qFormat/>
    <w:uiPriority w:val="0"/>
    <w:pPr>
      <w:widowControl/>
    </w:pPr>
    <w:rPr>
      <w:kern w:val="0"/>
      <w:szCs w:val="21"/>
    </w:rPr>
  </w:style>
  <w:style w:type="paragraph" w:customStyle="1" w:styleId="80">
    <w:name w:val="11111"/>
    <w:basedOn w:val="1"/>
    <w:next w:val="1"/>
    <w:autoRedefine/>
    <w:qFormat/>
    <w:uiPriority w:val="0"/>
    <w:pPr>
      <w:spacing w:line="360" w:lineRule="auto"/>
      <w:ind w:firstLine="200" w:firstLineChars="200"/>
    </w:pPr>
    <w:rPr>
      <w:rFonts w:hAnsi="宋体" w:cs="宋体"/>
    </w:rPr>
  </w:style>
  <w:style w:type="paragraph" w:customStyle="1" w:styleId="81">
    <w:name w:val="标题 段落4级"/>
    <w:autoRedefine/>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82">
    <w:name w:val="表中文字（工大）"/>
    <w:basedOn w:val="1"/>
    <w:autoRedefine/>
    <w:qFormat/>
    <w:uiPriority w:val="0"/>
    <w:pPr>
      <w:spacing w:line="440" w:lineRule="exact"/>
      <w:ind w:firstLine="0" w:firstLineChars="0"/>
      <w:jc w:val="center"/>
    </w:pPr>
    <w:rPr>
      <w:sz w:val="21"/>
      <w:szCs w:val="20"/>
    </w:rPr>
  </w:style>
  <w:style w:type="paragraph" w:customStyle="1" w:styleId="83">
    <w:name w:val="_Style 4"/>
    <w:autoRedefine/>
    <w:qFormat/>
    <w:uiPriority w:val="1"/>
    <w:pPr>
      <w:widowControl w:val="0"/>
      <w:spacing w:line="440" w:lineRule="exact"/>
      <w:jc w:val="both"/>
    </w:pPr>
    <w:rPr>
      <w:rFonts w:ascii="Times New Roman" w:hAnsi="Times New Roman" w:eastAsia="仿宋_GB2312" w:cs="Times New Roman"/>
      <w:kern w:val="2"/>
      <w:sz w:val="24"/>
      <w:szCs w:val="24"/>
      <w:lang w:val="en-US" w:eastAsia="zh-CN" w:bidi="ar-SA"/>
    </w:rPr>
  </w:style>
  <w:style w:type="paragraph" w:customStyle="1" w:styleId="84">
    <w:name w:val="正文----------------"/>
    <w:basedOn w:val="1"/>
    <w:autoRedefine/>
    <w:qFormat/>
    <w:uiPriority w:val="0"/>
    <w:pPr>
      <w:spacing w:line="440" w:lineRule="exact"/>
      <w:ind w:firstLine="544" w:firstLineChars="200"/>
    </w:pPr>
    <w:rPr>
      <w:rFonts w:cs="宋体"/>
      <w:spacing w:val="16"/>
      <w:sz w:val="24"/>
    </w:rPr>
  </w:style>
  <w:style w:type="paragraph" w:customStyle="1" w:styleId="85">
    <w:name w:val="内容"/>
    <w:basedOn w:val="1"/>
    <w:autoRedefine/>
    <w:qFormat/>
    <w:uiPriority w:val="0"/>
    <w:pPr>
      <w:spacing w:before="156" w:beforeLines="50" w:after="156" w:afterLines="50"/>
      <w:ind w:firstLine="200" w:firstLineChars="200"/>
    </w:pPr>
    <w:rPr>
      <w:rFonts w:cs="Times New Roman"/>
      <w:color w:val="000000"/>
      <w:sz w:val="24"/>
    </w:rPr>
  </w:style>
  <w:style w:type="paragraph" w:customStyle="1" w:styleId="86">
    <w:name w:val="Table Paragraph"/>
    <w:basedOn w:val="1"/>
    <w:autoRedefine/>
    <w:unhideWhenUsed/>
    <w:qFormat/>
    <w:uiPriority w:val="1"/>
    <w:rPr>
      <w:sz w:val="24"/>
    </w:rPr>
  </w:style>
  <w:style w:type="paragraph" w:customStyle="1" w:styleId="87">
    <w:name w:val="样式3"/>
    <w:basedOn w:val="1"/>
    <w:autoRedefine/>
    <w:qFormat/>
    <w:uiPriority w:val="0"/>
    <w:pPr>
      <w:adjustRightInd w:val="0"/>
      <w:snapToGrid w:val="0"/>
      <w:spacing w:before="10" w:beforeLines="10" w:after="10" w:afterLines="10" w:line="240" w:lineRule="auto"/>
      <w:ind w:firstLine="0" w:firstLineChars="0"/>
      <w:jc w:val="center"/>
    </w:pPr>
    <w:rPr>
      <w:rFonts w:ascii="宋体" w:hAnsi="宋体" w:eastAsia="宋体"/>
    </w:rPr>
  </w:style>
  <w:style w:type="paragraph" w:customStyle="1" w:styleId="88">
    <w:name w:val="表格填充项"/>
    <w:basedOn w:val="1"/>
    <w:autoRedefine/>
    <w:qFormat/>
    <w:uiPriority w:val="0"/>
    <w:pPr>
      <w:spacing w:line="240" w:lineRule="atLeast"/>
      <w:jc w:val="center"/>
    </w:pPr>
    <w:rPr>
      <w:rFonts w:ascii="宋体" w:hAnsi="宋体"/>
      <w:b/>
    </w:rPr>
  </w:style>
  <w:style w:type="paragraph" w:customStyle="1" w:styleId="89">
    <w:name w:val="环评正文"/>
    <w:basedOn w:val="1"/>
    <w:autoRedefine/>
    <w:qFormat/>
    <w:uiPriority w:val="0"/>
    <w:pPr>
      <w:spacing w:line="360" w:lineRule="auto"/>
      <w:ind w:firstLine="200" w:firstLineChars="200"/>
    </w:pPr>
    <w:rPr>
      <w:rFonts w:ascii="Cambria Math" w:hAnsi="Cambria Math" w:eastAsia="Arial" w:cs="Cambria Math"/>
      <w:sz w:val="24"/>
      <w:szCs w:val="24"/>
    </w:rPr>
  </w:style>
  <w:style w:type="paragraph" w:customStyle="1" w:styleId="90">
    <w:name w:val="WPSOffice手动目录 1"/>
    <w:autoRedefine/>
    <w:qFormat/>
    <w:uiPriority w:val="0"/>
    <w:rPr>
      <w:rFonts w:ascii="Times New Roman" w:hAnsi="Times New Roman" w:eastAsia="宋体" w:cs="Times New Roman"/>
      <w:lang w:val="en-US" w:eastAsia="zh-CN" w:bidi="ar-SA"/>
    </w:rPr>
  </w:style>
  <w:style w:type="paragraph" w:customStyle="1" w:styleId="91">
    <w:name w:val="报告正文"/>
    <w:basedOn w:val="1"/>
    <w:autoRedefine/>
    <w:qFormat/>
    <w:uiPriority w:val="0"/>
    <w:pPr>
      <w:adjustRightInd w:val="0"/>
      <w:snapToGrid w:val="0"/>
      <w:spacing w:line="360" w:lineRule="auto"/>
      <w:ind w:firstLine="200" w:firstLineChars="200"/>
    </w:pPr>
    <w:rPr>
      <w:sz w:val="24"/>
      <w:szCs w:val="20"/>
    </w:rPr>
  </w:style>
  <w:style w:type="paragraph" w:customStyle="1" w:styleId="92">
    <w:name w:val="0图表名"/>
    <w:basedOn w:val="1"/>
    <w:autoRedefine/>
    <w:qFormat/>
    <w:uiPriority w:val="0"/>
    <w:pPr>
      <w:jc w:val="center"/>
    </w:pPr>
    <w:rPr>
      <w:rFonts w:eastAsia="黑体"/>
      <w:kern w:val="24"/>
      <w:sz w:val="20"/>
      <w:szCs w:val="21"/>
    </w:rPr>
  </w:style>
  <w:style w:type="paragraph" w:customStyle="1" w:styleId="93">
    <w:name w:val="表格无缩进"/>
    <w:basedOn w:val="1"/>
    <w:autoRedefine/>
    <w:qFormat/>
    <w:uiPriority w:val="0"/>
    <w:pPr>
      <w:ind w:firstLine="0" w:firstLineChars="0"/>
      <w:jc w:val="left"/>
    </w:pPr>
    <w:rPr>
      <w:sz w:val="24"/>
    </w:rPr>
  </w:style>
  <w:style w:type="paragraph" w:customStyle="1" w:styleId="94">
    <w:name w:val="图表标题"/>
    <w:basedOn w:val="1"/>
    <w:next w:val="1"/>
    <w:autoRedefine/>
    <w:qFormat/>
    <w:uiPriority w:val="0"/>
    <w:pPr>
      <w:widowControl/>
      <w:jc w:val="center"/>
    </w:pPr>
    <w:rPr>
      <w:rFonts w:ascii="Calibri" w:hAnsi="Calibri" w:eastAsia="黑体" w:cs="宋体"/>
      <w:kern w:val="0"/>
      <w:szCs w:val="21"/>
    </w:rPr>
  </w:style>
  <w:style w:type="paragraph" w:customStyle="1" w:styleId="95">
    <w:name w:val="Tab正文"/>
    <w:basedOn w:val="1"/>
    <w:autoRedefine/>
    <w:qFormat/>
    <w:uiPriority w:val="0"/>
    <w:pPr>
      <w:jc w:val="center"/>
    </w:pPr>
    <w:rPr>
      <w:szCs w:val="21"/>
    </w:rPr>
  </w:style>
  <w:style w:type="character" w:customStyle="1" w:styleId="96">
    <w:name w:val="【表中文字】 Char"/>
    <w:autoRedefine/>
    <w:qFormat/>
    <w:uiPriority w:val="0"/>
    <w:rPr>
      <w:rFonts w:hint="default" w:ascii="Times New Roman" w:hAnsi="Times New Roman" w:cs="Times New Roman"/>
      <w:kern w:val="2"/>
      <w:sz w:val="21"/>
    </w:rPr>
  </w:style>
  <w:style w:type="paragraph" w:customStyle="1" w:styleId="97">
    <w:name w:val="雪表头"/>
    <w:basedOn w:val="1"/>
    <w:autoRedefine/>
    <w:qFormat/>
    <w:uiPriority w:val="0"/>
    <w:pPr>
      <w:keepNext/>
      <w:spacing w:line="500" w:lineRule="exact"/>
      <w:ind w:firstLine="720" w:firstLineChars="200"/>
      <w:jc w:val="center"/>
    </w:pPr>
    <w:rPr>
      <w:rFonts w:eastAsia="黑体"/>
      <w:sz w:val="24"/>
    </w:rPr>
  </w:style>
  <w:style w:type="character" w:customStyle="1" w:styleId="98">
    <w:name w:val="【图号】"/>
    <w:autoRedefine/>
    <w:qFormat/>
    <w:uiPriority w:val="0"/>
    <w:rPr>
      <w:b/>
      <w:sz w:val="21"/>
    </w:rPr>
  </w:style>
  <w:style w:type="paragraph" w:customStyle="1" w:styleId="99">
    <w:name w:val="雪表文"/>
    <w:basedOn w:val="1"/>
    <w:autoRedefine/>
    <w:qFormat/>
    <w:uiPriority w:val="0"/>
    <w:pPr>
      <w:spacing w:line="360" w:lineRule="exact"/>
      <w:jc w:val="center"/>
      <w:textAlignment w:val="center"/>
    </w:pPr>
    <w:rPr>
      <w:bCs/>
      <w:iCs/>
      <w:szCs w:val="28"/>
    </w:rPr>
  </w:style>
  <w:style w:type="paragraph" w:customStyle="1" w:styleId="100">
    <w:name w:val="正文内容g"/>
    <w:basedOn w:val="1"/>
    <w:next w:val="1"/>
    <w:autoRedefine/>
    <w:qFormat/>
    <w:uiPriority w:val="0"/>
    <w:pPr>
      <w:spacing w:line="460" w:lineRule="exact"/>
      <w:ind w:firstLine="720" w:firstLineChars="200"/>
    </w:pPr>
    <w:rPr>
      <w:kern w:val="0"/>
      <w:sz w:val="20"/>
      <w:szCs w:val="20"/>
    </w:rPr>
  </w:style>
  <w:style w:type="paragraph" w:customStyle="1" w:styleId="101">
    <w:name w:val="表格标题"/>
    <w:basedOn w:val="1"/>
    <w:next w:val="1"/>
    <w:autoRedefine/>
    <w:qFormat/>
    <w:uiPriority w:val="0"/>
    <w:pPr>
      <w:spacing w:line="440" w:lineRule="exact"/>
      <w:jc w:val="center"/>
    </w:pPr>
    <w:rPr>
      <w:kern w:val="0"/>
      <w:sz w:val="20"/>
      <w:szCs w:val="20"/>
    </w:rPr>
  </w:style>
  <w:style w:type="paragraph" w:customStyle="1" w:styleId="102">
    <w:name w:val="【华瑞正文】"/>
    <w:basedOn w:val="1"/>
    <w:autoRedefine/>
    <w:qFormat/>
    <w:uiPriority w:val="0"/>
    <w:pPr>
      <w:spacing w:line="520" w:lineRule="exact"/>
      <w:ind w:firstLine="200" w:firstLineChars="200"/>
    </w:pPr>
    <w:rPr>
      <w:rFonts w:ascii="宋体" w:hAnsi="宋体" w:cs="宋体"/>
      <w:sz w:val="24"/>
      <w:szCs w:val="20"/>
    </w:rPr>
  </w:style>
  <w:style w:type="paragraph" w:customStyle="1" w:styleId="103">
    <w:name w:val="Body text|1"/>
    <w:basedOn w:val="1"/>
    <w:autoRedefine/>
    <w:qFormat/>
    <w:uiPriority w:val="0"/>
    <w:pPr>
      <w:spacing w:after="330" w:line="480" w:lineRule="auto"/>
      <w:ind w:firstLine="400"/>
    </w:pPr>
    <w:rPr>
      <w:sz w:val="20"/>
      <w:szCs w:val="20"/>
      <w:lang w:val="zh-TW" w:eastAsia="zh-TW" w:bidi="zh-TW"/>
    </w:rPr>
  </w:style>
  <w:style w:type="paragraph" w:customStyle="1" w:styleId="104">
    <w:name w:val="Table caption|1"/>
    <w:basedOn w:val="1"/>
    <w:autoRedefine/>
    <w:qFormat/>
    <w:uiPriority w:val="0"/>
    <w:rPr>
      <w:b/>
      <w:bCs/>
      <w:sz w:val="20"/>
      <w:szCs w:val="20"/>
      <w:lang w:val="zh-TW" w:eastAsia="zh-TW" w:bidi="zh-TW"/>
    </w:rPr>
  </w:style>
  <w:style w:type="paragraph" w:customStyle="1" w:styleId="105">
    <w:name w:val="Picture caption|1"/>
    <w:basedOn w:val="1"/>
    <w:autoRedefine/>
    <w:qFormat/>
    <w:uiPriority w:val="0"/>
    <w:rPr>
      <w:b/>
      <w:bCs/>
      <w:sz w:val="20"/>
      <w:szCs w:val="20"/>
      <w:lang w:val="zh-TW" w:eastAsia="zh-TW" w:bidi="zh-TW"/>
    </w:rPr>
  </w:style>
  <w:style w:type="paragraph" w:customStyle="1" w:styleId="106">
    <w:name w:val="Other|1"/>
    <w:basedOn w:val="1"/>
    <w:autoRedefine/>
    <w:qFormat/>
    <w:uiPriority w:val="0"/>
    <w:rPr>
      <w:sz w:val="20"/>
      <w:szCs w:val="20"/>
      <w:lang w:val="zh-TW" w:eastAsia="zh-TW" w:bidi="zh-TW"/>
    </w:rPr>
  </w:style>
  <w:style w:type="paragraph" w:customStyle="1" w:styleId="107">
    <w:name w:val="XQ报告表正文"/>
    <w:basedOn w:val="1"/>
    <w:autoRedefine/>
    <w:qFormat/>
    <w:uiPriority w:val="0"/>
    <w:pPr>
      <w:adjustRightInd w:val="0"/>
      <w:snapToGrid w:val="0"/>
      <w:spacing w:line="360" w:lineRule="auto"/>
      <w:ind w:firstLine="480" w:firstLineChars="200"/>
    </w:pPr>
    <w:rPr>
      <w:rFonts w:cs="宋体"/>
      <w:bCs/>
      <w:snapToGrid w:val="0"/>
      <w:kern w:val="0"/>
      <w:sz w:val="24"/>
      <w:szCs w:val="21"/>
      <w:lang w:val="zh-CN"/>
    </w:rPr>
  </w:style>
  <w:style w:type="paragraph" w:customStyle="1" w:styleId="108">
    <w:name w:val="XQ表格文字"/>
    <w:basedOn w:val="1"/>
    <w:autoRedefine/>
    <w:qFormat/>
    <w:uiPriority w:val="0"/>
    <w:pPr>
      <w:tabs>
        <w:tab w:val="left" w:pos="420"/>
        <w:tab w:val="center" w:pos="623"/>
      </w:tabs>
      <w:adjustRightInd w:val="0"/>
      <w:snapToGrid w:val="0"/>
      <w:jc w:val="center"/>
    </w:pPr>
    <w:rPr>
      <w:color w:val="000000"/>
      <w:kern w:val="0"/>
      <w:szCs w:val="21"/>
    </w:rPr>
  </w:style>
  <w:style w:type="paragraph" w:customStyle="1" w:styleId="109">
    <w:name w:val="lh-正文-报告表"/>
    <w:basedOn w:val="1"/>
    <w:autoRedefine/>
    <w:qFormat/>
    <w:uiPriority w:val="0"/>
    <w:pPr>
      <w:spacing w:line="360" w:lineRule="auto"/>
      <w:ind w:firstLine="480" w:firstLineChars="200"/>
    </w:pPr>
    <w:rPr>
      <w:kern w:val="0"/>
      <w:sz w:val="24"/>
      <w:szCs w:val="21"/>
    </w:rPr>
  </w:style>
  <w:style w:type="paragraph" w:customStyle="1" w:styleId="110">
    <w:name w:val="表格(新)"/>
    <w:basedOn w:val="1"/>
    <w:autoRedefine/>
    <w:qFormat/>
    <w:uiPriority w:val="0"/>
    <w:pPr>
      <w:adjustRightInd w:val="0"/>
      <w:snapToGrid w:val="0"/>
      <w:jc w:val="center"/>
    </w:pPr>
    <w:rPr>
      <w:kern w:val="0"/>
      <w:szCs w:val="22"/>
    </w:rPr>
  </w:style>
  <w:style w:type="paragraph" w:customStyle="1" w:styleId="111">
    <w:name w:val="首行缩进正文"/>
    <w:basedOn w:val="71"/>
    <w:autoRedefine/>
    <w:qFormat/>
    <w:uiPriority w:val="0"/>
    <w:rPr>
      <w:sz w:val="21"/>
    </w:rPr>
  </w:style>
  <w:style w:type="paragraph" w:customStyle="1" w:styleId="112">
    <w:name w:val="..正文"/>
    <w:basedOn w:val="1"/>
    <w:autoRedefine/>
    <w:qFormat/>
    <w:uiPriority w:val="0"/>
    <w:pPr>
      <w:spacing w:line="500" w:lineRule="exact"/>
      <w:ind w:firstLine="480" w:firstLineChars="200"/>
      <w:jc w:val="left"/>
    </w:pPr>
    <w:rPr>
      <w:kern w:val="0"/>
      <w:sz w:val="24"/>
    </w:rPr>
  </w:style>
  <w:style w:type="paragraph" w:customStyle="1" w:styleId="113">
    <w:name w:val="表中的文字"/>
    <w:basedOn w:val="27"/>
    <w:autoRedefine/>
    <w:qFormat/>
    <w:uiPriority w:val="0"/>
    <w:pPr>
      <w:spacing w:before="0" w:after="0"/>
      <w:outlineLvl w:val="9"/>
    </w:pPr>
    <w:rPr>
      <w:rFonts w:ascii="Times New Roman" w:hAnsi="Times New Roman"/>
      <w:b w:val="0"/>
      <w:sz w:val="21"/>
      <w:szCs w:val="21"/>
    </w:rPr>
  </w:style>
  <w:style w:type="paragraph" w:customStyle="1" w:styleId="114">
    <w:name w:val="表格正文"/>
    <w:autoRedefine/>
    <w:qFormat/>
    <w:uiPriority w:val="0"/>
    <w:pPr>
      <w:adjustRightInd w:val="0"/>
      <w:snapToGrid w:val="0"/>
      <w:jc w:val="center"/>
    </w:pPr>
    <w:rPr>
      <w:rFonts w:ascii="Times New Roman" w:hAnsi="Times New Roman" w:eastAsia="宋体" w:cs="Times New Roman"/>
      <w:color w:val="FF0000"/>
      <w:kern w:val="2"/>
      <w:sz w:val="21"/>
      <w:szCs w:val="21"/>
      <w:lang w:val="en-US" w:eastAsia="zh-CN" w:bidi="ar-SA"/>
    </w:rPr>
  </w:style>
  <w:style w:type="table" w:customStyle="1" w:styleId="115">
    <w:name w:val="[表格样式]"/>
    <w:basedOn w:val="30"/>
    <w:autoRedefine/>
    <w:qFormat/>
    <w:uiPriority w:val="99"/>
    <w:pPr>
      <w:adjustRightInd w:val="0"/>
      <w:snapToGrid w:val="0"/>
      <w:spacing w:line="240" w:lineRule="auto"/>
      <w:jc w:val="center"/>
    </w:pPr>
    <w:rPr>
      <w:rFonts w:ascii="Times New Roman" w:hAnsi="Times New Roman" w:eastAsia="宋体"/>
      <w:snapToGrid w:val="0"/>
      <w:kern w:val="0"/>
      <w:sz w:val="20"/>
      <w:szCs w:val="20"/>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paragraph" w:customStyle="1" w:styleId="116">
    <w:name w:val="环评内文字"/>
    <w:basedOn w:val="1"/>
    <w:qFormat/>
    <w:uiPriority w:val="0"/>
    <w:pPr>
      <w:spacing w:line="360" w:lineRule="auto"/>
    </w:pPr>
    <w:rPr>
      <w:sz w:val="24"/>
    </w:rPr>
  </w:style>
  <w:style w:type="paragraph" w:customStyle="1" w:styleId="117">
    <w:name w:val="Table Text"/>
    <w:basedOn w:val="1"/>
    <w:autoRedefine/>
    <w:semiHidden/>
    <w:qFormat/>
    <w:uiPriority w:val="0"/>
    <w:rPr>
      <w:rFonts w:ascii="宋体" w:hAnsi="宋体" w:eastAsia="宋体" w:cs="宋体"/>
      <w:sz w:val="20"/>
      <w:szCs w:val="20"/>
      <w:lang w:val="en-US" w:eastAsia="en-US" w:bidi="ar-SA"/>
    </w:rPr>
  </w:style>
  <w:style w:type="paragraph" w:customStyle="1" w:styleId="118">
    <w:name w:val="【表中文字】-"/>
    <w:basedOn w:val="1"/>
    <w:autoRedefine/>
    <w:qFormat/>
    <w:uiPriority w:val="0"/>
    <w:pPr>
      <w:adjustRightInd w:val="0"/>
      <w:snapToGrid w:val="0"/>
      <w:jc w:val="center"/>
    </w:pPr>
    <w:rPr>
      <w:kern w:val="0"/>
      <w:sz w:val="18"/>
      <w:szCs w:val="20"/>
    </w:rPr>
  </w:style>
  <w:style w:type="paragraph" w:customStyle="1" w:styleId="119">
    <w:name w:val="正文环评赵"/>
    <w:basedOn w:val="1"/>
    <w:qFormat/>
    <w:uiPriority w:val="0"/>
    <w:pPr>
      <w:spacing w:after="40" w:line="360" w:lineRule="auto"/>
      <w:ind w:firstLine="560" w:firstLineChars="200"/>
    </w:pPr>
    <w:rPr>
      <w:sz w:val="24"/>
      <w:szCs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footer" Target="footer4.xml"/><Relationship Id="rId59" Type="http://schemas.openxmlformats.org/officeDocument/2006/relationships/customXml" Target="../customXml/item1.xml"/><Relationship Id="rId58" Type="http://schemas.openxmlformats.org/officeDocument/2006/relationships/image" Target="media/image46.jpe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jpeg"/><Relationship Id="rId34" Type="http://schemas.openxmlformats.org/officeDocument/2006/relationships/image" Target="media/image22.pn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emf"/><Relationship Id="rId16" Type="http://schemas.openxmlformats.org/officeDocument/2006/relationships/oleObject" Target="embeddings/oleObject3.bin"/><Relationship Id="rId15" Type="http://schemas.openxmlformats.org/officeDocument/2006/relationships/image" Target="media/image4.emf"/><Relationship Id="rId14" Type="http://schemas.openxmlformats.org/officeDocument/2006/relationships/oleObject" Target="embeddings/oleObject2.bin"/><Relationship Id="rId13" Type="http://schemas.openxmlformats.org/officeDocument/2006/relationships/image" Target="media/image3.emf"/><Relationship Id="rId12" Type="http://schemas.openxmlformats.org/officeDocument/2006/relationships/oleObject" Target="embeddings/oleObject1.bin"/><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85</Pages>
  <Words>16473</Words>
  <Characters>17390</Characters>
  <Lines>347</Lines>
  <Paragraphs>97</Paragraphs>
  <TotalTime>73</TotalTime>
  <ScaleCrop>false</ScaleCrop>
  <LinksUpToDate>false</LinksUpToDate>
  <CharactersWithSpaces>17503</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2020-12-25T09:29:00Z</dcterms:created>
  <dc:creator>lhj</dc:creator>
  <cp:lastModifiedBy>佀鸿喆</cp:lastModifiedBy>
  <cp:lastPrinted>2020-12-30T10:43:00Z</cp:lastPrinted>
  <dcterms:modified xsi:type="dcterms:W3CDTF">2026-06-10T00:45:01Z</dcterms:modified>
  <dc:title>附件2</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56FE9371377644ECA3B00D1F8936AEBC_13</vt:lpwstr>
  </property>
  <property fmtid="{D5CDD505-2E9C-101B-9397-08002B2CF9AE}" pid="4" name="KSOTemplateDocerSaveRecord">
    <vt:lpwstr>eyJoZGlkIjoiMjliNDMyNmEyYzkzNTZmNjZmNzQ3ZWQ3OWVkNjhiZTgiLCJ1c2VySWQiOiIxNTg4MTcxNDIzIn0=</vt:lpwstr>
  </property>
</Properties>
</file>