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8EDE02">
      <w:pPr>
        <w:tabs>
          <w:tab w:val="left" w:pos="1470"/>
        </w:tabs>
        <w:rPr>
          <w:rFonts w:hint="eastAsia" w:ascii="Times New Roman" w:hAnsi="Times New Roman" w:eastAsia="仿宋_GB2312" w:cs="Times New Roman"/>
          <w:color w:val="auto"/>
          <w:sz w:val="36"/>
          <w:szCs w:val="36"/>
          <w:highlight w:val="none"/>
          <w:lang w:eastAsia="zh-CN"/>
        </w:rPr>
      </w:pPr>
    </w:p>
    <w:p w14:paraId="6446F116">
      <w:pPr>
        <w:tabs>
          <w:tab w:val="left" w:pos="1470"/>
        </w:tabs>
        <w:rPr>
          <w:rFonts w:hint="default" w:ascii="Times New Roman" w:hAnsi="Times New Roman" w:eastAsia="仿宋_GB2312" w:cs="Times New Roman"/>
          <w:color w:val="auto"/>
          <w:sz w:val="36"/>
          <w:szCs w:val="36"/>
          <w:highlight w:val="none"/>
        </w:rPr>
      </w:pPr>
    </w:p>
    <w:p w14:paraId="3804054B">
      <w:pPr>
        <w:tabs>
          <w:tab w:val="left" w:pos="1470"/>
        </w:tabs>
        <w:rPr>
          <w:rFonts w:hint="default" w:ascii="Times New Roman" w:hAnsi="Times New Roman" w:eastAsia="仿宋_GB2312" w:cs="Times New Roman"/>
          <w:color w:val="auto"/>
          <w:sz w:val="36"/>
          <w:szCs w:val="36"/>
          <w:highlight w:val="none"/>
        </w:rPr>
      </w:pPr>
    </w:p>
    <w:p w14:paraId="376C99E4">
      <w:pPr>
        <w:tabs>
          <w:tab w:val="left" w:pos="1470"/>
        </w:tabs>
        <w:rPr>
          <w:rFonts w:hint="default" w:ascii="Times New Roman" w:hAnsi="Times New Roman" w:eastAsia="仿宋_GB2312" w:cs="Times New Roman"/>
          <w:color w:val="auto"/>
          <w:sz w:val="36"/>
          <w:szCs w:val="36"/>
          <w:highlight w:val="none"/>
        </w:rPr>
      </w:pPr>
    </w:p>
    <w:p w14:paraId="3EC9D37B">
      <w:pPr>
        <w:adjustRightInd w:val="0"/>
        <w:snapToGrid w:val="0"/>
        <w:jc w:val="center"/>
        <w:rPr>
          <w:rFonts w:hint="default" w:ascii="Times New Roman" w:hAnsi="Times New Roman" w:eastAsia="方正小标宋_GBK" w:cs="Times New Roman"/>
          <w:bCs/>
          <w:color w:val="auto"/>
          <w:sz w:val="72"/>
          <w:szCs w:val="72"/>
          <w:highlight w:val="none"/>
        </w:rPr>
      </w:pPr>
    </w:p>
    <w:p w14:paraId="1108EF06">
      <w:pPr>
        <w:adjustRightInd w:val="0"/>
        <w:snapToGrid w:val="0"/>
        <w:jc w:val="center"/>
        <w:rPr>
          <w:rFonts w:hint="default" w:ascii="Times New Roman" w:hAnsi="Times New Roman" w:eastAsia="方正小标宋_GBK" w:cs="Times New Roman"/>
          <w:bCs/>
          <w:color w:val="auto"/>
          <w:sz w:val="72"/>
          <w:szCs w:val="72"/>
          <w:highlight w:val="none"/>
        </w:rPr>
      </w:pPr>
    </w:p>
    <w:p w14:paraId="79231CFE">
      <w:pPr>
        <w:adjustRightInd w:val="0"/>
        <w:snapToGrid w:val="0"/>
        <w:jc w:val="center"/>
        <w:rPr>
          <w:rFonts w:hint="default" w:ascii="Times New Roman" w:hAnsi="Times New Roman" w:eastAsia="方正小标宋_GBK" w:cs="Times New Roman"/>
          <w:bCs/>
          <w:color w:val="auto"/>
          <w:sz w:val="72"/>
          <w:szCs w:val="72"/>
          <w:highlight w:val="none"/>
        </w:rPr>
      </w:pPr>
      <w:r>
        <w:rPr>
          <w:rFonts w:hint="default" w:ascii="Times New Roman" w:hAnsi="Times New Roman" w:eastAsia="方正小标宋_GBK" w:cs="Times New Roman"/>
          <w:bCs/>
          <w:color w:val="auto"/>
          <w:sz w:val="72"/>
          <w:szCs w:val="72"/>
          <w:highlight w:val="none"/>
        </w:rPr>
        <w:t>建设项目环境影响报告表</w:t>
      </w:r>
    </w:p>
    <w:p w14:paraId="72C55473">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（生态影响类）</w:t>
      </w:r>
    </w:p>
    <w:p w14:paraId="63C29F9B">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bookmarkStart w:id="0" w:name="_Hlk57883728"/>
    </w:p>
    <w:p w14:paraId="161AAE08">
      <w:pPr>
        <w:jc w:val="center"/>
        <w:rPr>
          <w:rFonts w:hint="default" w:ascii="Times New Roman" w:hAnsi="Times New Roman" w:eastAsia="仿宋" w:cs="Times New Roman"/>
          <w:color w:val="auto"/>
          <w:sz w:val="52"/>
          <w:szCs w:val="52"/>
          <w:highlight w:val="none"/>
        </w:rPr>
      </w:pPr>
    </w:p>
    <w:p w14:paraId="4794F5DC">
      <w:pPr>
        <w:ind w:firstLine="1040"/>
        <w:rPr>
          <w:rFonts w:hint="default" w:ascii="Times New Roman" w:hAnsi="Times New Roman" w:eastAsia="仿宋" w:cs="Times New Roman"/>
          <w:color w:val="auto"/>
          <w:sz w:val="44"/>
          <w:szCs w:val="44"/>
          <w:highlight w:val="none"/>
        </w:rPr>
      </w:pPr>
    </w:p>
    <w:p w14:paraId="4FE4E61B">
      <w:pPr>
        <w:ind w:firstLine="1040"/>
        <w:rPr>
          <w:rFonts w:hint="default" w:ascii="Times New Roman" w:hAnsi="Times New Roman" w:eastAsia="仿宋" w:cs="Times New Roman"/>
          <w:color w:val="auto"/>
          <w:sz w:val="44"/>
          <w:szCs w:val="44"/>
          <w:highlight w:val="none"/>
        </w:rPr>
      </w:pPr>
    </w:p>
    <w:p w14:paraId="5A46A4C9">
      <w:pPr>
        <w:ind w:firstLine="1040"/>
        <w:rPr>
          <w:rFonts w:hint="default" w:ascii="Times New Roman" w:hAnsi="Times New Roman" w:eastAsia="仿宋" w:cs="Times New Roman"/>
          <w:color w:val="auto"/>
          <w:sz w:val="44"/>
          <w:szCs w:val="44"/>
          <w:highlight w:val="none"/>
        </w:rPr>
      </w:pPr>
    </w:p>
    <w:p w14:paraId="61F2A189">
      <w:pPr>
        <w:ind w:firstLine="1040"/>
        <w:rPr>
          <w:rFonts w:hint="default" w:ascii="Times New Roman" w:hAnsi="Times New Roman" w:eastAsia="仿宋" w:cs="Times New Roman"/>
          <w:color w:val="auto"/>
          <w:sz w:val="44"/>
          <w:szCs w:val="44"/>
          <w:highlight w:val="none"/>
        </w:rPr>
      </w:pPr>
    </w:p>
    <w:bookmarkEnd w:id="0"/>
    <w:p w14:paraId="631C23B0">
      <w:pPr>
        <w:adjustRightInd w:val="0"/>
        <w:snapToGrid w:val="0"/>
        <w:spacing w:line="288" w:lineRule="auto"/>
        <w:rPr>
          <w:rFonts w:hint="eastAsia" w:ascii="仿宋_GB2312" w:hAnsi="仿宋_GB2312" w:eastAsia="仿宋_GB2312" w:cs="仿宋_GB2312"/>
          <w:color w:val="auto"/>
          <w:sz w:val="36"/>
          <w:szCs w:val="36"/>
          <w:highlight w:val="none"/>
          <w:u w:val="single"/>
          <w:lang w:eastAsia="zh-CN"/>
        </w:rPr>
      </w:pPr>
      <w:r>
        <w:rPr>
          <w:rFonts w:hint="eastAsia" w:ascii="仿宋_GB2312" w:hAnsi="仿宋_GB2312" w:eastAsia="仿宋_GB2312" w:cs="仿宋_GB2312"/>
          <w:color w:val="auto"/>
          <w:sz w:val="36"/>
          <w:szCs w:val="36"/>
          <w:highlight w:val="none"/>
        </w:rPr>
        <w:t>项目名称：</w:t>
      </w:r>
      <w:r>
        <w:rPr>
          <w:rFonts w:hint="eastAsia" w:ascii="仿宋_GB2312" w:hAnsi="仿宋_GB2312" w:eastAsia="仿宋_GB2312" w:cs="仿宋_GB2312"/>
          <w:color w:val="auto"/>
          <w:kern w:val="21"/>
          <w:sz w:val="36"/>
          <w:szCs w:val="36"/>
          <w:highlight w:val="none"/>
          <w:u w:val="single"/>
          <w:lang w:val="en-US" w:eastAsia="zh-CN"/>
        </w:rPr>
        <w:t>黑龙江省密山市庆先水库除险加固工程</w:t>
      </w:r>
      <w:r>
        <w:rPr>
          <w:rFonts w:hint="eastAsia" w:ascii="仿宋_GB2312" w:hAnsi="仿宋_GB2312" w:eastAsia="仿宋_GB2312" w:cs="仿宋_GB2312"/>
          <w:color w:val="auto"/>
          <w:sz w:val="36"/>
          <w:szCs w:val="36"/>
          <w:highlight w:val="none"/>
          <w:u w:val="single"/>
          <w:lang w:val="en-US" w:eastAsia="zh-CN"/>
        </w:rPr>
        <w:t xml:space="preserve">        </w:t>
      </w:r>
    </w:p>
    <w:p w14:paraId="1C21B89A">
      <w:pPr>
        <w:adjustRightInd w:val="0"/>
        <w:snapToGrid w:val="0"/>
        <w:spacing w:line="288" w:lineRule="auto"/>
        <w:rPr>
          <w:rFonts w:hint="eastAsia" w:ascii="仿宋_GB2312" w:hAnsi="仿宋_GB2312" w:eastAsia="仿宋_GB2312" w:cs="仿宋_GB2312"/>
          <w:color w:val="auto"/>
          <w:sz w:val="36"/>
          <w:szCs w:val="36"/>
          <w:highlight w:val="none"/>
          <w:lang w:val="en-US" w:eastAsia="zh-CN"/>
        </w:rPr>
      </w:pPr>
      <w:r>
        <w:rPr>
          <w:rFonts w:hint="eastAsia" w:ascii="仿宋_GB2312" w:hAnsi="仿宋_GB2312" w:eastAsia="仿宋_GB2312" w:cs="仿宋_GB2312"/>
          <w:color w:val="auto"/>
          <w:sz w:val="36"/>
          <w:szCs w:val="36"/>
          <w:highlight w:val="none"/>
        </w:rPr>
        <w:t>建设单位（盖章）：</w:t>
      </w:r>
      <w:r>
        <w:rPr>
          <w:rFonts w:hint="eastAsia" w:ascii="仿宋_GB2312" w:hAnsi="仿宋_GB2312" w:eastAsia="仿宋_GB2312" w:cs="仿宋_GB2312"/>
          <w:color w:val="auto"/>
          <w:sz w:val="36"/>
          <w:szCs w:val="36"/>
          <w:highlight w:val="none"/>
          <w:u w:val="single"/>
          <w:lang w:eastAsia="zh-CN"/>
        </w:rPr>
        <w:t>密山市水务局</w:t>
      </w:r>
      <w:r>
        <w:rPr>
          <w:rFonts w:hint="eastAsia" w:ascii="仿宋_GB2312" w:hAnsi="仿宋_GB2312" w:eastAsia="仿宋_GB2312" w:cs="仿宋_GB2312"/>
          <w:color w:val="auto"/>
          <w:sz w:val="36"/>
          <w:szCs w:val="36"/>
          <w:highlight w:val="none"/>
          <w:u w:val="single"/>
          <w:lang w:val="en-US" w:eastAsia="zh-CN"/>
        </w:rPr>
        <w:t xml:space="preserve">                   </w:t>
      </w:r>
    </w:p>
    <w:p w14:paraId="27F2EA24">
      <w:pPr>
        <w:adjustRightInd w:val="0"/>
        <w:snapToGrid w:val="0"/>
        <w:spacing w:line="288" w:lineRule="auto"/>
        <w:rPr>
          <w:rFonts w:hint="default" w:ascii="Times New Roman" w:hAnsi="Times New Roman" w:cs="Times New Roman" w:eastAsiaTheme="minorEastAsia"/>
          <w:color w:val="auto"/>
          <w:sz w:val="36"/>
          <w:szCs w:val="36"/>
          <w:highlight w:val="none"/>
          <w:u w:val="single"/>
          <w:lang w:val="en-US" w:eastAsia="zh-CN"/>
        </w:rPr>
      </w:pPr>
      <w:r>
        <w:rPr>
          <w:rFonts w:hint="eastAsia" w:ascii="仿宋_GB2312" w:hAnsi="仿宋_GB2312" w:eastAsia="仿宋_GB2312" w:cs="仿宋_GB2312"/>
          <w:color w:val="auto"/>
          <w:sz w:val="36"/>
          <w:szCs w:val="36"/>
          <w:highlight w:val="none"/>
        </w:rPr>
        <w:t>编制日期：</w:t>
      </w:r>
      <w:r>
        <w:rPr>
          <w:rFonts w:hint="eastAsia" w:ascii="仿宋_GB2312" w:hAnsi="仿宋_GB2312" w:eastAsia="仿宋_GB2312" w:cs="仿宋_GB2312"/>
          <w:color w:val="auto"/>
          <w:sz w:val="36"/>
          <w:szCs w:val="36"/>
          <w:highlight w:val="none"/>
          <w:u w:val="single"/>
          <w:lang w:val="en-US" w:eastAsia="zh-CN"/>
        </w:rPr>
        <w:t xml:space="preserve">       </w:t>
      </w:r>
      <w:r>
        <w:rPr>
          <w:rFonts w:hint="eastAsia" w:ascii="仿宋_GB2312" w:hAnsi="仿宋_GB2312" w:eastAsia="仿宋_GB2312" w:cs="仿宋_GB2312"/>
          <w:color w:val="auto"/>
          <w:sz w:val="36"/>
          <w:szCs w:val="36"/>
          <w:highlight w:val="none"/>
          <w:u w:val="single"/>
        </w:rPr>
        <w:t>二〇二</w:t>
      </w:r>
      <w:r>
        <w:rPr>
          <w:rFonts w:hint="eastAsia" w:ascii="仿宋_GB2312" w:hAnsi="仿宋_GB2312" w:eastAsia="仿宋_GB2312" w:cs="仿宋_GB2312"/>
          <w:color w:val="auto"/>
          <w:sz w:val="36"/>
          <w:szCs w:val="36"/>
          <w:highlight w:val="none"/>
          <w:u w:val="single"/>
          <w:lang w:val="en-US" w:eastAsia="zh-CN"/>
        </w:rPr>
        <w:t>六</w:t>
      </w:r>
      <w:r>
        <w:rPr>
          <w:rFonts w:hint="eastAsia" w:ascii="仿宋_GB2312" w:hAnsi="仿宋_GB2312" w:eastAsia="仿宋_GB2312" w:cs="仿宋_GB2312"/>
          <w:color w:val="auto"/>
          <w:sz w:val="36"/>
          <w:szCs w:val="36"/>
          <w:highlight w:val="none"/>
          <w:u w:val="single"/>
        </w:rPr>
        <w:t>年</w:t>
      </w:r>
      <w:r>
        <w:rPr>
          <w:rFonts w:hint="eastAsia" w:ascii="仿宋_GB2312" w:hAnsi="仿宋_GB2312" w:eastAsia="仿宋_GB2312" w:cs="仿宋_GB2312"/>
          <w:color w:val="auto"/>
          <w:sz w:val="36"/>
          <w:szCs w:val="36"/>
          <w:highlight w:val="none"/>
          <w:u w:val="single"/>
          <w:lang w:val="en-US" w:eastAsia="zh-CN"/>
        </w:rPr>
        <w:t>三</w:t>
      </w:r>
      <w:r>
        <w:rPr>
          <w:rFonts w:hint="eastAsia" w:ascii="仿宋_GB2312" w:hAnsi="仿宋_GB2312" w:eastAsia="仿宋_GB2312" w:cs="仿宋_GB2312"/>
          <w:color w:val="auto"/>
          <w:sz w:val="36"/>
          <w:szCs w:val="36"/>
          <w:highlight w:val="none"/>
          <w:u w:val="single"/>
        </w:rPr>
        <w:t>月</w:t>
      </w:r>
      <w:r>
        <w:rPr>
          <w:rFonts w:hint="eastAsia" w:ascii="仿宋_GB2312" w:hAnsi="仿宋_GB2312" w:eastAsia="仿宋_GB2312" w:cs="仿宋_GB2312"/>
          <w:color w:val="auto"/>
          <w:sz w:val="36"/>
          <w:szCs w:val="36"/>
          <w:highlight w:val="none"/>
          <w:u w:val="single"/>
          <w:lang w:val="en-US" w:eastAsia="zh-CN"/>
        </w:rPr>
        <w:t xml:space="preserve">                  </w:t>
      </w:r>
    </w:p>
    <w:p w14:paraId="7434E67A">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14:paraId="34982A57">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2F84E82B">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469856D5">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3C61AF96">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2505B240">
      <w:pPr>
        <w:adjustRightInd w:val="0"/>
        <w:snapToGrid w:val="0"/>
        <w:spacing w:line="288" w:lineRule="auto"/>
        <w:jc w:val="center"/>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中华人民共和国生态环境部制</w:t>
      </w:r>
    </w:p>
    <w:p w14:paraId="7091FD87">
      <w:pPr>
        <w:adjustRightInd w:val="0"/>
        <w:snapToGrid w:val="0"/>
        <w:spacing w:line="288" w:lineRule="auto"/>
        <w:ind w:firstLine="1040"/>
        <w:rPr>
          <w:rFonts w:hint="default" w:ascii="Times New Roman" w:hAnsi="Times New Roman" w:eastAsia="仿宋_GB2312" w:cs="Times New Roman"/>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14:paraId="44E14571">
      <w:pPr>
        <w:adjustRightInd w:val="0"/>
        <w:snapToGrid w:val="0"/>
        <w:spacing w:line="288" w:lineRule="auto"/>
        <w:rPr>
          <w:rFonts w:hint="eastAsia" w:ascii="Times New Roman" w:hAnsi="Times New Roman" w:eastAsia="仿宋_GB2312" w:cs="Times New Roman"/>
          <w:color w:val="auto"/>
          <w:sz w:val="36"/>
          <w:szCs w:val="36"/>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rFonts w:hint="eastAsia" w:ascii="Times New Roman" w:hAnsi="Times New Roman" w:eastAsia="仿宋_GB2312" w:cs="Times New Roman"/>
          <w:color w:val="auto"/>
          <w:sz w:val="36"/>
          <w:szCs w:val="36"/>
          <w:highlight w:val="none"/>
          <w:lang w:eastAsia="zh-CN"/>
        </w:rPr>
        <w:drawing>
          <wp:inline distT="0" distB="0" distL="114300" distR="114300">
            <wp:extent cx="5608320" cy="7943850"/>
            <wp:effectExtent l="0" t="0" r="11430" b="0"/>
            <wp:docPr id="48" name="图片 48" descr="930766be298b9b5067aa156543ad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930766be298b9b5067aa156543ad4742"/>
                    <pic:cNvPicPr>
                      <a:picLocks noChangeAspect="1"/>
                    </pic:cNvPicPr>
                  </pic:nvPicPr>
                  <pic:blipFill>
                    <a:blip r:embed="rId13"/>
                    <a:stretch>
                      <a:fillRect/>
                    </a:stretch>
                  </pic:blipFill>
                  <pic:spPr>
                    <a:xfrm>
                      <a:off x="0" y="0"/>
                      <a:ext cx="5608320" cy="7943850"/>
                    </a:xfrm>
                    <a:prstGeom prst="rect">
                      <a:avLst/>
                    </a:prstGeom>
                  </pic:spPr>
                </pic:pic>
              </a:graphicData>
            </a:graphic>
          </wp:inline>
        </w:drawing>
      </w:r>
      <w:r>
        <w:rPr>
          <w:rFonts w:hint="eastAsia" w:ascii="Times New Roman" w:hAnsi="Times New Roman" w:eastAsia="仿宋_GB2312" w:cs="Times New Roman"/>
          <w:color w:val="auto"/>
          <w:sz w:val="36"/>
          <w:szCs w:val="36"/>
          <w:highlight w:val="none"/>
          <w:lang w:eastAsia="zh-CN"/>
        </w:rPr>
        <w:drawing>
          <wp:inline distT="0" distB="0" distL="114300" distR="114300">
            <wp:extent cx="5608320" cy="7969885"/>
            <wp:effectExtent l="0" t="0" r="11430" b="12065"/>
            <wp:docPr id="46" name="图片 46" descr="f87f037fc6c8b02ff4028acbc661e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87f037fc6c8b02ff4028acbc661efb0"/>
                    <pic:cNvPicPr>
                      <a:picLocks noChangeAspect="1"/>
                    </pic:cNvPicPr>
                  </pic:nvPicPr>
                  <pic:blipFill>
                    <a:blip r:embed="rId14"/>
                    <a:stretch>
                      <a:fillRect/>
                    </a:stretch>
                  </pic:blipFill>
                  <pic:spPr>
                    <a:xfrm>
                      <a:off x="0" y="0"/>
                      <a:ext cx="5608320" cy="7969885"/>
                    </a:xfrm>
                    <a:prstGeom prst="rect">
                      <a:avLst/>
                    </a:prstGeom>
                  </pic:spPr>
                </pic:pic>
              </a:graphicData>
            </a:graphic>
          </wp:inline>
        </w:drawing>
      </w:r>
    </w:p>
    <w:sdt>
      <w:sdtPr>
        <w:rPr>
          <w:rFonts w:hint="default" w:ascii="Times New Roman" w:hAnsi="Times New Roman" w:eastAsia="宋体" w:cs="Times New Roman"/>
          <w:color w:val="auto"/>
          <w:kern w:val="2"/>
          <w:sz w:val="21"/>
          <w:szCs w:val="24"/>
          <w:highlight w:val="none"/>
          <w:lang w:val="en-US" w:eastAsia="zh-CN" w:bidi="ar-SA"/>
        </w:rPr>
        <w:id w:val="147478725"/>
        <w15:color w:val="DBDBDB"/>
        <w:docPartObj>
          <w:docPartGallery w:val="Table of Contents"/>
          <w:docPartUnique/>
        </w:docPartObj>
      </w:sdtPr>
      <w:sdtEndPr>
        <w:rPr>
          <w:rFonts w:hint="default" w:ascii="Times New Roman" w:hAnsi="Times New Roman" w:eastAsia="宋体" w:cs="Times New Roman"/>
          <w:color w:val="auto"/>
          <w:kern w:val="2"/>
          <w:sz w:val="21"/>
          <w:szCs w:val="24"/>
          <w:highlight w:val="none"/>
          <w:lang w:val="en-US" w:eastAsia="zh-CN" w:bidi="ar-SA"/>
        </w:rPr>
      </w:sdtEndPr>
      <w:sdtContent>
        <w:p w14:paraId="607331EE">
          <w:pPr>
            <w:spacing w:before="0" w:beforeLines="0" w:after="0" w:afterLines="0" w:line="240" w:lineRule="auto"/>
            <w:ind w:left="0" w:leftChars="0" w:right="0" w:rightChars="0" w:firstLine="0" w:firstLineChars="0"/>
            <w:jc w:val="center"/>
            <w:rPr>
              <w:rFonts w:hint="default" w:ascii="Times New Roman" w:hAnsi="Times New Roman" w:cs="Times New Roman"/>
              <w:color w:val="auto"/>
              <w:sz w:val="28"/>
              <w:szCs w:val="28"/>
              <w:highlight w:val="none"/>
            </w:rPr>
          </w:pPr>
          <w:bookmarkStart w:id="1" w:name="_Toc21292"/>
          <w:r>
            <w:rPr>
              <w:rFonts w:hint="default" w:ascii="Times New Roman" w:hAnsi="Times New Roman" w:eastAsia="宋体" w:cs="Times New Roman"/>
              <w:b/>
              <w:bCs/>
              <w:color w:val="auto"/>
              <w:sz w:val="28"/>
              <w:szCs w:val="28"/>
              <w:highlight w:val="none"/>
            </w:rPr>
            <w:t>目</w:t>
          </w:r>
          <w:r>
            <w:rPr>
              <w:rFonts w:hint="eastAsia" w:cs="Times New Roman"/>
              <w:b/>
              <w:bCs/>
              <w:color w:val="auto"/>
              <w:sz w:val="28"/>
              <w:szCs w:val="28"/>
              <w:highlight w:val="none"/>
              <w:lang w:val="en-US" w:eastAsia="zh-CN"/>
            </w:rPr>
            <w:t xml:space="preserve">  </w:t>
          </w:r>
          <w:r>
            <w:rPr>
              <w:rFonts w:hint="default" w:ascii="Times New Roman" w:hAnsi="Times New Roman" w:eastAsia="宋体" w:cs="Times New Roman"/>
              <w:b/>
              <w:bCs/>
              <w:color w:val="auto"/>
              <w:sz w:val="28"/>
              <w:szCs w:val="28"/>
              <w:highlight w:val="none"/>
            </w:rPr>
            <w:t>录</w:t>
          </w:r>
        </w:p>
        <w:p w14:paraId="175CD139">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 w:val="24"/>
              <w:szCs w:val="24"/>
              <w:highlight w:val="none"/>
            </w:rPr>
            <w:fldChar w:fldCharType="begin"/>
          </w:r>
          <w:r>
            <w:rPr>
              <w:rFonts w:hint="default" w:ascii="Times New Roman" w:hAnsi="Times New Roman" w:eastAsia="宋体" w:cs="Times New Roman"/>
              <w:b w:val="0"/>
              <w:bCs w:val="0"/>
              <w:color w:val="auto"/>
              <w:sz w:val="24"/>
              <w:szCs w:val="24"/>
              <w:highlight w:val="none"/>
            </w:rPr>
            <w:instrText xml:space="preserve">TOC \o "1-1" \h \u </w:instrText>
          </w:r>
          <w:r>
            <w:rPr>
              <w:rFonts w:hint="default" w:ascii="Times New Roman" w:hAnsi="Times New Roman" w:eastAsia="宋体" w:cs="Times New Roman"/>
              <w:b w:val="0"/>
              <w:bCs w:val="0"/>
              <w:color w:val="auto"/>
              <w:sz w:val="24"/>
              <w:szCs w:val="24"/>
              <w:highlight w:val="none"/>
            </w:rPr>
            <w:fldChar w:fldCharType="separate"/>
          </w: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_Toc18592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highlight w:val="none"/>
            </w:rPr>
            <w:t>一、建设项目基本情况</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_Toc18592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50774BB4">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_Toc16170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highlight w:val="none"/>
            </w:rPr>
            <w:t>二、建设内容</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_Toc16170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6BB8AEAF">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_Toc16669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highlight w:val="none"/>
            </w:rPr>
            <w:t>三、生态环境现状、保护目标及评价标准</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_Toc16669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18</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334E3008">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_Toc24903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highlight w:val="none"/>
            </w:rPr>
            <w:t>四、生态环境影响分析</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_Toc24903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30</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58C5F418">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_Toc24021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highlight w:val="none"/>
            </w:rPr>
            <w:t>五、主要生态环境保护措施</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_Toc24021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37</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91E92E6">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_Toc31032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highlight w:val="none"/>
            </w:rPr>
            <w:t>六、生态环境保护措施监督检查清单</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_Toc31032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44</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56AF4805">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_Toc32641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snapToGrid w:val="0"/>
              <w:color w:val="auto"/>
              <w:szCs w:val="30"/>
              <w:lang w:eastAsia="zh-CN"/>
            </w:rPr>
            <w:t xml:space="preserve">七、 </w:t>
          </w:r>
          <w:r>
            <w:rPr>
              <w:rFonts w:hint="default" w:ascii="Times New Roman" w:hAnsi="Times New Roman" w:eastAsia="宋体" w:cs="Times New Roman"/>
              <w:b w:val="0"/>
              <w:bCs w:val="0"/>
              <w:snapToGrid w:val="0"/>
              <w:color w:val="auto"/>
              <w:szCs w:val="30"/>
              <w:highlight w:val="none"/>
              <w:lang w:eastAsia="zh-CN"/>
            </w:rPr>
            <w:t>结论</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_Toc32641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46</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5235D59F">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_Toc5488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szCs w:val="24"/>
              <w:highlight w:val="none"/>
              <w:lang w:eastAsia="zh-CN"/>
            </w:rPr>
            <w:t>件</w:t>
          </w:r>
          <w:r>
            <w:rPr>
              <w:rFonts w:hint="default" w:ascii="Times New Roman" w:hAnsi="Times New Roman" w:eastAsia="宋体" w:cs="Times New Roman"/>
              <w:b w:val="0"/>
              <w:bCs w:val="0"/>
              <w:color w:val="auto"/>
              <w:szCs w:val="24"/>
              <w:highlight w:val="none"/>
            </w:rPr>
            <w:t>1地表水专项评价</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_Toc5488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47</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32B5549">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_Toc24107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szCs w:val="24"/>
              <w:highlight w:val="none"/>
              <w:lang w:eastAsia="zh-CN"/>
            </w:rPr>
            <w:t>件</w:t>
          </w:r>
          <w:r>
            <w:rPr>
              <w:rFonts w:hint="default" w:ascii="Times New Roman" w:hAnsi="Times New Roman" w:eastAsia="宋体" w:cs="Times New Roman"/>
              <w:b w:val="0"/>
              <w:bCs w:val="0"/>
              <w:color w:val="auto"/>
              <w:szCs w:val="24"/>
              <w:highlight w:val="none"/>
              <w:lang w:val="en-US" w:eastAsia="zh-CN"/>
            </w:rPr>
            <w:t>2</w:t>
          </w:r>
          <w:r>
            <w:rPr>
              <w:rFonts w:hint="default" w:ascii="Times New Roman" w:hAnsi="Times New Roman" w:eastAsia="宋体" w:cs="Times New Roman"/>
              <w:b w:val="0"/>
              <w:bCs w:val="0"/>
              <w:color w:val="auto"/>
              <w:kern w:val="0"/>
              <w:highlight w:val="none"/>
            </w:rPr>
            <w:t>事业单位法人证书</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_Toc24107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76</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1A1198CB">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_Toc10242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szCs w:val="24"/>
              <w:highlight w:val="none"/>
              <w:lang w:eastAsia="zh-CN"/>
            </w:rPr>
            <w:t>件</w:t>
          </w:r>
          <w:r>
            <w:rPr>
              <w:rFonts w:hint="default" w:ascii="Times New Roman" w:hAnsi="Times New Roman" w:eastAsia="宋体" w:cs="Times New Roman"/>
              <w:b w:val="0"/>
              <w:bCs w:val="0"/>
              <w:color w:val="auto"/>
              <w:szCs w:val="24"/>
              <w:highlight w:val="none"/>
              <w:lang w:val="en-US" w:eastAsia="zh-CN"/>
            </w:rPr>
            <w:t>3</w:t>
          </w:r>
          <w:r>
            <w:rPr>
              <w:rFonts w:hint="default" w:ascii="Times New Roman" w:hAnsi="Times New Roman" w:eastAsia="宋体" w:cs="Times New Roman"/>
              <w:b w:val="0"/>
              <w:bCs w:val="0"/>
              <w:color w:val="auto"/>
              <w:kern w:val="0"/>
              <w:szCs w:val="24"/>
              <w:highlight w:val="none"/>
              <w:lang w:val="en-US" w:eastAsia="zh-CN"/>
            </w:rPr>
            <w:t>本项目初步设计报告的批复</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_Toc10242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77</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48A4D99F">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_Toc7594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szCs w:val="24"/>
              <w:highlight w:val="none"/>
              <w:lang w:eastAsia="zh-CN"/>
            </w:rPr>
            <w:t>件</w:t>
          </w:r>
          <w:r>
            <w:rPr>
              <w:rFonts w:hint="default" w:ascii="Times New Roman" w:hAnsi="Times New Roman" w:eastAsia="宋体" w:cs="Times New Roman"/>
              <w:b w:val="0"/>
              <w:bCs w:val="0"/>
              <w:color w:val="auto"/>
              <w:szCs w:val="24"/>
              <w:highlight w:val="none"/>
              <w:lang w:val="en-US" w:eastAsia="zh-CN"/>
            </w:rPr>
            <w:t>4</w:t>
          </w:r>
          <w:r>
            <w:rPr>
              <w:rFonts w:hint="default" w:ascii="Times New Roman" w:hAnsi="Times New Roman" w:eastAsia="宋体" w:cs="Times New Roman"/>
              <w:b w:val="0"/>
              <w:bCs w:val="0"/>
              <w:color w:val="auto"/>
              <w:highlight w:val="none"/>
              <w:lang w:val="en-US" w:eastAsia="zh-CN"/>
            </w:rPr>
            <w:t>检测报告</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_Toc7594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81</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F253774">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_Toc28937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szCs w:val="24"/>
              <w:highlight w:val="none"/>
              <w:lang w:eastAsia="zh-CN"/>
            </w:rPr>
            <w:t>件</w:t>
          </w:r>
          <w:r>
            <w:rPr>
              <w:rFonts w:hint="default" w:ascii="Times New Roman" w:hAnsi="Times New Roman" w:eastAsia="宋体" w:cs="Times New Roman"/>
              <w:b w:val="0"/>
              <w:bCs w:val="0"/>
              <w:color w:val="auto"/>
              <w:szCs w:val="24"/>
              <w:highlight w:val="none"/>
              <w:lang w:val="en-US" w:eastAsia="zh-CN"/>
            </w:rPr>
            <w:t>5</w:t>
          </w:r>
          <w:r>
            <w:rPr>
              <w:rFonts w:hint="default" w:ascii="Times New Roman" w:hAnsi="Times New Roman" w:eastAsia="宋体" w:cs="Times New Roman"/>
              <w:b w:val="0"/>
              <w:bCs w:val="0"/>
              <w:color w:val="auto"/>
              <w:highlight w:val="none"/>
              <w:lang w:val="en-US" w:eastAsia="zh-CN"/>
            </w:rPr>
            <w:t>生态环境分区管控分析报告</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_Toc28937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88</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3EFAC5A0">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_Toc21464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szCs w:val="24"/>
              <w:highlight w:val="none"/>
              <w:lang w:eastAsia="zh-CN"/>
            </w:rPr>
            <w:t>件</w:t>
          </w:r>
          <w:r>
            <w:rPr>
              <w:rFonts w:hint="default" w:ascii="Times New Roman" w:hAnsi="Times New Roman" w:eastAsia="宋体" w:cs="Times New Roman"/>
              <w:b w:val="0"/>
              <w:bCs w:val="0"/>
              <w:color w:val="auto"/>
              <w:szCs w:val="24"/>
              <w:highlight w:val="none"/>
              <w:lang w:val="en-US" w:eastAsia="zh-CN"/>
            </w:rPr>
            <w:t>6</w:t>
          </w:r>
          <w:r>
            <w:rPr>
              <w:rFonts w:hint="default" w:ascii="Times New Roman" w:hAnsi="Times New Roman" w:eastAsia="宋体" w:cs="Times New Roman"/>
              <w:b w:val="0"/>
              <w:bCs w:val="0"/>
              <w:color w:val="auto"/>
              <w:szCs w:val="24"/>
              <w:highlight w:val="none"/>
            </w:rPr>
            <w:t>黑龙江省密山市庆先水库除险加固工程土方协议</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_Toc21464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93</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1E9D2CAB">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_Toc26319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图1</w:t>
          </w:r>
          <w:r>
            <w:rPr>
              <w:rFonts w:hint="default" w:ascii="Times New Roman" w:hAnsi="Times New Roman" w:eastAsia="宋体" w:cs="Times New Roman"/>
              <w:b w:val="0"/>
              <w:bCs w:val="0"/>
              <w:color w:val="auto"/>
              <w:highlight w:val="none"/>
              <w:lang w:eastAsia="zh-CN"/>
            </w:rPr>
            <w:t>庆先水库</w:t>
          </w:r>
          <w:r>
            <w:rPr>
              <w:rFonts w:hint="default" w:ascii="Times New Roman" w:hAnsi="Times New Roman" w:eastAsia="宋体" w:cs="Times New Roman"/>
              <w:b w:val="0"/>
              <w:bCs w:val="0"/>
              <w:color w:val="auto"/>
              <w:highlight w:val="none"/>
            </w:rPr>
            <w:t>地理位置示意图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_Toc26319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94</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59D9E1A">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_Toc17712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图2</w:t>
          </w:r>
          <w:r>
            <w:rPr>
              <w:rFonts w:hint="default" w:ascii="Times New Roman" w:hAnsi="Times New Roman" w:eastAsia="宋体" w:cs="Times New Roman"/>
              <w:b w:val="0"/>
              <w:bCs w:val="0"/>
              <w:color w:val="auto"/>
              <w:highlight w:val="none"/>
              <w:lang w:eastAsia="zh-CN"/>
            </w:rPr>
            <w:t>工程总平面布置图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_Toc17712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95</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471DE6FE">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_Toc18414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图3</w:t>
          </w:r>
          <w:r>
            <w:rPr>
              <w:rFonts w:hint="default" w:ascii="Times New Roman" w:hAnsi="Times New Roman" w:eastAsia="宋体" w:cs="Times New Roman"/>
              <w:b w:val="0"/>
              <w:bCs w:val="0"/>
              <w:color w:val="auto"/>
              <w:highlight w:val="none"/>
              <w:lang w:eastAsia="zh-CN"/>
            </w:rPr>
            <w:t>大坝纵断面图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_Toc18414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96</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2020DEB2">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_Toc31489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图4</w:t>
          </w:r>
          <w:r>
            <w:rPr>
              <w:rFonts w:hint="default" w:ascii="Times New Roman" w:hAnsi="Times New Roman" w:eastAsia="宋体" w:cs="Times New Roman"/>
              <w:b w:val="0"/>
              <w:bCs w:val="0"/>
              <w:color w:val="auto"/>
              <w:szCs w:val="24"/>
              <w:highlight w:val="none"/>
              <w:lang w:val="en-US" w:eastAsia="zh-CN"/>
            </w:rPr>
            <w:t>输水洞剖面</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_Toc31489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97</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DB020C1">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_Toc12557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图5溢洪道纵剖面</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_Toc12557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98</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5B88ABF2">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_Toc23949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图6</w:t>
          </w:r>
          <w:r>
            <w:rPr>
              <w:rFonts w:hint="default" w:ascii="Times New Roman" w:hAnsi="Times New Roman" w:eastAsia="宋体" w:cs="Times New Roman"/>
              <w:b w:val="0"/>
              <w:bCs w:val="0"/>
              <w:color w:val="auto"/>
              <w:highlight w:val="none"/>
              <w:lang w:eastAsia="zh-CN"/>
            </w:rPr>
            <w:t>水系图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_Toc23949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99</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312674A">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_Toc30420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图7</w:t>
          </w:r>
          <w:r>
            <w:rPr>
              <w:rFonts w:hint="default" w:ascii="Times New Roman" w:hAnsi="Times New Roman" w:eastAsia="宋体" w:cs="Times New Roman"/>
              <w:b w:val="0"/>
              <w:bCs w:val="0"/>
              <w:color w:val="auto"/>
              <w:highlight w:val="none"/>
              <w:lang w:eastAsia="zh-CN"/>
            </w:rPr>
            <w:t>施工总平面布置图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_Toc30420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100</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4AF03401">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_Toc28314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图8</w:t>
          </w:r>
          <w:r>
            <w:rPr>
              <w:rFonts w:hint="default" w:ascii="Times New Roman" w:hAnsi="Times New Roman" w:eastAsia="宋体" w:cs="Times New Roman"/>
              <w:b w:val="0"/>
              <w:bCs w:val="0"/>
              <w:color w:val="auto"/>
              <w:szCs w:val="24"/>
              <w:highlight w:val="none"/>
            </w:rPr>
            <w:t>环境保护措施</w:t>
          </w:r>
          <w:r>
            <w:rPr>
              <w:rFonts w:hint="default" w:ascii="Times New Roman" w:hAnsi="Times New Roman" w:eastAsia="宋体" w:cs="Times New Roman"/>
              <w:b w:val="0"/>
              <w:bCs w:val="0"/>
              <w:color w:val="auto"/>
              <w:szCs w:val="24"/>
              <w:highlight w:val="none"/>
              <w:lang w:val="en-US" w:eastAsia="zh-CN"/>
            </w:rPr>
            <w:t>总体布局</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_Toc28314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101</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32A803AE">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_Toc7336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图9</w:t>
          </w:r>
          <w:r>
            <w:rPr>
              <w:rFonts w:hint="default" w:ascii="Times New Roman" w:hAnsi="Times New Roman" w:eastAsia="宋体" w:cs="Times New Roman"/>
              <w:b w:val="0"/>
              <w:bCs w:val="0"/>
              <w:color w:val="auto"/>
              <w:szCs w:val="24"/>
              <w:highlight w:val="none"/>
            </w:rPr>
            <w:t>环境保护目标分布及位置关系</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_Toc7336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102</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0D176CFB">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_Toc29130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w:t>
          </w:r>
          <w:r>
            <w:rPr>
              <w:rFonts w:hint="default" w:ascii="Times New Roman" w:hAnsi="Times New Roman" w:eastAsia="宋体" w:cs="Times New Roman"/>
              <w:b w:val="0"/>
              <w:bCs w:val="0"/>
              <w:color w:val="auto"/>
              <w:szCs w:val="24"/>
              <w:highlight w:val="none"/>
              <w:lang w:val="en-US" w:eastAsia="zh-CN"/>
            </w:rPr>
            <w:t>10生态环境监测布点</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_Toc29130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103</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496A7D73">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_Toc13870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w:t>
          </w:r>
          <w:r>
            <w:rPr>
              <w:rFonts w:hint="default" w:ascii="Times New Roman" w:hAnsi="Times New Roman" w:eastAsia="宋体" w:cs="Times New Roman"/>
              <w:b w:val="0"/>
              <w:bCs w:val="0"/>
              <w:color w:val="auto"/>
              <w:szCs w:val="24"/>
              <w:highlight w:val="none"/>
              <w:lang w:val="en-US" w:eastAsia="zh-CN"/>
            </w:rPr>
            <w:t>11项目与生态保护红线位置</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_Toc13870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105</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p>
        <w:p w14:paraId="3FDDEE52">
          <w:pPr>
            <w:pStyle w:val="17"/>
            <w:keepNext w:val="0"/>
            <w:keepLines w:val="0"/>
            <w:pageBreakBefore w:val="0"/>
            <w:widowControl w:val="0"/>
            <w:tabs>
              <w:tab w:val="right" w:leader="dot" w:pos="8844"/>
              <w:tab w:val="clear" w:pos="8364"/>
            </w:tabs>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Cs w:val="24"/>
              <w:highlight w:val="none"/>
            </w:rPr>
            <w:fldChar w:fldCharType="begin"/>
          </w:r>
          <w:r>
            <w:rPr>
              <w:rFonts w:hint="default" w:ascii="Times New Roman" w:hAnsi="Times New Roman" w:eastAsia="宋体" w:cs="Times New Roman"/>
              <w:b w:val="0"/>
              <w:bCs w:val="0"/>
              <w:color w:val="auto"/>
              <w:szCs w:val="24"/>
              <w:highlight w:val="none"/>
            </w:rPr>
            <w:instrText xml:space="preserve"> HYPERLINK \l _Toc14485 </w:instrText>
          </w:r>
          <w:r>
            <w:rPr>
              <w:rFonts w:hint="default" w:ascii="Times New Roman" w:hAnsi="Times New Roman" w:eastAsia="宋体" w:cs="Times New Roman"/>
              <w:b w:val="0"/>
              <w:bCs w:val="0"/>
              <w:color w:val="auto"/>
              <w:szCs w:val="24"/>
              <w:highlight w:val="none"/>
            </w:rPr>
            <w:fldChar w:fldCharType="separate"/>
          </w:r>
          <w:r>
            <w:rPr>
              <w:rFonts w:hint="default" w:ascii="Times New Roman" w:hAnsi="Times New Roman" w:eastAsia="宋体" w:cs="Times New Roman"/>
              <w:b w:val="0"/>
              <w:bCs w:val="0"/>
              <w:color w:val="auto"/>
              <w:szCs w:val="24"/>
              <w:highlight w:val="none"/>
            </w:rPr>
            <w:t>附</w:t>
          </w:r>
          <w:r>
            <w:rPr>
              <w:rFonts w:hint="default" w:ascii="Times New Roman" w:hAnsi="Times New Roman" w:eastAsia="宋体" w:cs="Times New Roman"/>
              <w:b w:val="0"/>
              <w:bCs w:val="0"/>
              <w:color w:val="auto"/>
              <w:highlight w:val="none"/>
              <w:lang w:val="en-US" w:eastAsia="zh-CN"/>
            </w:rPr>
            <w:t>图</w:t>
          </w:r>
          <w:r>
            <w:rPr>
              <w:rFonts w:hint="default" w:ascii="Times New Roman" w:hAnsi="Times New Roman" w:eastAsia="宋体" w:cs="Times New Roman"/>
              <w:b w:val="0"/>
              <w:bCs w:val="0"/>
              <w:color w:val="auto"/>
              <w:szCs w:val="24"/>
              <w:highlight w:val="none"/>
              <w:lang w:val="en-US" w:eastAsia="zh-CN"/>
            </w:rPr>
            <w:t>12典型生态措施布局</w:t>
          </w:r>
          <w:r>
            <w:rPr>
              <w:rFonts w:hint="default" w:ascii="Times New Roman" w:hAnsi="Times New Roman" w:eastAsia="宋体" w:cs="Times New Roman"/>
              <w:b w:val="0"/>
              <w:bCs w:val="0"/>
              <w:color w:val="auto"/>
              <w:highlight w:val="none"/>
              <w:lang w:eastAsia="zh-CN"/>
            </w:rPr>
            <w:t>图</w:t>
          </w:r>
          <w:r>
            <w:rPr>
              <w:rFonts w:hint="default" w:ascii="Times New Roman" w:hAnsi="Times New Roman" w:eastAsia="宋体" w:cs="Times New Roman"/>
              <w:b w:val="0"/>
              <w:bCs w:val="0"/>
              <w:color w:val="auto"/>
            </w:rPr>
            <w:tab/>
          </w:r>
          <w:r>
            <w:rPr>
              <w:rFonts w:hint="default" w:ascii="Times New Roman" w:hAnsi="Times New Roman" w:eastAsia="宋体" w:cs="Times New Roman"/>
              <w:b w:val="0"/>
              <w:bCs w:val="0"/>
              <w:color w:val="auto"/>
            </w:rPr>
            <w:fldChar w:fldCharType="begin"/>
          </w:r>
          <w:r>
            <w:rPr>
              <w:rFonts w:hint="default" w:ascii="Times New Roman" w:hAnsi="Times New Roman" w:eastAsia="宋体" w:cs="Times New Roman"/>
              <w:b w:val="0"/>
              <w:bCs w:val="0"/>
              <w:color w:val="auto"/>
            </w:rPr>
            <w:instrText xml:space="preserve"> PAGEREF _Toc14485 \h </w:instrText>
          </w:r>
          <w:r>
            <w:rPr>
              <w:rFonts w:hint="default" w:ascii="Times New Roman" w:hAnsi="Times New Roman" w:eastAsia="宋体" w:cs="Times New Roman"/>
              <w:b w:val="0"/>
              <w:bCs w:val="0"/>
              <w:color w:val="auto"/>
            </w:rPr>
            <w:fldChar w:fldCharType="separate"/>
          </w:r>
          <w:r>
            <w:rPr>
              <w:rFonts w:hint="default" w:ascii="Times New Roman" w:hAnsi="Times New Roman" w:eastAsia="宋体" w:cs="Times New Roman"/>
              <w:b w:val="0"/>
              <w:bCs w:val="0"/>
              <w:color w:val="auto"/>
            </w:rPr>
            <w:t>106</w:t>
          </w:r>
          <w:r>
            <w:rPr>
              <w:rFonts w:hint="default" w:ascii="Times New Roman" w:hAnsi="Times New Roman" w:eastAsia="宋体" w:cs="Times New Roman"/>
              <w:b w:val="0"/>
              <w:bCs w:val="0"/>
              <w:color w:val="auto"/>
            </w:rPr>
            <w:fldChar w:fldCharType="end"/>
          </w:r>
          <w:r>
            <w:rPr>
              <w:rFonts w:hint="default" w:ascii="Times New Roman" w:hAnsi="Times New Roman" w:eastAsia="宋体" w:cs="Times New Roman"/>
              <w:b w:val="0"/>
              <w:bCs w:val="0"/>
              <w:color w:val="auto"/>
              <w:szCs w:val="24"/>
              <w:highlight w:val="none"/>
            </w:rPr>
            <w:fldChar w:fldCharType="end"/>
          </w:r>
          <w:r>
            <w:rPr>
              <w:rFonts w:hint="default" w:ascii="Times New Roman" w:hAnsi="Times New Roman" w:eastAsia="宋体" w:cs="Times New Roman"/>
              <w:b w:val="0"/>
              <w:bCs w:val="0"/>
              <w:color w:val="auto"/>
              <w:szCs w:val="24"/>
              <w:highlight w:val="none"/>
            </w:rPr>
            <w:fldChar w:fldCharType="end"/>
          </w:r>
        </w:p>
      </w:sdtContent>
    </w:sdt>
    <w:p w14:paraId="63A5FFCD">
      <w:pPr>
        <w:rPr>
          <w:rFonts w:hint="default" w:ascii="Times New Roman" w:hAnsi="Times New Roman" w:cs="Times New Roman"/>
          <w:color w:val="auto"/>
          <w:highlight w:val="none"/>
        </w:rPr>
      </w:pPr>
    </w:p>
    <w:p w14:paraId="08A63C5B">
      <w:pPr>
        <w:pStyle w:val="20"/>
        <w:jc w:val="center"/>
        <w:outlineLvl w:val="0"/>
        <w:rPr>
          <w:rFonts w:hint="default" w:ascii="Times New Roman" w:hAnsi="Times New Roman" w:eastAsia="黑体" w:cs="Times New Roman"/>
          <w:b/>
          <w:bCs/>
          <w:snapToGrid w:val="0"/>
          <w:color w:val="auto"/>
          <w:sz w:val="30"/>
          <w:szCs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185" w:name="_GoBack"/>
      <w:bookmarkEnd w:id="185"/>
    </w:p>
    <w:p w14:paraId="5D8208E1">
      <w:pPr>
        <w:pStyle w:val="20"/>
        <w:jc w:val="center"/>
        <w:outlineLvl w:val="0"/>
        <w:rPr>
          <w:rFonts w:hint="default" w:ascii="Times New Roman" w:hAnsi="Times New Roman" w:eastAsia="黑体" w:cs="Times New Roman"/>
          <w:b/>
          <w:bCs/>
          <w:snapToGrid w:val="0"/>
          <w:color w:val="auto"/>
          <w:sz w:val="30"/>
          <w:szCs w:val="30"/>
          <w:highlight w:val="none"/>
        </w:rPr>
      </w:pPr>
      <w:bookmarkStart w:id="2" w:name="_Toc5334"/>
      <w:bookmarkStart w:id="3" w:name="_Toc6305"/>
      <w:bookmarkStart w:id="4" w:name="_Toc18592"/>
      <w:r>
        <w:rPr>
          <w:rFonts w:hint="default" w:ascii="Times New Roman" w:hAnsi="Times New Roman" w:eastAsia="黑体" w:cs="Times New Roman"/>
          <w:b/>
          <w:bCs/>
          <w:snapToGrid w:val="0"/>
          <w:color w:val="auto"/>
          <w:sz w:val="30"/>
          <w:szCs w:val="30"/>
          <w:highlight w:val="none"/>
        </w:rPr>
        <w:t>一、建设项目基本情况</w:t>
      </w:r>
      <w:bookmarkEnd w:id="1"/>
      <w:bookmarkEnd w:id="2"/>
      <w:bookmarkEnd w:id="3"/>
      <w:bookmarkEnd w:id="4"/>
    </w:p>
    <w:tbl>
      <w:tblPr>
        <w:tblStyle w:val="24"/>
        <w:tblW w:w="8899"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25"/>
        <w:gridCol w:w="2614"/>
        <w:gridCol w:w="1807"/>
        <w:gridCol w:w="2653"/>
      </w:tblGrid>
      <w:tr w14:paraId="288280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5CC0ABF9">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建设项目名称</w:t>
            </w:r>
          </w:p>
        </w:tc>
        <w:tc>
          <w:tcPr>
            <w:tcW w:w="7074" w:type="dxa"/>
            <w:gridSpan w:val="3"/>
            <w:vAlign w:val="center"/>
          </w:tcPr>
          <w:p w14:paraId="730FD57F">
            <w:pPr>
              <w:adjustRightInd w:val="0"/>
              <w:snapToGrid w:val="0"/>
              <w:jc w:val="center"/>
              <w:rPr>
                <w:rFonts w:hint="default" w:ascii="Times New Roman" w:hAnsi="Times New Roman" w:cs="Times New Roman" w:eastAsiaTheme="minorEastAsia"/>
                <w:color w:val="auto"/>
                <w:sz w:val="21"/>
                <w:szCs w:val="21"/>
                <w:highlight w:val="none"/>
                <w:lang w:eastAsia="zh-CN"/>
              </w:rPr>
            </w:pPr>
            <w:r>
              <w:rPr>
                <w:rFonts w:hint="eastAsia" w:ascii="Times New Roman" w:hAnsi="Times New Roman" w:eastAsia="宋体" w:cs="Times New Roman"/>
                <w:color w:val="auto"/>
                <w:kern w:val="21"/>
                <w:sz w:val="21"/>
                <w:szCs w:val="21"/>
                <w:highlight w:val="none"/>
                <w:lang w:val="en-US" w:eastAsia="zh-CN"/>
              </w:rPr>
              <w:t>黑龙江省密山市</w:t>
            </w:r>
            <w:r>
              <w:rPr>
                <w:rFonts w:hint="eastAsia" w:cs="Times New Roman"/>
                <w:color w:val="auto"/>
                <w:kern w:val="21"/>
                <w:sz w:val="21"/>
                <w:szCs w:val="21"/>
                <w:highlight w:val="none"/>
                <w:lang w:val="en-US" w:eastAsia="zh-CN"/>
              </w:rPr>
              <w:t>庆先</w:t>
            </w:r>
            <w:r>
              <w:rPr>
                <w:rFonts w:hint="eastAsia" w:ascii="Times New Roman" w:hAnsi="Times New Roman" w:eastAsia="宋体" w:cs="Times New Roman"/>
                <w:color w:val="auto"/>
                <w:kern w:val="21"/>
                <w:sz w:val="21"/>
                <w:szCs w:val="21"/>
                <w:highlight w:val="none"/>
                <w:lang w:val="en-US" w:eastAsia="zh-CN"/>
              </w:rPr>
              <w:t>水库除险加固工程</w:t>
            </w:r>
          </w:p>
        </w:tc>
      </w:tr>
      <w:tr w14:paraId="1EB8E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63648A0A">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项目代码</w:t>
            </w:r>
          </w:p>
        </w:tc>
        <w:tc>
          <w:tcPr>
            <w:tcW w:w="7074" w:type="dxa"/>
            <w:gridSpan w:val="3"/>
            <w:vAlign w:val="center"/>
          </w:tcPr>
          <w:p w14:paraId="5A94EE1B">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eastAsia="宋体" w:cs="Times New Roman"/>
                <w:color w:val="auto"/>
                <w:highlight w:val="none"/>
                <w:lang w:eastAsia="zh-CN"/>
              </w:rPr>
              <w:t>/</w:t>
            </w:r>
          </w:p>
        </w:tc>
      </w:tr>
      <w:tr w14:paraId="3F0766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457B795E">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建设单位联系人</w:t>
            </w:r>
          </w:p>
        </w:tc>
        <w:tc>
          <w:tcPr>
            <w:tcW w:w="2614" w:type="dxa"/>
            <w:vAlign w:val="center"/>
          </w:tcPr>
          <w:p w14:paraId="4B4ED8BD">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cs="Times New Roman" w:eastAsiaTheme="minorEastAsia"/>
                <w:color w:val="auto"/>
                <w:sz w:val="21"/>
                <w:szCs w:val="21"/>
                <w:highlight w:val="none"/>
                <w:lang w:eastAsia="zh-CN"/>
              </w:rPr>
            </w:pPr>
            <w:r>
              <w:rPr>
                <w:rFonts w:hint="default" w:ascii="Times New Roman" w:hAnsi="Times New Roman" w:eastAsia="宋体" w:cs="Times New Roman"/>
                <w:color w:val="auto"/>
                <w:kern w:val="21"/>
                <w:sz w:val="21"/>
                <w:szCs w:val="21"/>
                <w:highlight w:val="none"/>
              </w:rPr>
              <w:t>宋金松</w:t>
            </w:r>
          </w:p>
        </w:tc>
        <w:tc>
          <w:tcPr>
            <w:tcW w:w="1807" w:type="dxa"/>
            <w:vAlign w:val="center"/>
          </w:tcPr>
          <w:p w14:paraId="158CBD7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联系方式</w:t>
            </w:r>
          </w:p>
        </w:tc>
        <w:tc>
          <w:tcPr>
            <w:tcW w:w="2653" w:type="dxa"/>
            <w:vAlign w:val="center"/>
          </w:tcPr>
          <w:p w14:paraId="2D44432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eastAsia="宋体" w:cs="Times New Roman"/>
                <w:color w:val="auto"/>
                <w:kern w:val="21"/>
                <w:sz w:val="21"/>
                <w:szCs w:val="21"/>
                <w:highlight w:val="none"/>
              </w:rPr>
              <w:t>0467-5224504</w:t>
            </w:r>
          </w:p>
        </w:tc>
      </w:tr>
      <w:tr w14:paraId="0302B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6611D494">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建设地点</w:t>
            </w:r>
          </w:p>
        </w:tc>
        <w:tc>
          <w:tcPr>
            <w:tcW w:w="7074" w:type="dxa"/>
            <w:gridSpan w:val="3"/>
            <w:vAlign w:val="center"/>
          </w:tcPr>
          <w:p w14:paraId="350FEE78">
            <w:pPr>
              <w:adjustRightInd w:val="0"/>
              <w:snapToGrid w:val="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黑龙江省</w:t>
            </w:r>
            <w:r>
              <w:rPr>
                <w:rFonts w:hint="default" w:ascii="Times New Roman" w:hAnsi="Times New Roman" w:cs="Times New Roman" w:eastAsiaTheme="minorEastAsia"/>
                <w:color w:val="auto"/>
                <w:sz w:val="21"/>
                <w:szCs w:val="21"/>
                <w:highlight w:val="none"/>
                <w:lang w:eastAsia="zh-CN"/>
              </w:rPr>
              <w:t>鸡西市</w:t>
            </w:r>
            <w:r>
              <w:rPr>
                <w:rFonts w:hint="eastAsia" w:cs="Times New Roman"/>
                <w:color w:val="auto"/>
                <w:highlight w:val="none"/>
                <w:lang w:val="en-US" w:eastAsia="zh-CN"/>
              </w:rPr>
              <w:t>密山市黑台镇北4.0km处庆先水库</w:t>
            </w:r>
          </w:p>
        </w:tc>
      </w:tr>
      <w:tr w14:paraId="6E1D8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45DF4B2D">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地理坐标</w:t>
            </w:r>
          </w:p>
        </w:tc>
        <w:tc>
          <w:tcPr>
            <w:tcW w:w="7074" w:type="dxa"/>
            <w:gridSpan w:val="3"/>
            <w:vAlign w:val="center"/>
          </w:tcPr>
          <w:p w14:paraId="77CC5CF7">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水库大坝：东经131°</w:t>
            </w:r>
            <w:r>
              <w:rPr>
                <w:rFonts w:hint="eastAsia" w:cs="Times New Roman" w:eastAsiaTheme="minorEastAsia"/>
                <w:color w:val="auto"/>
                <w:sz w:val="21"/>
                <w:szCs w:val="21"/>
                <w:highlight w:val="none"/>
                <w:lang w:val="en-US" w:eastAsia="zh-CN"/>
              </w:rPr>
              <w:t>36</w:t>
            </w:r>
            <w:r>
              <w:rPr>
                <w:rFonts w:hint="default" w:ascii="Times New Roman" w:hAnsi="Times New Roman" w:cs="Times New Roman" w:eastAsiaTheme="minorEastAsia"/>
                <w:color w:val="auto"/>
                <w:sz w:val="21"/>
                <w:szCs w:val="21"/>
                <w:highlight w:val="none"/>
              </w:rPr>
              <w:t>'</w:t>
            </w:r>
            <w:r>
              <w:rPr>
                <w:rFonts w:hint="eastAsia" w:cs="Times New Roman" w:eastAsiaTheme="minorEastAsia"/>
                <w:color w:val="auto"/>
                <w:sz w:val="21"/>
                <w:szCs w:val="21"/>
                <w:highlight w:val="none"/>
                <w:lang w:val="en-US" w:eastAsia="zh-CN"/>
              </w:rPr>
              <w:t>17</w:t>
            </w:r>
            <w:r>
              <w:rPr>
                <w:rFonts w:hint="default" w:ascii="Times New Roman" w:hAnsi="Times New Roman" w:cs="Times New Roman" w:eastAsiaTheme="minorEastAsia"/>
                <w:color w:val="auto"/>
                <w:sz w:val="21"/>
                <w:szCs w:val="21"/>
                <w:highlight w:val="none"/>
              </w:rPr>
              <w:t>.</w:t>
            </w:r>
            <w:r>
              <w:rPr>
                <w:rFonts w:hint="eastAsia" w:cs="Times New Roman" w:eastAsiaTheme="minorEastAsia"/>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rPr>
              <w:t>4"，北纬</w:t>
            </w:r>
            <w:r>
              <w:rPr>
                <w:rFonts w:hint="eastAsia" w:cs="Times New Roman" w:eastAsiaTheme="minorEastAsia"/>
                <w:color w:val="auto"/>
                <w:sz w:val="21"/>
                <w:szCs w:val="21"/>
                <w:highlight w:val="none"/>
                <w:lang w:val="en-US" w:eastAsia="zh-CN"/>
              </w:rPr>
              <w:t>45</w:t>
            </w:r>
            <w:r>
              <w:rPr>
                <w:rFonts w:hint="default" w:ascii="Times New Roman" w:hAnsi="Times New Roman" w:cs="Times New Roman" w:eastAsiaTheme="minorEastAsia"/>
                <w:color w:val="auto"/>
                <w:sz w:val="21"/>
                <w:szCs w:val="21"/>
                <w:highlight w:val="none"/>
              </w:rPr>
              <w:t>°2</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rPr>
              <w:t>'</w:t>
            </w:r>
            <w:r>
              <w:rPr>
                <w:rFonts w:hint="eastAsia" w:cs="Times New Roman" w:eastAsiaTheme="minorEastAsia"/>
                <w:color w:val="auto"/>
                <w:sz w:val="21"/>
                <w:szCs w:val="21"/>
                <w:highlight w:val="none"/>
                <w:lang w:val="en-US" w:eastAsia="zh-CN"/>
              </w:rPr>
              <w:t>24.886</w:t>
            </w:r>
            <w:r>
              <w:rPr>
                <w:rFonts w:hint="default" w:ascii="Times New Roman" w:hAnsi="Times New Roman" w:cs="Times New Roman" w:eastAsiaTheme="minorEastAsia"/>
                <w:color w:val="auto"/>
                <w:sz w:val="21"/>
                <w:szCs w:val="21"/>
                <w:highlight w:val="none"/>
              </w:rPr>
              <w:t>"</w:t>
            </w:r>
          </w:p>
        </w:tc>
      </w:tr>
      <w:tr w14:paraId="7B247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3C460C4">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建设项目</w:t>
            </w:r>
          </w:p>
          <w:p w14:paraId="66010AC8">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行业类别</w:t>
            </w:r>
          </w:p>
        </w:tc>
        <w:tc>
          <w:tcPr>
            <w:tcW w:w="2614" w:type="dxa"/>
            <w:vAlign w:val="center"/>
          </w:tcPr>
          <w:p w14:paraId="2F56E2D0">
            <w:pPr>
              <w:adjustRightInd w:val="0"/>
              <w:snapToGrid w:val="0"/>
              <w:spacing w:line="280" w:lineRule="exac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sz w:val="21"/>
                <w:szCs w:val="21"/>
                <w:highlight w:val="none"/>
              </w:rPr>
              <w:t>五十一、水利12</w:t>
            </w:r>
            <w:r>
              <w:rPr>
                <w:rFonts w:hint="eastAsia" w:cs="Times New Roman"/>
                <w:color w:val="auto"/>
                <w:sz w:val="21"/>
                <w:szCs w:val="21"/>
                <w:highlight w:val="none"/>
                <w:lang w:val="en-US" w:eastAsia="zh-CN"/>
              </w:rPr>
              <w:t>4水库</w:t>
            </w:r>
          </w:p>
        </w:tc>
        <w:tc>
          <w:tcPr>
            <w:tcW w:w="1807" w:type="dxa"/>
            <w:vAlign w:val="center"/>
          </w:tcPr>
          <w:p w14:paraId="3ECE8ECA">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用地面积（m</w:t>
            </w:r>
            <w:r>
              <w:rPr>
                <w:rFonts w:hint="default" w:ascii="Times New Roman" w:hAnsi="Times New Roman" w:cs="Times New Roman" w:eastAsiaTheme="minorEastAsia"/>
                <w:color w:val="auto"/>
                <w:sz w:val="21"/>
                <w:szCs w:val="21"/>
                <w:highlight w:val="none"/>
                <w:vertAlign w:val="superscript"/>
              </w:rPr>
              <w:t>2</w:t>
            </w:r>
            <w:r>
              <w:rPr>
                <w:rFonts w:hint="default" w:ascii="Times New Roman" w:hAnsi="Times New Roman" w:cs="Times New Roman" w:eastAsiaTheme="minorEastAsia"/>
                <w:color w:val="auto"/>
                <w:sz w:val="21"/>
                <w:szCs w:val="21"/>
                <w:highlight w:val="none"/>
              </w:rPr>
              <w:t>）</w:t>
            </w:r>
          </w:p>
          <w:p w14:paraId="7A3CFAC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/长度（km）</w:t>
            </w:r>
          </w:p>
        </w:tc>
        <w:tc>
          <w:tcPr>
            <w:tcW w:w="2653" w:type="dxa"/>
            <w:vAlign w:val="center"/>
          </w:tcPr>
          <w:p w14:paraId="6518D32A">
            <w:pPr>
              <w:keepNext w:val="0"/>
              <w:keepLines w:val="0"/>
              <w:pageBreakBefore w:val="0"/>
              <w:widowControl/>
              <w:kinsoku/>
              <w:wordWrap/>
              <w:overflowPunct/>
              <w:topLinePunct w:val="0"/>
              <w:autoSpaceDE/>
              <w:autoSpaceDN/>
              <w:bidi w:val="0"/>
              <w:adjustRightInd/>
              <w:snapToGrid/>
              <w:jc w:val="both"/>
              <w:textAlignment w:val="auto"/>
              <w:rPr>
                <w:rFonts w:hint="eastAsia"/>
                <w:color w:val="auto"/>
                <w:kern w:val="0"/>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永久占地</w:t>
            </w:r>
            <w:r>
              <w:rPr>
                <w:rFonts w:hint="eastAsia" w:cs="Times New Roman" w:eastAsiaTheme="minorEastAsia"/>
                <w:color w:val="auto"/>
                <w:sz w:val="21"/>
                <w:szCs w:val="21"/>
                <w:highlight w:val="none"/>
                <w:lang w:val="en-US" w:eastAsia="zh-CN"/>
              </w:rPr>
              <w:t>：不新增永久占地</w:t>
            </w:r>
          </w:p>
          <w:p w14:paraId="168E3DEE">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Cs/>
                <w:color w:val="auto"/>
                <w:sz w:val="21"/>
                <w:szCs w:val="21"/>
                <w:highlight w:val="none"/>
              </w:rPr>
              <w:t>临时占地</w:t>
            </w:r>
            <w:r>
              <w:rPr>
                <w:rFonts w:hint="eastAsia" w:cs="Times New Roman" w:eastAsiaTheme="minorEastAsia"/>
                <w:bCs/>
                <w:color w:val="auto"/>
                <w:sz w:val="21"/>
                <w:szCs w:val="21"/>
                <w:highlight w:val="none"/>
                <w:lang w:eastAsia="zh-CN"/>
              </w:rPr>
              <w:t>：</w:t>
            </w:r>
            <w:r>
              <w:rPr>
                <w:rFonts w:hint="eastAsia"/>
                <w:color w:val="auto"/>
                <w:kern w:val="0"/>
                <w:sz w:val="21"/>
                <w:szCs w:val="21"/>
                <w:highlight w:val="none"/>
                <w:lang w:val="en-US" w:eastAsia="zh-CN"/>
              </w:rPr>
              <w:t>0.37</w:t>
            </w:r>
            <w:r>
              <w:rPr>
                <w:rFonts w:hint="eastAsia"/>
                <w:color w:val="auto"/>
                <w:kern w:val="0"/>
                <w:sz w:val="21"/>
                <w:szCs w:val="21"/>
                <w:highlight w:val="none"/>
              </w:rPr>
              <w:t>hm</w:t>
            </w:r>
            <w:r>
              <w:rPr>
                <w:rFonts w:hint="eastAsia"/>
                <w:color w:val="auto"/>
                <w:kern w:val="0"/>
                <w:sz w:val="21"/>
                <w:szCs w:val="21"/>
                <w:highlight w:val="none"/>
                <w:vertAlign w:val="superscript"/>
              </w:rPr>
              <w:t>2</w:t>
            </w:r>
          </w:p>
        </w:tc>
      </w:tr>
      <w:tr w14:paraId="3A27BA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929CCB1">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建设性质</w:t>
            </w:r>
          </w:p>
        </w:tc>
        <w:tc>
          <w:tcPr>
            <w:tcW w:w="2614" w:type="dxa"/>
            <w:vAlign w:val="center"/>
          </w:tcPr>
          <w:p w14:paraId="4BD24A2A">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□新建（迁建）</w:t>
            </w:r>
          </w:p>
          <w:p w14:paraId="01E67298">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☑改建</w:t>
            </w:r>
          </w:p>
          <w:p w14:paraId="076A88F6">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□扩建</w:t>
            </w:r>
          </w:p>
          <w:p w14:paraId="1B6563A7">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□技术改造</w:t>
            </w:r>
          </w:p>
        </w:tc>
        <w:tc>
          <w:tcPr>
            <w:tcW w:w="1807" w:type="dxa"/>
            <w:vAlign w:val="center"/>
          </w:tcPr>
          <w:p w14:paraId="5F52DD5C">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建设项目</w:t>
            </w:r>
          </w:p>
          <w:p w14:paraId="68A8B4BC">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申报情形</w:t>
            </w:r>
          </w:p>
        </w:tc>
        <w:tc>
          <w:tcPr>
            <w:tcW w:w="2653" w:type="dxa"/>
            <w:vAlign w:val="center"/>
          </w:tcPr>
          <w:p w14:paraId="338F488B">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☑首次申报项目</w:t>
            </w:r>
          </w:p>
          <w:p w14:paraId="77694530">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□不予批准后再次申报项目</w:t>
            </w:r>
          </w:p>
          <w:p w14:paraId="55EDAFEC">
            <w:pPr>
              <w:adjustRightInd w:val="0"/>
              <w:snapToGrid w:val="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□超五年重新审核项目</w:t>
            </w:r>
          </w:p>
          <w:p w14:paraId="7E850A1C">
            <w:pPr>
              <w:adjustRightInd w:val="0"/>
              <w:snapToGrid w:val="0"/>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□重大变动重新报批项目</w:t>
            </w:r>
          </w:p>
        </w:tc>
      </w:tr>
      <w:tr w14:paraId="16E3D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5247EA90">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项目审批（核准/</w:t>
            </w:r>
          </w:p>
          <w:p w14:paraId="70CB9C02">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备案）部门（选填）</w:t>
            </w:r>
          </w:p>
        </w:tc>
        <w:tc>
          <w:tcPr>
            <w:tcW w:w="2614" w:type="dxa"/>
            <w:vAlign w:val="center"/>
          </w:tcPr>
          <w:p w14:paraId="46F2DBC6">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highlight w:val="none"/>
                <w:lang w:eastAsia="zh-CN"/>
              </w:rPr>
              <w:t>/</w:t>
            </w:r>
          </w:p>
        </w:tc>
        <w:tc>
          <w:tcPr>
            <w:tcW w:w="1807" w:type="dxa"/>
            <w:vAlign w:val="center"/>
          </w:tcPr>
          <w:p w14:paraId="112ABD06">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项目审批（核准/</w:t>
            </w:r>
          </w:p>
          <w:p w14:paraId="2E8C7BA1">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备案）文号（选填）</w:t>
            </w:r>
          </w:p>
        </w:tc>
        <w:tc>
          <w:tcPr>
            <w:tcW w:w="2653" w:type="dxa"/>
            <w:vAlign w:val="center"/>
          </w:tcPr>
          <w:p w14:paraId="0B36DBFD">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highlight w:val="none"/>
                <w:lang w:eastAsia="zh-CN"/>
              </w:rPr>
              <w:t>/</w:t>
            </w:r>
          </w:p>
        </w:tc>
      </w:tr>
      <w:tr w14:paraId="2D8FF2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0A5AC33C">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总投资（万元）</w:t>
            </w:r>
          </w:p>
        </w:tc>
        <w:tc>
          <w:tcPr>
            <w:tcW w:w="2614" w:type="dxa"/>
            <w:vAlign w:val="center"/>
          </w:tcPr>
          <w:p w14:paraId="6CD3B7CF">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color w:val="auto"/>
                <w:sz w:val="21"/>
                <w:szCs w:val="21"/>
                <w:highlight w:val="none"/>
              </w:rPr>
              <w:t>446.80</w:t>
            </w:r>
          </w:p>
        </w:tc>
        <w:tc>
          <w:tcPr>
            <w:tcW w:w="1807" w:type="dxa"/>
            <w:tcMar>
              <w:top w:w="16" w:type="dxa"/>
              <w:left w:w="16" w:type="dxa"/>
              <w:right w:w="16" w:type="dxa"/>
            </w:tcMar>
            <w:vAlign w:val="center"/>
          </w:tcPr>
          <w:p w14:paraId="69404792">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环保投资（万元）</w:t>
            </w:r>
          </w:p>
        </w:tc>
        <w:tc>
          <w:tcPr>
            <w:tcW w:w="2653" w:type="dxa"/>
            <w:vAlign w:val="center"/>
          </w:tcPr>
          <w:p w14:paraId="12C84725">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29.63</w:t>
            </w:r>
          </w:p>
        </w:tc>
      </w:tr>
      <w:tr w14:paraId="020BFC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70E1FFC">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环保投资占比（%）</w:t>
            </w:r>
          </w:p>
        </w:tc>
        <w:tc>
          <w:tcPr>
            <w:tcW w:w="2614" w:type="dxa"/>
            <w:vAlign w:val="center"/>
          </w:tcPr>
          <w:p w14:paraId="799DF0FF">
            <w:pPr>
              <w:adjustRightInd w:val="0"/>
              <w:snapToGrid w:val="0"/>
              <w:jc w:val="center"/>
              <w:rPr>
                <w:rFonts w:hint="default" w:ascii="Times New Roman" w:hAnsi="Times New Roman" w:cs="Times New Roman" w:eastAsiaTheme="minorEastAsia"/>
                <w:color w:val="auto"/>
                <w:sz w:val="21"/>
                <w:szCs w:val="21"/>
                <w:highlight w:val="none"/>
              </w:rPr>
            </w:pPr>
            <w:r>
              <w:rPr>
                <w:rFonts w:hint="eastAsia" w:cs="Times New Roman" w:eastAsiaTheme="minorEastAsia"/>
                <w:color w:val="auto"/>
                <w:sz w:val="21"/>
                <w:szCs w:val="21"/>
                <w:highlight w:val="none"/>
                <w:lang w:val="en-US" w:eastAsia="zh-CN"/>
              </w:rPr>
              <w:t>6.63</w:t>
            </w:r>
            <w:r>
              <w:rPr>
                <w:rFonts w:hint="default" w:ascii="Times New Roman" w:hAnsi="Times New Roman" w:cs="Times New Roman" w:eastAsiaTheme="minorEastAsia"/>
                <w:color w:val="auto"/>
                <w:sz w:val="21"/>
                <w:szCs w:val="21"/>
                <w:highlight w:val="none"/>
              </w:rPr>
              <w:t>%</w:t>
            </w:r>
          </w:p>
        </w:tc>
        <w:tc>
          <w:tcPr>
            <w:tcW w:w="1807" w:type="dxa"/>
            <w:tcMar>
              <w:top w:w="16" w:type="dxa"/>
              <w:left w:w="16" w:type="dxa"/>
              <w:right w:w="16" w:type="dxa"/>
            </w:tcMar>
            <w:vAlign w:val="center"/>
          </w:tcPr>
          <w:p w14:paraId="14213953">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施工工期</w:t>
            </w:r>
          </w:p>
        </w:tc>
        <w:tc>
          <w:tcPr>
            <w:tcW w:w="2653" w:type="dxa"/>
            <w:vAlign w:val="center"/>
          </w:tcPr>
          <w:p w14:paraId="677ED440">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202</w:t>
            </w:r>
            <w:r>
              <w:rPr>
                <w:rFonts w:hint="eastAsia" w:cs="Times New Roman" w:eastAsiaTheme="minorEastAsia"/>
                <w:color w:val="auto"/>
                <w:sz w:val="21"/>
                <w:szCs w:val="21"/>
                <w:highlight w:val="none"/>
                <w:lang w:val="en-US" w:eastAsia="zh-CN"/>
              </w:rPr>
              <w:t>6</w:t>
            </w:r>
            <w:r>
              <w:rPr>
                <w:rFonts w:hint="default" w:ascii="Times New Roman" w:hAnsi="Times New Roman" w:cs="Times New Roman" w:eastAsiaTheme="minorEastAsia"/>
                <w:color w:val="auto"/>
                <w:sz w:val="21"/>
                <w:szCs w:val="21"/>
                <w:highlight w:val="none"/>
              </w:rPr>
              <w:t>年</w:t>
            </w:r>
            <w:r>
              <w:rPr>
                <w:rFonts w:hint="eastAsia" w:cs="Times New Roman" w:eastAsiaTheme="minorEastAsia"/>
                <w:color w:val="auto"/>
                <w:sz w:val="21"/>
                <w:szCs w:val="21"/>
                <w:highlight w:val="none"/>
                <w:lang w:val="en-US" w:eastAsia="zh-CN"/>
              </w:rPr>
              <w:t>6</w:t>
            </w:r>
            <w:r>
              <w:rPr>
                <w:rFonts w:hint="default" w:ascii="Times New Roman" w:hAnsi="Times New Roman" w:cs="Times New Roman" w:eastAsiaTheme="minorEastAsia"/>
                <w:color w:val="auto"/>
                <w:sz w:val="21"/>
                <w:szCs w:val="21"/>
                <w:highlight w:val="none"/>
              </w:rPr>
              <w:t>月-202</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rPr>
              <w:t>年</w:t>
            </w:r>
            <w:r>
              <w:rPr>
                <w:rFonts w:hint="eastAsia"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rPr>
              <w:t>月</w:t>
            </w:r>
          </w:p>
        </w:tc>
      </w:tr>
      <w:tr w14:paraId="72016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0D6B7B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是否开工建设</w:t>
            </w:r>
          </w:p>
        </w:tc>
        <w:tc>
          <w:tcPr>
            <w:tcW w:w="7074" w:type="dxa"/>
            <w:gridSpan w:val="3"/>
            <w:vAlign w:val="center"/>
          </w:tcPr>
          <w:p w14:paraId="541F5BDC">
            <w:pPr>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cs="Times New Roman" w:eastAsiaTheme="minorEastAsia"/>
                <w:bCs/>
                <w:color w:val="auto"/>
                <w:sz w:val="21"/>
                <w:szCs w:val="21"/>
                <w:highlight w:val="none"/>
              </w:rPr>
            </w:pPr>
            <w:r>
              <w:rPr>
                <w:rFonts w:hint="default" w:ascii="Times New Roman" w:hAnsi="Times New Roman" w:cs="Times New Roman" w:eastAsiaTheme="minorEastAsia"/>
                <w:bCs/>
                <w:color w:val="auto"/>
                <w:sz w:val="21"/>
                <w:szCs w:val="21"/>
                <w:highlight w:val="none"/>
              </w:rPr>
              <w:t>☑否</w:t>
            </w:r>
          </w:p>
          <w:p w14:paraId="041EBBE1">
            <w:pPr>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cs="Times New Roman" w:eastAsiaTheme="minorEastAsia"/>
                <w:bCs/>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rPr>
              <w:t>□是：</w:t>
            </w:r>
            <w:r>
              <w:rPr>
                <w:rFonts w:hint="eastAsia" w:cs="Times New Roman" w:eastAsiaTheme="minorEastAsia"/>
                <w:bCs/>
                <w:color w:val="auto"/>
                <w:sz w:val="21"/>
                <w:szCs w:val="21"/>
                <w:highlight w:val="none"/>
                <w:u w:val="single"/>
                <w:lang w:val="en-US" w:eastAsia="zh-CN"/>
              </w:rPr>
              <w:t xml:space="preserve">     </w:t>
            </w:r>
          </w:p>
        </w:tc>
      </w:tr>
      <w:tr w14:paraId="517C5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53D442FC">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kern w:val="0"/>
                <w:sz w:val="21"/>
                <w:szCs w:val="21"/>
                <w:highlight w:val="none"/>
              </w:rPr>
              <w:t>专项评价设置情况</w:t>
            </w:r>
          </w:p>
        </w:tc>
        <w:tc>
          <w:tcPr>
            <w:tcW w:w="7074" w:type="dxa"/>
            <w:gridSpan w:val="3"/>
            <w:tcMar>
              <w:top w:w="17" w:type="dxa"/>
              <w:left w:w="74" w:type="dxa"/>
              <w:right w:w="74" w:type="dxa"/>
            </w:tcMar>
            <w:vAlign w:val="center"/>
          </w:tcPr>
          <w:p w14:paraId="404376F8">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color w:val="auto"/>
                <w:kern w:val="0"/>
                <w:szCs w:val="21"/>
              </w:rPr>
            </w:pPr>
            <w:r>
              <w:rPr>
                <w:color w:val="auto"/>
                <w:kern w:val="0"/>
                <w:szCs w:val="21"/>
              </w:rPr>
              <w:t>根据《建设项目环境影响报告表编制技术指南（生态影响类）（试行）》，项目专项设置情况参照下表。</w:t>
            </w:r>
          </w:p>
          <w:p w14:paraId="1746FC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表1-1专项评价设置原则表</w:t>
            </w:r>
          </w:p>
          <w:tbl>
            <w:tblPr>
              <w:tblStyle w:val="41"/>
              <w:tblW w:w="5000" w:type="pct"/>
              <w:jc w:val="center"/>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00"/>
              <w:gridCol w:w="2957"/>
              <w:gridCol w:w="2322"/>
              <w:gridCol w:w="747"/>
            </w:tblGrid>
            <w:tr w14:paraId="7B33AF0D">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vAlign w:val="center"/>
                </w:tcPr>
                <w:p w14:paraId="7984519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专项评价的类别</w:t>
                  </w:r>
                </w:p>
              </w:tc>
              <w:tc>
                <w:tcPr>
                  <w:tcW w:w="2957" w:type="dxa"/>
                  <w:vAlign w:val="center"/>
                </w:tcPr>
                <w:p w14:paraId="7C33BD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涉及项目类别</w:t>
                  </w:r>
                </w:p>
              </w:tc>
              <w:tc>
                <w:tcPr>
                  <w:tcW w:w="2322" w:type="dxa"/>
                  <w:vAlign w:val="center"/>
                </w:tcPr>
                <w:p w14:paraId="1F64864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本项目情况</w:t>
                  </w:r>
                </w:p>
              </w:tc>
              <w:tc>
                <w:tcPr>
                  <w:tcW w:w="747" w:type="dxa"/>
                  <w:vAlign w:val="center"/>
                </w:tcPr>
                <w:p w14:paraId="4E76EEB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设置</w:t>
                  </w:r>
                </w:p>
                <w:p w14:paraId="6D1CEBF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情况</w:t>
                  </w:r>
                </w:p>
              </w:tc>
            </w:tr>
            <w:tr w14:paraId="5C826468">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vAlign w:val="center"/>
                </w:tcPr>
                <w:p w14:paraId="460D41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w:t>
                  </w:r>
                  <w:r>
                    <w:rPr>
                      <w:rFonts w:hint="default" w:ascii="Times New Roman" w:hAnsi="Times New Roman" w:eastAsia="宋体" w:cs="Times New Roman"/>
                      <w:color w:val="auto"/>
                      <w:sz w:val="18"/>
                      <w:szCs w:val="18"/>
                      <w:highlight w:val="none"/>
                      <w:lang w:eastAsia="zh-CN"/>
                    </w:rPr>
                    <w:t>表</w:t>
                  </w:r>
                  <w:r>
                    <w:rPr>
                      <w:rFonts w:hint="default" w:ascii="Times New Roman" w:hAnsi="Times New Roman" w:eastAsia="宋体" w:cs="Times New Roman"/>
                      <w:color w:val="auto"/>
                      <w:sz w:val="18"/>
                      <w:szCs w:val="18"/>
                      <w:highlight w:val="none"/>
                    </w:rPr>
                    <w:t>水</w:t>
                  </w:r>
                </w:p>
              </w:tc>
              <w:tc>
                <w:tcPr>
                  <w:tcW w:w="2957" w:type="dxa"/>
                  <w:vAlign w:val="center"/>
                </w:tcPr>
                <w:p w14:paraId="078790E9">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水力发电：引水式发电、涉及调峰发电的项目；人工湖、人工湿地：全部；水库：全部；</w:t>
                  </w:r>
                </w:p>
                <w:p w14:paraId="3DD4143C">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引水工程：全部（配套的管线工程等除外）；防洪除涝工程：包含水库的项目；</w:t>
                  </w:r>
                </w:p>
                <w:p w14:paraId="33834E2A">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河湖整治：</w:t>
                  </w:r>
                  <w:r>
                    <w:rPr>
                      <w:rFonts w:hint="default" w:ascii="Times New Roman" w:hAnsi="Times New Roman" w:eastAsia="宋体" w:cs="Times New Roman"/>
                      <w:color w:val="auto"/>
                      <w:sz w:val="18"/>
                      <w:szCs w:val="18"/>
                      <w:highlight w:val="none"/>
                      <w:lang w:val="en-US" w:eastAsia="zh-CN"/>
                    </w:rPr>
                    <w:t>涉</w:t>
                  </w:r>
                  <w:r>
                    <w:rPr>
                      <w:rFonts w:hint="default" w:ascii="Times New Roman" w:hAnsi="Times New Roman" w:eastAsia="宋体" w:cs="Times New Roman"/>
                      <w:color w:val="auto"/>
                      <w:sz w:val="18"/>
                      <w:szCs w:val="18"/>
                      <w:highlight w:val="none"/>
                      <w:lang w:eastAsia="zh-CN"/>
                    </w:rPr>
                    <w:t>及清淤且底泥存在重金污染的项目</w:t>
                  </w:r>
                </w:p>
              </w:tc>
              <w:tc>
                <w:tcPr>
                  <w:tcW w:w="2322" w:type="dxa"/>
                  <w:vAlign w:val="center"/>
                </w:tcPr>
                <w:p w14:paraId="139DD4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eastAsiaTheme="minorEastAsia"/>
                      <w:snapToGrid w:val="0"/>
                      <w:color w:val="auto"/>
                      <w:spacing w:val="0"/>
                      <w:kern w:val="0"/>
                      <w:sz w:val="18"/>
                      <w:szCs w:val="18"/>
                      <w:highlight w:val="none"/>
                      <w:lang w:bidi="ar"/>
                    </w:rPr>
                    <w:t>本工程为水利工程中水库类别，因此，应设置地表水评价。</w:t>
                  </w:r>
                </w:p>
              </w:tc>
              <w:tc>
                <w:tcPr>
                  <w:tcW w:w="747" w:type="dxa"/>
                  <w:vAlign w:val="center"/>
                </w:tcPr>
                <w:p w14:paraId="1FD70FF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是</w:t>
                  </w:r>
                </w:p>
              </w:tc>
            </w:tr>
            <w:tr w14:paraId="07B7FA6D">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tcBorders>
                    <w:bottom w:val="single" w:color="000000" w:sz="6" w:space="0"/>
                  </w:tcBorders>
                  <w:shd w:val="clear" w:color="auto" w:fill="auto"/>
                  <w:vAlign w:val="center"/>
                </w:tcPr>
                <w:p w14:paraId="59B67C4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w:t>
                  </w:r>
                  <w:r>
                    <w:rPr>
                      <w:rFonts w:hint="default" w:ascii="Times New Roman" w:hAnsi="Times New Roman" w:eastAsia="宋体" w:cs="Times New Roman"/>
                      <w:color w:val="auto"/>
                      <w:sz w:val="18"/>
                      <w:szCs w:val="18"/>
                      <w:highlight w:val="none"/>
                      <w:lang w:eastAsia="zh-CN"/>
                    </w:rPr>
                    <w:t>下</w:t>
                  </w:r>
                  <w:r>
                    <w:rPr>
                      <w:rFonts w:hint="default" w:ascii="Times New Roman" w:hAnsi="Times New Roman" w:eastAsia="宋体" w:cs="Times New Roman"/>
                      <w:color w:val="auto"/>
                      <w:sz w:val="18"/>
                      <w:szCs w:val="18"/>
                      <w:highlight w:val="none"/>
                    </w:rPr>
                    <w:t>水</w:t>
                  </w:r>
                </w:p>
              </w:tc>
              <w:tc>
                <w:tcPr>
                  <w:tcW w:w="2957" w:type="dxa"/>
                  <w:tcBorders>
                    <w:bottom w:val="single" w:color="000000" w:sz="6" w:space="0"/>
                  </w:tcBorders>
                  <w:shd w:val="clear" w:color="auto" w:fill="auto"/>
                  <w:vAlign w:val="center"/>
                </w:tcPr>
                <w:p w14:paraId="437D8378">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陆地石油和天然气开采：全部；</w:t>
                  </w:r>
                </w:p>
                <w:p w14:paraId="573ED4F3">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地下水（含矿泉水）开采：全部；</w:t>
                  </w:r>
                </w:p>
                <w:p w14:paraId="690ECBE4">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水利、水电、交通等：含穿越可溶岩地层隧道的项目</w:t>
                  </w:r>
                </w:p>
              </w:tc>
              <w:tc>
                <w:tcPr>
                  <w:tcW w:w="2322" w:type="dxa"/>
                  <w:tcBorders>
                    <w:bottom w:val="single" w:color="000000" w:sz="6" w:space="0"/>
                  </w:tcBorders>
                  <w:shd w:val="clear" w:color="auto" w:fill="auto"/>
                  <w:vAlign w:val="center"/>
                </w:tcPr>
                <w:p w14:paraId="2B41E40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eastAsiaTheme="minorEastAsia"/>
                      <w:snapToGrid w:val="0"/>
                      <w:color w:val="auto"/>
                      <w:spacing w:val="0"/>
                      <w:kern w:val="0"/>
                      <w:sz w:val="18"/>
                      <w:szCs w:val="18"/>
                      <w:highlight w:val="none"/>
                      <w:lang w:bidi="ar"/>
                    </w:rPr>
                    <w:t>水利工程中水库类别，不属于包含穿越可溶岩地层隧道的项目类别，因此，无须设置地下水专项。</w:t>
                  </w:r>
                </w:p>
              </w:tc>
              <w:tc>
                <w:tcPr>
                  <w:tcW w:w="747" w:type="dxa"/>
                  <w:tcBorders>
                    <w:bottom w:val="single" w:color="000000" w:sz="6" w:space="0"/>
                  </w:tcBorders>
                  <w:shd w:val="clear" w:color="auto" w:fill="auto"/>
                  <w:vAlign w:val="center"/>
                </w:tcPr>
                <w:p w14:paraId="7208605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否</w:t>
                  </w:r>
                </w:p>
              </w:tc>
            </w:tr>
            <w:tr w14:paraId="03163036">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shd w:val="clear" w:color="auto" w:fill="auto"/>
                  <w:vAlign w:val="center"/>
                </w:tcPr>
                <w:p w14:paraId="38A279F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生态</w:t>
                  </w:r>
                </w:p>
              </w:tc>
              <w:tc>
                <w:tcPr>
                  <w:tcW w:w="2957" w:type="dxa"/>
                  <w:shd w:val="clear" w:color="auto" w:fill="auto"/>
                  <w:vAlign w:val="center"/>
                </w:tcPr>
                <w:p w14:paraId="5E71E690">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涉及环境敏感区（不包括饮用水水源保护区，以居住、医疗卫生、文化教育、科研、行政办公为主要功能的区域，以及文物保护单位）的项目</w:t>
                  </w:r>
                </w:p>
              </w:tc>
              <w:tc>
                <w:tcPr>
                  <w:tcW w:w="2322" w:type="dxa"/>
                  <w:shd w:val="clear" w:color="auto" w:fill="auto"/>
                  <w:vAlign w:val="center"/>
                </w:tcPr>
                <w:p w14:paraId="720C77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eastAsiaTheme="minorEastAsia"/>
                      <w:snapToGrid w:val="0"/>
                      <w:color w:val="auto"/>
                      <w:spacing w:val="0"/>
                      <w:kern w:val="0"/>
                      <w:sz w:val="18"/>
                      <w:szCs w:val="18"/>
                      <w:highlight w:val="none"/>
                      <w:lang w:bidi="ar"/>
                    </w:rPr>
                    <w:t>本次评价不需开展生态专项评价。</w:t>
                  </w:r>
                </w:p>
              </w:tc>
              <w:tc>
                <w:tcPr>
                  <w:tcW w:w="747" w:type="dxa"/>
                  <w:shd w:val="clear" w:color="auto" w:fill="auto"/>
                  <w:vAlign w:val="center"/>
                </w:tcPr>
                <w:p w14:paraId="5238393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否</w:t>
                  </w:r>
                </w:p>
              </w:tc>
            </w:tr>
            <w:tr w14:paraId="7475CABA">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shd w:val="clear" w:color="auto" w:fill="auto"/>
                  <w:vAlign w:val="center"/>
                </w:tcPr>
                <w:p w14:paraId="2B8F5DF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w:t>
                  </w:r>
                </w:p>
              </w:tc>
              <w:tc>
                <w:tcPr>
                  <w:tcW w:w="2957" w:type="dxa"/>
                  <w:shd w:val="clear" w:color="auto" w:fill="auto"/>
                  <w:vAlign w:val="center"/>
                </w:tcPr>
                <w:p w14:paraId="03783367">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油气、液体化工码头：全部；</w:t>
                  </w:r>
                </w:p>
                <w:p w14:paraId="317F9AB4">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干散货（含煤炭、矿石）、件杂、多用途、通用码头：涉及粉尘、挥发性有机物排放的项目</w:t>
                  </w:r>
                </w:p>
              </w:tc>
              <w:tc>
                <w:tcPr>
                  <w:tcW w:w="2322" w:type="dxa"/>
                  <w:shd w:val="clear" w:color="auto" w:fill="auto"/>
                  <w:vAlign w:val="center"/>
                </w:tcPr>
                <w:p w14:paraId="4DC47F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本项目不属于上述项目类别</w:t>
                  </w:r>
                </w:p>
              </w:tc>
              <w:tc>
                <w:tcPr>
                  <w:tcW w:w="747" w:type="dxa"/>
                  <w:shd w:val="clear" w:color="auto" w:fill="auto"/>
                  <w:vAlign w:val="center"/>
                </w:tcPr>
                <w:p w14:paraId="55CC4CD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否</w:t>
                  </w:r>
                </w:p>
              </w:tc>
            </w:tr>
            <w:tr w14:paraId="49A2B966">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shd w:val="clear" w:color="auto" w:fill="auto"/>
                  <w:vAlign w:val="center"/>
                </w:tcPr>
                <w:p w14:paraId="611DD7D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噪声</w:t>
                  </w:r>
                </w:p>
              </w:tc>
              <w:tc>
                <w:tcPr>
                  <w:tcW w:w="2957" w:type="dxa"/>
                  <w:shd w:val="clear" w:color="auto" w:fill="auto"/>
                  <w:vAlign w:val="center"/>
                </w:tcPr>
                <w:p w14:paraId="103824DE">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公路、铁路、机场等交通运输业 涉及环境敏感区（以居住、医疗卫生、文化教育、科研、行政办公为主要功能的区域）的项目；</w:t>
                  </w:r>
                </w:p>
                <w:p w14:paraId="7097BDD7">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城市道路（不含维护，不含支路、人行天桥、人行地道）：全部</w:t>
                  </w:r>
                </w:p>
              </w:tc>
              <w:tc>
                <w:tcPr>
                  <w:tcW w:w="2322" w:type="dxa"/>
                  <w:shd w:val="clear" w:color="auto" w:fill="auto"/>
                  <w:vAlign w:val="center"/>
                </w:tcPr>
                <w:p w14:paraId="591553E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本项目不属于上述项目类别</w:t>
                  </w:r>
                </w:p>
              </w:tc>
              <w:tc>
                <w:tcPr>
                  <w:tcW w:w="747" w:type="dxa"/>
                  <w:shd w:val="clear" w:color="auto" w:fill="auto"/>
                  <w:vAlign w:val="center"/>
                </w:tcPr>
                <w:p w14:paraId="0B1B030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否</w:t>
                  </w:r>
                </w:p>
              </w:tc>
            </w:tr>
            <w:tr w14:paraId="7510FCC3">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00" w:type="dxa"/>
                  <w:shd w:val="clear" w:color="auto" w:fill="auto"/>
                  <w:vAlign w:val="center"/>
                </w:tcPr>
                <w:p w14:paraId="45024A2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环境风险</w:t>
                  </w:r>
                </w:p>
              </w:tc>
              <w:tc>
                <w:tcPr>
                  <w:tcW w:w="2957" w:type="dxa"/>
                  <w:shd w:val="clear" w:color="auto" w:fill="auto"/>
                  <w:vAlign w:val="center"/>
                </w:tcPr>
                <w:p w14:paraId="75E2F5E2">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石油和天然气开采：全部；</w:t>
                  </w:r>
                </w:p>
                <w:p w14:paraId="31CA12B9">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油气、液体化工码头：全部；</w:t>
                  </w:r>
                </w:p>
                <w:p w14:paraId="190F3C78">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原油、成品油、天然气管线（不含城镇天然气管线、企业厂区内管线），危险化学品输送管线（不含企业厂区内管线）：全部</w:t>
                  </w:r>
                </w:p>
              </w:tc>
              <w:tc>
                <w:tcPr>
                  <w:tcW w:w="2322" w:type="dxa"/>
                  <w:shd w:val="clear" w:color="auto" w:fill="auto"/>
                  <w:vAlign w:val="center"/>
                </w:tcPr>
                <w:p w14:paraId="2387490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本项目不属于上述项目类别</w:t>
                  </w:r>
                </w:p>
              </w:tc>
              <w:tc>
                <w:tcPr>
                  <w:tcW w:w="747" w:type="dxa"/>
                  <w:shd w:val="clear" w:color="auto" w:fill="auto"/>
                  <w:vAlign w:val="center"/>
                </w:tcPr>
                <w:p w14:paraId="355B849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否</w:t>
                  </w:r>
                </w:p>
              </w:tc>
            </w:tr>
          </w:tbl>
          <w:p w14:paraId="449F2941">
            <w:pPr>
              <w:pStyle w:val="31"/>
              <w:rPr>
                <w:rFonts w:hint="default" w:ascii="Times New Roman" w:hAnsi="Times New Roman" w:cs="Times New Roman" w:eastAsiaTheme="minorEastAsia"/>
                <w:color w:val="auto"/>
                <w:sz w:val="21"/>
                <w:szCs w:val="21"/>
                <w:highlight w:val="none"/>
              </w:rPr>
            </w:pPr>
            <w:r>
              <w:rPr>
                <w:rFonts w:hint="eastAsia" w:ascii="宋体" w:hAnsi="宋体" w:eastAsia="宋体" w:cs="宋体"/>
                <w:color w:val="auto"/>
                <w:sz w:val="21"/>
                <w:szCs w:val="21"/>
                <w:highlight w:val="none"/>
              </w:rPr>
              <w:t>综上所述，本项目</w:t>
            </w:r>
            <w:r>
              <w:rPr>
                <w:rFonts w:hint="eastAsia" w:ascii="宋体" w:hAnsi="宋体" w:eastAsia="宋体" w:cs="宋体"/>
                <w:color w:val="auto"/>
                <w:sz w:val="21"/>
                <w:szCs w:val="21"/>
                <w:highlight w:val="none"/>
                <w:lang w:val="en-US" w:eastAsia="zh-CN"/>
              </w:rPr>
              <w:t>需设置地表水</w:t>
            </w:r>
            <w:r>
              <w:rPr>
                <w:rFonts w:hint="eastAsia" w:ascii="宋体" w:hAnsi="宋体" w:eastAsia="宋体" w:cs="宋体"/>
                <w:color w:val="auto"/>
                <w:sz w:val="21"/>
                <w:szCs w:val="21"/>
                <w:highlight w:val="none"/>
              </w:rPr>
              <w:t>专项评价。</w:t>
            </w:r>
          </w:p>
        </w:tc>
      </w:tr>
      <w:tr w14:paraId="1BEEB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67C1116">
            <w:pPr>
              <w:keepNext w:val="0"/>
              <w:keepLines w:val="0"/>
              <w:pageBreakBefore w:val="0"/>
              <w:widowControl/>
              <w:kinsoku/>
              <w:wordWrap/>
              <w:overflowPunct/>
              <w:topLinePunct w:val="0"/>
              <w:bidi w:val="0"/>
              <w:adjustRightInd/>
              <w:snapToGrid/>
              <w:spacing w:line="240" w:lineRule="auto"/>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规划情况</w:t>
            </w:r>
          </w:p>
        </w:tc>
        <w:tc>
          <w:tcPr>
            <w:tcW w:w="7074" w:type="dxa"/>
            <w:gridSpan w:val="3"/>
            <w:tcMar>
              <w:top w:w="16" w:type="dxa"/>
              <w:left w:w="16" w:type="dxa"/>
              <w:right w:w="16" w:type="dxa"/>
            </w:tcMar>
            <w:vAlign w:val="center"/>
          </w:tcPr>
          <w:p w14:paraId="603EC21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无</w:t>
            </w:r>
          </w:p>
        </w:tc>
      </w:tr>
      <w:tr w14:paraId="776E0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727D6DFB">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规划环境影响</w:t>
            </w:r>
          </w:p>
          <w:p w14:paraId="361BB8BE">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评价情况</w:t>
            </w:r>
          </w:p>
        </w:tc>
        <w:tc>
          <w:tcPr>
            <w:tcW w:w="7074" w:type="dxa"/>
            <w:gridSpan w:val="3"/>
            <w:tcMar>
              <w:top w:w="16" w:type="dxa"/>
              <w:left w:w="16" w:type="dxa"/>
              <w:right w:w="16" w:type="dxa"/>
            </w:tcMar>
            <w:vAlign w:val="center"/>
          </w:tcPr>
          <w:p w14:paraId="4B66D53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无</w:t>
            </w:r>
          </w:p>
        </w:tc>
      </w:tr>
      <w:tr w14:paraId="5C93FF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ACBE5F6">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规划及</w:t>
            </w:r>
            <w:r>
              <w:rPr>
                <w:rFonts w:hint="default" w:ascii="Times New Roman" w:hAnsi="Times New Roman" w:cs="Times New Roman" w:eastAsiaTheme="minorEastAsia"/>
                <w:color w:val="auto"/>
                <w:sz w:val="21"/>
                <w:szCs w:val="21"/>
                <w:highlight w:val="none"/>
              </w:rPr>
              <w:t>规划环境影响评价</w:t>
            </w:r>
            <w:r>
              <w:rPr>
                <w:rFonts w:hint="default" w:ascii="Times New Roman" w:hAnsi="Times New Roman" w:cs="Times New Roman" w:eastAsiaTheme="minorEastAsia"/>
                <w:color w:val="auto"/>
                <w:kern w:val="0"/>
                <w:sz w:val="21"/>
                <w:szCs w:val="21"/>
                <w:highlight w:val="none"/>
              </w:rPr>
              <w:t>符合性分析</w:t>
            </w:r>
          </w:p>
        </w:tc>
        <w:tc>
          <w:tcPr>
            <w:tcW w:w="7074" w:type="dxa"/>
            <w:gridSpan w:val="3"/>
            <w:tcMar>
              <w:top w:w="16" w:type="dxa"/>
              <w:left w:w="16" w:type="dxa"/>
              <w:right w:w="16" w:type="dxa"/>
            </w:tcMar>
            <w:vAlign w:val="center"/>
          </w:tcPr>
          <w:p w14:paraId="62181C9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无</w:t>
            </w:r>
          </w:p>
        </w:tc>
      </w:tr>
      <w:tr w14:paraId="49B52F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56" w:hRule="atLeast"/>
        </w:trPr>
        <w:tc>
          <w:tcPr>
            <w:tcW w:w="1825" w:type="dxa"/>
            <w:tcMar>
              <w:top w:w="16" w:type="dxa"/>
              <w:left w:w="16" w:type="dxa"/>
              <w:right w:w="16" w:type="dxa"/>
            </w:tcMar>
            <w:vAlign w:val="center"/>
          </w:tcPr>
          <w:p w14:paraId="6FAD92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highlight w:val="none"/>
              </w:rPr>
            </w:pPr>
            <w:bookmarkStart w:id="5" w:name="_Hlk56690880"/>
            <w:r>
              <w:rPr>
                <w:rFonts w:hint="default" w:ascii="Times New Roman" w:hAnsi="Times New Roman" w:cs="Times New Roman" w:eastAsiaTheme="minorEastAsia"/>
                <w:color w:val="auto"/>
                <w:kern w:val="0"/>
                <w:sz w:val="21"/>
                <w:szCs w:val="21"/>
                <w:highlight w:val="none"/>
              </w:rPr>
              <w:t>其他符合性分析</w:t>
            </w:r>
            <w:bookmarkEnd w:id="5"/>
          </w:p>
        </w:tc>
        <w:tc>
          <w:tcPr>
            <w:tcW w:w="7074" w:type="dxa"/>
            <w:gridSpan w:val="3"/>
            <w:tcMar>
              <w:top w:w="17" w:type="dxa"/>
              <w:left w:w="130" w:type="dxa"/>
              <w:right w:w="130" w:type="dxa"/>
            </w:tcMar>
          </w:tcPr>
          <w:p w14:paraId="1AF650FF">
            <w:pPr>
              <w:spacing w:line="360" w:lineRule="auto"/>
              <w:ind w:firstLine="422" w:firstLineChars="200"/>
              <w:rPr>
                <w:rFonts w:hint="default" w:ascii="Times New Roman" w:hAnsi="Times New Roman" w:cs="Times New Roman" w:eastAsiaTheme="minorEastAsia"/>
                <w:b/>
                <w:color w:val="auto"/>
                <w:sz w:val="21"/>
                <w:szCs w:val="21"/>
                <w:highlight w:val="none"/>
              </w:rPr>
            </w:pPr>
            <w:r>
              <w:rPr>
                <w:rFonts w:hint="default" w:ascii="Times New Roman" w:hAnsi="Times New Roman" w:cs="Times New Roman"/>
                <w:b/>
                <w:bCs/>
                <w:color w:val="auto"/>
                <w:kern w:val="0"/>
                <w:sz w:val="21"/>
                <w:szCs w:val="21"/>
                <w:highlight w:val="none"/>
                <w:lang w:val="en-US" w:eastAsia="zh-CN"/>
              </w:rPr>
              <w:t>1</w:t>
            </w:r>
            <w:r>
              <w:rPr>
                <w:rFonts w:hint="default" w:ascii="Times New Roman" w:hAnsi="Times New Roman" w:cs="Times New Roman" w:eastAsiaTheme="minorEastAsia"/>
                <w:b/>
                <w:color w:val="auto"/>
                <w:sz w:val="21"/>
                <w:szCs w:val="21"/>
                <w:highlight w:val="none"/>
                <w:lang w:val="en-US" w:eastAsia="zh-CN"/>
              </w:rPr>
              <w:t>、</w:t>
            </w:r>
            <w:r>
              <w:rPr>
                <w:rFonts w:hint="default" w:ascii="Times New Roman" w:hAnsi="Times New Roman" w:cs="Times New Roman" w:eastAsiaTheme="minorEastAsia"/>
                <w:b/>
                <w:color w:val="auto"/>
                <w:sz w:val="21"/>
                <w:szCs w:val="21"/>
                <w:highlight w:val="none"/>
              </w:rPr>
              <w:t>产业政策符合性分析</w:t>
            </w:r>
          </w:p>
          <w:p w14:paraId="6EDB7D01">
            <w:pPr>
              <w:autoSpaceDE w:val="0"/>
              <w:autoSpaceDN w:val="0"/>
              <w:adjustRightInd w:val="0"/>
              <w:snapToGrid w:val="0"/>
              <w:spacing w:line="360" w:lineRule="auto"/>
              <w:ind w:firstLine="420" w:firstLineChars="200"/>
              <w:textAlignment w:val="center"/>
              <w:rPr>
                <w:rFonts w:hint="default" w:ascii="Times New Roman" w:hAnsi="Times New Roman" w:cs="Times New Roman" w:eastAsiaTheme="minorEastAsia"/>
                <w:color w:val="auto"/>
                <w:kern w:val="0"/>
                <w:sz w:val="21"/>
                <w:szCs w:val="21"/>
                <w:highlight w:val="none"/>
              </w:rPr>
            </w:pPr>
            <w:r>
              <w:rPr>
                <w:color w:val="auto"/>
                <w:highlight w:val="none"/>
              </w:rPr>
              <w:t>本项目为水库除险加固工程，</w:t>
            </w:r>
            <w:r>
              <w:rPr>
                <w:rFonts w:hint="default" w:ascii="Times New Roman" w:hAnsi="Times New Roman" w:cs="Times New Roman" w:eastAsiaTheme="minorEastAsia"/>
                <w:color w:val="auto"/>
                <w:kern w:val="0"/>
                <w:sz w:val="21"/>
                <w:szCs w:val="21"/>
                <w:highlight w:val="none"/>
              </w:rPr>
              <w:t>根据《产业结构调整指导目录》（2024年本），本工程属于第一类鼓励类中第二项“水利”中第3条：病险水库、水闸除险加固工程。</w:t>
            </w:r>
            <w:r>
              <w:rPr>
                <w:rFonts w:hint="eastAsia" w:cs="Times New Roman" w:eastAsiaTheme="minorEastAsia"/>
                <w:color w:val="auto"/>
                <w:kern w:val="0"/>
                <w:sz w:val="21"/>
                <w:szCs w:val="21"/>
                <w:highlight w:val="none"/>
                <w:lang w:val="en-US" w:eastAsia="zh-CN"/>
              </w:rPr>
              <w:t>因此</w:t>
            </w:r>
            <w:r>
              <w:rPr>
                <w:color w:val="auto"/>
                <w:highlight w:val="none"/>
              </w:rPr>
              <w:t>本项目建设符合国家产业政策要求。</w:t>
            </w:r>
          </w:p>
          <w:p w14:paraId="1A04B267">
            <w:pPr>
              <w:spacing w:line="360" w:lineRule="auto"/>
              <w:ind w:firstLine="422" w:firstLineChars="200"/>
              <w:rPr>
                <w:rFonts w:hint="default" w:ascii="Times New Roman" w:hAnsi="Times New Roman" w:cs="Times New Roman" w:eastAsiaTheme="minorEastAsia"/>
                <w:bCs/>
                <w:color w:val="auto"/>
                <w:sz w:val="21"/>
                <w:szCs w:val="21"/>
                <w:highlight w:val="none"/>
              </w:rPr>
            </w:pPr>
            <w:r>
              <w:rPr>
                <w:rFonts w:hint="eastAsia" w:cs="Times New Roman" w:eastAsiaTheme="minorEastAsia"/>
                <w:b/>
                <w:color w:val="auto"/>
                <w:sz w:val="21"/>
                <w:szCs w:val="21"/>
                <w:highlight w:val="none"/>
                <w:lang w:val="en-US" w:eastAsia="zh-CN"/>
              </w:rPr>
              <w:t>2</w:t>
            </w:r>
            <w:r>
              <w:rPr>
                <w:rFonts w:hint="default" w:ascii="Times New Roman" w:hAnsi="Times New Roman" w:cs="Times New Roman" w:eastAsiaTheme="minorEastAsia"/>
                <w:b/>
                <w:color w:val="auto"/>
                <w:sz w:val="21"/>
                <w:szCs w:val="21"/>
                <w:highlight w:val="none"/>
                <w:lang w:val="en-US" w:eastAsia="zh-CN"/>
              </w:rPr>
              <w:t>、</w:t>
            </w:r>
            <w:r>
              <w:rPr>
                <w:rFonts w:hint="default" w:ascii="Times New Roman" w:hAnsi="Times New Roman" w:cs="Times New Roman" w:eastAsiaTheme="minorEastAsia"/>
                <w:b/>
                <w:color w:val="auto"/>
                <w:sz w:val="21"/>
                <w:szCs w:val="21"/>
                <w:highlight w:val="none"/>
              </w:rPr>
              <w:t>与</w:t>
            </w:r>
            <w:r>
              <w:rPr>
                <w:rFonts w:hint="eastAsia" w:ascii="Times New Roman" w:hAnsi="Times New Roman" w:cs="Times New Roman" w:eastAsiaTheme="minorEastAsia"/>
                <w:b/>
                <w:color w:val="auto"/>
                <w:sz w:val="21"/>
                <w:szCs w:val="21"/>
                <w:highlight w:val="none"/>
                <w:lang w:eastAsia="zh-CN"/>
              </w:rPr>
              <w:t>生态环境分区管控</w:t>
            </w:r>
            <w:r>
              <w:rPr>
                <w:rFonts w:hint="default" w:ascii="Times New Roman" w:hAnsi="Times New Roman" w:cs="Times New Roman" w:eastAsiaTheme="minorEastAsia"/>
                <w:b/>
                <w:color w:val="auto"/>
                <w:sz w:val="21"/>
                <w:szCs w:val="21"/>
                <w:highlight w:val="none"/>
              </w:rPr>
              <w:t>符合性分析</w:t>
            </w:r>
          </w:p>
          <w:p w14:paraId="1C477703">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eastAsia" w:ascii="宋体" w:hAnsi="宋体" w:eastAsia="宋体" w:cs="宋体"/>
                <w:color w:val="auto"/>
                <w:highlight w:val="none"/>
                <w:lang w:eastAsia="zh-CN"/>
              </w:rPr>
            </w:pPr>
            <w:r>
              <w:rPr>
                <w:rFonts w:hint="default" w:ascii="Times New Roman" w:hAnsi="Times New Roman" w:eastAsia="宋体" w:cs="Times New Roman"/>
                <w:color w:val="auto"/>
                <w:spacing w:val="0"/>
                <w:sz w:val="21"/>
                <w:szCs w:val="21"/>
                <w:highlight w:val="none"/>
              </w:rPr>
              <w:t>本项目位于黑龙江省</w:t>
            </w:r>
            <w:r>
              <w:rPr>
                <w:rFonts w:hint="default" w:ascii="Times New Roman" w:hAnsi="Times New Roman" w:eastAsia="宋体" w:cs="Times New Roman"/>
                <w:color w:val="auto"/>
                <w:sz w:val="21"/>
                <w:szCs w:val="21"/>
                <w:highlight w:val="none"/>
                <w:lang w:eastAsia="zh-CN"/>
              </w:rPr>
              <w:t>鸡西市</w:t>
            </w:r>
            <w:r>
              <w:rPr>
                <w:rFonts w:hint="default" w:ascii="Times New Roman" w:hAnsi="Times New Roman" w:eastAsia="宋体" w:cs="Times New Roman"/>
                <w:color w:val="auto"/>
                <w:sz w:val="21"/>
                <w:szCs w:val="21"/>
                <w:highlight w:val="none"/>
                <w:lang w:val="en-US" w:eastAsia="zh-CN"/>
              </w:rPr>
              <w:t>密山市</w:t>
            </w:r>
            <w:r>
              <w:rPr>
                <w:rFonts w:hint="default" w:ascii="Times New Roman" w:hAnsi="Times New Roman" w:eastAsia="宋体" w:cs="Times New Roman"/>
                <w:color w:val="auto"/>
                <w:spacing w:val="0"/>
                <w:sz w:val="21"/>
                <w:szCs w:val="21"/>
                <w:highlight w:val="none"/>
              </w:rPr>
              <w:t>，根据《黑龙江省人民政府关于实施“三线一单”生态环境分区管控的意见》（黑政发〔2020〕14号）</w:t>
            </w:r>
            <w:r>
              <w:rPr>
                <w:rFonts w:hint="default" w:ascii="Times New Roman" w:hAnsi="Times New Roman" w:eastAsia="宋体" w:cs="Times New Roman"/>
                <w:color w:val="auto"/>
                <w:spacing w:val="0"/>
                <w:sz w:val="21"/>
                <w:szCs w:val="21"/>
                <w:highlight w:val="none"/>
                <w:lang w:val="en-US" w:eastAsia="zh-CN"/>
              </w:rPr>
              <w:t>、</w:t>
            </w:r>
            <w:r>
              <w:rPr>
                <w:rFonts w:hint="default" w:ascii="Times New Roman" w:hAnsi="Times New Roman" w:eastAsia="宋体" w:cs="Times New Roman"/>
                <w:color w:val="auto"/>
                <w:kern w:val="2"/>
                <w:sz w:val="21"/>
                <w:szCs w:val="21"/>
                <w:highlight w:val="none"/>
                <w:lang w:val="en-US" w:eastAsia="zh-CN" w:bidi="ar-SA"/>
              </w:rPr>
              <w:t>《鸡西市人民政府关于实施“三线一单”生态环境分区管控的意见（鸡政发〔2021〕7号）》</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《鸡西市生态环境准入清单》（2023年版）</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kern w:val="0"/>
                <w:sz w:val="21"/>
                <w:szCs w:val="21"/>
                <w:highlight w:val="none"/>
                <w:lang w:bidi="ar"/>
              </w:rPr>
              <w:t>《</w:t>
            </w:r>
            <w:r>
              <w:rPr>
                <w:rFonts w:hint="default" w:ascii="Times New Roman" w:hAnsi="Times New Roman" w:eastAsia="宋体" w:cs="Times New Roman"/>
                <w:color w:val="auto"/>
                <w:kern w:val="21"/>
                <w:sz w:val="21"/>
                <w:szCs w:val="21"/>
                <w:highlight w:val="none"/>
                <w:lang w:val="en-US" w:eastAsia="zh-CN"/>
              </w:rPr>
              <w:t>黑龙江省密山市</w:t>
            </w:r>
            <w:r>
              <w:rPr>
                <w:rFonts w:hint="eastAsia" w:cs="Times New Roman"/>
                <w:color w:val="auto"/>
                <w:kern w:val="21"/>
                <w:sz w:val="21"/>
                <w:szCs w:val="21"/>
                <w:highlight w:val="none"/>
                <w:lang w:val="en-US" w:eastAsia="zh-CN"/>
              </w:rPr>
              <w:t>庆先</w:t>
            </w:r>
            <w:r>
              <w:rPr>
                <w:rFonts w:hint="default" w:ascii="Times New Roman" w:hAnsi="Times New Roman" w:eastAsia="宋体" w:cs="Times New Roman"/>
                <w:color w:val="auto"/>
                <w:kern w:val="21"/>
                <w:sz w:val="21"/>
                <w:szCs w:val="21"/>
                <w:highlight w:val="none"/>
                <w:lang w:val="en-US" w:eastAsia="zh-CN"/>
              </w:rPr>
              <w:t>水库除险加固工程</w:t>
            </w:r>
            <w:r>
              <w:rPr>
                <w:rFonts w:hint="default" w:ascii="Times New Roman" w:hAnsi="Times New Roman" w:eastAsia="宋体" w:cs="Times New Roman"/>
                <w:color w:val="auto"/>
                <w:spacing w:val="0"/>
                <w:kern w:val="0"/>
                <w:sz w:val="21"/>
                <w:szCs w:val="21"/>
                <w:highlight w:val="none"/>
                <w:lang w:bidi="ar"/>
              </w:rPr>
              <w:t>生态环境分区管控分析报告》</w:t>
            </w:r>
            <w:r>
              <w:rPr>
                <w:rFonts w:hint="default" w:ascii="Times New Roman" w:hAnsi="Times New Roman" w:eastAsia="宋体" w:cs="Times New Roman"/>
                <w:color w:val="auto"/>
                <w:spacing w:val="0"/>
                <w:sz w:val="21"/>
                <w:szCs w:val="21"/>
                <w:highlight w:val="none"/>
              </w:rPr>
              <w:t>，本项目与生态环境分区管控符合性如下</w:t>
            </w:r>
            <w:r>
              <w:rPr>
                <w:rFonts w:hint="default" w:ascii="Times New Roman" w:hAnsi="Times New Roman" w:eastAsia="宋体" w:cs="Times New Roman"/>
                <w:color w:val="auto"/>
                <w:spacing w:val="0"/>
                <w:sz w:val="21"/>
                <w:szCs w:val="21"/>
                <w:highlight w:val="none"/>
                <w:lang w:eastAsia="zh-CN"/>
              </w:rPr>
              <w:t>：</w:t>
            </w:r>
          </w:p>
          <w:p w14:paraId="38FD41F3">
            <w:pPr>
              <w:spacing w:line="360" w:lineRule="auto"/>
              <w:ind w:firstLine="482"/>
              <w:jc w:val="both"/>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w:t>
            </w:r>
            <w:r>
              <w:rPr>
                <w:rFonts w:hint="default" w:ascii="Times New Roman" w:hAnsi="Times New Roman" w:eastAsia="宋体" w:cs="Times New Roman"/>
                <w:color w:val="auto"/>
                <w:sz w:val="21"/>
                <w:highlight w:val="none"/>
                <w:lang w:val="en-US" w:eastAsia="zh-CN"/>
              </w:rPr>
              <w:t>1</w:t>
            </w:r>
            <w:r>
              <w:rPr>
                <w:rFonts w:hint="default" w:ascii="Times New Roman" w:hAnsi="Times New Roman" w:eastAsia="宋体" w:cs="Times New Roman"/>
                <w:color w:val="auto"/>
                <w:sz w:val="21"/>
                <w:highlight w:val="none"/>
                <w:lang w:eastAsia="zh-CN"/>
              </w:rPr>
              <w:t>）生态保护红线</w:t>
            </w:r>
          </w:p>
          <w:p w14:paraId="0AA4E351">
            <w:pPr>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highlight w:val="none"/>
                <w:lang w:eastAsia="zh-CN"/>
              </w:rPr>
              <w:t>本项目为非污染型生态影响类项目，</w:t>
            </w:r>
            <w:r>
              <w:rPr>
                <w:rFonts w:hint="default" w:ascii="Times New Roman" w:hAnsi="Times New Roman" w:eastAsia="宋体" w:cs="Times New Roman"/>
                <w:color w:val="auto"/>
                <w:spacing w:val="0"/>
                <w:sz w:val="21"/>
                <w:szCs w:val="21"/>
                <w:highlight w:val="none"/>
              </w:rPr>
              <w:t>位于黑龙江省</w:t>
            </w:r>
            <w:r>
              <w:rPr>
                <w:rFonts w:hint="default" w:ascii="Times New Roman" w:hAnsi="Times New Roman" w:cs="Times New Roman" w:eastAsiaTheme="minorEastAsia"/>
                <w:color w:val="auto"/>
                <w:sz w:val="21"/>
                <w:szCs w:val="21"/>
                <w:highlight w:val="none"/>
                <w:lang w:eastAsia="zh-CN"/>
              </w:rPr>
              <w:t>鸡西市</w:t>
            </w:r>
            <w:r>
              <w:rPr>
                <w:rFonts w:hint="default" w:ascii="Times New Roman" w:hAnsi="Times New Roman" w:cs="Times New Roman"/>
                <w:color w:val="auto"/>
                <w:highlight w:val="none"/>
                <w:lang w:val="en-US" w:eastAsia="zh-CN"/>
              </w:rPr>
              <w:t>密山市</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z w:val="21"/>
                <w:highlight w:val="none"/>
                <w:lang w:eastAsia="zh-CN"/>
              </w:rPr>
              <w:t>根据生态环境分区管控数据应用平台出具的分析报告，</w:t>
            </w:r>
            <w:r>
              <w:rPr>
                <w:rFonts w:hint="default" w:ascii="Times New Roman" w:hAnsi="Times New Roman" w:eastAsia="宋体" w:cs="Times New Roman"/>
                <w:color w:val="auto"/>
                <w:sz w:val="21"/>
                <w:szCs w:val="21"/>
                <w:highlight w:val="none"/>
              </w:rPr>
              <w:t>本</w:t>
            </w:r>
            <w:r>
              <w:rPr>
                <w:rFonts w:hint="default" w:ascii="Times New Roman" w:hAnsi="Times New Roman" w:eastAsia="宋体" w:cs="Times New Roman"/>
                <w:color w:val="auto"/>
                <w:sz w:val="21"/>
                <w:szCs w:val="21"/>
                <w:highlight w:val="none"/>
                <w:lang w:val="en-US" w:eastAsia="zh-CN"/>
              </w:rPr>
              <w:t>次</w:t>
            </w:r>
            <w:r>
              <w:rPr>
                <w:rFonts w:hint="default" w:ascii="Times New Roman" w:hAnsi="Times New Roman" w:eastAsia="宋体" w:cs="Times New Roman"/>
                <w:color w:val="auto"/>
                <w:sz w:val="21"/>
                <w:highlight w:val="none"/>
                <w:lang w:eastAsia="zh-CN"/>
              </w:rPr>
              <w:t>工程不涉及生态保护红线</w:t>
            </w:r>
            <w:r>
              <w:rPr>
                <w:rFonts w:hint="default" w:ascii="Times New Roman" w:hAnsi="Times New Roman" w:eastAsia="宋体" w:cs="Times New Roman"/>
                <w:color w:val="auto"/>
                <w:sz w:val="21"/>
                <w:szCs w:val="21"/>
                <w:highlight w:val="none"/>
                <w:lang w:val="en-US" w:eastAsia="zh-CN"/>
              </w:rPr>
              <w:t>。</w:t>
            </w:r>
          </w:p>
          <w:p w14:paraId="01652D2D">
            <w:pPr>
              <w:spacing w:line="240" w:lineRule="auto"/>
              <w:jc w:val="center"/>
              <w:rPr>
                <w:rFonts w:hint="eastAsia" w:eastAsia="宋体"/>
                <w:color w:val="auto"/>
                <w:highlight w:val="none"/>
                <w:lang w:val="en-US" w:eastAsia="zh-CN"/>
              </w:rPr>
            </w:pPr>
            <w:r>
              <w:rPr>
                <w:rFonts w:hint="eastAsia" w:eastAsia="宋体"/>
                <w:color w:val="auto"/>
                <w:highlight w:val="none"/>
                <w:lang w:val="en-US" w:eastAsia="zh-CN"/>
              </w:rPr>
              <w:drawing>
                <wp:inline distT="0" distB="0" distL="114300" distR="114300">
                  <wp:extent cx="4034790" cy="2069465"/>
                  <wp:effectExtent l="0" t="0" r="3810" b="6985"/>
                  <wp:docPr id="50" name="图片 50" descr="生态保护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生态保护红线图"/>
                          <pic:cNvPicPr>
                            <a:picLocks noChangeAspect="1"/>
                          </pic:cNvPicPr>
                        </pic:nvPicPr>
                        <pic:blipFill>
                          <a:blip r:embed="rId15"/>
                          <a:stretch>
                            <a:fillRect/>
                          </a:stretch>
                        </pic:blipFill>
                        <pic:spPr>
                          <a:xfrm>
                            <a:off x="0" y="0"/>
                            <a:ext cx="4034790" cy="2069465"/>
                          </a:xfrm>
                          <a:prstGeom prst="rect">
                            <a:avLst/>
                          </a:prstGeom>
                        </pic:spPr>
                      </pic:pic>
                    </a:graphicData>
                  </a:graphic>
                </wp:inline>
              </w:drawing>
            </w:r>
          </w:p>
          <w:p w14:paraId="2F0F7A45">
            <w:pPr>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图1-</w:t>
            </w:r>
            <w:r>
              <w:rPr>
                <w:rFonts w:hint="eastAsia"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本项目与生态保护红线位置</w:t>
            </w:r>
          </w:p>
          <w:p w14:paraId="10E2A7C6">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（2）环境质量底线</w:t>
            </w:r>
          </w:p>
          <w:p w14:paraId="0F8DBF71">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大气环境：本项目属于</w:t>
            </w:r>
            <w:r>
              <w:rPr>
                <w:rFonts w:hint="eastAsia" w:ascii="Times New Roman" w:hAnsi="Times New Roman" w:eastAsia="宋体" w:cs="Times New Roman"/>
                <w:color w:val="auto"/>
                <w:kern w:val="21"/>
                <w:sz w:val="21"/>
                <w:szCs w:val="21"/>
                <w:highlight w:val="none"/>
                <w:lang w:val="en-US" w:eastAsia="zh-CN"/>
              </w:rPr>
              <w:t>水库除险加固</w:t>
            </w:r>
            <w:r>
              <w:rPr>
                <w:rFonts w:hint="default" w:ascii="Times New Roman" w:hAnsi="Times New Roman" w:eastAsia="宋体" w:cs="Times New Roman"/>
                <w:color w:val="auto"/>
                <w:highlight w:val="none"/>
                <w:lang w:eastAsia="zh-CN"/>
              </w:rPr>
              <w:t>项目，不属于工业项目。项目的实施</w:t>
            </w:r>
            <w:r>
              <w:rPr>
                <w:rFonts w:hint="default" w:ascii="Times New Roman" w:hAnsi="Times New Roman" w:eastAsia="宋体" w:cs="Times New Roman"/>
                <w:color w:val="auto"/>
                <w:highlight w:val="none"/>
                <w:lang w:val="en-US" w:eastAsia="zh-CN"/>
              </w:rPr>
              <w:t>对本地抗旱、防洪起到重要作用</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不仅能消除水库带来的洪水威胁</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还可以灌溉水田</w:t>
            </w:r>
            <w:r>
              <w:rPr>
                <w:rFonts w:hint="default" w:ascii="Times New Roman" w:hAnsi="Times New Roman" w:eastAsia="宋体" w:cs="Times New Roman"/>
                <w:color w:val="auto"/>
                <w:highlight w:val="none"/>
                <w:lang w:eastAsia="zh-CN"/>
              </w:rPr>
              <w:t>。项目仅在施工期排放废气，采取有效的处理措施后，能够确保施工场界颗粒物浓度满足《大气污染物综合排放标准》（GB16297-1996）中表2无组织排放监控浓度限值要求，不会对大气环境产生较大影响。运营期对环境影响为正向的。</w:t>
            </w:r>
          </w:p>
          <w:p w14:paraId="71522665">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水环境：本项目属于</w:t>
            </w:r>
            <w:r>
              <w:rPr>
                <w:rFonts w:hint="eastAsia" w:ascii="Times New Roman" w:hAnsi="Times New Roman" w:eastAsia="宋体" w:cs="Times New Roman"/>
                <w:color w:val="auto"/>
                <w:kern w:val="21"/>
                <w:sz w:val="21"/>
                <w:szCs w:val="21"/>
                <w:highlight w:val="none"/>
                <w:lang w:val="en-US" w:eastAsia="zh-CN"/>
              </w:rPr>
              <w:t>水库除险加固</w:t>
            </w:r>
            <w:r>
              <w:rPr>
                <w:rFonts w:hint="default" w:ascii="Times New Roman" w:hAnsi="Times New Roman" w:eastAsia="宋体" w:cs="Times New Roman"/>
                <w:color w:val="auto"/>
                <w:highlight w:val="none"/>
                <w:lang w:eastAsia="zh-CN"/>
              </w:rPr>
              <w:t>项目，不属于工业项目。项目的实施</w:t>
            </w:r>
            <w:r>
              <w:rPr>
                <w:rFonts w:hint="default" w:ascii="Times New Roman" w:hAnsi="Times New Roman" w:eastAsia="宋体" w:cs="Times New Roman"/>
                <w:color w:val="auto"/>
                <w:highlight w:val="none"/>
                <w:lang w:val="en-US" w:eastAsia="zh-CN"/>
              </w:rPr>
              <w:t>对本地抗旱、防洪起到重要作用</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不仅能消除水库带来的洪水威胁</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还可以灌溉水田</w:t>
            </w:r>
            <w:r>
              <w:rPr>
                <w:rFonts w:hint="default" w:ascii="Times New Roman" w:hAnsi="Times New Roman" w:eastAsia="宋体" w:cs="Times New Roman"/>
                <w:color w:val="auto"/>
                <w:highlight w:val="none"/>
                <w:lang w:eastAsia="zh-CN"/>
              </w:rPr>
              <w:t>。施工废水经沉淀后回用于施工或场地降尘，不排入地表水体。保证本项目施工期污水妥善处置，项目施工期发电机和油箱远离地表水体，底部敷设防渗垫，避免漏油事故发生后污染周边环境。运营期对环境影响为正向的。</w:t>
            </w:r>
          </w:p>
          <w:p w14:paraId="3494BBB9">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）资源利用上线</w:t>
            </w:r>
          </w:p>
          <w:p w14:paraId="3C43B0DB">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本项目仅包括施工期用水、用电，运营期不消耗水、煤等资源，本项目</w:t>
            </w:r>
            <w:r>
              <w:rPr>
                <w:rFonts w:hint="default" w:ascii="Times New Roman" w:hAnsi="Times New Roman" w:eastAsia="宋体" w:cs="Times New Roman"/>
                <w:color w:val="auto"/>
                <w:sz w:val="21"/>
                <w:szCs w:val="21"/>
                <w:highlight w:val="none"/>
                <w:lang w:val="en-US" w:eastAsia="zh-CN"/>
              </w:rPr>
              <w:t>永久占地均为水库已征用地</w:t>
            </w:r>
            <w:r>
              <w:rPr>
                <w:rFonts w:hint="default" w:ascii="Times New Roman" w:hAnsi="Times New Roman" w:eastAsia="宋体" w:cs="Times New Roman"/>
                <w:color w:val="auto"/>
                <w:sz w:val="21"/>
                <w:szCs w:val="21"/>
                <w:highlight w:val="none"/>
                <w:lang w:eastAsia="zh-CN"/>
              </w:rPr>
              <w:t>。</w:t>
            </w:r>
            <w:r>
              <w:rPr>
                <w:rFonts w:hint="eastAsia" w:asciiTheme="minorEastAsia" w:hAnsiTheme="minorEastAsia" w:eastAsiaTheme="minorEastAsia" w:cstheme="minorEastAsia"/>
                <w:bCs/>
                <w:color w:val="auto"/>
                <w:sz w:val="21"/>
                <w:szCs w:val="21"/>
                <w:highlight w:val="none"/>
              </w:rPr>
              <w:t>本次只针对</w:t>
            </w:r>
            <w:r>
              <w:rPr>
                <w:rFonts w:hint="eastAsia" w:ascii="Times New Roman" w:hAnsi="Times New Roman" w:eastAsia="宋体" w:cs="Times New Roman"/>
                <w:color w:val="auto"/>
                <w:kern w:val="21"/>
                <w:sz w:val="21"/>
                <w:szCs w:val="21"/>
                <w:highlight w:val="none"/>
                <w:lang w:val="en-US" w:eastAsia="zh-CN"/>
              </w:rPr>
              <w:t>水库除险加固</w:t>
            </w:r>
            <w:r>
              <w:rPr>
                <w:rFonts w:hint="eastAsia" w:asciiTheme="minorEastAsia" w:hAnsiTheme="minorEastAsia" w:eastAsiaTheme="minorEastAsia" w:cstheme="minorEastAsia"/>
                <w:bCs/>
                <w:color w:val="auto"/>
                <w:sz w:val="21"/>
                <w:szCs w:val="21"/>
                <w:highlight w:val="none"/>
              </w:rPr>
              <w:t>，水库规模不变。对于区域来说，不新增取水，工程建设不会对水资源、土地资源产生影响。</w:t>
            </w:r>
            <w:r>
              <w:rPr>
                <w:rFonts w:hint="default" w:ascii="Times New Roman" w:hAnsi="Times New Roman" w:eastAsia="宋体" w:cs="Times New Roman"/>
                <w:color w:val="auto"/>
                <w:sz w:val="21"/>
                <w:szCs w:val="21"/>
                <w:highlight w:val="none"/>
                <w:lang w:eastAsia="zh-CN"/>
              </w:rPr>
              <w:t>故本项目土地资源及自然资源在区域承载能力范围内，满足资源利用上线要求。</w:t>
            </w:r>
          </w:p>
          <w:p w14:paraId="136718C9">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）环境准入清单</w:t>
            </w:r>
          </w:p>
          <w:p w14:paraId="11B656F0">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snapToGrid w:val="0"/>
                <w:color w:val="auto"/>
                <w:kern w:val="0"/>
                <w:szCs w:val="21"/>
                <w:highlight w:val="none"/>
              </w:rPr>
              <w:t>根据</w:t>
            </w:r>
            <w:r>
              <w:rPr>
                <w:rFonts w:hint="default" w:ascii="Times New Roman" w:hAnsi="Times New Roman" w:eastAsia="宋体" w:cs="Times New Roman"/>
                <w:color w:val="auto"/>
                <w:spacing w:val="0"/>
                <w:kern w:val="0"/>
                <w:sz w:val="21"/>
                <w:szCs w:val="21"/>
                <w:highlight w:val="none"/>
                <w:lang w:bidi="ar"/>
              </w:rPr>
              <w:t>《</w:t>
            </w:r>
            <w:r>
              <w:rPr>
                <w:rFonts w:hint="default" w:ascii="Times New Roman" w:hAnsi="Times New Roman" w:eastAsia="宋体" w:cs="Times New Roman"/>
                <w:color w:val="auto"/>
                <w:kern w:val="21"/>
                <w:sz w:val="21"/>
                <w:szCs w:val="21"/>
                <w:highlight w:val="none"/>
                <w:lang w:val="en-US" w:eastAsia="zh-CN"/>
              </w:rPr>
              <w:t>黑龙江省密山市</w:t>
            </w:r>
            <w:r>
              <w:rPr>
                <w:rFonts w:hint="eastAsia" w:cs="Times New Roman"/>
                <w:color w:val="auto"/>
                <w:kern w:val="21"/>
                <w:sz w:val="21"/>
                <w:szCs w:val="21"/>
                <w:highlight w:val="none"/>
                <w:lang w:val="en-US" w:eastAsia="zh-CN"/>
              </w:rPr>
              <w:t>庆先</w:t>
            </w:r>
            <w:r>
              <w:rPr>
                <w:rFonts w:hint="default" w:ascii="Times New Roman" w:hAnsi="Times New Roman" w:eastAsia="宋体" w:cs="Times New Roman"/>
                <w:color w:val="auto"/>
                <w:kern w:val="21"/>
                <w:sz w:val="21"/>
                <w:szCs w:val="21"/>
                <w:highlight w:val="none"/>
                <w:lang w:val="en-US" w:eastAsia="zh-CN"/>
              </w:rPr>
              <w:t>水库除险加固工程</w:t>
            </w:r>
            <w:r>
              <w:rPr>
                <w:rFonts w:hint="default" w:ascii="Times New Roman" w:hAnsi="Times New Roman" w:eastAsia="宋体" w:cs="Times New Roman"/>
                <w:color w:val="auto"/>
                <w:spacing w:val="0"/>
                <w:kern w:val="0"/>
                <w:sz w:val="21"/>
                <w:szCs w:val="21"/>
                <w:highlight w:val="none"/>
                <w:lang w:bidi="ar"/>
              </w:rPr>
              <w:t>生态环境分区管控分析报告》</w:t>
            </w:r>
            <w:r>
              <w:rPr>
                <w:rFonts w:hint="default" w:ascii="Times New Roman" w:hAnsi="Times New Roman" w:cs="Times New Roman"/>
                <w:snapToGrid w:val="0"/>
                <w:color w:val="auto"/>
                <w:kern w:val="0"/>
                <w:szCs w:val="21"/>
                <w:highlight w:val="none"/>
              </w:rPr>
              <w:t>，</w:t>
            </w:r>
            <w:r>
              <w:rPr>
                <w:rFonts w:ascii="宋体" w:hAnsi="宋体" w:eastAsia="宋体" w:cs="宋体"/>
                <w:color w:val="auto"/>
                <w:spacing w:val="0"/>
                <w:sz w:val="21"/>
                <w:szCs w:val="21"/>
                <w:highlight w:val="none"/>
              </w:rPr>
              <w:t>本项目具体分析如下</w:t>
            </w:r>
            <w:r>
              <w:rPr>
                <w:rFonts w:hint="eastAsia" w:ascii="宋体" w:hAnsi="宋体" w:eastAsia="宋体" w:cs="宋体"/>
                <w:color w:val="auto"/>
                <w:spacing w:val="0"/>
                <w:sz w:val="21"/>
                <w:szCs w:val="21"/>
                <w:highlight w:val="none"/>
                <w:lang w:eastAsia="zh-CN"/>
              </w:rPr>
              <w:t>：</w:t>
            </w:r>
          </w:p>
          <w:p w14:paraId="0D8B960D">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rPr>
              <w:t>“一图”</w:t>
            </w:r>
            <w:r>
              <w:rPr>
                <w:rFonts w:hint="eastAsia" w:ascii="宋体" w:hAnsi="宋体" w:eastAsia="宋体" w:cs="宋体"/>
                <w:b/>
                <w:bCs/>
                <w:color w:val="auto"/>
                <w:highlight w:val="none"/>
                <w:lang w:eastAsia="zh-CN"/>
              </w:rPr>
              <w:t>：</w:t>
            </w:r>
          </w:p>
          <w:p w14:paraId="64336311">
            <w:pPr>
              <w:kinsoku/>
              <w:autoSpaceDE/>
              <w:autoSpaceDN/>
              <w:spacing w:line="240" w:lineRule="auto"/>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321810" cy="2219325"/>
                  <wp:effectExtent l="0" t="0" r="2540" b="9525"/>
                  <wp:docPr id="51" name="图片 51" descr="4d057e68247ac5399ef512e9ae22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4d057e68247ac5399ef512e9ae225843"/>
                          <pic:cNvPicPr>
                            <a:picLocks noChangeAspect="1"/>
                          </pic:cNvPicPr>
                        </pic:nvPicPr>
                        <pic:blipFill>
                          <a:blip r:embed="rId16"/>
                          <a:stretch>
                            <a:fillRect/>
                          </a:stretch>
                        </pic:blipFill>
                        <pic:spPr>
                          <a:xfrm>
                            <a:off x="0" y="0"/>
                            <a:ext cx="4321810" cy="2219325"/>
                          </a:xfrm>
                          <a:prstGeom prst="rect">
                            <a:avLst/>
                          </a:prstGeom>
                        </pic:spPr>
                      </pic:pic>
                    </a:graphicData>
                  </a:graphic>
                </wp:inline>
              </w:drawing>
            </w:r>
          </w:p>
          <w:p w14:paraId="43557C8D">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t>图1-</w:t>
            </w:r>
            <w:r>
              <w:rPr>
                <w:rFonts w:hint="eastAsia"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本项目与环境管控单元叠加图</w:t>
            </w:r>
          </w:p>
          <w:p w14:paraId="6BDCBF31">
            <w:pPr>
              <w:keepNext w:val="0"/>
              <w:keepLines w:val="0"/>
              <w:pageBreakBefore w:val="0"/>
              <w:widowControl/>
              <w:kinsoku w:val="0"/>
              <w:wordWrap/>
              <w:overflowPunct/>
              <w:topLinePunct w:val="0"/>
              <w:autoSpaceDE w:val="0"/>
              <w:autoSpaceDN w:val="0"/>
              <w:bidi w:val="0"/>
              <w:adjustRightInd w:val="0"/>
              <w:snapToGrid w:val="0"/>
              <w:spacing w:line="360" w:lineRule="auto"/>
              <w:ind w:firstLine="482"/>
              <w:jc w:val="both"/>
              <w:textAlignment w:val="baseline"/>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t>“一表”</w:t>
            </w:r>
            <w:r>
              <w:rPr>
                <w:rFonts w:hint="eastAsia" w:ascii="Times New Roman" w:hAnsi="Times New Roman" w:eastAsia="宋体" w:cs="Times New Roman"/>
                <w:b/>
                <w:bCs/>
                <w:color w:val="auto"/>
                <w:highlight w:val="none"/>
                <w:lang w:eastAsia="zh-CN"/>
              </w:rPr>
              <w:t>：</w:t>
            </w:r>
          </w:p>
          <w:p w14:paraId="0506001C">
            <w:pPr>
              <w:ind w:firstLine="480"/>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t>表1-</w:t>
            </w:r>
            <w:r>
              <w:rPr>
                <w:rFonts w:hint="eastAsia"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生态环境准入清单</w:t>
            </w:r>
            <w:r>
              <w:rPr>
                <w:rFonts w:hint="eastAsia" w:ascii="Times New Roman" w:hAnsi="Times New Roman" w:eastAsia="宋体" w:cs="Times New Roman"/>
                <w:b/>
                <w:bCs/>
                <w:color w:val="auto"/>
                <w:kern w:val="0"/>
                <w:sz w:val="21"/>
                <w:szCs w:val="21"/>
                <w:highlight w:val="none"/>
                <w:lang w:val="en-US" w:eastAsia="zh-CN"/>
              </w:rPr>
              <w:t>符合性分析</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2"/>
              <w:gridCol w:w="5862"/>
            </w:tblGrid>
            <w:tr w14:paraId="030B21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noWrap w:val="0"/>
                  <w:vAlign w:val="center"/>
                </w:tcPr>
                <w:p w14:paraId="38B51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b w:val="0"/>
                      <w:bCs w:val="0"/>
                      <w:color w:val="auto"/>
                      <w:spacing w:val="0"/>
                      <w:sz w:val="18"/>
                      <w:szCs w:val="18"/>
                      <w:highlight w:val="none"/>
                    </w:rPr>
                    <w:t>环境管控单元名称</w:t>
                  </w:r>
                </w:p>
              </w:tc>
              <w:tc>
                <w:tcPr>
                  <w:tcW w:w="5800" w:type="dxa"/>
                  <w:tcBorders>
                    <w:tl2br w:val="nil"/>
                    <w:tr2bl w:val="nil"/>
                  </w:tcBorders>
                  <w:noWrap w:val="0"/>
                  <w:vAlign w:val="center"/>
                </w:tcPr>
                <w:p w14:paraId="59F95E29">
                  <w:pPr>
                    <w:keepNext w:val="0"/>
                    <w:keepLines w:val="0"/>
                    <w:pageBreakBefore w:val="0"/>
                    <w:widowControl/>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sz w:val="18"/>
                      <w:szCs w:val="18"/>
                      <w:highlight w:val="none"/>
                    </w:rPr>
                    <w:t>密山市水环境农业污染重点管控区</w:t>
                  </w:r>
                </w:p>
              </w:tc>
            </w:tr>
            <w:tr w14:paraId="154FD6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noWrap w:val="0"/>
                  <w:vAlign w:val="center"/>
                </w:tcPr>
                <w:p w14:paraId="10E2B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b w:val="0"/>
                      <w:bCs w:val="0"/>
                      <w:color w:val="auto"/>
                      <w:spacing w:val="0"/>
                      <w:sz w:val="18"/>
                      <w:szCs w:val="18"/>
                      <w:highlight w:val="none"/>
                    </w:rPr>
                    <w:t>环境管控单元编码</w:t>
                  </w:r>
                </w:p>
              </w:tc>
              <w:tc>
                <w:tcPr>
                  <w:tcW w:w="5800" w:type="dxa"/>
                  <w:tcBorders>
                    <w:tl2br w:val="nil"/>
                    <w:tr2bl w:val="nil"/>
                  </w:tcBorders>
                  <w:noWrap w:val="0"/>
                  <w:vAlign w:val="center"/>
                </w:tcPr>
                <w:p w14:paraId="5B6376F1">
                  <w:pPr>
                    <w:pStyle w:val="42"/>
                    <w:keepNext w:val="0"/>
                    <w:keepLines w:val="0"/>
                    <w:pageBreakBefore w:val="0"/>
                    <w:widowControl/>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sz w:val="18"/>
                      <w:szCs w:val="18"/>
                      <w:highlight w:val="none"/>
                    </w:rPr>
                    <w:t>ZH23038220004</w:t>
                  </w:r>
                </w:p>
              </w:tc>
            </w:tr>
            <w:tr w14:paraId="6746CF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noWrap w:val="0"/>
                  <w:vAlign w:val="center"/>
                </w:tcPr>
                <w:p w14:paraId="7E475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b w:val="0"/>
                      <w:bCs w:val="0"/>
                      <w:color w:val="auto"/>
                      <w:spacing w:val="0"/>
                      <w:sz w:val="18"/>
                      <w:szCs w:val="18"/>
                      <w:highlight w:val="none"/>
                    </w:rPr>
                    <w:t>管控单元类别</w:t>
                  </w:r>
                </w:p>
              </w:tc>
              <w:tc>
                <w:tcPr>
                  <w:tcW w:w="5800" w:type="dxa"/>
                  <w:tcBorders>
                    <w:tl2br w:val="nil"/>
                    <w:tr2bl w:val="nil"/>
                  </w:tcBorders>
                  <w:noWrap w:val="0"/>
                  <w:vAlign w:val="center"/>
                </w:tcPr>
                <w:p w14:paraId="56DEF08D">
                  <w:pPr>
                    <w:keepNext w:val="0"/>
                    <w:keepLines w:val="0"/>
                    <w:pageBreakBefore w:val="0"/>
                    <w:widowControl/>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sz w:val="18"/>
                      <w:szCs w:val="18"/>
                      <w:highlight w:val="none"/>
                      <w:lang w:val="en-US" w:eastAsia="zh-CN"/>
                    </w:rPr>
                    <w:t>重点管控</w:t>
                  </w:r>
                  <w:r>
                    <w:rPr>
                      <w:rFonts w:hint="default" w:ascii="Times New Roman" w:hAnsi="Times New Roman" w:eastAsia="宋体" w:cs="Times New Roman"/>
                      <w:color w:val="auto"/>
                      <w:spacing w:val="0"/>
                      <w:sz w:val="18"/>
                      <w:szCs w:val="18"/>
                      <w:highlight w:val="none"/>
                    </w:rPr>
                    <w:t>单元</w:t>
                  </w:r>
                </w:p>
              </w:tc>
            </w:tr>
            <w:tr w14:paraId="6A03F2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2" w:type="dxa"/>
                  <w:gridSpan w:val="2"/>
                  <w:tcBorders>
                    <w:tl2br w:val="nil"/>
                    <w:tr2bl w:val="nil"/>
                  </w:tcBorders>
                  <w:noWrap w:val="0"/>
                  <w:vAlign w:val="center"/>
                </w:tcPr>
                <w:p w14:paraId="2E538B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b w:val="0"/>
                      <w:bCs w:val="0"/>
                      <w:color w:val="auto"/>
                      <w:spacing w:val="0"/>
                      <w:sz w:val="18"/>
                      <w:szCs w:val="18"/>
                      <w:highlight w:val="none"/>
                      <w:lang w:val="en-US" w:eastAsia="zh-CN"/>
                    </w:rPr>
                    <w:t>管控要求</w:t>
                  </w:r>
                </w:p>
              </w:tc>
            </w:tr>
            <w:tr w14:paraId="4C6228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noWrap w:val="0"/>
                  <w:vAlign w:val="center"/>
                </w:tcPr>
                <w:p w14:paraId="327BD6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sz w:val="18"/>
                      <w:szCs w:val="18"/>
                      <w:highlight w:val="none"/>
                    </w:rPr>
                  </w:pPr>
                  <w:r>
                    <w:rPr>
                      <w:rFonts w:hint="default" w:ascii="Times New Roman" w:hAnsi="Times New Roman" w:eastAsia="宋体" w:cs="Times New Roman"/>
                      <w:b w:val="0"/>
                      <w:bCs w:val="0"/>
                      <w:color w:val="auto"/>
                      <w:spacing w:val="0"/>
                      <w:sz w:val="18"/>
                      <w:szCs w:val="18"/>
                      <w:highlight w:val="none"/>
                    </w:rPr>
                    <w:t>空间布局约束</w:t>
                  </w:r>
                </w:p>
              </w:tc>
              <w:tc>
                <w:tcPr>
                  <w:tcW w:w="5800" w:type="dxa"/>
                  <w:tcBorders>
                    <w:tl2br w:val="nil"/>
                    <w:tr2bl w:val="nil"/>
                  </w:tcBorders>
                  <w:noWrap w:val="0"/>
                  <w:vAlign w:val="center"/>
                </w:tcPr>
                <w:p w14:paraId="2A146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sz w:val="18"/>
                      <w:szCs w:val="18"/>
                      <w:highlight w:val="none"/>
                    </w:rPr>
                    <w:t>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r>
                    <w:rPr>
                      <w:rFonts w:hint="default" w:ascii="Times New Roman" w:hAnsi="Times New Roman" w:eastAsia="宋体" w:cs="Times New Roman"/>
                      <w:color w:val="auto"/>
                      <w:spacing w:val="0"/>
                      <w:kern w:val="0"/>
                      <w:sz w:val="18"/>
                      <w:szCs w:val="18"/>
                      <w:highlight w:val="none"/>
                      <w:lang w:val="en-US" w:eastAsia="zh-CN" w:bidi="ar"/>
                    </w:rPr>
                    <w:t>。</w:t>
                  </w:r>
                </w:p>
              </w:tc>
            </w:tr>
            <w:tr w14:paraId="147D51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noWrap w:val="0"/>
                  <w:vAlign w:val="center"/>
                </w:tcPr>
                <w:p w14:paraId="019A61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sz w:val="18"/>
                      <w:szCs w:val="18"/>
                      <w:highlight w:val="none"/>
                    </w:rPr>
                  </w:pPr>
                  <w:r>
                    <w:rPr>
                      <w:rFonts w:hint="default" w:ascii="Times New Roman" w:hAnsi="Times New Roman" w:eastAsia="宋体" w:cs="Times New Roman"/>
                      <w:b w:val="0"/>
                      <w:bCs w:val="0"/>
                      <w:color w:val="auto"/>
                      <w:spacing w:val="0"/>
                      <w:sz w:val="18"/>
                      <w:szCs w:val="18"/>
                      <w:highlight w:val="none"/>
                    </w:rPr>
                    <w:t>污染物排放管控</w:t>
                  </w:r>
                </w:p>
              </w:tc>
              <w:tc>
                <w:tcPr>
                  <w:tcW w:w="5800" w:type="dxa"/>
                  <w:tcBorders>
                    <w:tl2br w:val="nil"/>
                    <w:tr2bl w:val="nil"/>
                  </w:tcBorders>
                  <w:noWrap w:val="0"/>
                  <w:vAlign w:val="center"/>
                </w:tcPr>
                <w:p w14:paraId="468A72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sz w:val="18"/>
                      <w:szCs w:val="18"/>
                      <w:highlight w:val="none"/>
                    </w:rPr>
                    <w:t>1.支持规模化畜禽养殖场（小区）开展标准化改造和建设，提高畜禽粪污收集和处理机械化水平，实施雨污分流、粪污资源化利用，控制畜禽养殖污染排放。 2.畜禽散养密集区所在地县级人民政府应当组织对畜禽粪便、污水进行集中处理利用，督促乡镇人民政府建设或者配备污染防治配套设施。 3.全面加强农业面源污染防控，科学合理使用农业投入品，提高使用效率，减少农业内源性污染。</w:t>
                  </w:r>
                </w:p>
              </w:tc>
            </w:tr>
            <w:tr w14:paraId="2C33C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noWrap w:val="0"/>
                  <w:vAlign w:val="center"/>
                </w:tcPr>
                <w:p w14:paraId="01CD4D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符合性</w:t>
                  </w:r>
                </w:p>
                <w:p w14:paraId="71F4324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分析</w:t>
                  </w:r>
                </w:p>
              </w:tc>
              <w:tc>
                <w:tcPr>
                  <w:tcW w:w="5800" w:type="dxa"/>
                  <w:tcBorders>
                    <w:tl2br w:val="nil"/>
                    <w:tr2bl w:val="nil"/>
                  </w:tcBorders>
                  <w:noWrap w:val="0"/>
                  <w:vAlign w:val="center"/>
                </w:tcPr>
                <w:p w14:paraId="69BCF219">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b w:val="0"/>
                      <w:bCs w:val="0"/>
                      <w:color w:val="auto"/>
                      <w:sz w:val="18"/>
                      <w:szCs w:val="18"/>
                      <w:highlight w:val="none"/>
                      <w:lang w:val="en-US" w:eastAsia="zh-CN"/>
                    </w:rPr>
                    <w:t>本项目不属于养殖项目且不属于农业发展项目，无农业面源的排放，本项目运行期间无污染物排放，因此本项目符合</w:t>
                  </w:r>
                  <w:r>
                    <w:rPr>
                      <w:rFonts w:hint="default" w:ascii="Times New Roman" w:hAnsi="Times New Roman" w:eastAsia="宋体" w:cs="Times New Roman"/>
                      <w:b w:val="0"/>
                      <w:bCs w:val="0"/>
                      <w:color w:val="auto"/>
                      <w:kern w:val="0"/>
                      <w:sz w:val="18"/>
                      <w:szCs w:val="18"/>
                      <w:highlight w:val="none"/>
                      <w:lang w:val="en-US" w:eastAsia="zh-CN" w:bidi="ar"/>
                    </w:rPr>
                    <w:t>密山市水环境农业污染重点管控区</w:t>
                  </w:r>
                  <w:r>
                    <w:rPr>
                      <w:rFonts w:hint="eastAsia" w:cs="Times New Roman"/>
                      <w:b w:val="0"/>
                      <w:bCs w:val="0"/>
                      <w:color w:val="auto"/>
                      <w:kern w:val="0"/>
                      <w:sz w:val="18"/>
                      <w:szCs w:val="18"/>
                      <w:highlight w:val="none"/>
                      <w:lang w:val="en-US" w:eastAsia="zh-CN" w:bidi="ar"/>
                    </w:rPr>
                    <w:t>的</w:t>
                  </w:r>
                  <w:r>
                    <w:rPr>
                      <w:rFonts w:hint="default" w:ascii="Times New Roman" w:hAnsi="Times New Roman" w:eastAsia="宋体" w:cs="Times New Roman"/>
                      <w:b w:val="0"/>
                      <w:bCs w:val="0"/>
                      <w:color w:val="auto"/>
                      <w:kern w:val="0"/>
                      <w:sz w:val="18"/>
                      <w:szCs w:val="18"/>
                      <w:highlight w:val="none"/>
                      <w:lang w:val="en-US" w:eastAsia="zh-CN" w:bidi="ar"/>
                    </w:rPr>
                    <w:t>空间布局约束</w:t>
                  </w:r>
                  <w:r>
                    <w:rPr>
                      <w:rFonts w:hint="eastAsia" w:ascii="Times New Roman" w:hAnsi="Times New Roman" w:eastAsia="宋体" w:cs="Times New Roman"/>
                      <w:b w:val="0"/>
                      <w:bCs w:val="0"/>
                      <w:color w:val="auto"/>
                      <w:kern w:val="0"/>
                      <w:sz w:val="18"/>
                      <w:szCs w:val="18"/>
                      <w:highlight w:val="none"/>
                      <w:lang w:val="en-US" w:eastAsia="zh-CN" w:bidi="ar"/>
                    </w:rPr>
                    <w:t>和</w:t>
                  </w:r>
                  <w:r>
                    <w:rPr>
                      <w:rFonts w:hint="default" w:ascii="Times New Roman" w:hAnsi="Times New Roman" w:eastAsia="宋体" w:cs="Times New Roman"/>
                      <w:b w:val="0"/>
                      <w:bCs w:val="0"/>
                      <w:color w:val="auto"/>
                      <w:kern w:val="0"/>
                      <w:sz w:val="18"/>
                      <w:szCs w:val="18"/>
                      <w:highlight w:val="none"/>
                      <w:lang w:val="en-US" w:eastAsia="zh-CN" w:bidi="ar"/>
                    </w:rPr>
                    <w:t>污染物排放管控</w:t>
                  </w:r>
                  <w:r>
                    <w:rPr>
                      <w:rFonts w:hint="eastAsia" w:ascii="Times New Roman" w:hAnsi="Times New Roman" w:eastAsia="宋体" w:cs="Times New Roman"/>
                      <w:b w:val="0"/>
                      <w:bCs w:val="0"/>
                      <w:color w:val="auto"/>
                      <w:kern w:val="0"/>
                      <w:sz w:val="18"/>
                      <w:szCs w:val="18"/>
                      <w:highlight w:val="none"/>
                      <w:lang w:val="en-US" w:eastAsia="zh-CN" w:bidi="ar"/>
                    </w:rPr>
                    <w:t>。</w:t>
                  </w:r>
                </w:p>
              </w:tc>
            </w:tr>
          </w:tbl>
          <w:p w14:paraId="7C741A89">
            <w:pPr>
              <w:kinsoku/>
              <w:autoSpaceDE/>
              <w:autoSpaceDN/>
              <w:spacing w:line="360" w:lineRule="auto"/>
              <w:ind w:firstLine="422" w:firstLineChars="200"/>
              <w:jc w:val="both"/>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“一说明”：</w:t>
            </w:r>
          </w:p>
          <w:p w14:paraId="66BE343C">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根据《</w:t>
            </w:r>
            <w:r>
              <w:rPr>
                <w:rFonts w:hint="eastAsia" w:ascii="Times New Roman" w:hAnsi="Times New Roman" w:eastAsia="宋体" w:cs="Times New Roman"/>
                <w:color w:val="auto"/>
                <w:kern w:val="21"/>
                <w:sz w:val="21"/>
                <w:szCs w:val="21"/>
                <w:highlight w:val="none"/>
                <w:lang w:val="en-US" w:eastAsia="zh-CN"/>
              </w:rPr>
              <w:t>黑龙江省密山市</w:t>
            </w:r>
            <w:r>
              <w:rPr>
                <w:rFonts w:hint="eastAsia" w:cs="Times New Roman"/>
                <w:color w:val="auto"/>
                <w:kern w:val="21"/>
                <w:sz w:val="21"/>
                <w:szCs w:val="21"/>
                <w:highlight w:val="none"/>
                <w:lang w:val="en-US" w:eastAsia="zh-CN"/>
              </w:rPr>
              <w:t>庆先</w:t>
            </w:r>
            <w:r>
              <w:rPr>
                <w:rFonts w:hint="eastAsia" w:ascii="Times New Roman" w:hAnsi="Times New Roman" w:eastAsia="宋体" w:cs="Times New Roman"/>
                <w:color w:val="auto"/>
                <w:kern w:val="21"/>
                <w:sz w:val="21"/>
                <w:szCs w:val="21"/>
                <w:highlight w:val="none"/>
                <w:lang w:val="en-US" w:eastAsia="zh-CN"/>
              </w:rPr>
              <w:t>水库除险加固工程</w:t>
            </w:r>
            <w:r>
              <w:rPr>
                <w:rFonts w:hint="default" w:ascii="Times New Roman" w:hAnsi="Times New Roman" w:cs="Times New Roman"/>
                <w:snapToGrid w:val="0"/>
                <w:color w:val="auto"/>
                <w:kern w:val="0"/>
                <w:szCs w:val="21"/>
                <w:highlight w:val="none"/>
              </w:rPr>
              <w:t>生态环境分区管控分析报告</w:t>
            </w:r>
            <w:r>
              <w:rPr>
                <w:rFonts w:hint="default" w:ascii="Times New Roman" w:hAnsi="Times New Roman" w:eastAsia="宋体" w:cs="Times New Roman"/>
                <w:color w:val="auto"/>
                <w:sz w:val="21"/>
                <w:szCs w:val="21"/>
                <w:highlight w:val="none"/>
              </w:rPr>
              <w:t>》分析成果，</w:t>
            </w:r>
            <w:r>
              <w:rPr>
                <w:rFonts w:hint="eastAsia" w:ascii="Times New Roman" w:hAnsi="Times New Roman" w:eastAsia="宋体" w:cs="Times New Roman"/>
                <w:color w:val="auto"/>
                <w:kern w:val="21"/>
                <w:sz w:val="21"/>
                <w:szCs w:val="21"/>
                <w:highlight w:val="none"/>
                <w:lang w:val="en-US" w:eastAsia="zh-CN"/>
              </w:rPr>
              <w:t>黑龙江省密山市</w:t>
            </w:r>
            <w:r>
              <w:rPr>
                <w:rFonts w:hint="eastAsia" w:cs="Times New Roman"/>
                <w:color w:val="auto"/>
                <w:kern w:val="21"/>
                <w:sz w:val="21"/>
                <w:szCs w:val="21"/>
                <w:highlight w:val="none"/>
                <w:lang w:val="en-US" w:eastAsia="zh-CN"/>
              </w:rPr>
              <w:t>庆先</w:t>
            </w:r>
            <w:r>
              <w:rPr>
                <w:rFonts w:hint="eastAsia" w:ascii="Times New Roman" w:hAnsi="Times New Roman" w:eastAsia="宋体" w:cs="Times New Roman"/>
                <w:color w:val="auto"/>
                <w:kern w:val="21"/>
                <w:sz w:val="21"/>
                <w:szCs w:val="21"/>
                <w:highlight w:val="none"/>
                <w:lang w:val="en-US" w:eastAsia="zh-CN"/>
              </w:rPr>
              <w:t>水库除险加固工程</w:t>
            </w:r>
            <w:r>
              <w:rPr>
                <w:rFonts w:hint="default" w:ascii="Times New Roman" w:hAnsi="Times New Roman" w:eastAsia="宋体" w:cs="Times New Roman"/>
                <w:color w:val="auto"/>
                <w:sz w:val="21"/>
                <w:szCs w:val="21"/>
                <w:highlight w:val="none"/>
              </w:rPr>
              <w:t>位置涉及</w:t>
            </w:r>
            <w:r>
              <w:rPr>
                <w:rFonts w:hint="eastAsia" w:cs="Times New Roman"/>
                <w:color w:val="auto"/>
                <w:sz w:val="21"/>
                <w:szCs w:val="21"/>
                <w:highlight w:val="none"/>
                <w:lang w:val="en-US" w:eastAsia="zh-CN"/>
              </w:rPr>
              <w:t>鸡西市密山市</w:t>
            </w:r>
            <w:r>
              <w:rPr>
                <w:rFonts w:hint="default" w:ascii="Times New Roman" w:hAnsi="Times New Roman" w:eastAsia="宋体" w:cs="Times New Roman"/>
                <w:color w:val="auto"/>
                <w:sz w:val="21"/>
                <w:szCs w:val="21"/>
                <w:highlight w:val="none"/>
                <w:lang w:val="en-US" w:eastAsia="zh-CN"/>
              </w:rPr>
              <w:t>；项目占地总面积</w:t>
            </w: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平方公里。</w:t>
            </w:r>
          </w:p>
          <w:p w14:paraId="3CFFF022">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与生态保护红线交集面积为0.00平方公里，占项目占地面积的0.00%。</w:t>
            </w:r>
          </w:p>
          <w:p w14:paraId="20DF10AB">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与自然保护地整合优化方案数据交集面积为0.00平方公里，占项目占地面积的0.00%。保护地涉及等类型。与自然保护地（现状管理数据）交集面积为0.00平方公里，占项目占地面积的0.00%。保护地涉及等类型。</w:t>
            </w:r>
          </w:p>
          <w:p w14:paraId="707609CC">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与饮用水水源保护区交集面积为0.00平方公里，占项目占地面积的 0.00%。与国家级水产种质资源保护区交集面积为0.00平方公里，占项目占地面积的0.00%。</w:t>
            </w:r>
          </w:p>
          <w:p w14:paraId="3F71B1B3">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与环境管控单元优先保护单元交集面积为</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平方公里，占项目占地面积的</w:t>
            </w:r>
            <w:r>
              <w:rPr>
                <w:rFonts w:hint="eastAsia" w:ascii="Times New Roman" w:hAnsi="Times New Roman" w:eastAsia="宋体" w:cs="Times New Roman"/>
                <w:color w:val="auto"/>
                <w:sz w:val="21"/>
                <w:szCs w:val="21"/>
                <w:highlight w:val="none"/>
                <w:lang w:val="en-US" w:eastAsia="zh-CN"/>
              </w:rPr>
              <w:t>0.00</w:t>
            </w:r>
            <w:r>
              <w:rPr>
                <w:rFonts w:hint="default" w:ascii="Times New Roman" w:hAnsi="Times New Roman" w:eastAsia="宋体" w:cs="Times New Roman"/>
                <w:color w:val="auto"/>
                <w:sz w:val="21"/>
                <w:szCs w:val="21"/>
                <w:highlight w:val="none"/>
                <w:lang w:val="en-US" w:eastAsia="zh-CN"/>
              </w:rPr>
              <w:t>%；与重点管控单元交集面积为0.0</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平方公里，占项目占地面积的</w:t>
            </w:r>
            <w:r>
              <w:rPr>
                <w:rFonts w:hint="eastAsia" w:cs="Times New Roman"/>
                <w:color w:val="auto"/>
                <w:sz w:val="21"/>
                <w:szCs w:val="21"/>
                <w:highlight w:val="none"/>
                <w:lang w:val="en-US" w:eastAsia="zh-CN"/>
              </w:rPr>
              <w:t>100.0</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%；一般管控单元交集面积为0.0</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平方公里，占项目占地面积的</w:t>
            </w:r>
            <w:r>
              <w:rPr>
                <w:rFonts w:hint="eastAsia" w:cs="Times New Roman"/>
                <w:color w:val="auto"/>
                <w:sz w:val="21"/>
                <w:szCs w:val="21"/>
                <w:highlight w:val="none"/>
                <w:lang w:val="en-US" w:eastAsia="zh-CN"/>
              </w:rPr>
              <w:t>0.00</w:t>
            </w:r>
            <w:r>
              <w:rPr>
                <w:rFonts w:hint="default" w:ascii="Times New Roman" w:hAnsi="Times New Roman" w:eastAsia="宋体" w:cs="Times New Roman"/>
                <w:color w:val="auto"/>
                <w:sz w:val="21"/>
                <w:szCs w:val="21"/>
                <w:highlight w:val="none"/>
                <w:lang w:val="en-US" w:eastAsia="zh-CN"/>
              </w:rPr>
              <w:t>%。</w:t>
            </w:r>
          </w:p>
          <w:p w14:paraId="2989C708">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szCs w:val="21"/>
                <w:highlight w:val="none"/>
                <w:lang w:val="en-US" w:eastAsia="zh-CN"/>
              </w:rPr>
              <w:t>与地下水环境优先保护区交集面积为0.00平方公里，占项目占地面积的0.00%；与地下水环境重点管控区交集面积为0.00平方公里，占项目占地面积的0.00%，与地下水环境一般管控区交集面积为0.0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平方公里，占项目占地面积的100.00%。</w:t>
            </w:r>
          </w:p>
          <w:p w14:paraId="5A7FCAA9">
            <w:pPr>
              <w:pStyle w:val="22"/>
              <w:keepNext w:val="0"/>
              <w:keepLines w:val="0"/>
              <w:pageBreakBefore w:val="0"/>
              <w:widowControl/>
              <w:kinsoku w:val="0"/>
              <w:wordWrap/>
              <w:overflowPunct/>
              <w:topLinePunct w:val="0"/>
              <w:autoSpaceDE/>
              <w:autoSpaceDN/>
              <w:bidi w:val="0"/>
              <w:adjustRightInd/>
              <w:snapToGrid w:val="0"/>
              <w:spacing w:after="0" w:afterLines="0"/>
              <w:ind w:left="0" w:leftChars="0" w:firstLine="0"/>
              <w:jc w:val="both"/>
              <w:textAlignment w:val="baseline"/>
              <w:rPr>
                <w:rFonts w:hint="default" w:ascii="Times New Roman" w:hAnsi="Times New Roman" w:cs="Times New Roman" w:eastAsiaTheme="minorEastAsia"/>
                <w:b/>
                <w:color w:val="auto"/>
                <w:sz w:val="21"/>
                <w:szCs w:val="21"/>
                <w:highlight w:val="none"/>
                <w:lang w:val="en-US" w:eastAsia="zh-CN"/>
              </w:rPr>
            </w:pPr>
            <w:r>
              <w:rPr>
                <w:rFonts w:hint="eastAsia"/>
                <w:color w:val="auto"/>
                <w:kern w:val="0"/>
                <w:sz w:val="21"/>
                <w:szCs w:val="21"/>
                <w:highlight w:val="none"/>
                <w:lang w:val="en-US" w:eastAsia="zh-CN"/>
              </w:rPr>
              <w:t>综上所述</w:t>
            </w:r>
            <w:r>
              <w:rPr>
                <w:rFonts w:hint="eastAsia"/>
                <w:color w:val="auto"/>
                <w:kern w:val="0"/>
                <w:sz w:val="21"/>
                <w:szCs w:val="21"/>
                <w:highlight w:val="none"/>
              </w:rPr>
              <w:t>，</w:t>
            </w:r>
            <w:r>
              <w:rPr>
                <w:rFonts w:hint="eastAsia" w:ascii="宋体" w:hAnsi="宋体" w:eastAsia="宋体" w:cs="宋体"/>
                <w:color w:val="auto"/>
                <w:sz w:val="21"/>
                <w:szCs w:val="21"/>
                <w:highlight w:val="none"/>
              </w:rPr>
              <w:t>本</w:t>
            </w:r>
            <w:r>
              <w:rPr>
                <w:rFonts w:hint="eastAsia" w:ascii="宋体" w:hAnsi="宋体" w:eastAsia="宋体" w:cs="宋体"/>
                <w:color w:val="auto"/>
                <w:sz w:val="21"/>
                <w:szCs w:val="21"/>
                <w:highlight w:val="none"/>
                <w:lang w:eastAsia="zh-CN"/>
              </w:rPr>
              <w:t>项目</w:t>
            </w:r>
            <w:r>
              <w:rPr>
                <w:rFonts w:hint="eastAsia" w:ascii="宋体" w:hAnsi="宋体" w:eastAsia="宋体" w:cs="宋体"/>
                <w:color w:val="auto"/>
                <w:sz w:val="21"/>
                <w:szCs w:val="21"/>
                <w:highlight w:val="none"/>
              </w:rPr>
              <w:t>符合</w:t>
            </w:r>
            <w:r>
              <w:rPr>
                <w:rFonts w:hint="eastAsia" w:ascii="宋体" w:hAnsi="宋体" w:eastAsia="宋体" w:cs="宋体"/>
                <w:color w:val="auto"/>
                <w:kern w:val="0"/>
                <w:sz w:val="21"/>
                <w:szCs w:val="21"/>
                <w:highlight w:val="none"/>
                <w:lang w:bidi="ar"/>
              </w:rPr>
              <w:t>生态环境分区管控</w:t>
            </w:r>
            <w:r>
              <w:rPr>
                <w:rFonts w:hint="eastAsia" w:ascii="宋体" w:hAnsi="宋体" w:eastAsia="宋体" w:cs="宋体"/>
                <w:color w:val="auto"/>
                <w:sz w:val="21"/>
                <w:szCs w:val="21"/>
                <w:highlight w:val="none"/>
              </w:rPr>
              <w:t>中的要求</w:t>
            </w:r>
            <w:r>
              <w:rPr>
                <w:rFonts w:hint="default" w:ascii="Times New Roman" w:hAnsi="Times New Roman" w:eastAsia="宋体" w:cs="Times New Roman"/>
                <w:color w:val="auto"/>
                <w:highlight w:val="none"/>
                <w:lang w:eastAsia="zh-CN"/>
              </w:rPr>
              <w:t>。</w:t>
            </w:r>
          </w:p>
          <w:p w14:paraId="3C31BD9C">
            <w:pPr>
              <w:keepNext w:val="0"/>
              <w:keepLines w:val="0"/>
              <w:pageBreakBefore w:val="0"/>
              <w:widowControl/>
              <w:kinsoku/>
              <w:wordWrap/>
              <w:overflowPunct/>
              <w:topLinePunct w:val="0"/>
              <w:autoSpaceDE/>
              <w:autoSpaceDN/>
              <w:bidi w:val="0"/>
              <w:adjustRightInd/>
              <w:snapToGrid/>
              <w:spacing w:line="360" w:lineRule="auto"/>
              <w:ind w:left="0" w:leftChars="0" w:firstLine="422" w:firstLineChars="200"/>
              <w:jc w:val="both"/>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eastAsia="zh-CN"/>
              </w:rPr>
              <w:t>、与《黑龙江省主体功能区规划》符合性</w:t>
            </w:r>
          </w:p>
          <w:p w14:paraId="50531F4F">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根据《黑龙江省主体功能区规划》，</w:t>
            </w:r>
            <w:r>
              <w:rPr>
                <w:rFonts w:hint="default" w:ascii="Times New Roman" w:hAnsi="Times New Roman" w:eastAsia="宋体" w:cs="Times New Roman"/>
                <w:color w:val="auto"/>
                <w:kern w:val="0"/>
                <w:sz w:val="21"/>
                <w:szCs w:val="21"/>
                <w:highlight w:val="none"/>
              </w:rPr>
              <w:t>工程建设地点所在的密山市属于限制开发区域（国家重点生态功能区），该区域功能定位以提供生态产品为主，保障生态安全的重要区域，人与自然和谐相处的示范区；未来发展方向应在保护生态的前提下，积极发展农业生产，努力提高粮食产量，保障国家粮食安全和食品安全，增加农民收入。该区域在国土空间开发中限制进行大规模高强度工业化和城镇化开发，以保持生态产品供给能力的区域。</w:t>
            </w:r>
          </w:p>
          <w:p w14:paraId="10A845F6">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符合性分析：</w:t>
            </w:r>
            <w:r>
              <w:rPr>
                <w:rFonts w:hint="default" w:ascii="Times New Roman" w:hAnsi="Times New Roman" w:eastAsia="宋体" w:cs="Times New Roman"/>
                <w:color w:val="auto"/>
                <w:sz w:val="21"/>
                <w:szCs w:val="21"/>
                <w:highlight w:val="none"/>
              </w:rPr>
              <w:t>本项目水库除险加固工程的实施可消除各种工程隐患，确保现状水库的安全运行及下游人民生命财产的安全，并使其发挥正常的防洪、灌溉等效益，对区域环境产生的正面效益显著，总体来看本项目符合《黑龙江省主体功能区规划》中的功能区规划要求。</w:t>
            </w:r>
          </w:p>
          <w:p w14:paraId="05DB2916">
            <w:pPr>
              <w:keepNext w:val="0"/>
              <w:keepLines w:val="0"/>
              <w:pageBreakBefore w:val="0"/>
              <w:widowControl/>
              <w:kinsoku/>
              <w:wordWrap/>
              <w:overflowPunct/>
              <w:topLinePunct w:val="0"/>
              <w:autoSpaceDE/>
              <w:autoSpaceDN/>
              <w:bidi w:val="0"/>
              <w:adjustRightInd/>
              <w:snapToGrid/>
              <w:spacing w:line="360" w:lineRule="auto"/>
              <w:ind w:left="0" w:leftChars="0" w:firstLine="422" w:firstLineChars="200"/>
              <w:jc w:val="both"/>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eastAsia="zh-CN"/>
              </w:rPr>
              <w:t>、与《黑龙江省生态功能区划》符合性</w:t>
            </w:r>
          </w:p>
          <w:p w14:paraId="6B781CAC">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根据《黑龙江省生态功能区划》，</w:t>
            </w:r>
            <w:r>
              <w:rPr>
                <w:rFonts w:hint="default" w:ascii="Times New Roman" w:hAnsi="Times New Roman" w:eastAsia="宋体" w:cs="Times New Roman"/>
                <w:color w:val="auto"/>
                <w:kern w:val="0"/>
                <w:sz w:val="21"/>
                <w:szCs w:val="21"/>
                <w:highlight w:val="none"/>
              </w:rPr>
              <w:t>工程所在区域属“Ⅰ—3—3—2兴凯湖农、牧、渔业与湿地及生物多样性保护生态功能区”。</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宋体" w:cs="Times New Roman"/>
                <w:color w:val="auto"/>
                <w:kern w:val="0"/>
                <w:sz w:val="21"/>
                <w:szCs w:val="21"/>
                <w:highlight w:val="none"/>
              </w:rPr>
              <w:t>该区域主要生态环境问题为“湖泊水体有潜在富营养化的趋势；湿地保护区被耕地包围，湿地生态功能衰退”。生态环境敏感性表现为“该区东南部边缘地区生物多样性敏感性为极敏感，高度敏感性地区所占面积较大”。主要生态系统服务功能为“土壤保持、生物多样性保护、自然人文景观保护、农牧渔生产、旅游”，保护措施与发展方向为“加强保护区建设，以减少人为因素对其的影响，改善周围湿地质量。科学发展农牧渔业”</w:t>
            </w:r>
            <w:r>
              <w:rPr>
                <w:rFonts w:hint="default" w:ascii="Times New Roman" w:hAnsi="Times New Roman" w:eastAsia="宋体" w:cs="Times New Roman"/>
                <w:color w:val="auto"/>
                <w:sz w:val="21"/>
                <w:szCs w:val="21"/>
                <w:highlight w:val="none"/>
                <w:lang w:eastAsia="zh-CN"/>
              </w:rPr>
              <w:t>。</w:t>
            </w:r>
          </w:p>
          <w:p w14:paraId="1AFC7B1C">
            <w:pPr>
              <w:pStyle w:val="35"/>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cs="Times New Roman" w:eastAsiaTheme="minorEastAsia"/>
                <w:b/>
                <w:bCs w:val="0"/>
                <w:color w:val="auto"/>
                <w:szCs w:val="24"/>
                <w:highlight w:val="none"/>
                <w:lang w:val="en-US" w:eastAsia="zh-CN"/>
              </w:rPr>
            </w:pPr>
            <w:r>
              <w:rPr>
                <w:rFonts w:hint="default" w:ascii="Times New Roman" w:hAnsi="Times New Roman" w:eastAsia="宋体" w:cs="Times New Roman"/>
                <w:color w:val="auto"/>
                <w:sz w:val="21"/>
                <w:szCs w:val="21"/>
                <w:highlight w:val="none"/>
                <w:lang w:val="en-US" w:eastAsia="zh-CN"/>
              </w:rPr>
              <w:t>符合性分析：</w:t>
            </w:r>
            <w:r>
              <w:rPr>
                <w:rFonts w:hint="default" w:ascii="Times New Roman" w:hAnsi="Times New Roman" w:eastAsia="宋体" w:cs="Times New Roman"/>
                <w:color w:val="auto"/>
                <w:sz w:val="21"/>
                <w:szCs w:val="21"/>
                <w:highlight w:val="none"/>
              </w:rPr>
              <w:t>本项目水库除险加固工程的实施可消除各种工程隐患，确保现状水库的安全运行及下游人民生命财产的安全，并使其发挥正常的防洪、灌溉等效益，对区域环境产生的正面效益显著，发展生态农业建设的保护措施和发展方向，与《黑龙江省生态功能区划》符合。</w:t>
            </w:r>
          </w:p>
          <w:p w14:paraId="737C85D0">
            <w:pPr>
              <w:pStyle w:val="35"/>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
                <w:bCs w:val="0"/>
                <w:color w:val="auto"/>
                <w:sz w:val="21"/>
                <w:szCs w:val="21"/>
                <w:highlight w:val="none"/>
                <w:lang w:val="en-US" w:eastAsia="zh-CN"/>
              </w:rPr>
              <w:t>5、</w:t>
            </w:r>
            <w:r>
              <w:rPr>
                <w:rFonts w:hint="default" w:ascii="Times New Roman" w:hAnsi="Times New Roman" w:eastAsia="宋体" w:cs="Times New Roman"/>
                <w:b/>
                <w:bCs w:val="0"/>
                <w:color w:val="auto"/>
                <w:sz w:val="21"/>
                <w:szCs w:val="21"/>
                <w:highlight w:val="none"/>
              </w:rPr>
              <w:t>与《水利部国家发展改革委财政部关于印发〈“十四五”水库除险加固实施方案〉的通知》的符合性分析</w:t>
            </w:r>
          </w:p>
          <w:p w14:paraId="520C0DA7">
            <w:pPr>
              <w:pStyle w:val="35"/>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实施方案提出：“到“十四五”末，全部完成现有及新建的约1.94万座病险水库除险加固；实施55370座小型水库雨水情测报设施和47284座小型水库大坝安全监测设施建设；对分散管理的48226座小型水库全面实行专业化管护模式；推进水库管理规范化标准化。”</w:t>
            </w:r>
          </w:p>
          <w:p w14:paraId="45E282DB">
            <w:pPr>
              <w:pStyle w:val="35"/>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kern w:val="2"/>
                <w:sz w:val="21"/>
                <w:szCs w:val="21"/>
                <w:highlight w:val="none"/>
                <w:lang w:val="en-US" w:eastAsia="zh-CN" w:bidi="ar-SA"/>
              </w:rPr>
              <w:t>黑龙江省润源工程勘测设计有限公司</w:t>
            </w:r>
            <w:r>
              <w:rPr>
                <w:rFonts w:hint="default" w:ascii="Times New Roman" w:hAnsi="Times New Roman" w:eastAsia="宋体" w:cs="Times New Roman"/>
                <w:color w:val="auto"/>
                <w:sz w:val="21"/>
                <w:szCs w:val="21"/>
                <w:highlight w:val="none"/>
                <w:lang w:val="en-US" w:eastAsia="zh-CN"/>
              </w:rPr>
              <w:t>于2024年10月编制的《密山市</w:t>
            </w:r>
            <w:r>
              <w:rPr>
                <w:rFonts w:hint="eastAsia" w:ascii="Times New Roman" w:hAnsi="Times New Roman" w:cs="Times New Roman"/>
                <w:color w:val="auto"/>
                <w:sz w:val="21"/>
                <w:szCs w:val="21"/>
                <w:highlight w:val="none"/>
                <w:lang w:val="en-US" w:eastAsia="zh-CN"/>
              </w:rPr>
              <w:t>庆先</w:t>
            </w:r>
            <w:r>
              <w:rPr>
                <w:rFonts w:hint="default" w:ascii="Times New Roman" w:hAnsi="Times New Roman" w:eastAsia="宋体" w:cs="Times New Roman"/>
                <w:color w:val="auto"/>
                <w:sz w:val="21"/>
                <w:szCs w:val="21"/>
                <w:highlight w:val="none"/>
                <w:lang w:val="en-US" w:eastAsia="zh-CN"/>
              </w:rPr>
              <w:t>水库大坝安全评价报告》，由密山市水务局报送，按照黑龙江省水利厅安排，黑龙江省水利科学研究院于10月组织专家进行核查，</w:t>
            </w:r>
            <w:r>
              <w:rPr>
                <w:rFonts w:hint="eastAsia" w:ascii="Times New Roman" w:hAnsi="Times New Roman" w:cs="Times New Roman"/>
                <w:color w:val="auto"/>
                <w:sz w:val="21"/>
                <w:szCs w:val="21"/>
                <w:highlight w:val="none"/>
                <w:lang w:val="en-US" w:eastAsia="zh-CN"/>
              </w:rPr>
              <w:t>庆先</w:t>
            </w:r>
            <w:r>
              <w:rPr>
                <w:rFonts w:hint="default" w:ascii="Times New Roman" w:hAnsi="Times New Roman" w:eastAsia="宋体" w:cs="Times New Roman"/>
                <w:color w:val="auto"/>
                <w:sz w:val="21"/>
                <w:szCs w:val="21"/>
                <w:highlight w:val="none"/>
                <w:lang w:val="en-US" w:eastAsia="zh-CN"/>
              </w:rPr>
              <w:t>水库大坝</w:t>
            </w:r>
            <w:r>
              <w:rPr>
                <w:rFonts w:hint="default" w:ascii="Times New Roman" w:hAnsi="Times New Roman" w:eastAsia="宋体" w:cs="Times New Roman"/>
                <w:color w:val="auto"/>
                <w:kern w:val="0"/>
                <w:sz w:val="21"/>
                <w:szCs w:val="21"/>
                <w:highlight w:val="none"/>
                <w:lang w:val="en-US" w:eastAsia="zh-CN" w:bidi="ar"/>
              </w:rPr>
              <w:t>安全鉴定程序符合规定，大坝安全鉴定为“三类坝”符合工程实际，应开展除险加固消除险情和安全隐患</w:t>
            </w:r>
            <w:r>
              <w:rPr>
                <w:rFonts w:hint="default" w:ascii="Times New Roman" w:hAnsi="Times New Roman" w:eastAsia="宋体" w:cs="Times New Roman"/>
                <w:bCs/>
                <w:color w:val="auto"/>
                <w:sz w:val="21"/>
                <w:szCs w:val="21"/>
                <w:highlight w:val="none"/>
              </w:rPr>
              <w:t>，是具有安全及防洪隐患的病险水库，需进行除险加固。本项目与《水利部国家发展改革委财政部关于印发〈“十四五”水库除险加固实施方案〉的通知》相符合。</w:t>
            </w:r>
          </w:p>
          <w:p w14:paraId="4EE662C6">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2" w:firstLineChars="200"/>
              <w:jc w:val="both"/>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eastAsiaTheme="minorEastAsia"/>
                <w:b/>
                <w:bCs/>
                <w:color w:val="auto"/>
                <w:kern w:val="0"/>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与《黑龙江省穆棱河干流岸线保护和利用规划修编报告》符合性分析</w:t>
            </w:r>
          </w:p>
          <w:p w14:paraId="3DC7D3BB">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黑龙江省穆棱河干流岸线保护和利用规划修编报告》（2025年8月），穆棱河干流岸线规划修编共划定岸线功能区209个，其中岸线保护区100个，岸线长度占比25.06%；岸线保留区67个，岸线长度占比65.68%；岸线控制利用区42个，岸线长度占比9.26%。规划明确岸线保护区及保留区占比达90%以上，旨在逐步实现岸线资源“生态优先、协调布局、集约开发、统筹管理、永续利用”的目标。</w:t>
            </w:r>
          </w:p>
          <w:p w14:paraId="31516DAB">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庆先水库位于黑龙江省鸡西市密山市，其下游水体经锅盔河最终汇入穆棱河。根据《黑龙江省穆棱河干流岸线保护和利用规划修编报告》，穆棱河干流沿线分布有黑龙江兴凯湖国家级自然保护区、黑龙江珍宝岛国家级自然保护区等生态敏感区，以及多处饮用水水源保护区。本次庆先水库除险加固工程为水库安全运行保障类项目，不涉及岸线开发利用，不新增永久占地，不改变水库原有功能和规模，施工期废污水均不外排，运行期无污染物排放。</w:t>
            </w:r>
          </w:p>
          <w:p w14:paraId="1D97D386">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占用《穆棱河干流岸线保护和利用规划修编报告》中岸线保护区、岸线保留区及岸线控制利用区，不涉及穆棱河干流岸线管理范围，不影响岸线功能区的管控要求。项目建设符合穆棱河干流岸线保护和利用规划的管控要求，对穆棱河干流岸线功能区的保护目标无不利影响。</w:t>
            </w:r>
          </w:p>
          <w:p w14:paraId="0FAF0C0D">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cs="Times New Roman"/>
                <w:b/>
                <w:bCs/>
                <w:color w:val="auto"/>
                <w:kern w:val="0"/>
                <w:sz w:val="21"/>
                <w:szCs w:val="21"/>
                <w:highlight w:val="none"/>
                <w:lang w:val="en-US" w:eastAsia="zh-CN"/>
              </w:rPr>
              <w:t>7</w:t>
            </w:r>
            <w:r>
              <w:rPr>
                <w:rFonts w:hint="default" w:ascii="Times New Roman" w:hAnsi="Times New Roman" w:eastAsia="宋体" w:cs="Times New Roman"/>
                <w:b/>
                <w:bCs/>
                <w:color w:val="auto"/>
                <w:kern w:val="0"/>
                <w:sz w:val="21"/>
                <w:szCs w:val="21"/>
                <w:highlight w:val="none"/>
                <w:lang w:val="en-US" w:eastAsia="zh-CN"/>
              </w:rPr>
              <w:t>、与《黑龙江省水土保持规划（2015—2030年）》符合性分析</w:t>
            </w:r>
          </w:p>
          <w:p w14:paraId="27AC994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根据《黑龙江省水土保持规划（2015—2030年）》，</w:t>
            </w:r>
            <w:r>
              <w:rPr>
                <w:color w:val="auto"/>
                <w:sz w:val="21"/>
                <w:szCs w:val="21"/>
                <w:highlight w:val="none"/>
              </w:rPr>
              <w:t>项目选址涉及</w:t>
            </w:r>
            <w:r>
              <w:rPr>
                <w:rFonts w:hint="eastAsia"/>
                <w:color w:val="auto"/>
                <w:sz w:val="21"/>
                <w:szCs w:val="21"/>
                <w:highlight w:val="none"/>
                <w:lang w:val="en-US" w:eastAsia="zh-CN"/>
              </w:rPr>
              <w:t>省</w:t>
            </w:r>
            <w:r>
              <w:rPr>
                <w:color w:val="auto"/>
                <w:sz w:val="21"/>
                <w:szCs w:val="21"/>
                <w:highlight w:val="none"/>
              </w:rPr>
              <w:t>级水土流失重点治理区</w:t>
            </w:r>
            <w:r>
              <w:rPr>
                <w:rFonts w:hint="default" w:ascii="Times New Roman" w:hAnsi="Times New Roman" w:eastAsia="宋体" w:cs="Times New Roman"/>
                <w:color w:val="auto"/>
                <w:kern w:val="0"/>
                <w:sz w:val="21"/>
                <w:szCs w:val="21"/>
                <w:highlight w:val="none"/>
                <w:lang w:val="en-US" w:eastAsia="zh-CN"/>
              </w:rPr>
              <w:t>。</w:t>
            </w:r>
          </w:p>
          <w:p w14:paraId="3CC5C03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重点治理区应实施以小流域为单元、以坡耕地改造和侵蚀沟治理为重点的综合治理工程。以治理水土流失、蓄水固土、减少泥沙下泄为目标，采取水土保持工程措施、植物措施和农业耕作措施，开展“山水林田湖”统一规划和全面治理，建立水土流失综合防治体系。大力营造农田防护林、防风固沙林和水土保持林，开展生态修复、退耕还林、退耕还草，增加植被面积。实施坡耕地治理工程、侵蚀沟治理工程、配套保护性耕作和坡面蓄排体系建设，提高和维持土地生产力。同时，严格生产建设项目监督管理，防止人为水土流失。通过全面规划和规模治理，改善区域生产条件和生态环境，增强抗御自然灾害的能力。</w:t>
            </w:r>
          </w:p>
          <w:p w14:paraId="5AB2420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w:t>
            </w:r>
            <w:r>
              <w:rPr>
                <w:color w:val="auto"/>
                <w:sz w:val="21"/>
                <w:szCs w:val="21"/>
                <w:highlight w:val="none"/>
              </w:rPr>
              <w:t>项目选址涉及</w:t>
            </w:r>
            <w:r>
              <w:rPr>
                <w:rFonts w:hint="eastAsia"/>
                <w:color w:val="auto"/>
                <w:sz w:val="21"/>
                <w:szCs w:val="21"/>
                <w:highlight w:val="none"/>
                <w:lang w:val="en-US" w:eastAsia="zh-CN"/>
              </w:rPr>
              <w:t>省</w:t>
            </w:r>
            <w:r>
              <w:rPr>
                <w:color w:val="auto"/>
                <w:sz w:val="21"/>
                <w:szCs w:val="21"/>
                <w:highlight w:val="none"/>
              </w:rPr>
              <w:t>级水土流失重点治理区，无法避让，本项目通过采取东北黑土区水土流失防治一级标准，减少地表扰动，合理调配土石方，优化施工工艺等一系列措施后可有效减少建设期产生的水土流失</w:t>
            </w:r>
            <w:r>
              <w:rPr>
                <w:rFonts w:hint="eastAsia"/>
                <w:color w:val="auto"/>
                <w:sz w:val="21"/>
                <w:szCs w:val="21"/>
                <w:highlight w:val="none"/>
                <w:lang w:val="en-US" w:eastAsia="zh-CN"/>
              </w:rPr>
              <w:t>及影响</w:t>
            </w:r>
            <w:r>
              <w:rPr>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rPr>
              <w:t>符合《黑龙江省水土保持规划（2015—2030年）》的管理要求。</w:t>
            </w:r>
          </w:p>
          <w:p w14:paraId="30B25499">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b/>
                <w:bCs/>
                <w:color w:val="auto"/>
                <w:kern w:val="0"/>
                <w:sz w:val="21"/>
                <w:szCs w:val="21"/>
                <w:highlight w:val="none"/>
                <w:lang w:val="en-US" w:eastAsia="zh-CN"/>
              </w:rPr>
              <w:t>8</w:t>
            </w:r>
            <w:r>
              <w:rPr>
                <w:rFonts w:hint="default" w:ascii="Times New Roman" w:hAnsi="Times New Roman" w:cs="Times New Roman" w:eastAsiaTheme="minorEastAsia"/>
                <w:b/>
                <w:bCs/>
                <w:color w:val="auto"/>
                <w:kern w:val="0"/>
                <w:sz w:val="21"/>
                <w:szCs w:val="21"/>
                <w:highlight w:val="none"/>
                <w:lang w:val="en-US" w:eastAsia="zh-CN"/>
              </w:rPr>
              <w:t>、</w:t>
            </w:r>
            <w:r>
              <w:rPr>
                <w:rFonts w:hint="default" w:ascii="Times New Roman" w:hAnsi="Times New Roman" w:cs="Times New Roman"/>
                <w:b/>
                <w:color w:val="auto"/>
                <w:sz w:val="21"/>
                <w:szCs w:val="21"/>
                <w:highlight w:val="none"/>
              </w:rPr>
              <w:t>与《水利建设项目（河湖整治与防洪除涝工程）环境影响评价文件审批原则（试行）》的符合性分析</w:t>
            </w:r>
          </w:p>
          <w:p w14:paraId="3FD1CA44">
            <w:pPr>
              <w:pStyle w:val="3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color w:val="auto"/>
                <w:highlight w:val="none"/>
              </w:rPr>
            </w:pPr>
            <w:r>
              <w:rPr>
                <w:rFonts w:hint="default" w:ascii="Times New Roman" w:hAnsi="Times New Roman" w:cs="Times New Roman"/>
                <w:b/>
                <w:color w:val="auto"/>
                <w:sz w:val="21"/>
                <w:szCs w:val="21"/>
                <w:highlight w:val="none"/>
              </w:rPr>
              <w:t>表1-</w:t>
            </w:r>
            <w:r>
              <w:rPr>
                <w:rFonts w:hint="eastAsia" w:ascii="Times New Roman" w:hAnsi="Times New Roman" w:cs="Times New Roman"/>
                <w:b/>
                <w:color w:val="auto"/>
                <w:sz w:val="21"/>
                <w:szCs w:val="21"/>
                <w:highlight w:val="none"/>
                <w:lang w:val="en-US" w:eastAsia="zh-CN"/>
              </w:rPr>
              <w:t>3</w:t>
            </w:r>
            <w:r>
              <w:rPr>
                <w:rFonts w:hint="default" w:ascii="Times New Roman" w:hAnsi="Times New Roman" w:cs="Times New Roman"/>
                <w:b/>
                <w:color w:val="auto"/>
                <w:sz w:val="21"/>
                <w:szCs w:val="21"/>
                <w:highlight w:val="none"/>
              </w:rPr>
              <w:t>本项目与审批原则的相符性</w:t>
            </w:r>
          </w:p>
          <w:tbl>
            <w:tblPr>
              <w:tblStyle w:val="24"/>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108" w:type="dxa"/>
                <w:bottom w:w="0" w:type="dxa"/>
                <w:right w:w="108" w:type="dxa"/>
              </w:tblCellMar>
            </w:tblPr>
            <w:tblGrid>
              <w:gridCol w:w="480"/>
              <w:gridCol w:w="3060"/>
              <w:gridCol w:w="2794"/>
              <w:gridCol w:w="480"/>
            </w:tblGrid>
            <w:tr w14:paraId="5236431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single" w:color="auto" w:sz="4" w:space="0"/>
                    <w:bottom w:val="single" w:color="auto" w:sz="4" w:space="0"/>
                    <w:right w:val="single" w:color="auto" w:sz="4" w:space="0"/>
                  </w:tcBorders>
                  <w:noWrap/>
                  <w:vAlign w:val="center"/>
                </w:tcPr>
                <w:p w14:paraId="63713E54">
                  <w:pPr>
                    <w:keepNext w:val="0"/>
                    <w:keepLines w:val="0"/>
                    <w:pageBreakBefore w:val="0"/>
                    <w:widowControl/>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序号</w:t>
                  </w:r>
                </w:p>
              </w:tc>
              <w:tc>
                <w:tcPr>
                  <w:tcW w:w="2245" w:type="pct"/>
                  <w:tcBorders>
                    <w:top w:val="single" w:color="auto" w:sz="4" w:space="0"/>
                    <w:left w:val="nil"/>
                    <w:bottom w:val="single" w:color="auto" w:sz="4" w:space="0"/>
                    <w:right w:val="single" w:color="auto" w:sz="4" w:space="0"/>
                  </w:tcBorders>
                  <w:noWrap/>
                  <w:vAlign w:val="center"/>
                </w:tcPr>
                <w:p w14:paraId="3772C576">
                  <w:pPr>
                    <w:keepNext w:val="0"/>
                    <w:keepLines w:val="0"/>
                    <w:pageBreakBefore w:val="0"/>
                    <w:widowControl/>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审批原则要求</w:t>
                  </w:r>
                </w:p>
              </w:tc>
              <w:tc>
                <w:tcPr>
                  <w:tcW w:w="2050" w:type="pct"/>
                  <w:tcBorders>
                    <w:top w:val="single" w:color="auto" w:sz="4" w:space="0"/>
                    <w:left w:val="nil"/>
                    <w:bottom w:val="single" w:color="auto" w:sz="4" w:space="0"/>
                    <w:right w:val="single" w:color="auto" w:sz="4" w:space="0"/>
                  </w:tcBorders>
                  <w:noWrap/>
                  <w:vAlign w:val="center"/>
                </w:tcPr>
                <w:p w14:paraId="4A7E2B87">
                  <w:pPr>
                    <w:keepNext w:val="0"/>
                    <w:keepLines w:val="0"/>
                    <w:pageBreakBefore w:val="0"/>
                    <w:widowControl/>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相符性分析</w:t>
                  </w:r>
                </w:p>
              </w:tc>
              <w:tc>
                <w:tcPr>
                  <w:tcW w:w="352" w:type="pct"/>
                  <w:tcBorders>
                    <w:top w:val="single" w:color="auto" w:sz="4" w:space="0"/>
                    <w:left w:val="nil"/>
                    <w:bottom w:val="single" w:color="auto" w:sz="4" w:space="0"/>
                  </w:tcBorders>
                  <w:noWrap/>
                  <w:vAlign w:val="center"/>
                </w:tcPr>
                <w:p w14:paraId="53592BC0">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相符性</w:t>
                  </w:r>
                </w:p>
              </w:tc>
            </w:tr>
            <w:tr w14:paraId="791004A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single" w:color="auto" w:sz="4" w:space="0"/>
                    <w:bottom w:val="single" w:color="auto" w:sz="4" w:space="0"/>
                    <w:right w:val="single" w:color="auto" w:sz="4" w:space="0"/>
                  </w:tcBorders>
                  <w:shd w:val="clear" w:color="auto" w:fill="auto"/>
                  <w:noWrap/>
                  <w:vAlign w:val="center"/>
                </w:tcPr>
                <w:p w14:paraId="02DE9D58">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1</w:t>
                  </w:r>
                </w:p>
              </w:tc>
              <w:tc>
                <w:tcPr>
                  <w:tcW w:w="2245" w:type="pct"/>
                  <w:tcBorders>
                    <w:top w:val="single" w:color="auto" w:sz="4" w:space="0"/>
                    <w:left w:val="nil"/>
                    <w:bottom w:val="single" w:color="auto" w:sz="4" w:space="0"/>
                    <w:right w:val="single" w:color="auto" w:sz="4" w:space="0"/>
                  </w:tcBorders>
                  <w:noWrap/>
                  <w:vAlign w:val="center"/>
                </w:tcPr>
                <w:p w14:paraId="10C14D92">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第一条 本原则适用于河湖整治与防洪除涝工程环境影响评价文件的审批，工程建设内容包括疏浚、堤防建设、闸坝闸站建设、岸线治理、水系连通、蓄（滞）洪区建设、排涝治理等（引调水、防洪水库等水利枢纽工程除外）。其他类似工程可参照执行。</w:t>
                  </w:r>
                </w:p>
              </w:tc>
              <w:tc>
                <w:tcPr>
                  <w:tcW w:w="2050" w:type="pct"/>
                  <w:tcBorders>
                    <w:top w:val="single" w:color="auto" w:sz="4" w:space="0"/>
                    <w:left w:val="nil"/>
                    <w:bottom w:val="single" w:color="auto" w:sz="4" w:space="0"/>
                    <w:right w:val="single" w:color="auto" w:sz="4" w:space="0"/>
                  </w:tcBorders>
                  <w:noWrap/>
                  <w:vAlign w:val="center"/>
                </w:tcPr>
                <w:p w14:paraId="3C945003">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eastAsia" w:ascii="Times New Roman" w:hAnsi="Times New Roman" w:cs="Times New Roman" w:eastAsiaTheme="minorEastAsia"/>
                      <w:smallCaps w:val="0"/>
                      <w:color w:val="auto"/>
                      <w:kern w:val="0"/>
                      <w:sz w:val="18"/>
                      <w:szCs w:val="18"/>
                      <w:highlight w:val="none"/>
                      <w:lang w:eastAsia="zh-CN"/>
                    </w:rPr>
                  </w:pPr>
                  <w:r>
                    <w:rPr>
                      <w:rFonts w:hint="eastAsia" w:cs="Times New Roman"/>
                      <w:smallCaps w:val="0"/>
                      <w:color w:val="auto"/>
                      <w:kern w:val="0"/>
                      <w:sz w:val="18"/>
                      <w:szCs w:val="18"/>
                      <w:highlight w:val="none"/>
                      <w:lang w:eastAsia="zh-CN"/>
                    </w:rPr>
                    <w:t>本工程为水库加固项目，</w:t>
                  </w:r>
                  <w:r>
                    <w:rPr>
                      <w:rFonts w:hint="eastAsia" w:cs="Times New Roman"/>
                      <w:smallCaps w:val="0"/>
                      <w:color w:val="auto"/>
                      <w:kern w:val="0"/>
                      <w:sz w:val="18"/>
                      <w:szCs w:val="18"/>
                      <w:highlight w:val="none"/>
                      <w:lang w:val="en-US" w:eastAsia="zh-CN"/>
                    </w:rPr>
                    <w:t>工程建设内容为大坝除险加固、溢洪道修复、输水洞重建，属于闸坝及防洪除涝工程；</w:t>
                  </w:r>
                  <w:r>
                    <w:rPr>
                      <w:rFonts w:hint="eastAsia" w:cs="Times New Roman"/>
                      <w:smallCaps w:val="0"/>
                      <w:color w:val="auto"/>
                      <w:kern w:val="0"/>
                      <w:sz w:val="18"/>
                      <w:szCs w:val="18"/>
                      <w:highlight w:val="none"/>
                      <w:lang w:eastAsia="zh-CN"/>
                    </w:rPr>
                    <w:t>具有防洪除涝的功能</w:t>
                  </w:r>
                  <w:r>
                    <w:rPr>
                      <w:rFonts w:hint="eastAsia" w:ascii="Times New Roman" w:hAnsi="Times New Roman" w:cs="Times New Roman"/>
                      <w:smallCaps w:val="0"/>
                      <w:color w:val="auto"/>
                      <w:kern w:val="0"/>
                      <w:sz w:val="18"/>
                      <w:szCs w:val="18"/>
                      <w:highlight w:val="none"/>
                      <w:lang w:eastAsia="zh-CN"/>
                    </w:rPr>
                    <w:t>，</w:t>
                  </w:r>
                  <w:r>
                    <w:rPr>
                      <w:rFonts w:hint="default" w:ascii="Times New Roman" w:hAnsi="Times New Roman" w:cs="Times New Roman"/>
                      <w:smallCaps w:val="0"/>
                      <w:color w:val="auto"/>
                      <w:kern w:val="0"/>
                      <w:sz w:val="18"/>
                      <w:szCs w:val="18"/>
                      <w:highlight w:val="none"/>
                    </w:rPr>
                    <w:t>保护水库及附近河流水环境和水生态环境</w:t>
                  </w:r>
                  <w:r>
                    <w:rPr>
                      <w:rFonts w:hint="eastAsia" w:ascii="Times New Roman" w:hAnsi="Times New Roman" w:cs="Times New Roman"/>
                      <w:smallCaps w:val="0"/>
                      <w:color w:val="auto"/>
                      <w:kern w:val="0"/>
                      <w:sz w:val="18"/>
                      <w:szCs w:val="18"/>
                      <w:highlight w:val="none"/>
                      <w:lang w:eastAsia="zh-CN"/>
                    </w:rPr>
                    <w:t>。</w:t>
                  </w:r>
                </w:p>
              </w:tc>
              <w:tc>
                <w:tcPr>
                  <w:tcW w:w="352" w:type="pct"/>
                  <w:tcBorders>
                    <w:top w:val="single" w:color="auto" w:sz="4" w:space="0"/>
                    <w:left w:val="nil"/>
                    <w:bottom w:val="single" w:color="auto" w:sz="4" w:space="0"/>
                  </w:tcBorders>
                  <w:noWrap/>
                  <w:vAlign w:val="center"/>
                </w:tcPr>
                <w:p w14:paraId="04A436F3">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eastAsia" w:ascii="Times New Roman" w:hAnsi="Times New Roman" w:eastAsia="宋体" w:cs="Times New Roman"/>
                      <w:smallCaps w:val="0"/>
                      <w:color w:val="auto"/>
                      <w:kern w:val="0"/>
                      <w:sz w:val="18"/>
                      <w:szCs w:val="18"/>
                      <w:highlight w:val="none"/>
                      <w:lang w:eastAsia="zh-CN"/>
                    </w:rPr>
                  </w:pPr>
                  <w:r>
                    <w:rPr>
                      <w:rFonts w:hint="eastAsia" w:cs="Times New Roman"/>
                      <w:smallCaps w:val="0"/>
                      <w:color w:val="auto"/>
                      <w:kern w:val="0"/>
                      <w:sz w:val="18"/>
                      <w:szCs w:val="18"/>
                      <w:highlight w:val="none"/>
                      <w:lang w:eastAsia="zh-CN"/>
                    </w:rPr>
                    <w:t>符合</w:t>
                  </w:r>
                </w:p>
              </w:tc>
            </w:tr>
            <w:tr w14:paraId="3FED51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1AB08829">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2</w:t>
                  </w:r>
                </w:p>
              </w:tc>
              <w:tc>
                <w:tcPr>
                  <w:tcW w:w="2245" w:type="pct"/>
                  <w:tcBorders>
                    <w:top w:val="nil"/>
                    <w:left w:val="nil"/>
                    <w:bottom w:val="single" w:color="auto" w:sz="4" w:space="0"/>
                    <w:right w:val="single" w:color="auto" w:sz="4" w:space="0"/>
                  </w:tcBorders>
                  <w:noWrap w:val="0"/>
                  <w:vAlign w:val="center"/>
                </w:tcPr>
                <w:p w14:paraId="7BEA7BFF">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第二条项目符合环境保护相关法律法规和政策要求，与主体功能区规划、生态功能区划、水环境功能区划、水功能区划、生态环境保护规划、流域综合规划、防洪规划等相协调，满足相关规划环评要求。</w:t>
                  </w:r>
                </w:p>
                <w:p w14:paraId="56BA13BC">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工程涉及岸线调整（治导线变化）、裁弯取直、围垦水面和占用河湖滩地等建设内容的，充分论证了方案环境可行性，最大程度保持了河湖自然形态，最大限度维护了河湖健康、生态系统功能和生物多样性。</w:t>
                  </w:r>
                </w:p>
              </w:tc>
              <w:tc>
                <w:tcPr>
                  <w:tcW w:w="2050" w:type="pct"/>
                  <w:tcBorders>
                    <w:top w:val="nil"/>
                    <w:left w:val="nil"/>
                    <w:bottom w:val="single" w:color="auto" w:sz="4" w:space="0"/>
                    <w:right w:val="single" w:color="auto" w:sz="4" w:space="0"/>
                  </w:tcBorders>
                  <w:noWrap w:val="0"/>
                  <w:vAlign w:val="center"/>
                </w:tcPr>
                <w:p w14:paraId="01C50FE9">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本项目建设与主体功能区规划、生态功能区划等相协调。工程不涉及岸线调整、裁弯取直、围垦水面和占用河湖滩地等建设内容。</w:t>
                  </w:r>
                </w:p>
              </w:tc>
              <w:tc>
                <w:tcPr>
                  <w:tcW w:w="352" w:type="pct"/>
                  <w:tcBorders>
                    <w:top w:val="nil"/>
                    <w:left w:val="nil"/>
                    <w:bottom w:val="single" w:color="auto" w:sz="4" w:space="0"/>
                  </w:tcBorders>
                  <w:noWrap/>
                  <w:vAlign w:val="center"/>
                </w:tcPr>
                <w:p w14:paraId="1DCD3A12">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045DDFC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7E12A787">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3</w:t>
                  </w:r>
                </w:p>
              </w:tc>
              <w:tc>
                <w:tcPr>
                  <w:tcW w:w="2245" w:type="pct"/>
                  <w:tcBorders>
                    <w:top w:val="nil"/>
                    <w:left w:val="nil"/>
                    <w:bottom w:val="single" w:color="auto" w:sz="4" w:space="0"/>
                    <w:right w:val="single" w:color="auto" w:sz="4" w:space="0"/>
                  </w:tcBorders>
                  <w:noWrap w:val="0"/>
                  <w:vAlign w:val="center"/>
                </w:tcPr>
                <w:p w14:paraId="23B97B75">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三条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050" w:type="pct"/>
                  <w:tcBorders>
                    <w:top w:val="nil"/>
                    <w:left w:val="nil"/>
                    <w:bottom w:val="single" w:color="auto" w:sz="4" w:space="0"/>
                    <w:right w:val="single" w:color="auto" w:sz="4" w:space="0"/>
                  </w:tcBorders>
                  <w:noWrap w:val="0"/>
                  <w:vAlign w:val="center"/>
                </w:tcPr>
                <w:p w14:paraId="21E2D7D2">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mallCaps w:val="0"/>
                      <w:color w:val="auto"/>
                      <w:kern w:val="0"/>
                      <w:sz w:val="18"/>
                      <w:szCs w:val="18"/>
                      <w:highlight w:val="none"/>
                      <w:lang w:val="en-US" w:eastAsia="zh-CN"/>
                    </w:rPr>
                  </w:pPr>
                  <w:r>
                    <w:rPr>
                      <w:rFonts w:hint="default" w:ascii="Times New Roman" w:hAnsi="Times New Roman" w:cs="Times New Roman"/>
                      <w:smallCaps w:val="0"/>
                      <w:color w:val="auto"/>
                      <w:kern w:val="0"/>
                      <w:sz w:val="18"/>
                      <w:szCs w:val="18"/>
                      <w:highlight w:val="none"/>
                      <w:lang w:val="en-US" w:eastAsia="zh-CN"/>
                    </w:rPr>
                    <w:t>本工程为改建项目，选址选线唯一，本工程不侵占</w:t>
                  </w:r>
                  <w:r>
                    <w:rPr>
                      <w:rFonts w:hint="default" w:ascii="Times New Roman" w:hAnsi="Times New Roman" w:cs="Times New Roman"/>
                      <w:smallCaps w:val="0"/>
                      <w:color w:val="auto"/>
                      <w:kern w:val="0"/>
                      <w:sz w:val="18"/>
                      <w:szCs w:val="18"/>
                      <w:highlight w:val="none"/>
                    </w:rPr>
                    <w:t>自然保护区、风景名胜区、世界文化和自然遗产地以及其他生态保护红线等环境敏感区中法律法规禁止占用的区域</w:t>
                  </w:r>
                  <w:r>
                    <w:rPr>
                      <w:rFonts w:hint="default" w:ascii="Times New Roman" w:hAnsi="Times New Roman" w:cs="Times New Roman"/>
                      <w:smallCaps w:val="0"/>
                      <w:color w:val="auto"/>
                      <w:kern w:val="0"/>
                      <w:sz w:val="18"/>
                      <w:szCs w:val="18"/>
                      <w:highlight w:val="none"/>
                      <w:lang w:eastAsia="zh-CN"/>
                    </w:rPr>
                    <w:t>。</w:t>
                  </w:r>
                  <w:r>
                    <w:rPr>
                      <w:rFonts w:hint="eastAsia" w:ascii="Times New Roman" w:hAnsi="Times New Roman" w:cs="Times New Roman"/>
                      <w:smallCaps w:val="0"/>
                      <w:color w:val="auto"/>
                      <w:kern w:val="0"/>
                      <w:sz w:val="18"/>
                      <w:szCs w:val="18"/>
                      <w:highlight w:val="none"/>
                      <w:lang w:val="en-US" w:eastAsia="zh-CN"/>
                    </w:rPr>
                    <w:t>因此</w:t>
                  </w:r>
                  <w:r>
                    <w:rPr>
                      <w:rFonts w:hint="default" w:ascii="Times New Roman" w:hAnsi="Times New Roman" w:cs="Times New Roman"/>
                      <w:smallCaps w:val="0"/>
                      <w:color w:val="auto"/>
                      <w:kern w:val="0"/>
                      <w:sz w:val="18"/>
                      <w:szCs w:val="18"/>
                      <w:highlight w:val="none"/>
                      <w:lang w:val="en-US" w:eastAsia="zh-CN"/>
                    </w:rPr>
                    <w:t>，本次</w:t>
                  </w:r>
                  <w:r>
                    <w:rPr>
                      <w:rFonts w:hint="default" w:ascii="Times New Roman" w:hAnsi="Times New Roman" w:cs="Times New Roman"/>
                      <w:smallCaps w:val="0"/>
                      <w:color w:val="auto"/>
                      <w:kern w:val="0"/>
                      <w:sz w:val="18"/>
                      <w:szCs w:val="18"/>
                      <w:highlight w:val="none"/>
                    </w:rPr>
                    <w:t>工程选址选线、施工布置</w:t>
                  </w:r>
                  <w:r>
                    <w:rPr>
                      <w:rFonts w:hint="default" w:ascii="Times New Roman" w:hAnsi="Times New Roman" w:cs="Times New Roman"/>
                      <w:smallCaps w:val="0"/>
                      <w:color w:val="auto"/>
                      <w:kern w:val="0"/>
                      <w:sz w:val="18"/>
                      <w:szCs w:val="18"/>
                      <w:highlight w:val="none"/>
                      <w:lang w:val="en-US" w:eastAsia="zh-CN"/>
                    </w:rPr>
                    <w:t>与各环境敏感因素及法律法规等相符合。</w:t>
                  </w:r>
                </w:p>
              </w:tc>
              <w:tc>
                <w:tcPr>
                  <w:tcW w:w="352" w:type="pct"/>
                  <w:tcBorders>
                    <w:top w:val="nil"/>
                    <w:left w:val="nil"/>
                    <w:bottom w:val="single" w:color="auto" w:sz="4" w:space="0"/>
                  </w:tcBorders>
                  <w:noWrap/>
                  <w:vAlign w:val="center"/>
                </w:tcPr>
                <w:p w14:paraId="7D4779D4">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44019ED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413B2626">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4</w:t>
                  </w:r>
                </w:p>
              </w:tc>
              <w:tc>
                <w:tcPr>
                  <w:tcW w:w="2245" w:type="pct"/>
                  <w:tcBorders>
                    <w:top w:val="nil"/>
                    <w:left w:val="nil"/>
                    <w:bottom w:val="single" w:color="auto" w:sz="4" w:space="0"/>
                    <w:right w:val="single" w:color="auto" w:sz="4" w:space="0"/>
                  </w:tcBorders>
                  <w:noWrap w:val="0"/>
                  <w:vAlign w:val="center"/>
                </w:tcPr>
                <w:p w14:paraId="60E23F01">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四条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在采取上述措施后，对水环境的不利影响能够得到缓解和控制，居民用水安全能够得到保障，相关区域不会出现显著的土壤潜育化、沼泽化、盐碱化等次生环境问题。</w:t>
                  </w:r>
                </w:p>
              </w:tc>
              <w:tc>
                <w:tcPr>
                  <w:tcW w:w="2050" w:type="pct"/>
                  <w:tcBorders>
                    <w:top w:val="nil"/>
                    <w:left w:val="nil"/>
                    <w:bottom w:val="single" w:color="auto" w:sz="4" w:space="0"/>
                    <w:right w:val="single" w:color="auto" w:sz="4" w:space="0"/>
                  </w:tcBorders>
                  <w:noWrap w:val="0"/>
                  <w:vAlign w:val="center"/>
                </w:tcPr>
                <w:p w14:paraId="21B9909C">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color w:val="auto"/>
                      <w:sz w:val="18"/>
                      <w:szCs w:val="18"/>
                      <w:highlight w:val="none"/>
                    </w:rPr>
                    <w:t>本项目为除险加固工程项目，</w:t>
                  </w:r>
                  <w:r>
                    <w:rPr>
                      <w:rFonts w:hint="eastAsia"/>
                      <w:color w:val="auto"/>
                      <w:sz w:val="18"/>
                      <w:szCs w:val="18"/>
                      <w:highlight w:val="none"/>
                    </w:rPr>
                    <w:t>工程不会对地下水环境产生影响</w:t>
                  </w:r>
                  <w:r>
                    <w:rPr>
                      <w:rFonts w:hint="default" w:ascii="Times New Roman" w:hAnsi="Times New Roman" w:cs="Times New Roman"/>
                      <w:smallCaps w:val="0"/>
                      <w:color w:val="auto"/>
                      <w:kern w:val="0"/>
                      <w:sz w:val="18"/>
                      <w:szCs w:val="18"/>
                      <w:highlight w:val="none"/>
                      <w:lang w:val="en-US" w:eastAsia="zh-CN"/>
                    </w:rPr>
                    <w:t>。</w:t>
                  </w:r>
                </w:p>
              </w:tc>
              <w:tc>
                <w:tcPr>
                  <w:tcW w:w="352" w:type="pct"/>
                  <w:tcBorders>
                    <w:top w:val="nil"/>
                    <w:left w:val="nil"/>
                    <w:bottom w:val="single" w:color="auto" w:sz="4" w:space="0"/>
                  </w:tcBorders>
                  <w:noWrap/>
                  <w:vAlign w:val="center"/>
                </w:tcPr>
                <w:p w14:paraId="18D372CE">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27B54F9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3F57181E">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5</w:t>
                  </w:r>
                </w:p>
              </w:tc>
              <w:tc>
                <w:tcPr>
                  <w:tcW w:w="2245" w:type="pct"/>
                  <w:tcBorders>
                    <w:top w:val="nil"/>
                    <w:left w:val="nil"/>
                    <w:bottom w:val="single" w:color="auto" w:sz="4" w:space="0"/>
                    <w:right w:val="single" w:color="auto" w:sz="4" w:space="0"/>
                  </w:tcBorders>
                  <w:noWrap w:val="0"/>
                  <w:vAlign w:val="center"/>
                </w:tcPr>
                <w:p w14:paraId="7F4D9B34">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五条项目对鱼类等水生生物的洄游通道及“”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2050" w:type="pct"/>
                  <w:tcBorders>
                    <w:top w:val="nil"/>
                    <w:left w:val="nil"/>
                    <w:bottom w:val="single" w:color="auto" w:sz="4" w:space="0"/>
                    <w:right w:val="single" w:color="auto" w:sz="4" w:space="0"/>
                  </w:tcBorders>
                  <w:noWrap w:val="0"/>
                  <w:vAlign w:val="center"/>
                </w:tcPr>
                <w:p w14:paraId="75FD8DAC">
                  <w:pPr>
                    <w:keepNext w:val="0"/>
                    <w:keepLines w:val="0"/>
                    <w:pageBreakBefore w:val="0"/>
                    <w:widowControl/>
                    <w:kinsoku/>
                    <w:wordWrap/>
                    <w:overflowPunct/>
                    <w:topLinePunct w:val="0"/>
                    <w:autoSpaceDE/>
                    <w:autoSpaceDN/>
                    <w:bidi w:val="0"/>
                    <w:adjustRightInd/>
                    <w:snapToGrid/>
                    <w:spacing w:line="240" w:lineRule="auto"/>
                    <w:ind w:left="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bCs/>
                      <w:smallCaps w:val="0"/>
                      <w:color w:val="auto"/>
                      <w:kern w:val="0"/>
                      <w:sz w:val="18"/>
                      <w:szCs w:val="18"/>
                      <w:highlight w:val="none"/>
                    </w:rPr>
                    <w:t>本次工程范围内不涉及</w:t>
                  </w:r>
                  <w:r>
                    <w:rPr>
                      <w:rFonts w:hint="eastAsia" w:cs="Times New Roman"/>
                      <w:bCs/>
                      <w:smallCaps w:val="0"/>
                      <w:color w:val="auto"/>
                      <w:kern w:val="0"/>
                      <w:sz w:val="18"/>
                      <w:szCs w:val="18"/>
                      <w:highlight w:val="none"/>
                      <w:lang w:eastAsia="zh-CN"/>
                    </w:rPr>
                    <w:t>重要</w:t>
                  </w:r>
                  <w:r>
                    <w:rPr>
                      <w:rFonts w:hint="default" w:ascii="Times New Roman" w:hAnsi="Times New Roman" w:cs="Times New Roman"/>
                      <w:bCs/>
                      <w:smallCaps w:val="0"/>
                      <w:color w:val="auto"/>
                      <w:kern w:val="0"/>
                      <w:sz w:val="18"/>
                      <w:szCs w:val="18"/>
                      <w:highlight w:val="none"/>
                    </w:rPr>
                    <w:t>鱼类产卵场及索饵场，因此工程建设不会对鱼类产卵场和索饵场产生影响。</w:t>
                  </w:r>
                </w:p>
              </w:tc>
              <w:tc>
                <w:tcPr>
                  <w:tcW w:w="352" w:type="pct"/>
                  <w:tcBorders>
                    <w:top w:val="nil"/>
                    <w:left w:val="nil"/>
                    <w:bottom w:val="single" w:color="auto" w:sz="4" w:space="0"/>
                  </w:tcBorders>
                  <w:noWrap/>
                  <w:vAlign w:val="center"/>
                </w:tcPr>
                <w:p w14:paraId="4C29ACBE">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2D67FA7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44508258">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6</w:t>
                  </w:r>
                </w:p>
              </w:tc>
              <w:tc>
                <w:tcPr>
                  <w:tcW w:w="2245" w:type="pct"/>
                  <w:tcBorders>
                    <w:top w:val="nil"/>
                    <w:left w:val="nil"/>
                    <w:bottom w:val="single" w:color="auto" w:sz="4" w:space="0"/>
                    <w:right w:val="single" w:color="auto" w:sz="4" w:space="0"/>
                  </w:tcBorders>
                  <w:noWrap w:val="0"/>
                  <w:vAlign w:val="center"/>
                </w:tcPr>
                <w:p w14:paraId="2145F670">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六条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r>
                    <w:rPr>
                      <w:rFonts w:hint="default" w:ascii="Times New Roman" w:hAnsi="Times New Roman" w:cs="Times New Roman"/>
                      <w:smallCaps w:val="0"/>
                      <w:color w:val="auto"/>
                      <w:kern w:val="0"/>
                      <w:sz w:val="18"/>
                      <w:szCs w:val="18"/>
                      <w:highlight w:val="none"/>
                    </w:rPr>
                    <w:br w:type="textWrapping"/>
                  </w:r>
                  <w:r>
                    <w:rPr>
                      <w:rFonts w:hint="default" w:ascii="Times New Roman" w:hAnsi="Times New Roman" w:cs="Times New Roman"/>
                      <w:smallCaps w:val="0"/>
                      <w:color w:val="auto"/>
                      <w:kern w:val="0"/>
                      <w:sz w:val="18"/>
                      <w:szCs w:val="18"/>
                      <w:highlight w:val="none"/>
                    </w:rPr>
                    <w:t>在采取上述措施后，对水环境的不利影响能够得到缓解和控制，居民用水安全能够得到保障，相关区域不会出现显著的土壤潜育化、沼泽化、盐碱化等次生环境问题。</w:t>
                  </w:r>
                </w:p>
              </w:tc>
              <w:tc>
                <w:tcPr>
                  <w:tcW w:w="2050" w:type="pct"/>
                  <w:tcBorders>
                    <w:top w:val="nil"/>
                    <w:left w:val="nil"/>
                    <w:bottom w:val="single" w:color="auto" w:sz="4" w:space="0"/>
                    <w:right w:val="single" w:color="auto" w:sz="4" w:space="0"/>
                  </w:tcBorders>
                  <w:noWrap w:val="0"/>
                  <w:vAlign w:val="center"/>
                </w:tcPr>
                <w:p w14:paraId="6ABAE689">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rFonts w:hint="eastAsia"/>
                      <w:color w:val="auto"/>
                      <w:kern w:val="21"/>
                      <w:sz w:val="18"/>
                      <w:szCs w:val="18"/>
                      <w:highlight w:val="none"/>
                      <w:lang w:eastAsia="zh-CN"/>
                    </w:rPr>
                    <w:t>根据黑龙江省湿地名录，鸡西市密山市境内有兴凯湖湿地（密山片区）、承紫河湿地、小兴凯湖湿地、黄泥河湿地四处重要湿地，根据现场调查，本项目永久占地及临时占地范围内、工程沿线不涉及上述重要湿地，</w:t>
                  </w:r>
                  <w:r>
                    <w:rPr>
                      <w:snapToGrid w:val="0"/>
                      <w:color w:val="auto"/>
                      <w:sz w:val="18"/>
                      <w:szCs w:val="18"/>
                      <w:highlight w:val="none"/>
                    </w:rPr>
                    <w:t>不会对</w:t>
                  </w:r>
                  <w:r>
                    <w:rPr>
                      <w:rFonts w:hint="eastAsia"/>
                      <w:snapToGrid w:val="0"/>
                      <w:color w:val="auto"/>
                      <w:sz w:val="18"/>
                      <w:szCs w:val="18"/>
                      <w:highlight w:val="none"/>
                    </w:rPr>
                    <w:t>湿地</w:t>
                  </w:r>
                  <w:r>
                    <w:rPr>
                      <w:snapToGrid w:val="0"/>
                      <w:color w:val="auto"/>
                      <w:sz w:val="18"/>
                      <w:szCs w:val="18"/>
                      <w:highlight w:val="none"/>
                    </w:rPr>
                    <w:t>生态系统造成不利影响</w:t>
                  </w:r>
                  <w:r>
                    <w:rPr>
                      <w:rFonts w:hint="default" w:ascii="Times New Roman" w:hAnsi="Times New Roman" w:cs="Times New Roman"/>
                      <w:smallCaps w:val="0"/>
                      <w:color w:val="auto"/>
                      <w:kern w:val="0"/>
                      <w:sz w:val="18"/>
                      <w:szCs w:val="18"/>
                      <w:highlight w:val="none"/>
                      <w:lang w:eastAsia="zh-CN"/>
                    </w:rPr>
                    <w:t>。</w:t>
                  </w:r>
                </w:p>
              </w:tc>
              <w:tc>
                <w:tcPr>
                  <w:tcW w:w="352" w:type="pct"/>
                  <w:tcBorders>
                    <w:top w:val="nil"/>
                    <w:left w:val="nil"/>
                    <w:bottom w:val="single" w:color="auto" w:sz="4" w:space="0"/>
                  </w:tcBorders>
                  <w:noWrap/>
                  <w:vAlign w:val="center"/>
                </w:tcPr>
                <w:p w14:paraId="474CD7A7">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72938E5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7100109A">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7</w:t>
                  </w:r>
                </w:p>
              </w:tc>
              <w:tc>
                <w:tcPr>
                  <w:tcW w:w="2245" w:type="pct"/>
                  <w:tcBorders>
                    <w:top w:val="nil"/>
                    <w:left w:val="nil"/>
                    <w:bottom w:val="single" w:color="auto" w:sz="4" w:space="0"/>
                    <w:right w:val="single" w:color="auto" w:sz="4" w:space="0"/>
                  </w:tcBorders>
                  <w:noWrap w:val="0"/>
                  <w:vAlign w:val="center"/>
                </w:tcPr>
                <w:p w14:paraId="6E948214">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七条项目施工组织方案具有环境合理性，对料场、弃土（渣）场等施工场地提出了水土流失防治和生态修复等措施。根据环境保护相关标准和要求，对施工期各类废（污）水、扬尘、废气、噪声、固体废物等提出了防治或处置措施。</w:t>
                  </w:r>
                  <w:r>
                    <w:rPr>
                      <w:rFonts w:hint="default" w:ascii="Times New Roman" w:hAnsi="Times New Roman" w:cs="Times New Roman"/>
                      <w:smallCaps w:val="0"/>
                      <w:color w:val="auto"/>
                      <w:kern w:val="0"/>
                      <w:sz w:val="18"/>
                      <w:szCs w:val="18"/>
                      <w:highlight w:val="none"/>
                    </w:rPr>
                    <w:br w:type="textWrapping"/>
                  </w:r>
                  <w:r>
                    <w:rPr>
                      <w:rFonts w:hint="default" w:ascii="Times New Roman" w:hAnsi="Times New Roman" w:cs="Times New Roman"/>
                      <w:smallCaps w:val="0"/>
                      <w:color w:val="auto"/>
                      <w:kern w:val="0"/>
                      <w:sz w:val="18"/>
                      <w:szCs w:val="18"/>
                      <w:highlight w:val="none"/>
                    </w:rPr>
                    <w:t>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r>
                    <w:rPr>
                      <w:rFonts w:hint="default" w:ascii="Times New Roman" w:hAnsi="Times New Roman" w:cs="Times New Roman"/>
                      <w:smallCaps w:val="0"/>
                      <w:color w:val="auto"/>
                      <w:kern w:val="0"/>
                      <w:sz w:val="18"/>
                      <w:szCs w:val="18"/>
                      <w:highlight w:val="none"/>
                    </w:rPr>
                    <w:br w:type="textWrapping"/>
                  </w:r>
                  <w:r>
                    <w:rPr>
                      <w:rFonts w:hint="default" w:ascii="Times New Roman" w:hAnsi="Times New Roman" w:cs="Times New Roman"/>
                      <w:smallCaps w:val="0"/>
                      <w:color w:val="auto"/>
                      <w:kern w:val="0"/>
                      <w:sz w:val="18"/>
                      <w:szCs w:val="18"/>
                      <w:highlight w:val="none"/>
                    </w:rPr>
                    <w:t>在采取上述措施后，施工期的不利环境影响能够得到缓解和控制，不会对周围环境和敏感保护目标造成重大不利影响。</w:t>
                  </w:r>
                </w:p>
              </w:tc>
              <w:tc>
                <w:tcPr>
                  <w:tcW w:w="2050" w:type="pct"/>
                  <w:tcBorders>
                    <w:top w:val="nil"/>
                    <w:left w:val="nil"/>
                    <w:bottom w:val="single" w:color="auto" w:sz="4" w:space="0"/>
                    <w:right w:val="single" w:color="auto" w:sz="4" w:space="0"/>
                  </w:tcBorders>
                  <w:noWrap w:val="0"/>
                  <w:vAlign w:val="center"/>
                </w:tcPr>
                <w:p w14:paraId="75C485AD">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本项目施工组织方案具有环境合理性，</w:t>
                  </w:r>
                  <w:r>
                    <w:rPr>
                      <w:rFonts w:hint="default" w:ascii="Times New Roman" w:hAnsi="Times New Roman" w:cs="Times New Roman"/>
                      <w:color w:val="auto"/>
                      <w:sz w:val="18"/>
                      <w:szCs w:val="18"/>
                      <w:highlight w:val="none"/>
                    </w:rPr>
                    <w:t>本工程开挖</w:t>
                  </w:r>
                  <w:r>
                    <w:rPr>
                      <w:rFonts w:hint="default" w:ascii="Times New Roman" w:hAnsi="Times New Roman" w:cs="Times New Roman"/>
                      <w:color w:val="auto"/>
                      <w:sz w:val="18"/>
                      <w:szCs w:val="18"/>
                      <w:highlight w:val="none"/>
                      <w:lang w:val="en-US" w:eastAsia="zh-CN"/>
                    </w:rPr>
                    <w:t>土方</w:t>
                  </w:r>
                  <w:r>
                    <w:rPr>
                      <w:rFonts w:hint="default" w:ascii="Times New Roman" w:hAnsi="Times New Roman" w:cs="Times New Roman"/>
                      <w:color w:val="auto"/>
                      <w:sz w:val="18"/>
                      <w:szCs w:val="18"/>
                      <w:highlight w:val="none"/>
                    </w:rPr>
                    <w:t>全部回填利用</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无弃方</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工程不涉及弃渣场</w:t>
                  </w:r>
                  <w:r>
                    <w:rPr>
                      <w:rFonts w:hint="default" w:ascii="Times New Roman" w:hAnsi="Times New Roman" w:cs="Times New Roman"/>
                      <w:color w:val="auto"/>
                      <w:sz w:val="18"/>
                      <w:szCs w:val="18"/>
                      <w:highlight w:val="none"/>
                      <w:lang w:eastAsia="zh-CN"/>
                    </w:rPr>
                    <w:t>。</w:t>
                  </w:r>
                  <w:r>
                    <w:rPr>
                      <w:rFonts w:hint="eastAsia" w:cs="Times New Roman"/>
                      <w:smallCaps w:val="0"/>
                      <w:color w:val="auto"/>
                      <w:kern w:val="0"/>
                      <w:sz w:val="18"/>
                      <w:szCs w:val="18"/>
                      <w:highlight w:val="none"/>
                      <w:lang w:val="en-US" w:eastAsia="zh-CN"/>
                    </w:rPr>
                    <w:t>对于临时堆场</w:t>
                  </w:r>
                  <w:r>
                    <w:rPr>
                      <w:rFonts w:hint="default" w:ascii="Times New Roman" w:hAnsi="Times New Roman" w:cs="Times New Roman"/>
                      <w:smallCaps w:val="0"/>
                      <w:color w:val="auto"/>
                      <w:kern w:val="0"/>
                      <w:sz w:val="18"/>
                      <w:szCs w:val="18"/>
                      <w:highlight w:val="none"/>
                    </w:rPr>
                    <w:t>提出了水土流失防治和生态修复等措施。根据环境保护相关标准和要求，对施工期各类废（污）水、扬尘、废气、噪声、固体废物等提出了防治或处置措施。本项目不涉及饮用水水源保护区或取水口</w:t>
                  </w:r>
                  <w:r>
                    <w:rPr>
                      <w:rFonts w:hint="default" w:ascii="Times New Roman" w:hAnsi="Times New Roman" w:cs="Times New Roman"/>
                      <w:bCs/>
                      <w:smallCaps w:val="0"/>
                      <w:color w:val="auto"/>
                      <w:kern w:val="0"/>
                      <w:sz w:val="18"/>
                      <w:szCs w:val="18"/>
                      <w:highlight w:val="none"/>
                      <w:lang w:val="en-US" w:eastAsia="zh-CN"/>
                    </w:rPr>
                    <w:t>。</w:t>
                  </w:r>
                </w:p>
              </w:tc>
              <w:tc>
                <w:tcPr>
                  <w:tcW w:w="352" w:type="pct"/>
                  <w:tcBorders>
                    <w:top w:val="nil"/>
                    <w:left w:val="nil"/>
                    <w:bottom w:val="single" w:color="auto" w:sz="4" w:space="0"/>
                  </w:tcBorders>
                  <w:noWrap/>
                  <w:vAlign w:val="center"/>
                </w:tcPr>
                <w:p w14:paraId="25E80E57">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285B6CC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37F31BFA">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8</w:t>
                  </w:r>
                </w:p>
              </w:tc>
              <w:tc>
                <w:tcPr>
                  <w:tcW w:w="2245" w:type="pct"/>
                  <w:tcBorders>
                    <w:top w:val="nil"/>
                    <w:left w:val="nil"/>
                    <w:bottom w:val="single" w:color="auto" w:sz="4" w:space="0"/>
                    <w:right w:val="single" w:color="auto" w:sz="4" w:space="0"/>
                  </w:tcBorders>
                  <w:noWrap w:val="0"/>
                  <w:vAlign w:val="center"/>
                </w:tcPr>
                <w:p w14:paraId="0DC7CE02">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第八条项目移民安置的选址和建设方式具有环境合理性，提出了生态保护、污水处理、固体废物处置等措施。</w:t>
                  </w:r>
                  <w:r>
                    <w:rPr>
                      <w:rFonts w:hint="default" w:ascii="Times New Roman" w:hAnsi="Times New Roman" w:cs="Times New Roman"/>
                      <w:smallCaps w:val="0"/>
                      <w:color w:val="auto"/>
                      <w:kern w:val="0"/>
                      <w:sz w:val="18"/>
                      <w:szCs w:val="18"/>
                      <w:highlight w:val="none"/>
                    </w:rPr>
                    <w:br w:type="textWrapping"/>
                  </w:r>
                  <w:r>
                    <w:rPr>
                      <w:rFonts w:hint="default" w:ascii="Times New Roman" w:hAnsi="Times New Roman" w:cs="Times New Roman"/>
                      <w:smallCaps w:val="0"/>
                      <w:color w:val="auto"/>
                      <w:kern w:val="0"/>
                      <w:sz w:val="18"/>
                      <w:szCs w:val="18"/>
                      <w:highlight w:val="none"/>
                    </w:rPr>
                    <w:t>针对蓄滞洪区的环境污染、新增占地涉及污染场地等，提出了环境管理对策建议。</w:t>
                  </w:r>
                </w:p>
              </w:tc>
              <w:tc>
                <w:tcPr>
                  <w:tcW w:w="2050" w:type="pct"/>
                  <w:tcBorders>
                    <w:top w:val="nil"/>
                    <w:left w:val="nil"/>
                    <w:bottom w:val="single" w:color="auto" w:sz="4" w:space="0"/>
                    <w:right w:val="single" w:color="auto" w:sz="4" w:space="0"/>
                  </w:tcBorders>
                  <w:noWrap w:val="0"/>
                  <w:vAlign w:val="center"/>
                </w:tcPr>
                <w:p w14:paraId="6A0AFB1A">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smallCaps w:val="0"/>
                      <w:color w:val="auto"/>
                      <w:kern w:val="0"/>
                      <w:sz w:val="18"/>
                      <w:szCs w:val="18"/>
                      <w:highlight w:val="none"/>
                      <w:lang w:val="en-US" w:eastAsia="zh-CN"/>
                    </w:rPr>
                  </w:pPr>
                  <w:r>
                    <w:rPr>
                      <w:rFonts w:hint="eastAsia"/>
                      <w:color w:val="auto"/>
                      <w:sz w:val="18"/>
                      <w:szCs w:val="18"/>
                      <w:highlight w:val="none"/>
                    </w:rPr>
                    <w:t>本工程不涉及移民安置和</w:t>
                  </w:r>
                  <w:r>
                    <w:rPr>
                      <w:snapToGrid w:val="0"/>
                      <w:color w:val="auto"/>
                      <w:sz w:val="18"/>
                      <w:szCs w:val="18"/>
                      <w:highlight w:val="none"/>
                    </w:rPr>
                    <w:t>蓄滞洪区</w:t>
                  </w:r>
                  <w:r>
                    <w:rPr>
                      <w:rFonts w:hint="eastAsia"/>
                      <w:snapToGrid w:val="0"/>
                      <w:color w:val="auto"/>
                      <w:sz w:val="18"/>
                      <w:szCs w:val="18"/>
                      <w:highlight w:val="none"/>
                    </w:rPr>
                    <w:t>。</w:t>
                  </w:r>
                </w:p>
              </w:tc>
              <w:tc>
                <w:tcPr>
                  <w:tcW w:w="352" w:type="pct"/>
                  <w:tcBorders>
                    <w:top w:val="nil"/>
                    <w:left w:val="nil"/>
                    <w:bottom w:val="single" w:color="auto" w:sz="4" w:space="0"/>
                  </w:tcBorders>
                  <w:noWrap/>
                  <w:vAlign w:val="center"/>
                </w:tcPr>
                <w:p w14:paraId="62FE8F2B">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smallCaps w:val="0"/>
                      <w:color w:val="auto"/>
                      <w:kern w:val="0"/>
                      <w:sz w:val="18"/>
                      <w:szCs w:val="18"/>
                      <w:highlight w:val="none"/>
                      <w:lang w:val="en-US" w:eastAsia="zh-CN"/>
                    </w:rPr>
                  </w:pPr>
                  <w:r>
                    <w:rPr>
                      <w:rFonts w:hint="default" w:ascii="Times New Roman" w:hAnsi="Times New Roman" w:cs="Times New Roman"/>
                      <w:smallCaps w:val="0"/>
                      <w:color w:val="auto"/>
                      <w:kern w:val="0"/>
                      <w:sz w:val="18"/>
                      <w:szCs w:val="18"/>
                      <w:highlight w:val="none"/>
                    </w:rPr>
                    <w:t>符合</w:t>
                  </w:r>
                </w:p>
              </w:tc>
            </w:tr>
            <w:tr w14:paraId="366BC34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44CF5A8A">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9</w:t>
                  </w:r>
                </w:p>
              </w:tc>
              <w:tc>
                <w:tcPr>
                  <w:tcW w:w="2245" w:type="pct"/>
                  <w:tcBorders>
                    <w:top w:val="nil"/>
                    <w:left w:val="nil"/>
                    <w:bottom w:val="single" w:color="auto" w:sz="4" w:space="0"/>
                    <w:right w:val="single" w:color="auto" w:sz="4" w:space="0"/>
                  </w:tcBorders>
                  <w:noWrap w:val="0"/>
                  <w:vAlign w:val="center"/>
                </w:tcPr>
                <w:p w14:paraId="08CAFE1E">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第九条项目存在河湖水质污染、富营养化或外来物种入侵等环境风险的，提出了针对性的风险防范措施以及环境应急预案编制、建立必要的应急联动机制等要求。</w:t>
                  </w:r>
                </w:p>
              </w:tc>
              <w:tc>
                <w:tcPr>
                  <w:tcW w:w="2050" w:type="pct"/>
                  <w:tcBorders>
                    <w:top w:val="nil"/>
                    <w:left w:val="nil"/>
                    <w:bottom w:val="single" w:color="auto" w:sz="4" w:space="0"/>
                    <w:right w:val="single" w:color="auto" w:sz="4" w:space="0"/>
                  </w:tcBorders>
                  <w:noWrap w:val="0"/>
                  <w:vAlign w:val="center"/>
                </w:tcPr>
                <w:p w14:paraId="0952599E">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本</w:t>
                  </w:r>
                  <w:r>
                    <w:rPr>
                      <w:rFonts w:hint="default" w:ascii="Times New Roman" w:hAnsi="Times New Roman" w:cs="Times New Roman"/>
                      <w:smallCaps w:val="0"/>
                      <w:color w:val="auto"/>
                      <w:kern w:val="0"/>
                      <w:sz w:val="18"/>
                      <w:szCs w:val="18"/>
                      <w:highlight w:val="none"/>
                      <w:lang w:val="en-US" w:eastAsia="zh-CN"/>
                    </w:rPr>
                    <w:t>次</w:t>
                  </w:r>
                  <w:r>
                    <w:rPr>
                      <w:rFonts w:hint="default" w:ascii="Times New Roman" w:hAnsi="Times New Roman" w:cs="Times New Roman"/>
                      <w:smallCaps w:val="0"/>
                      <w:color w:val="auto"/>
                      <w:kern w:val="0"/>
                      <w:sz w:val="18"/>
                      <w:szCs w:val="18"/>
                      <w:highlight w:val="none"/>
                    </w:rPr>
                    <w:t>为</w:t>
                  </w:r>
                  <w:r>
                    <w:rPr>
                      <w:rFonts w:hint="eastAsia"/>
                      <w:color w:val="auto"/>
                      <w:sz w:val="18"/>
                      <w:szCs w:val="18"/>
                      <w:highlight w:val="none"/>
                      <w:lang w:val="en-US" w:eastAsia="zh-CN"/>
                    </w:rPr>
                    <w:t>水库</w:t>
                  </w:r>
                  <w:r>
                    <w:rPr>
                      <w:color w:val="auto"/>
                      <w:sz w:val="18"/>
                      <w:szCs w:val="18"/>
                      <w:highlight w:val="none"/>
                    </w:rPr>
                    <w:t>除险加固工程</w:t>
                  </w:r>
                  <w:r>
                    <w:rPr>
                      <w:rFonts w:hint="default" w:ascii="Times New Roman" w:hAnsi="Times New Roman" w:cs="Times New Roman"/>
                      <w:smallCaps w:val="0"/>
                      <w:color w:val="auto"/>
                      <w:kern w:val="0"/>
                      <w:sz w:val="18"/>
                      <w:szCs w:val="18"/>
                      <w:highlight w:val="none"/>
                    </w:rPr>
                    <w:t>，</w:t>
                  </w:r>
                  <w:r>
                    <w:rPr>
                      <w:rFonts w:hint="eastAsia" w:ascii="Times New Roman" w:hAnsi="Times New Roman" w:eastAsia="宋体" w:cs="Times New Roman"/>
                      <w:color w:val="auto"/>
                      <w:spacing w:val="0"/>
                      <w:kern w:val="0"/>
                      <w:sz w:val="18"/>
                      <w:szCs w:val="18"/>
                      <w:lang w:val="en-US" w:eastAsia="zh-CN"/>
                    </w:rPr>
                    <w:t>施工期废水均进行妥善处理，不外排，</w:t>
                  </w:r>
                  <w:r>
                    <w:rPr>
                      <w:rFonts w:hint="default" w:ascii="Times New Roman" w:hAnsi="Times New Roman" w:cs="Times New Roman"/>
                      <w:smallCaps w:val="0"/>
                      <w:color w:val="auto"/>
                      <w:kern w:val="0"/>
                      <w:sz w:val="18"/>
                      <w:szCs w:val="18"/>
                      <w:highlight w:val="none"/>
                    </w:rPr>
                    <w:t>不存在河湖水质污染、富营养化或者外来物种入侵等环境风险。</w:t>
                  </w:r>
                </w:p>
              </w:tc>
              <w:tc>
                <w:tcPr>
                  <w:tcW w:w="352" w:type="pct"/>
                  <w:tcBorders>
                    <w:top w:val="nil"/>
                    <w:left w:val="nil"/>
                    <w:bottom w:val="single" w:color="auto" w:sz="4" w:space="0"/>
                  </w:tcBorders>
                  <w:noWrap/>
                  <w:vAlign w:val="center"/>
                </w:tcPr>
                <w:p w14:paraId="5631ED72">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1DCE9F5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282BF0B7">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10</w:t>
                  </w:r>
                </w:p>
              </w:tc>
              <w:tc>
                <w:tcPr>
                  <w:tcW w:w="2245" w:type="pct"/>
                  <w:tcBorders>
                    <w:top w:val="nil"/>
                    <w:left w:val="nil"/>
                    <w:bottom w:val="single" w:color="auto" w:sz="4" w:space="0"/>
                    <w:right w:val="single" w:color="auto" w:sz="4" w:space="0"/>
                  </w:tcBorders>
                  <w:noWrap w:val="0"/>
                  <w:vAlign w:val="center"/>
                </w:tcPr>
                <w:p w14:paraId="10DBA224">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第十条改、扩建项目在全面梳理了与项目有关的现有工程环境问题基础上，提出了与项目相适应的“以新带老”措施。</w:t>
                  </w:r>
                </w:p>
              </w:tc>
              <w:tc>
                <w:tcPr>
                  <w:tcW w:w="2050" w:type="pct"/>
                  <w:tcBorders>
                    <w:top w:val="nil"/>
                    <w:left w:val="nil"/>
                    <w:bottom w:val="single" w:color="auto" w:sz="4" w:space="0"/>
                    <w:right w:val="single" w:color="auto" w:sz="4" w:space="0"/>
                  </w:tcBorders>
                  <w:noWrap w:val="0"/>
                  <w:vAlign w:val="center"/>
                </w:tcPr>
                <w:p w14:paraId="15136DA0">
                  <w:pPr>
                    <w:keepNext w:val="0"/>
                    <w:keepLines w:val="0"/>
                    <w:pageBreakBefore w:val="0"/>
                    <w:widowControl/>
                    <w:kinsoku/>
                    <w:wordWrap/>
                    <w:overflowPunct/>
                    <w:topLinePunct w:val="0"/>
                    <w:autoSpaceDE/>
                    <w:autoSpaceDN/>
                    <w:bidi w:val="0"/>
                    <w:adjustRightInd/>
                    <w:snapToGrid/>
                    <w:spacing w:line="240" w:lineRule="auto"/>
                    <w:ind w:left="0"/>
                    <w:textAlignment w:val="auto"/>
                    <w:rPr>
                      <w:rFonts w:hint="default" w:ascii="Times New Roman" w:hAnsi="Times New Roman" w:eastAsia="宋体" w:cs="Times New Roman"/>
                      <w:smallCaps w:val="0"/>
                      <w:color w:val="auto"/>
                      <w:kern w:val="0"/>
                      <w:sz w:val="18"/>
                      <w:szCs w:val="18"/>
                      <w:highlight w:val="none"/>
                      <w:lang w:val="en-US" w:eastAsia="zh-CN"/>
                    </w:rPr>
                  </w:pPr>
                  <w:r>
                    <w:rPr>
                      <w:rFonts w:hint="default" w:ascii="Times New Roman" w:hAnsi="Times New Roman" w:cs="Times New Roman"/>
                      <w:color w:val="auto"/>
                      <w:sz w:val="18"/>
                      <w:szCs w:val="18"/>
                      <w:highlight w:val="none"/>
                    </w:rPr>
                    <w:t>根据现状调查可知，</w:t>
                  </w:r>
                  <w:r>
                    <w:rPr>
                      <w:rFonts w:hint="eastAsia" w:cs="Times New Roman"/>
                      <w:color w:val="auto"/>
                      <w:sz w:val="18"/>
                      <w:szCs w:val="18"/>
                      <w:highlight w:val="none"/>
                      <w:lang w:val="en-US" w:eastAsia="zh-CN"/>
                    </w:rPr>
                    <w:t>庆先</w:t>
                  </w:r>
                  <w:r>
                    <w:rPr>
                      <w:rFonts w:hint="default" w:ascii="Times New Roman" w:hAnsi="Times New Roman" w:cs="Times New Roman"/>
                      <w:color w:val="auto"/>
                      <w:sz w:val="18"/>
                      <w:szCs w:val="18"/>
                      <w:highlight w:val="none"/>
                    </w:rPr>
                    <w:t>水库运行多年，但是由于库区上游植被覆盖率较高，水土流失得到有效控制</w:t>
                  </w:r>
                  <w:r>
                    <w:rPr>
                      <w:rFonts w:hint="default" w:ascii="Times New Roman" w:hAnsi="Times New Roman" w:cs="Times New Roman"/>
                      <w:color w:val="auto"/>
                      <w:sz w:val="18"/>
                      <w:szCs w:val="18"/>
                      <w:highlight w:val="none"/>
                      <w:lang w:val="en-US" w:eastAsia="zh-CN"/>
                    </w:rPr>
                    <w:t>，因此不涉及</w:t>
                  </w:r>
                  <w:r>
                    <w:rPr>
                      <w:rFonts w:hint="default" w:ascii="Times New Roman" w:hAnsi="Times New Roman" w:cs="Times New Roman"/>
                      <w:smallCaps w:val="0"/>
                      <w:color w:val="auto"/>
                      <w:kern w:val="0"/>
                      <w:sz w:val="18"/>
                      <w:szCs w:val="18"/>
                      <w:highlight w:val="none"/>
                    </w:rPr>
                    <w:t>“以新带老”措施</w:t>
                  </w:r>
                  <w:r>
                    <w:rPr>
                      <w:rFonts w:hint="default" w:ascii="Times New Roman" w:hAnsi="Times New Roman" w:cs="Times New Roman"/>
                      <w:smallCaps w:val="0"/>
                      <w:color w:val="auto"/>
                      <w:kern w:val="0"/>
                      <w:sz w:val="18"/>
                      <w:szCs w:val="18"/>
                      <w:highlight w:val="none"/>
                      <w:lang w:eastAsia="zh-CN"/>
                    </w:rPr>
                    <w:t>。</w:t>
                  </w:r>
                </w:p>
              </w:tc>
              <w:tc>
                <w:tcPr>
                  <w:tcW w:w="352" w:type="pct"/>
                  <w:tcBorders>
                    <w:top w:val="nil"/>
                    <w:left w:val="nil"/>
                    <w:bottom w:val="single" w:color="auto" w:sz="4" w:space="0"/>
                  </w:tcBorders>
                  <w:noWrap/>
                  <w:vAlign w:val="center"/>
                </w:tcPr>
                <w:p w14:paraId="27E6737E">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0584D19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6C8D63A6">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11</w:t>
                  </w:r>
                </w:p>
              </w:tc>
              <w:tc>
                <w:tcPr>
                  <w:tcW w:w="2245" w:type="pct"/>
                  <w:tcBorders>
                    <w:top w:val="nil"/>
                    <w:left w:val="nil"/>
                    <w:bottom w:val="single" w:color="auto" w:sz="4" w:space="0"/>
                    <w:right w:val="single" w:color="auto" w:sz="4" w:space="0"/>
                  </w:tcBorders>
                  <w:noWrap w:val="0"/>
                  <w:vAlign w:val="center"/>
                </w:tcPr>
                <w:p w14:paraId="65D0A375">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第十一条按相关导则及规定要求，制定了水环境、生态等环境监测计划，明确了监测网点、因子、频次等有关要求。根据需要和相关规定，提出了环境保护设计、开展相关科学研究、环境管理等要求。</w:t>
                  </w:r>
                </w:p>
              </w:tc>
              <w:tc>
                <w:tcPr>
                  <w:tcW w:w="2050" w:type="pct"/>
                  <w:tcBorders>
                    <w:top w:val="nil"/>
                    <w:left w:val="nil"/>
                    <w:bottom w:val="single" w:color="auto" w:sz="4" w:space="0"/>
                    <w:right w:val="single" w:color="auto" w:sz="4" w:space="0"/>
                  </w:tcBorders>
                  <w:noWrap w:val="0"/>
                  <w:vAlign w:val="center"/>
                </w:tcPr>
                <w:p w14:paraId="33191E4C">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本项目按</w:t>
                  </w:r>
                  <w:r>
                    <w:rPr>
                      <w:snapToGrid w:val="0"/>
                      <w:color w:val="auto"/>
                      <w:sz w:val="18"/>
                      <w:szCs w:val="18"/>
                      <w:highlight w:val="none"/>
                    </w:rPr>
                    <w:t>本项目按照《建设项目环境影响报告表编制技术指南（生态影响类）（试行）》</w:t>
                  </w:r>
                  <w:r>
                    <w:rPr>
                      <w:rFonts w:hint="eastAsia"/>
                      <w:snapToGrid w:val="0"/>
                      <w:color w:val="auto"/>
                      <w:sz w:val="18"/>
                      <w:szCs w:val="18"/>
                      <w:highlight w:val="none"/>
                      <w:lang w:eastAsia="zh-CN"/>
                    </w:rPr>
                    <w:t>的相关要求</w:t>
                  </w:r>
                  <w:r>
                    <w:rPr>
                      <w:rFonts w:hint="default" w:ascii="Times New Roman" w:hAnsi="Times New Roman" w:cs="Times New Roman"/>
                      <w:smallCaps w:val="0"/>
                      <w:color w:val="auto"/>
                      <w:kern w:val="0"/>
                      <w:sz w:val="18"/>
                      <w:szCs w:val="18"/>
                      <w:highlight w:val="none"/>
                    </w:rPr>
                    <w:t>，制定了水环境、生态等环境监测计划，明确了监测网点、因子、频次等，并提出了环境管理有关要求。</w:t>
                  </w:r>
                </w:p>
              </w:tc>
              <w:tc>
                <w:tcPr>
                  <w:tcW w:w="352" w:type="pct"/>
                  <w:tcBorders>
                    <w:top w:val="nil"/>
                    <w:left w:val="nil"/>
                    <w:bottom w:val="single" w:color="auto" w:sz="4" w:space="0"/>
                  </w:tcBorders>
                  <w:noWrap/>
                  <w:vAlign w:val="center"/>
                </w:tcPr>
                <w:p w14:paraId="50EED26C">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0F0BD3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7EC704C5">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12</w:t>
                  </w:r>
                </w:p>
              </w:tc>
              <w:tc>
                <w:tcPr>
                  <w:tcW w:w="2245" w:type="pct"/>
                  <w:tcBorders>
                    <w:top w:val="nil"/>
                    <w:left w:val="nil"/>
                    <w:bottom w:val="single" w:color="auto" w:sz="4" w:space="0"/>
                    <w:right w:val="single" w:color="auto" w:sz="4" w:space="0"/>
                  </w:tcBorders>
                  <w:noWrap w:val="0"/>
                  <w:vAlign w:val="center"/>
                </w:tcPr>
                <w:p w14:paraId="12116540">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第十二条对环境保护措施进行了深入论证，建设单位主体责任、投资估算、时间节点、预期效果明确，确保科学有效、安全可行、绿色协调。</w:t>
                  </w:r>
                </w:p>
              </w:tc>
              <w:tc>
                <w:tcPr>
                  <w:tcW w:w="2050" w:type="pct"/>
                  <w:tcBorders>
                    <w:top w:val="nil"/>
                    <w:left w:val="nil"/>
                    <w:bottom w:val="single" w:color="auto" w:sz="4" w:space="0"/>
                    <w:right w:val="single" w:color="auto" w:sz="4" w:space="0"/>
                  </w:tcBorders>
                  <w:noWrap w:val="0"/>
                  <w:vAlign w:val="center"/>
                </w:tcPr>
                <w:p w14:paraId="7C773521">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snapToGrid w:val="0"/>
                      <w:color w:val="auto"/>
                      <w:sz w:val="18"/>
                      <w:szCs w:val="18"/>
                      <w:highlight w:val="none"/>
                    </w:rPr>
                    <w:t>本项目按照《建设项目环境影响报告表编制技术指南（生态影响类）（试行）》的相关要求，对环境保护措施进行了分析</w:t>
                  </w:r>
                  <w:r>
                    <w:rPr>
                      <w:rFonts w:hint="default" w:ascii="Times New Roman" w:hAnsi="Times New Roman" w:cs="Times New Roman"/>
                      <w:smallCaps w:val="0"/>
                      <w:color w:val="auto"/>
                      <w:kern w:val="0"/>
                      <w:sz w:val="18"/>
                      <w:szCs w:val="18"/>
                      <w:highlight w:val="none"/>
                    </w:rPr>
                    <w:t>。</w:t>
                  </w:r>
                </w:p>
              </w:tc>
              <w:tc>
                <w:tcPr>
                  <w:tcW w:w="352" w:type="pct"/>
                  <w:tcBorders>
                    <w:top w:val="nil"/>
                    <w:left w:val="nil"/>
                    <w:bottom w:val="single" w:color="auto" w:sz="4" w:space="0"/>
                  </w:tcBorders>
                  <w:noWrap/>
                  <w:vAlign w:val="center"/>
                </w:tcPr>
                <w:p w14:paraId="02F963D5">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18F89A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shd w:val="clear" w:color="auto" w:fill="auto"/>
                  <w:noWrap/>
                  <w:vAlign w:val="center"/>
                </w:tcPr>
                <w:p w14:paraId="49CA0726">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eastAsia="宋体" w:cs="Times New Roman"/>
                      <w:smallCaps w:val="0"/>
                      <w:color w:val="auto"/>
                      <w:kern w:val="0"/>
                      <w:sz w:val="18"/>
                      <w:szCs w:val="18"/>
                      <w:highlight w:val="none"/>
                      <w:lang w:val="en-US" w:eastAsia="zh-CN" w:bidi="ar-SA"/>
                    </w:rPr>
                  </w:pPr>
                  <w:r>
                    <w:rPr>
                      <w:rFonts w:hint="default" w:ascii="Times New Roman" w:hAnsi="Times New Roman" w:cs="Times New Roman"/>
                      <w:smallCaps w:val="0"/>
                      <w:color w:val="auto"/>
                      <w:kern w:val="0"/>
                      <w:sz w:val="18"/>
                      <w:szCs w:val="18"/>
                      <w:highlight w:val="none"/>
                    </w:rPr>
                    <w:t>13</w:t>
                  </w:r>
                </w:p>
              </w:tc>
              <w:tc>
                <w:tcPr>
                  <w:tcW w:w="2245" w:type="pct"/>
                  <w:tcBorders>
                    <w:top w:val="nil"/>
                    <w:left w:val="nil"/>
                    <w:bottom w:val="single" w:color="auto" w:sz="4" w:space="0"/>
                    <w:right w:val="single" w:color="auto" w:sz="4" w:space="0"/>
                  </w:tcBorders>
                  <w:noWrap w:val="0"/>
                  <w:vAlign w:val="center"/>
                </w:tcPr>
                <w:p w14:paraId="22AF4B2E">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第十三条按相关规定开展了信息公开和公众参与。</w:t>
                  </w:r>
                </w:p>
              </w:tc>
              <w:tc>
                <w:tcPr>
                  <w:tcW w:w="2050" w:type="pct"/>
                  <w:tcBorders>
                    <w:top w:val="nil"/>
                    <w:left w:val="nil"/>
                    <w:bottom w:val="single" w:color="auto" w:sz="4" w:space="0"/>
                    <w:right w:val="single" w:color="auto" w:sz="4" w:space="0"/>
                  </w:tcBorders>
                  <w:noWrap w:val="0"/>
                  <w:vAlign w:val="center"/>
                </w:tcPr>
                <w:p w14:paraId="376FCADE">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mallCaps w:val="0"/>
                      <w:color w:val="auto"/>
                      <w:kern w:val="0"/>
                      <w:sz w:val="18"/>
                      <w:szCs w:val="18"/>
                      <w:highlight w:val="none"/>
                      <w:lang w:val="en-US" w:eastAsia="zh-CN"/>
                    </w:rPr>
                  </w:pPr>
                  <w:r>
                    <w:rPr>
                      <w:rFonts w:hint="default" w:ascii="Times New Roman" w:hAnsi="Times New Roman" w:cs="Times New Roman"/>
                      <w:smallCaps w:val="0"/>
                      <w:color w:val="auto"/>
                      <w:kern w:val="0"/>
                      <w:sz w:val="18"/>
                      <w:szCs w:val="18"/>
                      <w:highlight w:val="none"/>
                      <w:lang w:val="en-US" w:eastAsia="zh-CN"/>
                    </w:rPr>
                    <w:t>本次为编制环境影响报告表，不需要开展公众参与。</w:t>
                  </w:r>
                </w:p>
              </w:tc>
              <w:tc>
                <w:tcPr>
                  <w:tcW w:w="352" w:type="pct"/>
                  <w:tcBorders>
                    <w:top w:val="nil"/>
                    <w:left w:val="nil"/>
                    <w:bottom w:val="single" w:color="auto" w:sz="4" w:space="0"/>
                  </w:tcBorders>
                  <w:noWrap/>
                  <w:vAlign w:val="center"/>
                </w:tcPr>
                <w:p w14:paraId="49CBEBE1">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r w14:paraId="4D5100C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52" w:type="pct"/>
                  <w:tcBorders>
                    <w:top w:val="nil"/>
                    <w:bottom w:val="single" w:color="auto" w:sz="4" w:space="0"/>
                    <w:right w:val="single" w:color="auto" w:sz="4" w:space="0"/>
                  </w:tcBorders>
                  <w:noWrap/>
                  <w:vAlign w:val="center"/>
                </w:tcPr>
                <w:p w14:paraId="126A80ED">
                  <w:pPr>
                    <w:keepNext w:val="0"/>
                    <w:keepLines w:val="0"/>
                    <w:pageBreakBefore w:val="0"/>
                    <w:widowControl/>
                    <w:numPr>
                      <w:ilvl w:val="0"/>
                      <w:numId w:val="4"/>
                    </w:numPr>
                    <w:kinsoku/>
                    <w:wordWrap/>
                    <w:overflowPunct/>
                    <w:topLinePunct w:val="0"/>
                    <w:autoSpaceDE/>
                    <w:autoSpaceDN/>
                    <w:bidi w:val="0"/>
                    <w:adjustRightInd/>
                    <w:snapToGrid/>
                    <w:spacing w:line="240" w:lineRule="auto"/>
                    <w:ind w:left="0" w:leftChars="0" w:hanging="425" w:firstLineChars="0"/>
                    <w:jc w:val="center"/>
                    <w:textAlignment w:val="auto"/>
                    <w:rPr>
                      <w:rFonts w:hint="default" w:ascii="Times New Roman" w:hAnsi="Times New Roman" w:cs="Times New Roman"/>
                      <w:smallCaps w:val="0"/>
                      <w:color w:val="auto"/>
                      <w:kern w:val="0"/>
                      <w:sz w:val="18"/>
                      <w:szCs w:val="18"/>
                      <w:highlight w:val="none"/>
                    </w:rPr>
                  </w:pPr>
                  <w:r>
                    <w:rPr>
                      <w:rFonts w:hint="eastAsia" w:ascii="Times New Roman" w:hAnsi="Times New Roman" w:cs="Times New Roman"/>
                      <w:smallCaps w:val="0"/>
                      <w:color w:val="auto"/>
                      <w:kern w:val="0"/>
                      <w:sz w:val="18"/>
                      <w:szCs w:val="18"/>
                      <w:highlight w:val="none"/>
                      <w:lang w:val="en-US" w:eastAsia="zh-CN"/>
                    </w:rPr>
                    <w:t>14</w:t>
                  </w:r>
                </w:p>
              </w:tc>
              <w:tc>
                <w:tcPr>
                  <w:tcW w:w="2245" w:type="pct"/>
                  <w:tcBorders>
                    <w:top w:val="nil"/>
                    <w:left w:val="nil"/>
                    <w:bottom w:val="single" w:color="auto" w:sz="4" w:space="0"/>
                    <w:right w:val="single" w:color="auto" w:sz="4" w:space="0"/>
                  </w:tcBorders>
                  <w:noWrap w:val="0"/>
                  <w:vAlign w:val="center"/>
                </w:tcPr>
                <w:p w14:paraId="377C7560">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第十四条环境影响评价文件编制规范，符合相关管理规定和环评技术标准要求</w:t>
                  </w:r>
                </w:p>
              </w:tc>
              <w:tc>
                <w:tcPr>
                  <w:tcW w:w="2050" w:type="pct"/>
                  <w:tcBorders>
                    <w:top w:val="nil"/>
                    <w:left w:val="nil"/>
                    <w:bottom w:val="single" w:color="auto" w:sz="4" w:space="0"/>
                    <w:right w:val="single" w:color="auto" w:sz="4" w:space="0"/>
                  </w:tcBorders>
                  <w:noWrap w:val="0"/>
                  <w:vAlign w:val="center"/>
                </w:tcPr>
                <w:p w14:paraId="6274C8BE">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环境影响评价文件按规范、相关管理规定和环评技术标准要求进行编制。</w:t>
                  </w:r>
                </w:p>
              </w:tc>
              <w:tc>
                <w:tcPr>
                  <w:tcW w:w="352" w:type="pct"/>
                  <w:tcBorders>
                    <w:top w:val="nil"/>
                    <w:left w:val="nil"/>
                    <w:bottom w:val="single" w:color="auto" w:sz="4" w:space="0"/>
                  </w:tcBorders>
                  <w:noWrap/>
                  <w:vAlign w:val="center"/>
                </w:tcPr>
                <w:p w14:paraId="0E380DB6">
                  <w:pPr>
                    <w:keepNext w:val="0"/>
                    <w:keepLines w:val="0"/>
                    <w:pageBreakBefore w:val="0"/>
                    <w:widowControl/>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cs="Times New Roman"/>
                      <w:smallCaps w:val="0"/>
                      <w:color w:val="auto"/>
                      <w:kern w:val="0"/>
                      <w:sz w:val="18"/>
                      <w:szCs w:val="18"/>
                      <w:highlight w:val="none"/>
                    </w:rPr>
                  </w:pPr>
                  <w:r>
                    <w:rPr>
                      <w:rFonts w:hint="default" w:ascii="Times New Roman" w:hAnsi="Times New Roman" w:cs="Times New Roman"/>
                      <w:smallCaps w:val="0"/>
                      <w:color w:val="auto"/>
                      <w:kern w:val="0"/>
                      <w:sz w:val="18"/>
                      <w:szCs w:val="18"/>
                      <w:highlight w:val="none"/>
                    </w:rPr>
                    <w:t>符合</w:t>
                  </w:r>
                </w:p>
              </w:tc>
            </w:tr>
          </w:tbl>
          <w:p w14:paraId="1E98E097">
            <w:pPr>
              <w:adjustRightInd w:val="0"/>
              <w:snapToGrid w:val="0"/>
              <w:spacing w:before="120" w:beforeLines="50" w:line="360" w:lineRule="auto"/>
              <w:rPr>
                <w:rFonts w:hint="default" w:ascii="Times New Roman" w:hAnsi="Times New Roman" w:cs="Times New Roman" w:eastAsiaTheme="minorEastAsia"/>
                <w:color w:val="auto"/>
                <w:sz w:val="24"/>
                <w:szCs w:val="24"/>
                <w:highlight w:val="none"/>
                <w:lang w:val="en-US" w:eastAsia="zh-CN"/>
              </w:rPr>
            </w:pPr>
          </w:p>
          <w:p w14:paraId="5EA60E5D">
            <w:pPr>
              <w:autoSpaceDE w:val="0"/>
              <w:autoSpaceDN w:val="0"/>
              <w:adjustRightInd w:val="0"/>
              <w:snapToGrid w:val="0"/>
              <w:spacing w:line="240" w:lineRule="auto"/>
              <w:ind w:firstLine="400" w:firstLineChars="200"/>
              <w:rPr>
                <w:rFonts w:hint="default" w:ascii="Times New Roman" w:hAnsi="Times New Roman" w:cs="Times New Roman" w:eastAsiaTheme="minorEastAsia"/>
                <w:color w:val="auto"/>
                <w:spacing w:val="-5"/>
                <w:sz w:val="21"/>
                <w:szCs w:val="21"/>
                <w:highlight w:val="none"/>
              </w:rPr>
            </w:pPr>
          </w:p>
          <w:p w14:paraId="240DE09C">
            <w:pPr>
              <w:autoSpaceDE w:val="0"/>
              <w:autoSpaceDN w:val="0"/>
              <w:adjustRightInd w:val="0"/>
              <w:snapToGrid w:val="0"/>
              <w:spacing w:line="240" w:lineRule="auto"/>
              <w:ind w:firstLine="400" w:firstLineChars="200"/>
              <w:rPr>
                <w:rFonts w:hint="default" w:ascii="Times New Roman" w:hAnsi="Times New Roman" w:cs="Times New Roman" w:eastAsiaTheme="minorEastAsia"/>
                <w:color w:val="auto"/>
                <w:spacing w:val="-5"/>
                <w:sz w:val="21"/>
                <w:szCs w:val="21"/>
                <w:highlight w:val="none"/>
              </w:rPr>
            </w:pPr>
          </w:p>
          <w:p w14:paraId="049AE7CE">
            <w:pPr>
              <w:autoSpaceDE w:val="0"/>
              <w:autoSpaceDN w:val="0"/>
              <w:adjustRightInd w:val="0"/>
              <w:snapToGrid w:val="0"/>
              <w:spacing w:line="240" w:lineRule="auto"/>
              <w:ind w:firstLine="400" w:firstLineChars="200"/>
              <w:rPr>
                <w:rFonts w:hint="default" w:ascii="Times New Roman" w:hAnsi="Times New Roman" w:cs="Times New Roman" w:eastAsiaTheme="minorEastAsia"/>
                <w:color w:val="auto"/>
                <w:spacing w:val="-5"/>
                <w:sz w:val="21"/>
                <w:szCs w:val="21"/>
                <w:highlight w:val="none"/>
              </w:rPr>
            </w:pPr>
          </w:p>
          <w:p w14:paraId="68FC979E">
            <w:pPr>
              <w:pStyle w:val="3"/>
              <w:numPr>
                <w:ilvl w:val="1"/>
                <w:numId w:val="0"/>
              </w:numPr>
              <w:spacing w:line="240" w:lineRule="auto"/>
              <w:rPr>
                <w:rFonts w:hint="default"/>
                <w:color w:val="auto"/>
              </w:rPr>
            </w:pPr>
          </w:p>
          <w:p w14:paraId="45B17919">
            <w:pPr>
              <w:spacing w:line="240" w:lineRule="auto"/>
              <w:rPr>
                <w:rFonts w:hint="default" w:ascii="Times New Roman" w:hAnsi="Times New Roman" w:cs="Times New Roman" w:eastAsiaTheme="minorEastAsia"/>
                <w:color w:val="auto"/>
                <w:spacing w:val="-5"/>
                <w:sz w:val="21"/>
                <w:szCs w:val="21"/>
                <w:highlight w:val="none"/>
              </w:rPr>
            </w:pPr>
          </w:p>
          <w:p w14:paraId="796255CA">
            <w:pPr>
              <w:pStyle w:val="3"/>
              <w:numPr>
                <w:ilvl w:val="1"/>
                <w:numId w:val="0"/>
              </w:numPr>
              <w:spacing w:line="240" w:lineRule="auto"/>
              <w:ind w:left="567" w:leftChars="0"/>
              <w:rPr>
                <w:rFonts w:hint="default"/>
                <w:color w:val="auto"/>
              </w:rPr>
            </w:pPr>
          </w:p>
          <w:p w14:paraId="2542FD7C">
            <w:pPr>
              <w:spacing w:line="240" w:lineRule="auto"/>
              <w:rPr>
                <w:rFonts w:hint="default" w:ascii="Times New Roman" w:hAnsi="Times New Roman" w:cs="Times New Roman" w:eastAsiaTheme="minorEastAsia"/>
                <w:color w:val="auto"/>
                <w:spacing w:val="-5"/>
                <w:sz w:val="21"/>
                <w:szCs w:val="21"/>
                <w:highlight w:val="none"/>
              </w:rPr>
            </w:pPr>
          </w:p>
          <w:p w14:paraId="4DB896DE">
            <w:pPr>
              <w:pStyle w:val="3"/>
              <w:numPr>
                <w:ilvl w:val="1"/>
                <w:numId w:val="0"/>
              </w:numPr>
              <w:spacing w:line="240" w:lineRule="auto"/>
              <w:ind w:left="567" w:leftChars="0"/>
              <w:rPr>
                <w:rFonts w:hint="default"/>
                <w:color w:val="auto"/>
              </w:rPr>
            </w:pPr>
          </w:p>
          <w:p w14:paraId="46DFC265">
            <w:pPr>
              <w:spacing w:line="240" w:lineRule="auto"/>
              <w:rPr>
                <w:rFonts w:hint="default"/>
                <w:color w:val="auto"/>
              </w:rPr>
            </w:pPr>
          </w:p>
          <w:p w14:paraId="6EF83793">
            <w:pPr>
              <w:spacing w:line="240" w:lineRule="auto"/>
              <w:rPr>
                <w:rFonts w:hint="default"/>
                <w:color w:val="auto"/>
              </w:rPr>
            </w:pPr>
          </w:p>
          <w:p w14:paraId="18E61FBE">
            <w:pPr>
              <w:pStyle w:val="3"/>
              <w:numPr>
                <w:ilvl w:val="1"/>
                <w:numId w:val="0"/>
              </w:numPr>
              <w:spacing w:line="240" w:lineRule="auto"/>
              <w:ind w:left="567" w:leftChars="0"/>
              <w:rPr>
                <w:rFonts w:hint="default"/>
                <w:color w:val="auto"/>
              </w:rPr>
            </w:pPr>
          </w:p>
          <w:p w14:paraId="3A982D24">
            <w:pPr>
              <w:pageBreakBefore w:val="0"/>
              <w:widowControl w:val="0"/>
              <w:kinsoku/>
              <w:wordWrap/>
              <w:overflowPunct/>
              <w:topLinePunct w:val="0"/>
              <w:autoSpaceDE/>
              <w:autoSpaceDN/>
              <w:bidi w:val="0"/>
              <w:adjustRightInd/>
              <w:snapToGrid/>
              <w:spacing w:line="240" w:lineRule="auto"/>
              <w:ind w:left="0"/>
              <w:textAlignment w:val="auto"/>
              <w:rPr>
                <w:rFonts w:hint="default"/>
                <w:color w:val="auto"/>
              </w:rPr>
            </w:pPr>
          </w:p>
          <w:p w14:paraId="313470A4">
            <w:pPr>
              <w:pStyle w:val="3"/>
              <w:pageBreakBefore w:val="0"/>
              <w:widowControl w:val="0"/>
              <w:numPr>
                <w:ilvl w:val="1"/>
                <w:numId w:val="0"/>
              </w:numPr>
              <w:kinsoku/>
              <w:wordWrap/>
              <w:overflowPunct/>
              <w:topLinePunct w:val="0"/>
              <w:autoSpaceDE/>
              <w:autoSpaceDN/>
              <w:bidi w:val="0"/>
              <w:adjustRightInd/>
              <w:snapToGrid/>
              <w:spacing w:before="0" w:after="0" w:line="240" w:lineRule="auto"/>
              <w:ind w:left="0" w:leftChars="0"/>
              <w:textAlignment w:val="auto"/>
              <w:rPr>
                <w:rFonts w:hint="default"/>
                <w:color w:val="auto"/>
              </w:rPr>
            </w:pPr>
          </w:p>
          <w:p w14:paraId="656734E6">
            <w:pPr>
              <w:pStyle w:val="3"/>
              <w:pageBreakBefore w:val="0"/>
              <w:widowControl w:val="0"/>
              <w:numPr>
                <w:ilvl w:val="1"/>
                <w:numId w:val="0"/>
              </w:numPr>
              <w:kinsoku/>
              <w:wordWrap/>
              <w:overflowPunct/>
              <w:topLinePunct w:val="0"/>
              <w:autoSpaceDE/>
              <w:autoSpaceDN/>
              <w:bidi w:val="0"/>
              <w:adjustRightInd/>
              <w:snapToGrid/>
              <w:spacing w:before="0" w:after="0" w:line="240" w:lineRule="auto"/>
              <w:ind w:left="0" w:leftChars="0"/>
              <w:textAlignment w:val="auto"/>
              <w:rPr>
                <w:rFonts w:hint="default"/>
                <w:color w:val="auto"/>
              </w:rPr>
            </w:pPr>
          </w:p>
          <w:p w14:paraId="13F5D420">
            <w:pPr>
              <w:keepNext w:val="0"/>
              <w:keepLines w:val="0"/>
              <w:pageBreakBefore w:val="0"/>
              <w:widowControl w:val="0"/>
              <w:kinsoku/>
              <w:wordWrap/>
              <w:overflowPunct/>
              <w:topLinePunct w:val="0"/>
              <w:autoSpaceDE/>
              <w:autoSpaceDN/>
              <w:bidi w:val="0"/>
              <w:adjustRightInd/>
              <w:snapToGrid/>
              <w:textAlignment w:val="auto"/>
              <w:rPr>
                <w:rFonts w:hint="default"/>
                <w:color w:val="auto"/>
              </w:rPr>
            </w:pPr>
          </w:p>
          <w:p w14:paraId="652C4CB0">
            <w:pPr>
              <w:rPr>
                <w:rFonts w:hint="default"/>
                <w:color w:val="auto"/>
              </w:rPr>
            </w:pPr>
          </w:p>
        </w:tc>
      </w:tr>
    </w:tbl>
    <w:p w14:paraId="44480B85">
      <w:pPr>
        <w:rPr>
          <w:color w:val="auto"/>
          <w:highlight w:val="none"/>
        </w:rPr>
      </w:pPr>
    </w:p>
    <w:p w14:paraId="55DB208E">
      <w:pPr>
        <w:spacing w:line="360" w:lineRule="auto"/>
        <w:outlineLvl w:val="0"/>
        <w:rPr>
          <w:rFonts w:hint="default" w:ascii="Times New Roman" w:hAnsi="Times New Roman" w:cs="Times New Roman" w:eastAsiaTheme="minorEastAsia"/>
          <w:color w:val="auto"/>
          <w:sz w:val="30"/>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5EB3EEA">
      <w:pPr>
        <w:pStyle w:val="20"/>
        <w:jc w:val="center"/>
        <w:outlineLvl w:val="0"/>
        <w:rPr>
          <w:rFonts w:hint="default" w:ascii="Times New Roman" w:hAnsi="Times New Roman" w:eastAsia="黑体" w:cs="Times New Roman"/>
          <w:snapToGrid w:val="0"/>
          <w:color w:val="auto"/>
          <w:sz w:val="30"/>
          <w:szCs w:val="30"/>
          <w:highlight w:val="none"/>
        </w:rPr>
      </w:pPr>
      <w:bookmarkStart w:id="6" w:name="_Toc19121"/>
      <w:bookmarkStart w:id="7" w:name="_Toc30385"/>
      <w:bookmarkStart w:id="8" w:name="_Toc16170"/>
      <w:bookmarkStart w:id="9" w:name="_Toc22434"/>
      <w:r>
        <w:rPr>
          <w:rFonts w:hint="default" w:ascii="Times New Roman" w:hAnsi="Times New Roman" w:eastAsia="黑体" w:cs="Times New Roman"/>
          <w:snapToGrid w:val="0"/>
          <w:color w:val="auto"/>
          <w:sz w:val="30"/>
          <w:szCs w:val="30"/>
          <w:highlight w:val="none"/>
        </w:rPr>
        <w:t>二、建设内容</w:t>
      </w:r>
      <w:bookmarkEnd w:id="6"/>
      <w:bookmarkEnd w:id="7"/>
      <w:bookmarkEnd w:id="8"/>
      <w:bookmarkEnd w:id="9"/>
    </w:p>
    <w:tbl>
      <w:tblPr>
        <w:tblStyle w:val="24"/>
        <w:tblW w:w="531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0"/>
        <w:gridCol w:w="8209"/>
      </w:tblGrid>
      <w:tr w14:paraId="58181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pct"/>
            <w:vAlign w:val="center"/>
          </w:tcPr>
          <w:p w14:paraId="0E6FD6C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地理</w:t>
            </w:r>
          </w:p>
          <w:p w14:paraId="5505DF8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 w:val="21"/>
                <w:szCs w:val="21"/>
                <w:highlight w:val="none"/>
              </w:rPr>
              <w:t>位置</w:t>
            </w:r>
          </w:p>
        </w:tc>
        <w:tc>
          <w:tcPr>
            <w:tcW w:w="4530" w:type="pct"/>
            <w:vAlign w:val="center"/>
          </w:tcPr>
          <w:p w14:paraId="284FBB9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庆先</w:t>
            </w:r>
            <w:r>
              <w:rPr>
                <w:rFonts w:hint="default" w:ascii="Times New Roman" w:hAnsi="Times New Roman" w:eastAsia="宋体" w:cs="Times New Roman"/>
                <w:color w:val="auto"/>
                <w:sz w:val="21"/>
                <w:szCs w:val="21"/>
                <w:highlight w:val="none"/>
                <w:lang w:val="en-US" w:eastAsia="zh-CN"/>
              </w:rPr>
              <w:t>水库除险加固工程</w:t>
            </w:r>
            <w:r>
              <w:rPr>
                <w:rFonts w:hint="default" w:ascii="Times New Roman" w:hAnsi="Times New Roman" w:eastAsia="宋体" w:cs="Times New Roman"/>
                <w:color w:val="auto"/>
                <w:sz w:val="21"/>
                <w:szCs w:val="21"/>
                <w:highlight w:val="none"/>
              </w:rPr>
              <w:t>位于黑龙江省</w:t>
            </w:r>
            <w:r>
              <w:rPr>
                <w:rFonts w:hint="default" w:ascii="Times New Roman" w:hAnsi="Times New Roman" w:eastAsia="宋体" w:cs="Times New Roman"/>
                <w:color w:val="auto"/>
                <w:sz w:val="21"/>
                <w:szCs w:val="21"/>
                <w:highlight w:val="none"/>
                <w:lang w:eastAsia="zh-CN"/>
              </w:rPr>
              <w:t>鸡西市</w:t>
            </w:r>
            <w:r>
              <w:rPr>
                <w:rFonts w:hint="eastAsia" w:cs="Times New Roman"/>
                <w:color w:val="auto"/>
                <w:sz w:val="21"/>
                <w:szCs w:val="21"/>
                <w:highlight w:val="none"/>
                <w:lang w:val="en-US" w:eastAsia="zh-CN"/>
              </w:rPr>
              <w:t>密山市黑台镇北4.0km处庆先水库</w:t>
            </w:r>
            <w:r>
              <w:rPr>
                <w:rFonts w:hint="default" w:ascii="Times New Roman" w:hAnsi="Times New Roman" w:eastAsia="宋体" w:cs="Times New Roman"/>
                <w:color w:val="auto"/>
                <w:sz w:val="21"/>
                <w:szCs w:val="21"/>
                <w:highlight w:val="none"/>
              </w:rPr>
              <w:t>，水库大坝：东经131°</w:t>
            </w:r>
            <w:r>
              <w:rPr>
                <w:rFonts w:hint="default"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4"，北纬</w:t>
            </w:r>
            <w:r>
              <w:rPr>
                <w:rFonts w:hint="default" w:ascii="Times New Roman" w:hAnsi="Times New Roman" w:eastAsia="宋体" w:cs="Times New Roman"/>
                <w:color w:val="auto"/>
                <w:sz w:val="21"/>
                <w:szCs w:val="21"/>
                <w:highlight w:val="none"/>
                <w:lang w:val="en-US" w:eastAsia="zh-CN"/>
              </w:rPr>
              <w:t>45</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24.886</w:t>
            </w:r>
            <w:r>
              <w:rPr>
                <w:rFonts w:hint="default" w:ascii="Times New Roman" w:hAnsi="Times New Roman" w:eastAsia="宋体" w:cs="Times New Roman"/>
                <w:color w:val="auto"/>
                <w:sz w:val="21"/>
                <w:szCs w:val="21"/>
                <w:highlight w:val="none"/>
              </w:rPr>
              <w:t>"。</w:t>
            </w:r>
          </w:p>
        </w:tc>
      </w:tr>
      <w:tr w14:paraId="45C1D1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0" w:hRule="atLeast"/>
          <w:jc w:val="center"/>
        </w:trPr>
        <w:tc>
          <w:tcPr>
            <w:tcW w:w="469" w:type="pct"/>
            <w:vAlign w:val="center"/>
          </w:tcPr>
          <w:p w14:paraId="25EBC37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4"/>
                <w:highlight w:val="none"/>
              </w:rPr>
            </w:pPr>
            <w:r>
              <w:rPr>
                <w:rFonts w:hint="default" w:ascii="Times New Roman" w:hAnsi="Times New Roman" w:cs="Times New Roman" w:eastAsiaTheme="minorEastAsia"/>
                <w:color w:val="auto"/>
                <w:kern w:val="0"/>
                <w:sz w:val="21"/>
                <w:szCs w:val="21"/>
                <w:highlight w:val="none"/>
              </w:rPr>
              <w:t>项目组成及规模</w:t>
            </w:r>
          </w:p>
        </w:tc>
        <w:tc>
          <w:tcPr>
            <w:tcW w:w="4530" w:type="pct"/>
            <w:vAlign w:val="center"/>
          </w:tcPr>
          <w:p w14:paraId="7CAF7916">
            <w:pPr>
              <w:keepNext w:val="0"/>
              <w:keepLines w:val="0"/>
              <w:pageBreakBefore w:val="0"/>
              <w:widowControl/>
              <w:numPr>
                <w:ilvl w:val="0"/>
                <w:numId w:val="5"/>
              </w:numPr>
              <w:kinsoku/>
              <w:wordWrap/>
              <w:overflowPunct/>
              <w:topLinePunct w:val="0"/>
              <w:autoSpaceDE/>
              <w:autoSpaceDN/>
              <w:bidi w:val="0"/>
              <w:adjustRightInd/>
              <w:snapToGrid/>
              <w:spacing w:line="360" w:lineRule="auto"/>
              <w:ind w:left="0" w:leftChars="0" w:firstLine="422" w:firstLineChars="200"/>
              <w:textAlignment w:val="auto"/>
              <w:rPr>
                <w:rFonts w:hint="eastAsia"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项目由来</w:t>
            </w:r>
            <w:r>
              <w:rPr>
                <w:rFonts w:hint="eastAsia" w:ascii="Times New Roman" w:hAnsi="Times New Roman" w:eastAsia="宋体" w:cs="Times New Roman"/>
                <w:b/>
                <w:bCs/>
                <w:color w:val="auto"/>
                <w:sz w:val="21"/>
                <w:szCs w:val="21"/>
                <w:lang w:val="en-US" w:eastAsia="zh-CN"/>
              </w:rPr>
              <w:t>及建设必要性</w:t>
            </w:r>
          </w:p>
          <w:p w14:paraId="574D5A1E">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庆先水库是以灌溉、防洪为主，结合养鱼等综合利用的小（I）型水库。2008年除险加固后水库总库容254.00×10</w:t>
            </w:r>
            <w:r>
              <w:rPr>
                <w:rFonts w:hint="eastAsia"/>
                <w:color w:val="auto"/>
                <w:sz w:val="21"/>
                <w:szCs w:val="21"/>
                <w:vertAlign w:val="superscript"/>
                <w:lang w:val="en-US" w:eastAsia="zh-CN"/>
              </w:rPr>
              <w:t>4</w:t>
            </w:r>
            <w:r>
              <w:rPr>
                <w:rFonts w:hint="eastAsia"/>
                <w:color w:val="auto"/>
                <w:sz w:val="21"/>
                <w:szCs w:val="21"/>
                <w:lang w:val="en-US" w:eastAsia="zh-CN"/>
              </w:rPr>
              <w:t>m</w:t>
            </w:r>
            <w:r>
              <w:rPr>
                <w:rFonts w:hint="eastAsia"/>
                <w:color w:val="auto"/>
                <w:sz w:val="21"/>
                <w:szCs w:val="21"/>
                <w:vertAlign w:val="superscript"/>
                <w:lang w:val="en-US" w:eastAsia="zh-CN"/>
              </w:rPr>
              <w:t>3</w:t>
            </w:r>
            <w:r>
              <w:rPr>
                <w:rFonts w:hint="eastAsia"/>
                <w:color w:val="auto"/>
                <w:sz w:val="21"/>
                <w:szCs w:val="21"/>
                <w:lang w:val="en-US" w:eastAsia="zh-CN"/>
              </w:rPr>
              <w:t>，兴利库容140.00×10</w:t>
            </w:r>
            <w:r>
              <w:rPr>
                <w:rFonts w:hint="eastAsia"/>
                <w:color w:val="auto"/>
                <w:sz w:val="21"/>
                <w:szCs w:val="21"/>
                <w:vertAlign w:val="superscript"/>
                <w:lang w:val="en-US" w:eastAsia="zh-CN"/>
              </w:rPr>
              <w:t>4</w:t>
            </w:r>
            <w:r>
              <w:rPr>
                <w:rFonts w:hint="eastAsia"/>
                <w:color w:val="auto"/>
                <w:sz w:val="21"/>
                <w:szCs w:val="21"/>
                <w:lang w:val="en-US" w:eastAsia="zh-CN"/>
              </w:rPr>
              <w:t>m</w:t>
            </w:r>
            <w:r>
              <w:rPr>
                <w:rFonts w:hint="eastAsia"/>
                <w:color w:val="auto"/>
                <w:sz w:val="21"/>
                <w:szCs w:val="21"/>
                <w:vertAlign w:val="superscript"/>
                <w:lang w:val="en-US" w:eastAsia="zh-CN"/>
              </w:rPr>
              <w:t>3</w:t>
            </w:r>
            <w:r>
              <w:rPr>
                <w:rFonts w:hint="eastAsia"/>
                <w:color w:val="auto"/>
                <w:sz w:val="21"/>
                <w:szCs w:val="21"/>
                <w:lang w:val="en-US" w:eastAsia="zh-CN"/>
              </w:rPr>
              <w:t>。水库设计灌溉水田1993亩，防洪保护耕地3.0万亩，保护黑台镇及庆先、黑台、复兴等七个村屯，人口2.5万，保护方虎公路、鸡密铁路大桥各一座。水库是一座以灌为主兼顾防洪、养鱼等综合利用的小（I）型水库。庆先水库主要任务为农田灌溉供水，根据规范要求和灌区实际情况，农业灌溉设计保证率采用P=75%。庆先水库于1975年竣工，2008年除险加固。溢洪道、输水洞于2012年除险加固。</w:t>
            </w:r>
          </w:p>
          <w:p w14:paraId="3458FCB1">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根据《防洪标准》（GB50201-2014）和《水利水电工程等级划分及洪水标准》（SL252-2017）规定，该项目工程规模为小（I）型，工程等别为Ⅳ等，按照山区、丘陵区水库工程永久性水工建筑物洪水标准及原设计洪水标准，庆先水库洪水标准为20年一遇洪水设计，100年一遇洪水校核。</w:t>
            </w:r>
          </w:p>
          <w:p w14:paraId="38196F87">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庆先水库存在的主要问题有：大坝防洪能力不足，大坝下游排水系统不完善，下游护坡存在雨冲沟；溢洪道堰体露筋、剥蚀；输水洞进水塔倾斜严重，启闭螺杆弯曲变形，闸门及启闭机等局部变形、锈蚀；坝顶未硬化等。</w:t>
            </w:r>
          </w:p>
          <w:p w14:paraId="4CF68F4E">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为开展除险加固消除险情和安全隐患，尽快消除大坝安全隐患，隐患消除前应当控制运用，加强检查监测与应急管理，保障水库大坝安全。庆先水库是附近农业灌溉的重要水源工程，庆先水库除险加固工程的实施既可以在枯水期为抗旱灌溉保产量、保增长等方面发挥重要作用，保障了下游群众的生命财产安全，对于国民经济及社会发展都有促进意义。因此，本工程的实施是必要的。</w:t>
            </w:r>
          </w:p>
          <w:p w14:paraId="37AC3EAC">
            <w:pPr>
              <w:keepNext w:val="0"/>
              <w:keepLines w:val="0"/>
              <w:pageBreakBefore w:val="0"/>
              <w:widowControl/>
              <w:numPr>
                <w:ilvl w:val="0"/>
                <w:numId w:val="5"/>
              </w:numPr>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项目</w:t>
            </w:r>
            <w:r>
              <w:rPr>
                <w:rFonts w:hint="eastAsia" w:cs="Times New Roman"/>
                <w:b/>
                <w:bCs/>
                <w:color w:val="auto"/>
                <w:kern w:val="0"/>
                <w:sz w:val="21"/>
                <w:szCs w:val="21"/>
                <w:highlight w:val="none"/>
                <w:lang w:val="en-US" w:eastAsia="zh-CN"/>
              </w:rPr>
              <w:t>建设内容</w:t>
            </w:r>
          </w:p>
          <w:p w14:paraId="45E2C355">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cs="Times New Roman" w:eastAsiaTheme="minorEastAsia"/>
                <w:color w:val="auto"/>
                <w:sz w:val="24"/>
                <w:highlight w:val="none"/>
                <w:lang w:val="en-US" w:eastAsia="zh-CN"/>
              </w:rPr>
            </w:pPr>
            <w:r>
              <w:rPr>
                <w:rFonts w:hint="default" w:ascii="Times New Roman" w:hAnsi="Times New Roman" w:eastAsia="宋体" w:cs="Times New Roman"/>
                <w:color w:val="auto"/>
                <w:sz w:val="21"/>
                <w:szCs w:val="21"/>
                <w:highlight w:val="none"/>
                <w:lang w:val="en-US" w:eastAsia="zh-CN"/>
              </w:rPr>
              <w:t>本次</w:t>
            </w:r>
            <w:r>
              <w:rPr>
                <w:rFonts w:hint="eastAsia" w:ascii="Times New Roman" w:hAnsi="Times New Roman" w:eastAsia="宋体" w:cs="Times New Roman"/>
                <w:color w:val="auto"/>
                <w:sz w:val="21"/>
                <w:szCs w:val="21"/>
                <w:highlight w:val="none"/>
                <w:lang w:val="en-US" w:eastAsia="zh-CN"/>
              </w:rPr>
              <w:t>庆先</w:t>
            </w:r>
            <w:r>
              <w:rPr>
                <w:rFonts w:hint="default" w:ascii="Times New Roman" w:hAnsi="Times New Roman" w:eastAsia="宋体" w:cs="Times New Roman"/>
                <w:color w:val="auto"/>
                <w:sz w:val="21"/>
                <w:szCs w:val="21"/>
                <w:highlight w:val="none"/>
                <w:lang w:val="en-US" w:eastAsia="zh-CN"/>
              </w:rPr>
              <w:t>水库除险加固工程主要</w:t>
            </w:r>
            <w:r>
              <w:rPr>
                <w:rFonts w:hint="default" w:ascii="Times New Roman" w:hAnsi="Times New Roman" w:eastAsia="宋体" w:cs="Times New Roman"/>
                <w:color w:val="auto"/>
                <w:kern w:val="2"/>
                <w:sz w:val="21"/>
                <w:szCs w:val="21"/>
                <w:highlight w:val="none"/>
              </w:rPr>
              <w:t>建设规模及内容</w:t>
            </w:r>
            <w:r>
              <w:rPr>
                <w:rFonts w:hint="default" w:ascii="Times New Roman" w:hAnsi="Times New Roman" w:eastAsia="宋体" w:cs="Times New Roman"/>
                <w:color w:val="auto"/>
                <w:sz w:val="21"/>
                <w:szCs w:val="21"/>
                <w:highlight w:val="none"/>
                <w:lang w:val="en-US" w:eastAsia="zh-CN"/>
              </w:rPr>
              <w:t>包括大坝坝顶路硬化，大坝背水侧增设碎石护坡及排水体。修复溢洪道溢流堰堰体，维修海漫段。输水洞闸室段及工作桥拆除重建，维修输水洞海漫段等。项目组成详见表2-1。</w:t>
            </w:r>
          </w:p>
          <w:p w14:paraId="01735C5C">
            <w:pPr>
              <w:pStyle w:val="39"/>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eastAsiaTheme="minorEastAsia"/>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表2-1工程组成一览表</w:t>
            </w:r>
          </w:p>
          <w:tbl>
            <w:tblPr>
              <w:tblStyle w:val="25"/>
              <w:tblW w:w="78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6"/>
              <w:gridCol w:w="961"/>
              <w:gridCol w:w="6298"/>
            </w:tblGrid>
            <w:tr w14:paraId="750521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tcBorders>
                    <w:tl2br w:val="nil"/>
                    <w:tr2bl w:val="nil"/>
                  </w:tcBorders>
                  <w:vAlign w:val="center"/>
                </w:tcPr>
                <w:p w14:paraId="254C5646">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vertAlign w:val="baseline"/>
                      <w:lang w:val="en-US" w:eastAsia="zh-CN"/>
                    </w:rPr>
                    <w:t>分类</w:t>
                  </w:r>
                </w:p>
              </w:tc>
              <w:tc>
                <w:tcPr>
                  <w:tcW w:w="961" w:type="dxa"/>
                  <w:tcBorders>
                    <w:tl2br w:val="nil"/>
                    <w:tr2bl w:val="nil"/>
                  </w:tcBorders>
                  <w:vAlign w:val="center"/>
                </w:tcPr>
                <w:p w14:paraId="2CC42197">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vertAlign w:val="baseline"/>
                      <w:lang w:val="en-US" w:eastAsia="zh-CN"/>
                    </w:rPr>
                    <w:t>工程名称</w:t>
                  </w:r>
                </w:p>
              </w:tc>
              <w:tc>
                <w:tcPr>
                  <w:tcW w:w="6298" w:type="dxa"/>
                  <w:tcBorders>
                    <w:tl2br w:val="nil"/>
                    <w:tr2bl w:val="nil"/>
                  </w:tcBorders>
                  <w:vAlign w:val="center"/>
                </w:tcPr>
                <w:p w14:paraId="72EAAD93">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vertAlign w:val="baseline"/>
                      <w:lang w:val="en-US" w:eastAsia="zh-CN"/>
                    </w:rPr>
                    <w:t>建设内容</w:t>
                  </w:r>
                </w:p>
              </w:tc>
            </w:tr>
            <w:tr w14:paraId="6E6476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restart"/>
                  <w:tcBorders>
                    <w:tl2br w:val="nil"/>
                    <w:tr2bl w:val="nil"/>
                  </w:tcBorders>
                  <w:shd w:val="clear" w:color="auto" w:fill="auto"/>
                  <w:vAlign w:val="center"/>
                </w:tcPr>
                <w:p w14:paraId="2503246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主体工程</w:t>
                  </w:r>
                </w:p>
              </w:tc>
              <w:tc>
                <w:tcPr>
                  <w:tcW w:w="961" w:type="dxa"/>
                  <w:tcBorders>
                    <w:tl2br w:val="nil"/>
                    <w:tr2bl w:val="nil"/>
                  </w:tcBorders>
                  <w:vAlign w:val="center"/>
                </w:tcPr>
                <w:p w14:paraId="4B523ADE">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大坝</w:t>
                  </w:r>
                  <w:r>
                    <w:rPr>
                      <w:rFonts w:hint="default" w:ascii="Times New Roman" w:hAnsi="Times New Roman" w:cs="Times New Roman" w:eastAsiaTheme="minorEastAsia"/>
                      <w:color w:val="auto"/>
                      <w:sz w:val="18"/>
                      <w:szCs w:val="18"/>
                      <w:highlight w:val="none"/>
                    </w:rPr>
                    <w:t>工程</w:t>
                  </w:r>
                </w:p>
              </w:tc>
              <w:tc>
                <w:tcPr>
                  <w:tcW w:w="6298" w:type="dxa"/>
                  <w:tcBorders>
                    <w:tl2br w:val="nil"/>
                    <w:tr2bl w:val="nil"/>
                  </w:tcBorders>
                  <w:shd w:val="clear" w:color="auto" w:fill="auto"/>
                  <w:vAlign w:val="center"/>
                </w:tcPr>
                <w:p w14:paraId="2BBAA62E">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rPr>
                    <w:t>本次设计大坝坝长583m，坝顶宽度5m，坝的迎水坡坡比为1:3.0，背水坡坡比为1:2.5。迎水侧维持现有干砌石护坡；新增坝顶水泥混凝土硬化20cm厚下设水泥稳定碎石基层20cm厚，路面宽度4.5m，坝顶设0.25m宽0.7m高路缘石，高出坝顶路面0.20m；坝段背水侧碎石护坡20cm厚，坡脚0.5m宽排水沟，排水沟30cm厚干砌石下设10cm厚碎石垫层，碎石护坡及排水体整体下铺400g/m</w:t>
                  </w:r>
                  <w:r>
                    <w:rPr>
                      <w:rFonts w:hint="default" w:ascii="Times New Roman" w:hAnsi="Times New Roman" w:eastAsia="宋体" w:cs="Times New Roman"/>
                      <w:color w:val="auto"/>
                      <w:kern w:val="0"/>
                      <w:sz w:val="18"/>
                      <w:szCs w:val="18"/>
                      <w:highlight w:val="none"/>
                      <w:vertAlign w:val="superscript"/>
                    </w:rPr>
                    <w:t>2</w:t>
                  </w:r>
                  <w:r>
                    <w:rPr>
                      <w:rFonts w:hint="default" w:ascii="Times New Roman" w:hAnsi="Times New Roman" w:eastAsia="宋体" w:cs="Times New Roman"/>
                      <w:color w:val="auto"/>
                      <w:kern w:val="0"/>
                      <w:sz w:val="18"/>
                      <w:szCs w:val="18"/>
                      <w:highlight w:val="none"/>
                    </w:rPr>
                    <w:t>土工布。增加大坝表面变形监测设施，照明设施15座</w:t>
                  </w:r>
                  <w:r>
                    <w:rPr>
                      <w:rFonts w:hint="default" w:ascii="Times New Roman" w:hAnsi="Times New Roman" w:eastAsia="宋体" w:cs="Times New Roman"/>
                      <w:color w:val="auto"/>
                      <w:kern w:val="0"/>
                      <w:sz w:val="18"/>
                      <w:szCs w:val="18"/>
                      <w:highlight w:val="none"/>
                      <w:lang w:val="en-US" w:eastAsia="zh-CN"/>
                    </w:rPr>
                    <w:t>等</w:t>
                  </w:r>
                  <w:r>
                    <w:rPr>
                      <w:rFonts w:hint="default" w:ascii="Times New Roman" w:hAnsi="Times New Roman" w:eastAsia="宋体" w:cs="Times New Roman"/>
                      <w:color w:val="auto"/>
                      <w:kern w:val="0"/>
                      <w:sz w:val="18"/>
                      <w:szCs w:val="18"/>
                      <w:highlight w:val="none"/>
                    </w:rPr>
                    <w:t>。</w:t>
                  </w:r>
                </w:p>
              </w:tc>
            </w:tr>
            <w:tr w14:paraId="012C5F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3A04C650">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vAlign w:val="center"/>
                </w:tcPr>
                <w:p w14:paraId="6D136DA7">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溢洪道</w:t>
                  </w:r>
                </w:p>
                <w:p w14:paraId="4699B134">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rPr>
                    <w:t>工程</w:t>
                  </w:r>
                </w:p>
              </w:tc>
              <w:tc>
                <w:tcPr>
                  <w:tcW w:w="6298" w:type="dxa"/>
                  <w:tcBorders>
                    <w:tl2br w:val="nil"/>
                    <w:tr2bl w:val="nil"/>
                  </w:tcBorders>
                </w:tcPr>
                <w:p w14:paraId="371D3F89">
                  <w:pPr>
                    <w:pStyle w:val="64"/>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both"/>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rPr>
                    <w:t>溢洪道位于坝段桩号0+577，溢洪道维持进口段不变，对控制段溢流堰堰体表面修复，出口段增加安全防护围栏，维修海漫段长48m，护坡、护底均为钢筋石笼结构，厚50cm，底宽15m，边坡坡比1:2，两侧设1m宽钢筋石笼压顶，整体下铺400g/m</w:t>
                  </w:r>
                  <w:r>
                    <w:rPr>
                      <w:rFonts w:hint="default" w:ascii="Times New Roman" w:hAnsi="Times New Roman" w:eastAsia="宋体" w:cs="Times New Roman"/>
                      <w:color w:val="auto"/>
                      <w:kern w:val="0"/>
                      <w:sz w:val="18"/>
                      <w:szCs w:val="18"/>
                      <w:highlight w:val="none"/>
                      <w:vertAlign w:val="superscript"/>
                    </w:rPr>
                    <w:t>2</w:t>
                  </w:r>
                  <w:r>
                    <w:rPr>
                      <w:rFonts w:hint="default" w:ascii="Times New Roman" w:hAnsi="Times New Roman" w:eastAsia="宋体" w:cs="Times New Roman"/>
                      <w:color w:val="auto"/>
                      <w:kern w:val="0"/>
                      <w:sz w:val="18"/>
                      <w:szCs w:val="18"/>
                      <w:highlight w:val="none"/>
                    </w:rPr>
                    <w:t>土工布；海漫段尾部设干砌石防冲槽</w:t>
                  </w:r>
                  <w:r>
                    <w:rPr>
                      <w:rFonts w:hint="eastAsia" w:ascii="Times New Roman" w:hAnsi="Times New Roman" w:eastAsia="宋体" w:cs="Times New Roman"/>
                      <w:color w:val="auto"/>
                      <w:kern w:val="0"/>
                      <w:sz w:val="18"/>
                      <w:szCs w:val="18"/>
                      <w:highlight w:val="none"/>
                      <w:lang w:eastAsia="zh-CN"/>
                    </w:rPr>
                    <w:t>。</w:t>
                  </w:r>
                </w:p>
              </w:tc>
            </w:tr>
            <w:tr w14:paraId="24D9E2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vAlign w:val="center"/>
                </w:tcPr>
                <w:p w14:paraId="4EA74F1A">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vAlign w:val="center"/>
                </w:tcPr>
                <w:p w14:paraId="2E93C150">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vertAlign w:val="baseline"/>
                      <w:lang w:val="en-US" w:eastAsia="zh-CN"/>
                    </w:rPr>
                    <w:t>输水洞</w:t>
                  </w:r>
                </w:p>
              </w:tc>
              <w:tc>
                <w:tcPr>
                  <w:tcW w:w="6298" w:type="dxa"/>
                  <w:tcBorders>
                    <w:tl2br w:val="nil"/>
                    <w:tr2bl w:val="nil"/>
                  </w:tcBorders>
                </w:tcPr>
                <w:p w14:paraId="1CA3FFB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本次</w:t>
                  </w:r>
                  <w:r>
                    <w:rPr>
                      <w:rFonts w:hint="default" w:ascii="Times New Roman" w:hAnsi="Times New Roman" w:eastAsia="宋体" w:cs="Times New Roman"/>
                      <w:color w:val="auto"/>
                      <w:kern w:val="0"/>
                      <w:sz w:val="18"/>
                      <w:szCs w:val="18"/>
                      <w:highlight w:val="none"/>
                      <w:lang w:val="en-US" w:eastAsia="zh-CN"/>
                    </w:rPr>
                    <w:t>项目</w:t>
                  </w:r>
                  <w:r>
                    <w:rPr>
                      <w:rFonts w:hint="default" w:ascii="Times New Roman" w:hAnsi="Times New Roman" w:eastAsia="宋体" w:cs="Times New Roman"/>
                      <w:color w:val="auto"/>
                      <w:kern w:val="0"/>
                      <w:sz w:val="18"/>
                      <w:szCs w:val="18"/>
                      <w:highlight w:val="none"/>
                    </w:rPr>
                    <w:t>拆除重建闸室段及工作桥，维修海漫段。</w:t>
                  </w:r>
                </w:p>
                <w:p w14:paraId="3C9F669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闸室段：闸室段为</w:t>
                  </w:r>
                  <w:r>
                    <w:rPr>
                      <w:rFonts w:hint="default" w:ascii="Times New Roman" w:hAnsi="Times New Roman" w:eastAsia="宋体" w:cs="Times New Roman"/>
                      <w:color w:val="auto"/>
                      <w:sz w:val="18"/>
                      <w:szCs w:val="18"/>
                      <w:highlight w:val="none"/>
                    </w:rPr>
                    <w:t>钢筋混凝土结构，净宽1.2m。输水洞设检修闸门及工作闸门各一道，闸门采用铸铁闸门，2扇，尺寸为1.2m×1.2m，进口设置拦污栅尺寸为1.2m×1.2m，闸门及拦污栅采用LQ-80KN螺杆启闭机启闭3台。启闭平台顶高程为168.72m，设置检修爬梯15m。涵洞段拆除重建8m，采用圆涵结构，孔口尺寸为1.2m×1.2m×1（宽×高×孔），进口段及闸室底铺设10cm厚素砼垫层，下铺设保温板一层。</w:t>
                  </w:r>
                </w:p>
                <w:p w14:paraId="3C64B838">
                  <w:pPr>
                    <w:pStyle w:val="66"/>
                    <w:keepNext w:val="0"/>
                    <w:keepLines w:val="0"/>
                    <w:pageBreakBefore w:val="0"/>
                    <w:widowControl/>
                    <w:kinsoku/>
                    <w:wordWrap/>
                    <w:overflowPunct/>
                    <w:topLinePunct w:val="0"/>
                    <w:autoSpaceDE/>
                    <w:autoSpaceDN/>
                    <w:bidi w:val="0"/>
                    <w:adjustRightInd/>
                    <w:snapToGrid/>
                    <w:spacing w:line="240" w:lineRule="auto"/>
                    <w:ind w:right="0" w:firstLine="0" w:firstLineChars="0"/>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消力池段：消力池段四周增设安全防护围栏。</w:t>
                  </w:r>
                </w:p>
                <w:p w14:paraId="13A42532">
                  <w:pPr>
                    <w:pStyle w:val="66"/>
                    <w:keepNext w:val="0"/>
                    <w:keepLines w:val="0"/>
                    <w:pageBreakBefore w:val="0"/>
                    <w:widowControl/>
                    <w:kinsoku/>
                    <w:wordWrap/>
                    <w:overflowPunct/>
                    <w:topLinePunct w:val="0"/>
                    <w:autoSpaceDE/>
                    <w:autoSpaceDN/>
                    <w:bidi w:val="0"/>
                    <w:adjustRightInd/>
                    <w:snapToGrid/>
                    <w:spacing w:line="240" w:lineRule="auto"/>
                    <w:ind w:right="0" w:firstLine="0" w:firstLineChars="0"/>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海漫段：出口海漫段长12.7m，沟道底宽由1.2m渐变到2m，底板顶高程为160.30m，两侧边坡为1:2.5，沟底和两侧边坡采用0.5m厚钢筋石笼防护，下设0.1m碎石垫层，垫层下铺设一层土工布，末端设抛石防冲槽。</w:t>
                  </w:r>
                </w:p>
                <w:p w14:paraId="28A27F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rPr>
                    <w:t>尾水渠段：尾水渠边坡1:2.5，底宽2m，长度18.8 m，开挖尾水渠与下游渠道顺滑连接。</w:t>
                  </w:r>
                </w:p>
              </w:tc>
            </w:tr>
            <w:tr w14:paraId="19D567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616" w:type="dxa"/>
                  <w:vMerge w:val="restart"/>
                  <w:tcBorders>
                    <w:tl2br w:val="nil"/>
                    <w:tr2bl w:val="nil"/>
                  </w:tcBorders>
                  <w:vAlign w:val="center"/>
                </w:tcPr>
                <w:p w14:paraId="3C2BEF81">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rPr>
                    <w:t>辅助工程</w:t>
                  </w:r>
                </w:p>
              </w:tc>
              <w:tc>
                <w:tcPr>
                  <w:tcW w:w="961" w:type="dxa"/>
                  <w:tcBorders>
                    <w:tl2br w:val="nil"/>
                    <w:tr2bl w:val="nil"/>
                  </w:tcBorders>
                  <w:shd w:val="clear" w:color="auto" w:fill="auto"/>
                  <w:vAlign w:val="center"/>
                </w:tcPr>
                <w:p w14:paraId="035538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施工道路</w:t>
                  </w:r>
                </w:p>
              </w:tc>
              <w:tc>
                <w:tcPr>
                  <w:tcW w:w="6298" w:type="dxa"/>
                  <w:tcBorders>
                    <w:tl2br w:val="nil"/>
                    <w:tr2bl w:val="nil"/>
                  </w:tcBorders>
                  <w:vAlign w:val="top"/>
                </w:tcPr>
                <w:p w14:paraId="2471F5BD">
                  <w:pPr>
                    <w:pStyle w:val="67"/>
                    <w:keepNext w:val="0"/>
                    <w:keepLines w:val="0"/>
                    <w:pageBreakBefore w:val="0"/>
                    <w:widowControl/>
                    <w:kinsoku/>
                    <w:wordWrap/>
                    <w:overflowPunct/>
                    <w:topLinePunct w:val="0"/>
                    <w:autoSpaceDE/>
                    <w:autoSpaceDN/>
                    <w:bidi w:val="0"/>
                    <w:adjustRightInd/>
                    <w:snapToGrid/>
                    <w:spacing w:line="240" w:lineRule="auto"/>
                    <w:ind w:right="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①对外交通</w:t>
                  </w:r>
                </w:p>
                <w:p w14:paraId="29DFEBFA">
                  <w:pPr>
                    <w:pStyle w:val="64"/>
                    <w:keepNext w:val="0"/>
                    <w:keepLines w:val="0"/>
                    <w:pageBreakBefore w:val="0"/>
                    <w:widowControl/>
                    <w:kinsoku/>
                    <w:wordWrap/>
                    <w:overflowPunct/>
                    <w:topLinePunct w:val="0"/>
                    <w:autoSpaceDE/>
                    <w:autoSpaceDN/>
                    <w:bidi w:val="0"/>
                    <w:adjustRightInd/>
                    <w:snapToGrid/>
                    <w:spacing w:line="240" w:lineRule="auto"/>
                    <w:ind w:right="0" w:firstLine="0" w:firstLineChars="0"/>
                    <w:jc w:val="both"/>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庆先</w:t>
                  </w:r>
                  <w:r>
                    <w:rPr>
                      <w:rFonts w:hint="default" w:ascii="Times New Roman" w:hAnsi="Times New Roman" w:eastAsia="宋体" w:cs="Times New Roman"/>
                      <w:color w:val="auto"/>
                      <w:sz w:val="18"/>
                      <w:szCs w:val="18"/>
                      <w:highlight w:val="none"/>
                      <w:lang w:val="en-US" w:eastAsia="zh-CN"/>
                    </w:rPr>
                    <w:t>水库交通便利</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距密山市及鸡东县40km</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有公路可通达工地</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所需建筑材料需通过此公路运至工地。为施工和管理提供了良好的交通保障。</w:t>
                  </w:r>
                </w:p>
                <w:p w14:paraId="47180853">
                  <w:pPr>
                    <w:pStyle w:val="67"/>
                    <w:keepNext w:val="0"/>
                    <w:keepLines w:val="0"/>
                    <w:pageBreakBefore w:val="0"/>
                    <w:widowControl/>
                    <w:kinsoku/>
                    <w:wordWrap/>
                    <w:overflowPunct/>
                    <w:topLinePunct w:val="0"/>
                    <w:autoSpaceDE/>
                    <w:autoSpaceDN/>
                    <w:bidi w:val="0"/>
                    <w:adjustRightInd/>
                    <w:snapToGrid/>
                    <w:spacing w:line="240" w:lineRule="auto"/>
                    <w:ind w:right="0"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②场内交通</w:t>
                  </w:r>
                </w:p>
                <w:p w14:paraId="7591BF2A">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rPr>
                    <w:t>本工程场内交通</w:t>
                  </w:r>
                  <w:r>
                    <w:rPr>
                      <w:rFonts w:hint="default" w:ascii="Times New Roman" w:hAnsi="Times New Roman" w:cs="Times New Roman"/>
                      <w:color w:val="auto"/>
                      <w:sz w:val="18"/>
                      <w:szCs w:val="18"/>
                      <w:highlight w:val="none"/>
                      <w:lang w:val="en-US" w:eastAsia="zh-CN"/>
                    </w:rPr>
                    <w:t>有水库上坝路</w:t>
                  </w:r>
                  <w:r>
                    <w:rPr>
                      <w:rFonts w:hint="default" w:ascii="Times New Roman" w:hAnsi="Times New Roman" w:cs="Times New Roman"/>
                      <w:color w:val="auto"/>
                      <w:sz w:val="18"/>
                      <w:szCs w:val="18"/>
                      <w:highlight w:val="none"/>
                    </w:rPr>
                    <w:t>与现有</w:t>
                  </w:r>
                  <w:r>
                    <w:rPr>
                      <w:rFonts w:hint="default" w:ascii="Times New Roman" w:hAnsi="Times New Roman" w:cs="Times New Roman"/>
                      <w:color w:val="auto"/>
                      <w:sz w:val="18"/>
                      <w:szCs w:val="18"/>
                      <w:highlight w:val="none"/>
                      <w:lang w:val="en-US" w:eastAsia="zh-CN"/>
                    </w:rPr>
                    <w:t>水库坝顶路</w:t>
                  </w:r>
                  <w:r>
                    <w:rPr>
                      <w:rFonts w:hint="default" w:ascii="Times New Roman" w:hAnsi="Times New Roman" w:cs="Times New Roman"/>
                      <w:color w:val="auto"/>
                      <w:sz w:val="18"/>
                      <w:szCs w:val="18"/>
                      <w:highlight w:val="none"/>
                    </w:rPr>
                    <w:t>连接</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无需修建临时道路</w:t>
                  </w:r>
                  <w:r>
                    <w:rPr>
                      <w:rFonts w:hint="default" w:ascii="Times New Roman" w:hAnsi="Times New Roman" w:cs="Times New Roman"/>
                      <w:color w:val="auto"/>
                      <w:sz w:val="18"/>
                      <w:szCs w:val="18"/>
                      <w:highlight w:val="none"/>
                    </w:rPr>
                    <w:t>。</w:t>
                  </w:r>
                </w:p>
              </w:tc>
            </w:tr>
            <w:tr w14:paraId="5FC02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616" w:type="dxa"/>
                  <w:vMerge w:val="continue"/>
                  <w:tcBorders>
                    <w:tl2br w:val="nil"/>
                    <w:tr2bl w:val="nil"/>
                  </w:tcBorders>
                  <w:vAlign w:val="center"/>
                </w:tcPr>
                <w:p w14:paraId="48FC31E8">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color w:val="auto"/>
                    </w:rPr>
                  </w:pPr>
                </w:p>
              </w:tc>
              <w:tc>
                <w:tcPr>
                  <w:tcW w:w="961" w:type="dxa"/>
                  <w:tcBorders>
                    <w:tl2br w:val="nil"/>
                    <w:tr2bl w:val="nil"/>
                  </w:tcBorders>
                  <w:shd w:val="clear" w:color="auto" w:fill="auto"/>
                  <w:vAlign w:val="center"/>
                </w:tcPr>
                <w:p w14:paraId="7210CC97">
                  <w:pPr>
                    <w:kinsoku/>
                    <w:autoSpaceDE/>
                    <w:autoSpaceDN/>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施工</w:t>
                  </w:r>
                  <w:r>
                    <w:rPr>
                      <w:rFonts w:hint="default" w:ascii="Times New Roman" w:hAnsi="Times New Roman" w:eastAsia="宋体" w:cs="Times New Roman"/>
                      <w:color w:val="auto"/>
                      <w:sz w:val="18"/>
                      <w:szCs w:val="18"/>
                      <w:highlight w:val="none"/>
                    </w:rPr>
                    <w:t>围堰</w:t>
                  </w:r>
                </w:p>
              </w:tc>
              <w:tc>
                <w:tcPr>
                  <w:tcW w:w="6298" w:type="dxa"/>
                  <w:tcBorders>
                    <w:tl2br w:val="nil"/>
                    <w:tr2bl w:val="nil"/>
                  </w:tcBorders>
                  <w:shd w:val="clear" w:color="auto" w:fill="auto"/>
                  <w:vAlign w:val="center"/>
                </w:tcPr>
                <w:p w14:paraId="74EB1AE3">
                  <w:pPr>
                    <w:kinsoku/>
                    <w:autoSpaceDE/>
                    <w:autoSpaceDN/>
                    <w:jc w:val="both"/>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位于库区内</w:t>
                  </w:r>
                  <w:r>
                    <w:rPr>
                      <w:rFonts w:hint="default" w:ascii="Times New Roman" w:hAnsi="Times New Roman" w:eastAsia="宋体" w:cs="Times New Roman"/>
                      <w:color w:val="auto"/>
                      <w:kern w:val="0"/>
                      <w:sz w:val="18"/>
                      <w:szCs w:val="18"/>
                      <w:highlight w:val="none"/>
                      <w:lang w:eastAsia="zh-CN"/>
                    </w:rPr>
                    <w:t>的</w:t>
                  </w:r>
                  <w:r>
                    <w:rPr>
                      <w:rFonts w:hint="default" w:ascii="Times New Roman" w:hAnsi="Times New Roman" w:cs="Times New Roman" w:eastAsiaTheme="minorEastAsia"/>
                      <w:color w:val="auto"/>
                      <w:sz w:val="18"/>
                      <w:szCs w:val="18"/>
                      <w:highlight w:val="none"/>
                      <w:vertAlign w:val="baseline"/>
                      <w:lang w:val="en-US" w:eastAsia="zh-CN"/>
                    </w:rPr>
                    <w:t>输水洞</w:t>
                  </w:r>
                  <w:r>
                    <w:rPr>
                      <w:rFonts w:hint="default" w:ascii="Times New Roman" w:hAnsi="Times New Roman" w:eastAsia="宋体" w:cs="Times New Roman"/>
                      <w:color w:val="auto"/>
                      <w:kern w:val="0"/>
                      <w:sz w:val="18"/>
                      <w:szCs w:val="18"/>
                      <w:highlight w:val="none"/>
                    </w:rPr>
                    <w:t>闸室段</w:t>
                  </w:r>
                  <w:r>
                    <w:rPr>
                      <w:rFonts w:hint="default" w:ascii="Times New Roman" w:hAnsi="Times New Roman" w:eastAsia="宋体" w:cs="Times New Roman"/>
                      <w:color w:val="auto"/>
                      <w:kern w:val="0"/>
                      <w:sz w:val="18"/>
                      <w:szCs w:val="18"/>
                      <w:highlight w:val="none"/>
                      <w:lang w:val="en-US" w:eastAsia="zh-CN"/>
                    </w:rPr>
                    <w:t>拆除重建</w:t>
                  </w:r>
                  <w:r>
                    <w:rPr>
                      <w:rFonts w:hint="default" w:ascii="Times New Roman" w:hAnsi="Times New Roman" w:eastAsia="宋体" w:cs="Times New Roman"/>
                      <w:color w:val="auto"/>
                      <w:kern w:val="0"/>
                      <w:sz w:val="18"/>
                      <w:szCs w:val="18"/>
                      <w:highlight w:val="none"/>
                    </w:rPr>
                    <w:t>在枯水期施工</w:t>
                  </w:r>
                  <w:r>
                    <w:rPr>
                      <w:rFonts w:hint="default" w:ascii="Times New Roman" w:hAnsi="Times New Roman" w:eastAsia="宋体" w:cs="Times New Roman"/>
                      <w:color w:val="auto"/>
                      <w:kern w:val="0"/>
                      <w:sz w:val="18"/>
                      <w:szCs w:val="18"/>
                      <w:highlight w:val="none"/>
                      <w:lang w:eastAsia="zh-CN"/>
                    </w:rPr>
                    <w:t>，为避免工程扰动水体，</w:t>
                  </w:r>
                  <w:r>
                    <w:rPr>
                      <w:rFonts w:hint="default" w:ascii="Times New Roman" w:hAnsi="Times New Roman" w:eastAsia="宋体" w:cs="Times New Roman"/>
                      <w:color w:val="auto"/>
                      <w:sz w:val="18"/>
                      <w:szCs w:val="18"/>
                      <w:highlight w:val="none"/>
                      <w:lang w:val="en-US" w:eastAsia="zh-CN"/>
                    </w:rPr>
                    <w:t>施工时</w:t>
                  </w:r>
                  <w:r>
                    <w:rPr>
                      <w:rFonts w:hint="default" w:ascii="Times New Roman" w:hAnsi="Times New Roman" w:eastAsia="宋体" w:cs="Times New Roman"/>
                      <w:color w:val="auto"/>
                      <w:kern w:val="0"/>
                      <w:sz w:val="18"/>
                      <w:szCs w:val="18"/>
                      <w:highlight w:val="none"/>
                    </w:rPr>
                    <w:t>于基坑外侧</w:t>
                  </w:r>
                  <w:r>
                    <w:rPr>
                      <w:rFonts w:hint="default" w:ascii="Times New Roman" w:hAnsi="Times New Roman" w:eastAsia="宋体" w:cs="Times New Roman"/>
                      <w:color w:val="auto"/>
                      <w:sz w:val="18"/>
                      <w:szCs w:val="18"/>
                      <w:highlight w:val="none"/>
                      <w:lang w:val="en-US" w:eastAsia="zh-CN"/>
                    </w:rPr>
                    <w:t>设置临时</w:t>
                  </w:r>
                  <w:r>
                    <w:rPr>
                      <w:rFonts w:hint="default" w:ascii="Times New Roman" w:hAnsi="Times New Roman" w:eastAsia="宋体" w:cs="Times New Roman"/>
                      <w:color w:val="auto"/>
                      <w:kern w:val="0"/>
                      <w:sz w:val="18"/>
                      <w:szCs w:val="18"/>
                      <w:highlight w:val="none"/>
                    </w:rPr>
                    <w:t>施工围堰，围堰采用土围堰型式，围堰</w:t>
                  </w:r>
                  <w:r>
                    <w:rPr>
                      <w:rFonts w:hint="default" w:ascii="Times New Roman" w:hAnsi="Times New Roman" w:eastAsia="宋体" w:cs="Times New Roman"/>
                      <w:color w:val="auto"/>
                      <w:sz w:val="18"/>
                      <w:szCs w:val="18"/>
                      <w:highlight w:val="none"/>
                      <w:lang w:val="en-US" w:eastAsia="zh-CN"/>
                    </w:rPr>
                    <w:t>顶宽</w:t>
                  </w:r>
                  <w:r>
                    <w:rPr>
                      <w:rFonts w:hint="eastAsia" w:ascii="Times New Roman" w:hAnsi="Times New Roman" w:eastAsia="宋体"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lang w:val="en-US" w:eastAsia="zh-CN"/>
                    </w:rPr>
                    <w:t>m，</w:t>
                  </w:r>
                  <w:r>
                    <w:rPr>
                      <w:rFonts w:hint="default" w:ascii="Times New Roman" w:hAnsi="Times New Roman" w:eastAsia="宋体" w:cs="Times New Roman"/>
                      <w:color w:val="auto"/>
                      <w:kern w:val="0"/>
                      <w:sz w:val="18"/>
                      <w:szCs w:val="18"/>
                      <w:highlight w:val="none"/>
                    </w:rPr>
                    <w:t>高度4m</w:t>
                  </w:r>
                  <w:r>
                    <w:rPr>
                      <w:rFonts w:hint="eastAsia" w:ascii="Times New Roman" w:hAnsi="Times New Roman" w:eastAsia="宋体"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lang w:val="en-US" w:eastAsia="zh-CN"/>
                    </w:rPr>
                    <w:t>长度约90m。</w:t>
                  </w:r>
                </w:p>
              </w:tc>
            </w:tr>
            <w:tr w14:paraId="4341A0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616" w:type="dxa"/>
                  <w:vMerge w:val="continue"/>
                  <w:tcBorders>
                    <w:tl2br w:val="nil"/>
                    <w:tr2bl w:val="nil"/>
                  </w:tcBorders>
                  <w:vAlign w:val="center"/>
                </w:tcPr>
                <w:p w14:paraId="71B47B0E">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color w:val="auto"/>
                    </w:rPr>
                  </w:pPr>
                </w:p>
              </w:tc>
              <w:tc>
                <w:tcPr>
                  <w:tcW w:w="961" w:type="dxa"/>
                  <w:tcBorders>
                    <w:tl2br w:val="nil"/>
                    <w:tr2bl w:val="nil"/>
                  </w:tcBorders>
                  <w:shd w:val="clear" w:color="auto" w:fill="auto"/>
                  <w:vAlign w:val="center"/>
                </w:tcPr>
                <w:p w14:paraId="6A806882">
                  <w:pPr>
                    <w:kinsoku/>
                    <w:autoSpaceDE/>
                    <w:autoSpaceDN/>
                    <w:jc w:val="center"/>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建筑材料</w:t>
                  </w:r>
                </w:p>
              </w:tc>
              <w:tc>
                <w:tcPr>
                  <w:tcW w:w="6298" w:type="dxa"/>
                  <w:tcBorders>
                    <w:tl2br w:val="nil"/>
                    <w:tr2bl w:val="nil"/>
                  </w:tcBorders>
                  <w:vAlign w:val="center"/>
                </w:tcPr>
                <w:p w14:paraId="038E1334">
                  <w:pPr>
                    <w:kinsoku/>
                    <w:autoSpaceDE/>
                    <w:autoSpaceDN/>
                    <w:jc w:val="both"/>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工程所需建筑材料水泥、砂、钢筋等在密山市购买，运距为40km；碎石、块石等在附近石场购买，运距为25km；柴油、汽油在附近加油站购买，运距20km。</w:t>
                  </w:r>
                </w:p>
              </w:tc>
            </w:tr>
            <w:tr w14:paraId="30839A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restart"/>
                  <w:tcBorders>
                    <w:tl2br w:val="nil"/>
                    <w:tr2bl w:val="nil"/>
                  </w:tcBorders>
                  <w:vAlign w:val="center"/>
                </w:tcPr>
                <w:p w14:paraId="75DABF51">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0"/>
                      <w:sz w:val="18"/>
                      <w:szCs w:val="18"/>
                      <w:highlight w:val="none"/>
                      <w:lang w:bidi="ar"/>
                    </w:rPr>
                  </w:pPr>
                  <w:r>
                    <w:rPr>
                      <w:rFonts w:hint="default" w:ascii="Times New Roman" w:hAnsi="Times New Roman" w:cs="Times New Roman" w:eastAsiaTheme="minorEastAsia"/>
                      <w:color w:val="auto"/>
                      <w:kern w:val="0"/>
                      <w:sz w:val="18"/>
                      <w:szCs w:val="18"/>
                      <w:highlight w:val="none"/>
                      <w:lang w:val="en-US" w:eastAsia="zh-CN" w:bidi="ar"/>
                    </w:rPr>
                    <w:t>临时工程</w:t>
                  </w:r>
                </w:p>
              </w:tc>
              <w:tc>
                <w:tcPr>
                  <w:tcW w:w="961" w:type="dxa"/>
                  <w:tcBorders>
                    <w:tl2br w:val="nil"/>
                    <w:tr2bl w:val="nil"/>
                  </w:tcBorders>
                  <w:shd w:val="clear" w:color="auto" w:fill="auto"/>
                  <w:vAlign w:val="center"/>
                </w:tcPr>
                <w:p w14:paraId="713B893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施工</w:t>
                  </w:r>
                  <w:r>
                    <w:rPr>
                      <w:rFonts w:hint="default" w:ascii="Times New Roman" w:hAnsi="Times New Roman" w:cs="Times New Roman" w:eastAsiaTheme="minorEastAsia"/>
                      <w:color w:val="auto"/>
                      <w:sz w:val="18"/>
                      <w:szCs w:val="18"/>
                      <w:highlight w:val="none"/>
                    </w:rPr>
                    <w:t>生产生活区</w:t>
                  </w:r>
                </w:p>
              </w:tc>
              <w:tc>
                <w:tcPr>
                  <w:tcW w:w="6298" w:type="dxa"/>
                  <w:tcBorders>
                    <w:tl2br w:val="nil"/>
                    <w:tr2bl w:val="nil"/>
                  </w:tcBorders>
                  <w:vAlign w:val="center"/>
                </w:tcPr>
                <w:p w14:paraId="4420957E">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eastAsia"/>
                      <w:color w:val="auto"/>
                      <w:sz w:val="18"/>
                      <w:szCs w:val="18"/>
                      <w:highlight w:val="none"/>
                    </w:rPr>
                    <w:t>施工生产区布置于大坝左端管理房空地，占地面积为0.10hm</w:t>
                  </w:r>
                  <w:r>
                    <w:rPr>
                      <w:rFonts w:hint="eastAsia"/>
                      <w:color w:val="auto"/>
                      <w:sz w:val="18"/>
                      <w:szCs w:val="18"/>
                      <w:highlight w:val="none"/>
                      <w:vertAlign w:val="superscript"/>
                    </w:rPr>
                    <w:t>2</w:t>
                  </w:r>
                  <w:r>
                    <w:rPr>
                      <w:rFonts w:hint="eastAsia"/>
                      <w:color w:val="auto"/>
                      <w:sz w:val="18"/>
                      <w:szCs w:val="18"/>
                      <w:highlight w:val="none"/>
                    </w:rPr>
                    <w:t>，属于生产区，</w:t>
                  </w:r>
                  <w:r>
                    <w:rPr>
                      <w:rFonts w:hint="default" w:ascii="Times New Roman" w:hAnsi="Times New Roman" w:cs="Times New Roman"/>
                      <w:caps w:val="0"/>
                      <w:color w:val="auto"/>
                      <w:sz w:val="18"/>
                      <w:szCs w:val="18"/>
                      <w:highlight w:val="none"/>
                      <w:lang w:val="en-US" w:eastAsia="zh-CN"/>
                    </w:rPr>
                    <w:t>包括施工仓库</w:t>
                  </w:r>
                  <w:r>
                    <w:rPr>
                      <w:rFonts w:hint="eastAsia" w:ascii="Times New Roman" w:hAnsi="Times New Roman" w:cs="Times New Roman"/>
                      <w:caps w:val="0"/>
                      <w:color w:val="auto"/>
                      <w:sz w:val="18"/>
                      <w:szCs w:val="18"/>
                      <w:highlight w:val="none"/>
                      <w:lang w:val="en-US" w:eastAsia="zh-CN"/>
                    </w:rPr>
                    <w:t>、</w:t>
                  </w:r>
                  <w:r>
                    <w:rPr>
                      <w:rFonts w:hint="default" w:ascii="Times New Roman" w:hAnsi="Times New Roman" w:cs="Times New Roman"/>
                      <w:caps w:val="0"/>
                      <w:color w:val="auto"/>
                      <w:sz w:val="18"/>
                      <w:szCs w:val="18"/>
                      <w:highlight w:val="none"/>
                      <w:lang w:val="en-US" w:eastAsia="zh-CN"/>
                    </w:rPr>
                    <w:t>施工工厂</w:t>
                  </w:r>
                  <w:r>
                    <w:rPr>
                      <w:rFonts w:hint="eastAsia" w:ascii="Times New Roman" w:hAnsi="Times New Roman" w:cs="Times New Roman"/>
                      <w:caps w:val="0"/>
                      <w:color w:val="auto"/>
                      <w:sz w:val="18"/>
                      <w:szCs w:val="18"/>
                      <w:highlight w:val="none"/>
                      <w:lang w:val="en-US" w:eastAsia="zh-CN"/>
                    </w:rPr>
                    <w:t>，不设置混凝土</w:t>
                  </w:r>
                  <w:r>
                    <w:rPr>
                      <w:rFonts w:hint="eastAsia" w:cs="Times New Roman"/>
                      <w:caps w:val="0"/>
                      <w:color w:val="auto"/>
                      <w:sz w:val="18"/>
                      <w:szCs w:val="18"/>
                      <w:highlight w:val="none"/>
                      <w:lang w:val="en-US" w:eastAsia="zh-CN"/>
                    </w:rPr>
                    <w:t>拌和站</w:t>
                  </w:r>
                  <w:r>
                    <w:rPr>
                      <w:rFonts w:hint="eastAsia"/>
                      <w:color w:val="auto"/>
                      <w:sz w:val="18"/>
                      <w:szCs w:val="18"/>
                      <w:highlight w:val="none"/>
                    </w:rPr>
                    <w:t>；生活区采用当地居民区内，不计占地。</w:t>
                  </w:r>
                </w:p>
              </w:tc>
            </w:tr>
            <w:tr w14:paraId="56FEA1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vAlign w:val="center"/>
                </w:tcPr>
                <w:p w14:paraId="04043CD6">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
                    </w:rPr>
                  </w:pPr>
                </w:p>
              </w:tc>
              <w:tc>
                <w:tcPr>
                  <w:tcW w:w="961" w:type="dxa"/>
                  <w:tcBorders>
                    <w:tl2br w:val="nil"/>
                    <w:tr2bl w:val="nil"/>
                  </w:tcBorders>
                  <w:shd w:val="clear" w:color="auto" w:fill="auto"/>
                  <w:vAlign w:val="center"/>
                </w:tcPr>
                <w:p w14:paraId="6E8EB31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lang w:val="en-US" w:eastAsia="zh-CN" w:bidi="ar-SA"/>
                    </w:rPr>
                  </w:pPr>
                  <w:r>
                    <w:rPr>
                      <w:rFonts w:hint="eastAsia" w:ascii="Times New Roman" w:hAnsi="Times New Roman"/>
                      <w:color w:val="auto"/>
                      <w:sz w:val="18"/>
                      <w:szCs w:val="18"/>
                      <w:highlight w:val="none"/>
                      <w:lang w:val="en-US" w:eastAsia="zh-CN"/>
                    </w:rPr>
                    <w:t>填塘工程区</w:t>
                  </w:r>
                </w:p>
              </w:tc>
              <w:tc>
                <w:tcPr>
                  <w:tcW w:w="6298" w:type="dxa"/>
                  <w:tcBorders>
                    <w:tl2br w:val="nil"/>
                    <w:tr2bl w:val="nil"/>
                  </w:tcBorders>
                  <w:shd w:val="clear" w:color="auto" w:fill="auto"/>
                  <w:vAlign w:val="center"/>
                </w:tcPr>
                <w:p w14:paraId="7DF604BF">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olor w:val="auto"/>
                      <w:sz w:val="18"/>
                      <w:szCs w:val="18"/>
                      <w:highlight w:val="none"/>
                      <w:lang w:val="en-US" w:eastAsia="zh-CN"/>
                    </w:rPr>
                    <w:t>位于</w:t>
                  </w:r>
                  <w:r>
                    <w:rPr>
                      <w:rFonts w:hint="eastAsia" w:ascii="Times New Roman" w:hAnsi="Times New Roman"/>
                      <w:color w:val="auto"/>
                      <w:sz w:val="18"/>
                      <w:szCs w:val="18"/>
                      <w:highlight w:val="none"/>
                    </w:rPr>
                    <w:t>大坝左端</w:t>
                  </w:r>
                  <w:r>
                    <w:rPr>
                      <w:rFonts w:hint="eastAsia" w:ascii="Times New Roman" w:hAnsi="Times New Roman"/>
                      <w:color w:val="auto"/>
                      <w:sz w:val="18"/>
                      <w:szCs w:val="18"/>
                      <w:highlight w:val="none"/>
                      <w:lang w:val="en-US" w:eastAsia="zh-CN"/>
                    </w:rPr>
                    <w:t>坝体背水侧，</w:t>
                  </w:r>
                  <w:r>
                    <w:rPr>
                      <w:rFonts w:hint="eastAsia" w:ascii="Times New Roman" w:hAnsi="Times New Roman"/>
                      <w:color w:val="auto"/>
                      <w:sz w:val="18"/>
                      <w:szCs w:val="18"/>
                      <w:highlight w:val="none"/>
                    </w:rPr>
                    <w:t>占地面积为0.</w:t>
                  </w:r>
                  <w:r>
                    <w:rPr>
                      <w:rFonts w:hint="eastAsia" w:ascii="Times New Roman" w:hAnsi="Times New Roman"/>
                      <w:color w:val="auto"/>
                      <w:sz w:val="18"/>
                      <w:szCs w:val="18"/>
                      <w:highlight w:val="none"/>
                      <w:lang w:val="en-US" w:eastAsia="zh-CN"/>
                    </w:rPr>
                    <w:t>27</w:t>
                  </w:r>
                  <w:r>
                    <w:rPr>
                      <w:rFonts w:hint="eastAsia" w:ascii="Times New Roman" w:hAnsi="Times New Roman"/>
                      <w:color w:val="auto"/>
                      <w:sz w:val="18"/>
                      <w:szCs w:val="18"/>
                      <w:highlight w:val="none"/>
                    </w:rPr>
                    <w:t>hm</w:t>
                  </w:r>
                  <w:r>
                    <w:rPr>
                      <w:rFonts w:hint="eastAsia" w:ascii="Times New Roman" w:hAnsi="Times New Roman"/>
                      <w:color w:val="auto"/>
                      <w:sz w:val="18"/>
                      <w:szCs w:val="18"/>
                      <w:highlight w:val="none"/>
                      <w:vertAlign w:val="superscript"/>
                    </w:rPr>
                    <w:t>2</w:t>
                  </w:r>
                  <w:r>
                    <w:rPr>
                      <w:rFonts w:hint="eastAsia" w:ascii="Times New Roman" w:hAnsi="Times New Roman"/>
                      <w:color w:val="auto"/>
                      <w:sz w:val="18"/>
                      <w:szCs w:val="18"/>
                      <w:highlight w:val="none"/>
                      <w:vertAlign w:val="baseline"/>
                      <w:lang w:eastAsia="zh-CN"/>
                    </w:rPr>
                    <w:t>，</w:t>
                  </w:r>
                  <w:r>
                    <w:rPr>
                      <w:rFonts w:hint="eastAsia"/>
                      <w:color w:val="auto"/>
                      <w:sz w:val="18"/>
                      <w:szCs w:val="18"/>
                      <w:highlight w:val="none"/>
                    </w:rPr>
                    <w:t>现状坑塘深度约为1</w:t>
                  </w:r>
                  <w:r>
                    <w:rPr>
                      <w:rFonts w:hint="eastAsia"/>
                      <w:color w:val="auto"/>
                      <w:sz w:val="18"/>
                      <w:szCs w:val="18"/>
                      <w:highlight w:val="none"/>
                      <w:lang w:val="en-US" w:eastAsia="zh-CN"/>
                    </w:rPr>
                    <w:t>.0</w:t>
                  </w:r>
                  <w:r>
                    <w:rPr>
                      <w:rFonts w:hint="eastAsia"/>
                      <w:color w:val="auto"/>
                      <w:sz w:val="18"/>
                      <w:szCs w:val="18"/>
                      <w:highlight w:val="none"/>
                    </w:rPr>
                    <w:t>m，</w:t>
                  </w:r>
                  <w:r>
                    <w:rPr>
                      <w:rFonts w:hint="eastAsia"/>
                      <w:color w:val="auto"/>
                      <w:sz w:val="18"/>
                      <w:szCs w:val="18"/>
                      <w:highlight w:val="none"/>
                      <w:lang w:eastAsia="zh-CN"/>
                    </w:rPr>
                    <w:t>容量为</w:t>
                  </w:r>
                  <w:r>
                    <w:rPr>
                      <w:rFonts w:hint="eastAsia"/>
                      <w:color w:val="auto"/>
                      <w:sz w:val="18"/>
                      <w:szCs w:val="18"/>
                      <w:highlight w:val="none"/>
                    </w:rPr>
                    <w:t>0.27万m</w:t>
                  </w:r>
                  <w:r>
                    <w:rPr>
                      <w:rFonts w:hint="eastAsia"/>
                      <w:color w:val="auto"/>
                      <w:sz w:val="18"/>
                      <w:szCs w:val="18"/>
                      <w:highlight w:val="none"/>
                      <w:vertAlign w:val="superscript"/>
                    </w:rPr>
                    <w:t>3</w:t>
                  </w:r>
                  <w:r>
                    <w:rPr>
                      <w:rFonts w:hint="eastAsia"/>
                      <w:color w:val="auto"/>
                      <w:sz w:val="18"/>
                      <w:szCs w:val="18"/>
                      <w:highlight w:val="none"/>
                      <w:lang w:eastAsia="zh-CN"/>
                    </w:rPr>
                    <w:t>，</w:t>
                  </w:r>
                  <w:r>
                    <w:rPr>
                      <w:rFonts w:hint="eastAsia"/>
                      <w:color w:val="auto"/>
                      <w:sz w:val="18"/>
                      <w:szCs w:val="18"/>
                      <w:highlight w:val="none"/>
                    </w:rPr>
                    <w:t>坑塘里有植被覆盖，</w:t>
                  </w:r>
                  <w:r>
                    <w:rPr>
                      <w:rFonts w:hint="eastAsia"/>
                      <w:color w:val="auto"/>
                      <w:sz w:val="18"/>
                      <w:szCs w:val="18"/>
                      <w:highlight w:val="none"/>
                      <w:lang w:eastAsia="zh-CN"/>
                    </w:rPr>
                    <w:t>施工前进行表土剥离，</w:t>
                  </w:r>
                  <w:r>
                    <w:rPr>
                      <w:rFonts w:hint="eastAsia" w:cs="Times New Roman"/>
                      <w:color w:val="auto"/>
                      <w:kern w:val="0"/>
                      <w:sz w:val="18"/>
                      <w:szCs w:val="18"/>
                      <w:highlight w:val="none"/>
                      <w:lang w:val="en-US" w:eastAsia="zh-CN"/>
                    </w:rPr>
                    <w:t>由</w:t>
                  </w:r>
                  <w:r>
                    <w:rPr>
                      <w:rFonts w:hint="default" w:ascii="Times New Roman" w:hAnsi="Times New Roman" w:eastAsia="宋体" w:cs="Times New Roman"/>
                      <w:color w:val="auto"/>
                      <w:kern w:val="0"/>
                      <w:sz w:val="18"/>
                      <w:szCs w:val="18"/>
                      <w:highlight w:val="none"/>
                    </w:rPr>
                    <w:t>主体工程</w:t>
                  </w:r>
                  <w:r>
                    <w:rPr>
                      <w:rFonts w:hint="eastAsia" w:cs="Times New Roman"/>
                      <w:color w:val="auto"/>
                      <w:kern w:val="0"/>
                      <w:sz w:val="18"/>
                      <w:szCs w:val="18"/>
                      <w:highlight w:val="none"/>
                      <w:lang w:val="en-US" w:eastAsia="zh-CN"/>
                    </w:rPr>
                    <w:t>区调入</w:t>
                  </w:r>
                  <w:r>
                    <w:rPr>
                      <w:rFonts w:hint="default" w:ascii="Times New Roman" w:hAnsi="Times New Roman" w:eastAsia="宋体" w:cs="Times New Roman"/>
                      <w:color w:val="auto"/>
                      <w:kern w:val="0"/>
                      <w:sz w:val="18"/>
                      <w:szCs w:val="18"/>
                      <w:highlight w:val="none"/>
                    </w:rPr>
                    <w:t>大坝背水侧清基土方、施工围堰拆除余土</w:t>
                  </w:r>
                  <w:r>
                    <w:rPr>
                      <w:rFonts w:hint="eastAsia"/>
                      <w:color w:val="auto"/>
                      <w:sz w:val="18"/>
                      <w:szCs w:val="18"/>
                      <w:highlight w:val="none"/>
                    </w:rPr>
                    <w:t>0.27万m</w:t>
                  </w:r>
                  <w:r>
                    <w:rPr>
                      <w:rFonts w:hint="eastAsia"/>
                      <w:color w:val="auto"/>
                      <w:sz w:val="18"/>
                      <w:szCs w:val="18"/>
                      <w:highlight w:val="none"/>
                      <w:vertAlign w:val="superscript"/>
                    </w:rPr>
                    <w:t>3</w:t>
                  </w:r>
                  <w:r>
                    <w:rPr>
                      <w:rFonts w:hint="default" w:ascii="Times New Roman" w:hAnsi="Times New Roman" w:eastAsia="宋体" w:cs="Times New Roman"/>
                      <w:color w:val="auto"/>
                      <w:kern w:val="0"/>
                      <w:sz w:val="18"/>
                      <w:szCs w:val="18"/>
                      <w:highlight w:val="none"/>
                    </w:rPr>
                    <w:t>填入填塘工程区，</w:t>
                  </w:r>
                  <w:r>
                    <w:rPr>
                      <w:rFonts w:hint="eastAsia"/>
                      <w:color w:val="auto"/>
                      <w:kern w:val="0"/>
                      <w:sz w:val="18"/>
                      <w:szCs w:val="18"/>
                      <w:highlight w:val="none"/>
                    </w:rPr>
                    <w:t>施工结束后坑塘填平与周围地形基本一致</w:t>
                  </w:r>
                  <w:r>
                    <w:rPr>
                      <w:rFonts w:hint="eastAsia"/>
                      <w:color w:val="auto"/>
                      <w:kern w:val="0"/>
                      <w:sz w:val="18"/>
                      <w:szCs w:val="18"/>
                      <w:highlight w:val="none"/>
                      <w:lang w:eastAsia="zh-CN"/>
                    </w:rPr>
                    <w:t>，</w:t>
                  </w:r>
                  <w:r>
                    <w:rPr>
                      <w:rFonts w:hint="eastAsia"/>
                      <w:color w:val="auto"/>
                      <w:kern w:val="0"/>
                      <w:sz w:val="18"/>
                      <w:szCs w:val="18"/>
                      <w:highlight w:val="none"/>
                    </w:rPr>
                    <w:t>无弃</w:t>
                  </w:r>
                  <w:r>
                    <w:rPr>
                      <w:rFonts w:hint="eastAsia"/>
                      <w:color w:val="auto"/>
                      <w:kern w:val="0"/>
                      <w:sz w:val="18"/>
                      <w:szCs w:val="18"/>
                      <w:highlight w:val="none"/>
                      <w:lang w:eastAsia="zh-CN"/>
                    </w:rPr>
                    <w:t>土</w:t>
                  </w:r>
                  <w:r>
                    <w:rPr>
                      <w:rFonts w:hint="eastAsia"/>
                      <w:color w:val="auto"/>
                      <w:kern w:val="0"/>
                      <w:sz w:val="18"/>
                      <w:szCs w:val="18"/>
                      <w:highlight w:val="none"/>
                    </w:rPr>
                    <w:t>产生</w:t>
                  </w:r>
                  <w:r>
                    <w:rPr>
                      <w:rFonts w:hint="eastAsia"/>
                      <w:color w:val="auto"/>
                      <w:kern w:val="0"/>
                      <w:sz w:val="18"/>
                      <w:szCs w:val="18"/>
                      <w:highlight w:val="none"/>
                      <w:lang w:eastAsia="zh-CN"/>
                    </w:rPr>
                    <w:t>，</w:t>
                  </w:r>
                  <w:r>
                    <w:rPr>
                      <w:rFonts w:hint="eastAsia"/>
                      <w:color w:val="auto"/>
                      <w:kern w:val="0"/>
                      <w:sz w:val="18"/>
                      <w:szCs w:val="18"/>
                      <w:highlight w:val="none"/>
                    </w:rPr>
                    <w:t>工程</w:t>
                  </w:r>
                  <w:r>
                    <w:rPr>
                      <w:rFonts w:hint="eastAsia"/>
                      <w:color w:val="auto"/>
                      <w:kern w:val="0"/>
                      <w:sz w:val="18"/>
                      <w:szCs w:val="18"/>
                      <w:highlight w:val="none"/>
                      <w:lang w:val="en-US" w:eastAsia="zh-CN"/>
                    </w:rPr>
                    <w:t>不</w:t>
                  </w:r>
                  <w:r>
                    <w:rPr>
                      <w:rFonts w:hint="eastAsia"/>
                      <w:color w:val="auto"/>
                      <w:kern w:val="0"/>
                      <w:sz w:val="18"/>
                      <w:szCs w:val="18"/>
                      <w:highlight w:val="none"/>
                      <w:lang w:eastAsia="zh-CN"/>
                    </w:rPr>
                    <w:t>设置</w:t>
                  </w:r>
                  <w:r>
                    <w:rPr>
                      <w:rFonts w:hint="eastAsia"/>
                      <w:color w:val="auto"/>
                      <w:kern w:val="0"/>
                      <w:sz w:val="18"/>
                      <w:szCs w:val="18"/>
                      <w:highlight w:val="none"/>
                    </w:rPr>
                    <w:t>弃</w:t>
                  </w:r>
                  <w:r>
                    <w:rPr>
                      <w:rFonts w:hint="eastAsia"/>
                      <w:color w:val="auto"/>
                      <w:kern w:val="0"/>
                      <w:sz w:val="18"/>
                      <w:szCs w:val="18"/>
                      <w:highlight w:val="none"/>
                      <w:lang w:eastAsia="zh-CN"/>
                    </w:rPr>
                    <w:t>土</w:t>
                  </w:r>
                  <w:r>
                    <w:rPr>
                      <w:rFonts w:hint="eastAsia"/>
                      <w:color w:val="auto"/>
                      <w:kern w:val="0"/>
                      <w:sz w:val="18"/>
                      <w:szCs w:val="18"/>
                      <w:highlight w:val="none"/>
                    </w:rPr>
                    <w:t>场</w:t>
                  </w:r>
                  <w:r>
                    <w:rPr>
                      <w:rFonts w:hint="default" w:ascii="Times New Roman" w:hAnsi="Times New Roman" w:eastAsia="宋体" w:cs="Times New Roman"/>
                      <w:color w:val="auto"/>
                      <w:kern w:val="0"/>
                      <w:sz w:val="18"/>
                      <w:szCs w:val="18"/>
                      <w:highlight w:val="none"/>
                    </w:rPr>
                    <w:t>。</w:t>
                  </w:r>
                </w:p>
              </w:tc>
            </w:tr>
            <w:tr w14:paraId="537CEC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vAlign w:val="center"/>
                </w:tcPr>
                <w:p w14:paraId="1EA8C0D3">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0"/>
                      <w:sz w:val="18"/>
                      <w:szCs w:val="18"/>
                      <w:highlight w:val="none"/>
                      <w:lang w:bidi="ar"/>
                    </w:rPr>
                  </w:pPr>
                </w:p>
              </w:tc>
              <w:tc>
                <w:tcPr>
                  <w:tcW w:w="961" w:type="dxa"/>
                  <w:tcBorders>
                    <w:tl2br w:val="nil"/>
                    <w:tr2bl w:val="nil"/>
                  </w:tcBorders>
                  <w:shd w:val="clear" w:color="auto" w:fill="auto"/>
                  <w:vAlign w:val="center"/>
                </w:tcPr>
                <w:p w14:paraId="0E1E80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kern w:val="2"/>
                      <w:sz w:val="18"/>
                      <w:szCs w:val="18"/>
                      <w:highlight w:val="none"/>
                      <w:lang w:val="en-US" w:eastAsia="zh-CN" w:bidi="ar-SA"/>
                    </w:rPr>
                  </w:pPr>
                  <w:r>
                    <w:rPr>
                      <w:rFonts w:hint="eastAsia"/>
                      <w:color w:val="auto"/>
                      <w:sz w:val="18"/>
                      <w:szCs w:val="18"/>
                      <w:highlight w:val="none"/>
                      <w:lang w:val="en-US" w:eastAsia="zh-CN"/>
                    </w:rPr>
                    <w:t>临时堆土</w:t>
                  </w:r>
                  <w:r>
                    <w:rPr>
                      <w:rFonts w:hint="eastAsia"/>
                      <w:color w:val="auto"/>
                      <w:sz w:val="18"/>
                      <w:szCs w:val="18"/>
                      <w:highlight w:val="none"/>
                    </w:rPr>
                    <w:t>区</w:t>
                  </w:r>
                </w:p>
              </w:tc>
              <w:tc>
                <w:tcPr>
                  <w:tcW w:w="6298" w:type="dxa"/>
                  <w:tcBorders>
                    <w:tl2br w:val="nil"/>
                    <w:tr2bl w:val="nil"/>
                  </w:tcBorders>
                  <w:shd w:val="clear" w:color="auto" w:fill="auto"/>
                  <w:vAlign w:val="center"/>
                </w:tcPr>
                <w:p w14:paraId="5ECA688C">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rPr>
                    <w:t>施工生产区内设1处临时堆土场，占地0.05hm</w:t>
                  </w:r>
                  <w:r>
                    <w:rPr>
                      <w:rFonts w:hint="eastAsia"/>
                      <w:color w:val="auto"/>
                      <w:sz w:val="18"/>
                      <w:szCs w:val="18"/>
                      <w:highlight w:val="none"/>
                      <w:vertAlign w:val="superscript"/>
                    </w:rPr>
                    <w:t>2</w:t>
                  </w:r>
                  <w:r>
                    <w:rPr>
                      <w:rFonts w:hint="eastAsia"/>
                      <w:color w:val="auto"/>
                      <w:sz w:val="18"/>
                      <w:szCs w:val="18"/>
                      <w:highlight w:val="none"/>
                    </w:rPr>
                    <w:t>，用于存放剥离的表土</w:t>
                  </w:r>
                  <w:r>
                    <w:rPr>
                      <w:rFonts w:hint="eastAsia"/>
                      <w:color w:val="auto"/>
                      <w:sz w:val="18"/>
                      <w:szCs w:val="18"/>
                      <w:highlight w:val="none"/>
                      <w:lang w:eastAsia="zh-CN"/>
                    </w:rPr>
                    <w:t>及挖方</w:t>
                  </w:r>
                  <w:r>
                    <w:rPr>
                      <w:rFonts w:hint="eastAsia"/>
                      <w:color w:val="auto"/>
                      <w:sz w:val="18"/>
                      <w:szCs w:val="18"/>
                      <w:highlight w:val="none"/>
                    </w:rPr>
                    <w:t>。</w:t>
                  </w:r>
                </w:p>
              </w:tc>
            </w:tr>
            <w:tr w14:paraId="068758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vAlign w:val="center"/>
                </w:tcPr>
                <w:p w14:paraId="26BD122F">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0"/>
                      <w:sz w:val="18"/>
                      <w:szCs w:val="18"/>
                      <w:highlight w:val="none"/>
                      <w:lang w:bidi="ar"/>
                    </w:rPr>
                  </w:pPr>
                </w:p>
              </w:tc>
              <w:tc>
                <w:tcPr>
                  <w:tcW w:w="961" w:type="dxa"/>
                  <w:tcBorders>
                    <w:tl2br w:val="nil"/>
                    <w:tr2bl w:val="nil"/>
                  </w:tcBorders>
                  <w:shd w:val="clear" w:color="auto" w:fill="auto"/>
                  <w:vAlign w:val="center"/>
                </w:tcPr>
                <w:p w14:paraId="6E7C76EB">
                  <w:pPr>
                    <w:bidi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取、弃土场</w:t>
                  </w:r>
                </w:p>
              </w:tc>
              <w:tc>
                <w:tcPr>
                  <w:tcW w:w="6298" w:type="dxa"/>
                  <w:tcBorders>
                    <w:tl2br w:val="nil"/>
                    <w:tr2bl w:val="nil"/>
                  </w:tcBorders>
                  <w:shd w:val="clear" w:color="auto" w:fill="auto"/>
                  <w:vAlign w:val="center"/>
                </w:tcPr>
                <w:p w14:paraId="64621178">
                  <w:pPr>
                    <w:bidi w:val="0"/>
                    <w:spacing w:line="240" w:lineRule="auto"/>
                    <w:jc w:val="both"/>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本</w:t>
                  </w:r>
                  <w:r>
                    <w:rPr>
                      <w:rFonts w:hint="default" w:ascii="Times New Roman" w:hAnsi="Times New Roman" w:cs="Times New Roman"/>
                      <w:color w:val="auto"/>
                      <w:sz w:val="18"/>
                      <w:szCs w:val="18"/>
                      <w:highlight w:val="none"/>
                    </w:rPr>
                    <w:t>工程</w:t>
                  </w:r>
                  <w:r>
                    <w:rPr>
                      <w:rFonts w:hint="eastAsia"/>
                      <w:color w:val="auto"/>
                      <w:kern w:val="0"/>
                      <w:sz w:val="18"/>
                      <w:szCs w:val="18"/>
                      <w:highlight w:val="none"/>
                    </w:rPr>
                    <w:t>借方来源于2025农田整治项目</w:t>
                  </w:r>
                  <w:r>
                    <w:rPr>
                      <w:rFonts w:hint="eastAsia"/>
                      <w:color w:val="auto"/>
                      <w:kern w:val="0"/>
                      <w:sz w:val="18"/>
                      <w:szCs w:val="18"/>
                      <w:highlight w:val="none"/>
                      <w:lang w:val="en-US" w:eastAsia="zh-CN"/>
                    </w:rPr>
                    <w:t>弃土</w:t>
                  </w:r>
                  <w:r>
                    <w:rPr>
                      <w:rFonts w:hint="eastAsia"/>
                      <w:color w:val="auto"/>
                      <w:kern w:val="0"/>
                      <w:sz w:val="18"/>
                      <w:szCs w:val="18"/>
                      <w:highlight w:val="none"/>
                    </w:rPr>
                    <w:t>，</w:t>
                  </w:r>
                  <w:r>
                    <w:rPr>
                      <w:rFonts w:hint="default" w:ascii="Times New Roman" w:hAnsi="Times New Roman" w:cs="Times New Roman"/>
                      <w:color w:val="auto"/>
                      <w:sz w:val="18"/>
                      <w:szCs w:val="18"/>
                      <w:highlight w:val="none"/>
                    </w:rPr>
                    <w:t>工程</w:t>
                  </w:r>
                  <w:r>
                    <w:rPr>
                      <w:rFonts w:hint="eastAsia"/>
                      <w:color w:val="auto"/>
                      <w:kern w:val="0"/>
                      <w:sz w:val="18"/>
                      <w:szCs w:val="18"/>
                      <w:highlight w:val="none"/>
                      <w:lang w:val="en-US" w:eastAsia="zh-CN"/>
                    </w:rPr>
                    <w:t>不</w:t>
                  </w:r>
                  <w:r>
                    <w:rPr>
                      <w:rFonts w:hint="eastAsia"/>
                      <w:color w:val="auto"/>
                      <w:sz w:val="18"/>
                      <w:szCs w:val="18"/>
                      <w:highlight w:val="none"/>
                      <w:lang w:eastAsia="zh-CN"/>
                    </w:rPr>
                    <w:t>设置取土场；</w:t>
                  </w:r>
                  <w:r>
                    <w:rPr>
                      <w:rFonts w:hint="default" w:ascii="Times New Roman" w:hAnsi="Times New Roman" w:eastAsia="宋体" w:cs="Times New Roman"/>
                      <w:color w:val="auto"/>
                      <w:kern w:val="0"/>
                      <w:sz w:val="18"/>
                      <w:szCs w:val="18"/>
                      <w:highlight w:val="none"/>
                    </w:rPr>
                    <w:t>挖方全部回填利用，施工结束后无</w:t>
                  </w:r>
                  <w:r>
                    <w:rPr>
                      <w:rFonts w:hint="eastAsia"/>
                      <w:color w:val="auto"/>
                      <w:sz w:val="18"/>
                      <w:szCs w:val="18"/>
                      <w:highlight w:val="none"/>
                      <w:lang w:eastAsia="zh-CN"/>
                    </w:rPr>
                    <w:t>弃土</w:t>
                  </w:r>
                  <w:r>
                    <w:rPr>
                      <w:rFonts w:hint="default" w:ascii="Times New Roman" w:hAnsi="Times New Roman" w:eastAsia="宋体" w:cs="Times New Roman"/>
                      <w:color w:val="auto"/>
                      <w:kern w:val="0"/>
                      <w:sz w:val="18"/>
                      <w:szCs w:val="18"/>
                      <w:highlight w:val="none"/>
                    </w:rPr>
                    <w:t>产生</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工程</w:t>
                  </w:r>
                  <w:r>
                    <w:rPr>
                      <w:rFonts w:hint="eastAsia"/>
                      <w:color w:val="auto"/>
                      <w:kern w:val="0"/>
                      <w:sz w:val="18"/>
                      <w:szCs w:val="18"/>
                      <w:highlight w:val="none"/>
                      <w:lang w:val="en-US" w:eastAsia="zh-CN"/>
                    </w:rPr>
                    <w:t>不</w:t>
                  </w:r>
                  <w:r>
                    <w:rPr>
                      <w:rFonts w:hint="eastAsia"/>
                      <w:color w:val="auto"/>
                      <w:sz w:val="18"/>
                      <w:szCs w:val="18"/>
                      <w:highlight w:val="none"/>
                      <w:lang w:eastAsia="zh-CN"/>
                    </w:rPr>
                    <w:t>设置弃土场。</w:t>
                  </w:r>
                </w:p>
              </w:tc>
            </w:tr>
            <w:tr w14:paraId="35F5FF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restart"/>
                  <w:tcBorders>
                    <w:tl2br w:val="nil"/>
                    <w:tr2bl w:val="nil"/>
                  </w:tcBorders>
                  <w:vAlign w:val="center"/>
                </w:tcPr>
                <w:p w14:paraId="48E979C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18"/>
                      <w:szCs w:val="18"/>
                      <w:highlight w:val="none"/>
                    </w:rPr>
                  </w:pPr>
                  <w:r>
                    <w:rPr>
                      <w:rFonts w:hint="default" w:ascii="Times New Roman" w:hAnsi="Times New Roman" w:cs="Times New Roman" w:eastAsiaTheme="minorEastAsia"/>
                      <w:color w:val="auto"/>
                      <w:kern w:val="0"/>
                      <w:sz w:val="18"/>
                      <w:szCs w:val="18"/>
                      <w:highlight w:val="none"/>
                      <w:lang w:bidi="ar"/>
                    </w:rPr>
                    <w:t>工程</w:t>
                  </w:r>
                </w:p>
                <w:p w14:paraId="7FAE6C9D">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kern w:val="0"/>
                      <w:sz w:val="18"/>
                      <w:szCs w:val="18"/>
                      <w:highlight w:val="none"/>
                      <w:lang w:bidi="ar"/>
                    </w:rPr>
                    <w:t>占地</w:t>
                  </w:r>
                  <w:r>
                    <w:rPr>
                      <w:rFonts w:hint="eastAsia" w:cs="Times New Roman" w:eastAsiaTheme="minorEastAsia"/>
                      <w:color w:val="auto"/>
                      <w:kern w:val="0"/>
                      <w:sz w:val="18"/>
                      <w:szCs w:val="18"/>
                      <w:highlight w:val="none"/>
                      <w:lang w:eastAsia="zh-CN" w:bidi="ar"/>
                    </w:rPr>
                    <w:t>及土石方</w:t>
                  </w:r>
                </w:p>
              </w:tc>
              <w:tc>
                <w:tcPr>
                  <w:tcW w:w="961" w:type="dxa"/>
                  <w:tcBorders>
                    <w:tl2br w:val="nil"/>
                    <w:tr2bl w:val="nil"/>
                  </w:tcBorders>
                  <w:shd w:val="clear" w:color="auto" w:fill="auto"/>
                  <w:vAlign w:val="center"/>
                </w:tcPr>
                <w:p w14:paraId="50AA85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kern w:val="2"/>
                      <w:sz w:val="18"/>
                      <w:szCs w:val="18"/>
                      <w:highlight w:val="none"/>
                      <w:lang w:val="en-US" w:eastAsia="zh-CN" w:bidi="ar-SA"/>
                    </w:rPr>
                    <w:t>永久占地</w:t>
                  </w:r>
                </w:p>
              </w:tc>
              <w:tc>
                <w:tcPr>
                  <w:tcW w:w="6298" w:type="dxa"/>
                  <w:tcBorders>
                    <w:tl2br w:val="nil"/>
                    <w:tr2bl w:val="nil"/>
                  </w:tcBorders>
                  <w:vAlign w:val="center"/>
                </w:tcPr>
                <w:p w14:paraId="6EBD664D">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rPr>
                    <w:t>永久占地</w:t>
                  </w:r>
                  <w:r>
                    <w:rPr>
                      <w:rFonts w:hint="eastAsia" w:cs="Times New Roman"/>
                      <w:color w:val="auto"/>
                      <w:kern w:val="0"/>
                      <w:sz w:val="18"/>
                      <w:szCs w:val="18"/>
                      <w:highlight w:val="none"/>
                      <w:lang w:val="en-US" w:eastAsia="zh-CN"/>
                    </w:rPr>
                    <w:t>面积</w:t>
                  </w:r>
                  <w:r>
                    <w:rPr>
                      <w:rFonts w:hint="default" w:ascii="Times New Roman" w:hAnsi="Times New Roman" w:eastAsia="宋体" w:cs="Times New Roman"/>
                      <w:color w:val="auto"/>
                      <w:kern w:val="0"/>
                      <w:sz w:val="18"/>
                      <w:szCs w:val="18"/>
                      <w:highlight w:val="none"/>
                      <w:lang w:val="en-US" w:eastAsia="zh-CN"/>
                    </w:rPr>
                    <w:t>1.86</w:t>
                  </w:r>
                  <w:r>
                    <w:rPr>
                      <w:rFonts w:hint="default" w:ascii="Times New Roman" w:hAnsi="Times New Roman" w:eastAsia="宋体" w:cs="Times New Roman"/>
                      <w:color w:val="auto"/>
                      <w:kern w:val="0"/>
                      <w:sz w:val="18"/>
                      <w:szCs w:val="18"/>
                      <w:highlight w:val="none"/>
                    </w:rPr>
                    <w:t>hm</w:t>
                  </w:r>
                  <w:r>
                    <w:rPr>
                      <w:rFonts w:hint="default" w:ascii="Times New Roman" w:hAnsi="Times New Roman" w:eastAsia="宋体" w:cs="Times New Roman"/>
                      <w:color w:val="auto"/>
                      <w:kern w:val="0"/>
                      <w:sz w:val="18"/>
                      <w:szCs w:val="18"/>
                      <w:highlight w:val="none"/>
                      <w:vertAlign w:val="superscript"/>
                    </w:rPr>
                    <w:t>2</w:t>
                  </w:r>
                  <w:r>
                    <w:rPr>
                      <w:rFonts w:hint="default" w:ascii="Times New Roman" w:hAnsi="Times New Roman" w:eastAsia="宋体" w:cs="Times New Roman"/>
                      <w:color w:val="auto"/>
                      <w:kern w:val="0"/>
                      <w:sz w:val="18"/>
                      <w:szCs w:val="18"/>
                      <w:highlight w:val="none"/>
                    </w:rPr>
                    <w:t>，</w:t>
                  </w:r>
                  <w:r>
                    <w:rPr>
                      <w:rFonts w:hint="default" w:ascii="Times New Roman" w:hAnsi="Times New Roman" w:eastAsia="宋体" w:cs="Times New Roman"/>
                      <w:color w:val="auto"/>
                      <w:kern w:val="0"/>
                      <w:sz w:val="18"/>
                      <w:szCs w:val="18"/>
                      <w:highlight w:val="none"/>
                      <w:lang w:val="en-US" w:eastAsia="zh-CN"/>
                    </w:rPr>
                    <w:t>永久占地为水库大坝、溢洪道、输水洞原有占地，</w:t>
                  </w:r>
                  <w:r>
                    <w:rPr>
                      <w:rFonts w:hint="default" w:ascii="Times New Roman" w:hAnsi="Times New Roman" w:eastAsia="宋体" w:cs="Times New Roman"/>
                      <w:color w:val="auto"/>
                      <w:kern w:val="0"/>
                      <w:sz w:val="18"/>
                      <w:szCs w:val="18"/>
                      <w:highlight w:val="none"/>
                    </w:rPr>
                    <w:t>占地类型为水域及水利设施用地</w:t>
                  </w:r>
                  <w:r>
                    <w:rPr>
                      <w:rFonts w:hint="eastAsia" w:cs="Times New Roman"/>
                      <w:color w:val="auto"/>
                      <w:kern w:val="0"/>
                      <w:sz w:val="18"/>
                      <w:szCs w:val="18"/>
                      <w:highlight w:val="none"/>
                      <w:lang w:eastAsia="zh-CN"/>
                    </w:rPr>
                    <w:t>，</w:t>
                  </w:r>
                  <w:r>
                    <w:rPr>
                      <w:rFonts w:hint="eastAsia" w:cs="Times New Roman"/>
                      <w:color w:val="auto"/>
                      <w:kern w:val="0"/>
                      <w:sz w:val="18"/>
                      <w:szCs w:val="18"/>
                      <w:highlight w:val="none"/>
                      <w:lang w:val="en-US" w:eastAsia="zh-CN"/>
                    </w:rPr>
                    <w:t>均为水库已征用地，本次不新增永久占地</w:t>
                  </w:r>
                  <w:r>
                    <w:rPr>
                      <w:rFonts w:hint="default" w:ascii="Times New Roman" w:hAnsi="Times New Roman" w:eastAsia="宋体" w:cs="Times New Roman"/>
                      <w:color w:val="auto"/>
                      <w:kern w:val="0"/>
                      <w:sz w:val="18"/>
                      <w:szCs w:val="18"/>
                      <w:highlight w:val="none"/>
                    </w:rPr>
                    <w:t>。</w:t>
                  </w:r>
                </w:p>
              </w:tc>
            </w:tr>
            <w:tr w14:paraId="446DD0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4B057B53">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05ECBC7A">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临时占地</w:t>
                  </w:r>
                </w:p>
              </w:tc>
              <w:tc>
                <w:tcPr>
                  <w:tcW w:w="6298" w:type="dxa"/>
                  <w:tcBorders>
                    <w:tl2br w:val="nil"/>
                    <w:tr2bl w:val="nil"/>
                  </w:tcBorders>
                  <w:shd w:val="clear" w:color="auto" w:fill="auto"/>
                  <w:vAlign w:val="center"/>
                </w:tcPr>
                <w:p w14:paraId="406B7446">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rPr>
                    <w:t>临时占地</w:t>
                  </w:r>
                  <w:r>
                    <w:rPr>
                      <w:rFonts w:hint="eastAsia" w:cs="Times New Roman"/>
                      <w:color w:val="auto"/>
                      <w:kern w:val="0"/>
                      <w:sz w:val="18"/>
                      <w:szCs w:val="18"/>
                      <w:highlight w:val="none"/>
                      <w:lang w:val="en-US" w:eastAsia="zh-CN"/>
                    </w:rPr>
                    <w:t>面积</w:t>
                  </w:r>
                  <w:r>
                    <w:rPr>
                      <w:rFonts w:hint="default" w:ascii="Times New Roman" w:hAnsi="Times New Roman" w:eastAsia="宋体" w:cs="Times New Roman"/>
                      <w:color w:val="auto"/>
                      <w:kern w:val="0"/>
                      <w:sz w:val="18"/>
                      <w:szCs w:val="18"/>
                      <w:highlight w:val="none"/>
                    </w:rPr>
                    <w:t>0.</w:t>
                  </w:r>
                  <w:r>
                    <w:rPr>
                      <w:rFonts w:hint="default" w:ascii="Times New Roman" w:hAnsi="Times New Roman" w:eastAsia="宋体" w:cs="Times New Roman"/>
                      <w:color w:val="auto"/>
                      <w:kern w:val="0"/>
                      <w:sz w:val="18"/>
                      <w:szCs w:val="18"/>
                      <w:highlight w:val="none"/>
                      <w:lang w:val="en-US" w:eastAsia="zh-CN"/>
                    </w:rPr>
                    <w:t>37</w:t>
                  </w:r>
                  <w:r>
                    <w:rPr>
                      <w:rFonts w:hint="default" w:ascii="Times New Roman" w:hAnsi="Times New Roman" w:eastAsia="宋体" w:cs="Times New Roman"/>
                      <w:color w:val="auto"/>
                      <w:kern w:val="0"/>
                      <w:sz w:val="18"/>
                      <w:szCs w:val="18"/>
                      <w:highlight w:val="none"/>
                    </w:rPr>
                    <w:t>hm</w:t>
                  </w:r>
                  <w:r>
                    <w:rPr>
                      <w:rFonts w:hint="default" w:ascii="Times New Roman" w:hAnsi="Times New Roman" w:eastAsia="宋体" w:cs="Times New Roman"/>
                      <w:color w:val="auto"/>
                      <w:kern w:val="0"/>
                      <w:sz w:val="18"/>
                      <w:szCs w:val="18"/>
                      <w:highlight w:val="none"/>
                      <w:vertAlign w:val="superscript"/>
                    </w:rPr>
                    <w:t>2</w:t>
                  </w:r>
                  <w:r>
                    <w:rPr>
                      <w:rFonts w:hint="default" w:ascii="Times New Roman" w:hAnsi="Times New Roman" w:eastAsia="宋体" w:cs="Times New Roman"/>
                      <w:color w:val="auto"/>
                      <w:kern w:val="0"/>
                      <w:sz w:val="18"/>
                      <w:szCs w:val="18"/>
                      <w:highlight w:val="none"/>
                    </w:rPr>
                    <w:t>，</w:t>
                  </w:r>
                  <w:r>
                    <w:rPr>
                      <w:rFonts w:hint="default" w:ascii="Times New Roman" w:hAnsi="Times New Roman" w:eastAsia="宋体" w:cs="Times New Roman"/>
                      <w:color w:val="auto"/>
                      <w:kern w:val="0"/>
                      <w:sz w:val="18"/>
                      <w:szCs w:val="18"/>
                      <w:highlight w:val="none"/>
                      <w:lang w:val="en-US" w:eastAsia="zh-CN"/>
                    </w:rPr>
                    <w:t>临时占地为施工生产区及填塘工程区</w:t>
                  </w:r>
                  <w:r>
                    <w:rPr>
                      <w:rFonts w:hint="eastAsia" w:ascii="Times New Roman" w:hAnsi="Times New Roman" w:eastAsia="宋体" w:cs="Times New Roman"/>
                      <w:color w:val="auto"/>
                      <w:kern w:val="0"/>
                      <w:sz w:val="18"/>
                      <w:szCs w:val="18"/>
                      <w:highlight w:val="none"/>
                      <w:lang w:val="en-US" w:eastAsia="zh-CN"/>
                    </w:rPr>
                    <w:t>，</w:t>
                  </w:r>
                  <w:r>
                    <w:rPr>
                      <w:rFonts w:hint="default" w:ascii="Times New Roman" w:hAnsi="Times New Roman" w:eastAsia="宋体" w:cs="Times New Roman"/>
                      <w:color w:val="auto"/>
                      <w:kern w:val="0"/>
                      <w:sz w:val="18"/>
                      <w:szCs w:val="18"/>
                      <w:highlight w:val="none"/>
                    </w:rPr>
                    <w:t>占地类型为水域及水利设施用地。</w:t>
                  </w:r>
                </w:p>
              </w:tc>
            </w:tr>
            <w:tr w14:paraId="022F14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40CCE351">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7EE259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kern w:val="2"/>
                      <w:sz w:val="18"/>
                      <w:szCs w:val="18"/>
                      <w:highlight w:val="none"/>
                      <w:lang w:val="en-US" w:eastAsia="zh-CN" w:bidi="ar-SA"/>
                    </w:rPr>
                    <w:t>土石方</w:t>
                  </w:r>
                </w:p>
              </w:tc>
              <w:tc>
                <w:tcPr>
                  <w:tcW w:w="6298" w:type="dxa"/>
                  <w:tcBorders>
                    <w:tl2br w:val="nil"/>
                    <w:tr2bl w:val="nil"/>
                  </w:tcBorders>
                  <w:shd w:val="clear" w:color="auto" w:fill="auto"/>
                  <w:vAlign w:val="center"/>
                </w:tcPr>
                <w:p w14:paraId="3B66C3B1">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rPr>
                    <w:t>土石方调运坚持尽量减少取、弃方量的原则，主体工程建设土方总量</w:t>
                  </w:r>
                  <w:r>
                    <w:rPr>
                      <w:rFonts w:hint="default" w:ascii="Times New Roman" w:hAnsi="Times New Roman" w:eastAsia="宋体" w:cs="Times New Roman"/>
                      <w:color w:val="auto"/>
                      <w:kern w:val="0"/>
                      <w:sz w:val="18"/>
                      <w:szCs w:val="18"/>
                      <w:highlight w:val="none"/>
                      <w:lang w:val="en-US" w:eastAsia="zh-CN"/>
                    </w:rPr>
                    <w:t>2.</w:t>
                  </w:r>
                  <w:r>
                    <w:rPr>
                      <w:rFonts w:hint="eastAsia" w:cs="Times New Roman"/>
                      <w:color w:val="auto"/>
                      <w:kern w:val="0"/>
                      <w:sz w:val="18"/>
                      <w:szCs w:val="18"/>
                      <w:highlight w:val="none"/>
                      <w:lang w:val="en-US" w:eastAsia="zh-CN"/>
                    </w:rPr>
                    <w:t>2</w:t>
                  </w:r>
                  <w:r>
                    <w:rPr>
                      <w:rFonts w:hint="default" w:ascii="Times New Roman" w:hAnsi="Times New Roman" w:eastAsia="宋体" w:cs="Times New Roman"/>
                      <w:color w:val="auto"/>
                      <w:kern w:val="0"/>
                      <w:sz w:val="18"/>
                      <w:szCs w:val="18"/>
                      <w:highlight w:val="none"/>
                    </w:rPr>
                    <w:t>万m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，土方开挖0.</w:t>
                  </w:r>
                  <w:r>
                    <w:rPr>
                      <w:rFonts w:hint="default" w:ascii="Times New Roman" w:hAnsi="Times New Roman" w:eastAsia="宋体" w:cs="Times New Roman"/>
                      <w:color w:val="auto"/>
                      <w:kern w:val="0"/>
                      <w:sz w:val="18"/>
                      <w:szCs w:val="18"/>
                      <w:highlight w:val="none"/>
                      <w:lang w:val="en-US" w:eastAsia="zh-CN"/>
                    </w:rPr>
                    <w:t>8</w:t>
                  </w:r>
                  <w:r>
                    <w:rPr>
                      <w:rFonts w:hint="eastAsia" w:cs="Times New Roman"/>
                      <w:color w:val="auto"/>
                      <w:kern w:val="0"/>
                      <w:sz w:val="18"/>
                      <w:szCs w:val="18"/>
                      <w:highlight w:val="none"/>
                      <w:lang w:val="en-US" w:eastAsia="zh-CN"/>
                    </w:rPr>
                    <w:t>6</w:t>
                  </w:r>
                  <w:r>
                    <w:rPr>
                      <w:rFonts w:hint="default" w:ascii="Times New Roman" w:hAnsi="Times New Roman" w:eastAsia="宋体" w:cs="Times New Roman"/>
                      <w:color w:val="auto"/>
                      <w:kern w:val="0"/>
                      <w:sz w:val="18"/>
                      <w:szCs w:val="18"/>
                      <w:highlight w:val="none"/>
                    </w:rPr>
                    <w:t>万m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（含表土剥离0.</w:t>
                  </w:r>
                  <w:r>
                    <w:rPr>
                      <w:rFonts w:hint="default" w:ascii="Times New Roman" w:hAnsi="Times New Roman" w:eastAsia="宋体" w:cs="Times New Roman"/>
                      <w:color w:val="auto"/>
                      <w:kern w:val="0"/>
                      <w:sz w:val="18"/>
                      <w:szCs w:val="18"/>
                      <w:highlight w:val="none"/>
                      <w:lang w:val="en-US" w:eastAsia="zh-CN"/>
                    </w:rPr>
                    <w:t>0</w:t>
                  </w:r>
                  <w:r>
                    <w:rPr>
                      <w:rFonts w:hint="eastAsia" w:cs="Times New Roman"/>
                      <w:color w:val="auto"/>
                      <w:kern w:val="0"/>
                      <w:sz w:val="18"/>
                      <w:szCs w:val="18"/>
                      <w:highlight w:val="none"/>
                      <w:lang w:val="en-US" w:eastAsia="zh-CN"/>
                    </w:rPr>
                    <w:t>7</w:t>
                  </w:r>
                  <w:r>
                    <w:rPr>
                      <w:rFonts w:hint="default" w:ascii="Times New Roman" w:hAnsi="Times New Roman" w:eastAsia="宋体" w:cs="Times New Roman"/>
                      <w:color w:val="auto"/>
                      <w:kern w:val="0"/>
                      <w:sz w:val="18"/>
                      <w:szCs w:val="18"/>
                      <w:highlight w:val="none"/>
                    </w:rPr>
                    <w:t>万m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），填方</w:t>
                  </w:r>
                  <w:r>
                    <w:rPr>
                      <w:rFonts w:hint="default" w:ascii="Times New Roman" w:hAnsi="Times New Roman" w:eastAsia="宋体" w:cs="Times New Roman"/>
                      <w:color w:val="auto"/>
                      <w:kern w:val="0"/>
                      <w:sz w:val="18"/>
                      <w:szCs w:val="18"/>
                      <w:highlight w:val="none"/>
                      <w:lang w:val="en-US" w:eastAsia="zh-CN"/>
                    </w:rPr>
                    <w:t>1.3</w:t>
                  </w:r>
                  <w:r>
                    <w:rPr>
                      <w:rFonts w:hint="eastAsia" w:cs="Times New Roman"/>
                      <w:color w:val="auto"/>
                      <w:kern w:val="0"/>
                      <w:sz w:val="18"/>
                      <w:szCs w:val="18"/>
                      <w:highlight w:val="none"/>
                      <w:lang w:val="en-US" w:eastAsia="zh-CN"/>
                    </w:rPr>
                    <w:t>6</w:t>
                  </w:r>
                  <w:r>
                    <w:rPr>
                      <w:rFonts w:hint="default" w:ascii="Times New Roman" w:hAnsi="Times New Roman" w:eastAsia="宋体" w:cs="Times New Roman"/>
                      <w:color w:val="auto"/>
                      <w:kern w:val="0"/>
                      <w:sz w:val="18"/>
                      <w:szCs w:val="18"/>
                      <w:highlight w:val="none"/>
                    </w:rPr>
                    <w:t>万m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（含表土回覆0.</w:t>
                  </w:r>
                  <w:r>
                    <w:rPr>
                      <w:rFonts w:hint="default" w:ascii="Times New Roman" w:hAnsi="Times New Roman" w:eastAsia="宋体" w:cs="Times New Roman"/>
                      <w:color w:val="auto"/>
                      <w:kern w:val="0"/>
                      <w:sz w:val="18"/>
                      <w:szCs w:val="18"/>
                      <w:highlight w:val="none"/>
                      <w:lang w:val="en-US" w:eastAsia="zh-CN"/>
                    </w:rPr>
                    <w:t>0</w:t>
                  </w:r>
                  <w:r>
                    <w:rPr>
                      <w:rFonts w:hint="eastAsia" w:cs="Times New Roman"/>
                      <w:color w:val="auto"/>
                      <w:kern w:val="0"/>
                      <w:sz w:val="18"/>
                      <w:szCs w:val="18"/>
                      <w:highlight w:val="none"/>
                      <w:lang w:val="en-US" w:eastAsia="zh-CN"/>
                    </w:rPr>
                    <w:t>7</w:t>
                  </w:r>
                  <w:r>
                    <w:rPr>
                      <w:rFonts w:hint="default" w:ascii="Times New Roman" w:hAnsi="Times New Roman" w:eastAsia="宋体" w:cs="Times New Roman"/>
                      <w:color w:val="auto"/>
                      <w:kern w:val="0"/>
                      <w:sz w:val="18"/>
                      <w:szCs w:val="18"/>
                      <w:highlight w:val="none"/>
                    </w:rPr>
                    <w:t>万m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），借方0.</w:t>
                  </w:r>
                  <w:r>
                    <w:rPr>
                      <w:rFonts w:hint="default" w:ascii="Times New Roman" w:hAnsi="Times New Roman" w:eastAsia="宋体" w:cs="Times New Roman"/>
                      <w:color w:val="auto"/>
                      <w:kern w:val="0"/>
                      <w:sz w:val="18"/>
                      <w:szCs w:val="18"/>
                      <w:highlight w:val="none"/>
                      <w:lang w:val="en-US" w:eastAsia="zh-CN"/>
                    </w:rPr>
                    <w:t>50</w:t>
                  </w:r>
                  <w:r>
                    <w:rPr>
                      <w:rFonts w:hint="default" w:ascii="Times New Roman" w:hAnsi="Times New Roman" w:eastAsia="宋体" w:cs="Times New Roman"/>
                      <w:color w:val="auto"/>
                      <w:kern w:val="0"/>
                      <w:sz w:val="18"/>
                      <w:szCs w:val="18"/>
                      <w:highlight w:val="none"/>
                    </w:rPr>
                    <w:t>万m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，挖方全部回填利用，</w:t>
                  </w:r>
                  <w:r>
                    <w:rPr>
                      <w:rFonts w:hint="eastAsia"/>
                      <w:color w:val="auto"/>
                      <w:kern w:val="0"/>
                      <w:sz w:val="18"/>
                      <w:szCs w:val="18"/>
                      <w:highlight w:val="none"/>
                    </w:rPr>
                    <w:t>借方来源于2025农田整治项目</w:t>
                  </w:r>
                  <w:r>
                    <w:rPr>
                      <w:rFonts w:hint="eastAsia"/>
                      <w:color w:val="auto"/>
                      <w:kern w:val="0"/>
                      <w:sz w:val="18"/>
                      <w:szCs w:val="18"/>
                      <w:highlight w:val="none"/>
                      <w:lang w:val="en-US" w:eastAsia="zh-CN"/>
                    </w:rPr>
                    <w:t>弃土</w:t>
                  </w:r>
                  <w:r>
                    <w:rPr>
                      <w:rFonts w:hint="eastAsia"/>
                      <w:color w:val="auto"/>
                      <w:kern w:val="0"/>
                      <w:sz w:val="18"/>
                      <w:szCs w:val="18"/>
                      <w:highlight w:val="none"/>
                    </w:rPr>
                    <w:t>，</w:t>
                  </w:r>
                  <w:r>
                    <w:rPr>
                      <w:rFonts w:hint="default" w:ascii="Times New Roman" w:hAnsi="Times New Roman" w:eastAsia="宋体" w:cs="Times New Roman"/>
                      <w:color w:val="auto"/>
                      <w:kern w:val="0"/>
                      <w:sz w:val="18"/>
                      <w:szCs w:val="18"/>
                      <w:highlight w:val="none"/>
                    </w:rPr>
                    <w:t>施工结束后无弃</w:t>
                  </w:r>
                  <w:r>
                    <w:rPr>
                      <w:rFonts w:hint="eastAsia"/>
                      <w:color w:val="auto"/>
                      <w:sz w:val="18"/>
                      <w:szCs w:val="18"/>
                      <w:highlight w:val="none"/>
                      <w:lang w:eastAsia="zh-CN"/>
                    </w:rPr>
                    <w:t>土</w:t>
                  </w:r>
                  <w:r>
                    <w:rPr>
                      <w:rFonts w:hint="default" w:ascii="Times New Roman" w:hAnsi="Times New Roman" w:eastAsia="宋体" w:cs="Times New Roman"/>
                      <w:color w:val="auto"/>
                      <w:kern w:val="0"/>
                      <w:sz w:val="18"/>
                      <w:szCs w:val="18"/>
                      <w:highlight w:val="none"/>
                    </w:rPr>
                    <w:t>产生</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工程</w:t>
                  </w:r>
                  <w:r>
                    <w:rPr>
                      <w:rFonts w:hint="eastAsia"/>
                      <w:color w:val="auto"/>
                      <w:kern w:val="0"/>
                      <w:sz w:val="18"/>
                      <w:szCs w:val="18"/>
                      <w:highlight w:val="none"/>
                      <w:lang w:val="en-US" w:eastAsia="zh-CN"/>
                    </w:rPr>
                    <w:t>不</w:t>
                  </w:r>
                  <w:r>
                    <w:rPr>
                      <w:rFonts w:hint="eastAsia"/>
                      <w:color w:val="auto"/>
                      <w:sz w:val="18"/>
                      <w:szCs w:val="18"/>
                      <w:highlight w:val="none"/>
                      <w:lang w:eastAsia="zh-CN"/>
                    </w:rPr>
                    <w:t>设置</w:t>
                  </w:r>
                  <w:r>
                    <w:rPr>
                      <w:rFonts w:hint="default" w:ascii="Times New Roman" w:hAnsi="Times New Roman" w:cs="Times New Roman"/>
                      <w:color w:val="auto"/>
                      <w:sz w:val="18"/>
                      <w:szCs w:val="18"/>
                      <w:highlight w:val="none"/>
                    </w:rPr>
                    <w:t>弃</w:t>
                  </w:r>
                  <w:r>
                    <w:rPr>
                      <w:rFonts w:hint="eastAsia"/>
                      <w:color w:val="auto"/>
                      <w:sz w:val="18"/>
                      <w:szCs w:val="18"/>
                      <w:highlight w:val="none"/>
                      <w:lang w:eastAsia="zh-CN"/>
                    </w:rPr>
                    <w:t>土</w:t>
                  </w:r>
                  <w:r>
                    <w:rPr>
                      <w:rFonts w:hint="default" w:ascii="Times New Roman" w:hAnsi="Times New Roman" w:cs="Times New Roman"/>
                      <w:color w:val="auto"/>
                      <w:sz w:val="18"/>
                      <w:szCs w:val="18"/>
                      <w:highlight w:val="none"/>
                    </w:rPr>
                    <w:t>场</w:t>
                  </w:r>
                  <w:r>
                    <w:rPr>
                      <w:rFonts w:hint="default" w:ascii="Times New Roman" w:hAnsi="Times New Roman" w:cs="Times New Roman"/>
                      <w:color w:val="auto"/>
                      <w:sz w:val="18"/>
                      <w:szCs w:val="18"/>
                      <w:highlight w:val="none"/>
                      <w:lang w:eastAsia="zh-CN"/>
                    </w:rPr>
                    <w:t>。</w:t>
                  </w:r>
                </w:p>
              </w:tc>
            </w:tr>
            <w:tr w14:paraId="42C3C8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16" w:type="dxa"/>
                  <w:vMerge w:val="restart"/>
                  <w:tcBorders>
                    <w:tl2br w:val="nil"/>
                    <w:tr2bl w:val="nil"/>
                  </w:tcBorders>
                  <w:shd w:val="clear" w:color="auto" w:fill="auto"/>
                  <w:vAlign w:val="center"/>
                </w:tcPr>
                <w:p w14:paraId="4E88FAC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kern w:val="0"/>
                      <w:sz w:val="18"/>
                      <w:szCs w:val="18"/>
                      <w:highlight w:val="none"/>
                      <w:lang w:bidi="ar"/>
                    </w:rPr>
                    <w:t>公用工程</w:t>
                  </w:r>
                </w:p>
              </w:tc>
              <w:tc>
                <w:tcPr>
                  <w:tcW w:w="961" w:type="dxa"/>
                  <w:tcBorders>
                    <w:tl2br w:val="nil"/>
                    <w:tr2bl w:val="nil"/>
                  </w:tcBorders>
                  <w:shd w:val="clear" w:color="auto" w:fill="auto"/>
                  <w:vAlign w:val="center"/>
                </w:tcPr>
                <w:p w14:paraId="376D8A5C">
                  <w:pPr>
                    <w:bidi w:val="0"/>
                    <w:jc w:val="center"/>
                    <w:rPr>
                      <w:rFonts w:hint="default" w:ascii="Times New Roman" w:hAnsi="Times New Roman" w:cs="Times New Roman" w:eastAsiaTheme="minorEastAsia"/>
                      <w:color w:val="auto"/>
                      <w:kern w:val="2"/>
                      <w:sz w:val="18"/>
                      <w:szCs w:val="18"/>
                      <w:highlight w:val="none"/>
                      <w:lang w:val="en-US" w:eastAsia="zh-CN" w:bidi="ar-SA"/>
                    </w:rPr>
                  </w:pPr>
                  <w:r>
                    <w:rPr>
                      <w:color w:val="auto"/>
                      <w:sz w:val="18"/>
                      <w:szCs w:val="18"/>
                      <w:highlight w:val="none"/>
                    </w:rPr>
                    <w:t>供水</w:t>
                  </w:r>
                </w:p>
              </w:tc>
              <w:tc>
                <w:tcPr>
                  <w:tcW w:w="6298" w:type="dxa"/>
                  <w:tcBorders>
                    <w:tl2br w:val="nil"/>
                    <w:tr2bl w:val="nil"/>
                  </w:tcBorders>
                  <w:shd w:val="clear" w:color="auto" w:fill="auto"/>
                  <w:vAlign w:val="center"/>
                </w:tcPr>
                <w:p w14:paraId="78037A56">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施工生产和生活用水取自周边村庄自来水</w:t>
                  </w:r>
                  <w:r>
                    <w:rPr>
                      <w:rFonts w:hint="eastAsia" w:ascii="Times New Roman" w:hAnsi="Times New Roman" w:eastAsia="宋体" w:cs="Times New Roman"/>
                      <w:color w:val="auto"/>
                      <w:kern w:val="2"/>
                      <w:sz w:val="18"/>
                      <w:szCs w:val="18"/>
                      <w:lang w:val="en-US" w:eastAsia="zh-CN" w:bidi="ar-SA"/>
                    </w:rPr>
                    <w:t>。</w:t>
                  </w:r>
                </w:p>
                <w:p w14:paraId="41164969">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cs="Times New Roman" w:eastAsiaTheme="minorEastAsia"/>
                      <w:color w:val="auto"/>
                      <w:sz w:val="18"/>
                      <w:szCs w:val="18"/>
                      <w:highlight w:val="none"/>
                      <w:lang w:val="en-US" w:eastAsia="zh-CN"/>
                    </w:rPr>
                  </w:pPr>
                  <w:r>
                    <w:rPr>
                      <w:rFonts w:hint="default" w:ascii="Times New Roman" w:hAnsi="Times New Roman" w:eastAsia="宋体" w:cs="Times New Roman"/>
                      <w:color w:val="auto"/>
                      <w:sz w:val="18"/>
                      <w:szCs w:val="18"/>
                    </w:rPr>
                    <w:t>运营期</w:t>
                  </w:r>
                  <w:r>
                    <w:rPr>
                      <w:rFonts w:hint="default" w:ascii="Times New Roman" w:hAnsi="Times New Roman" w:cs="Times New Roman" w:eastAsiaTheme="minorEastAsia"/>
                      <w:color w:val="auto"/>
                      <w:sz w:val="18"/>
                      <w:szCs w:val="18"/>
                      <w:highlight w:val="none"/>
                      <w:vertAlign w:val="baseline"/>
                      <w:lang w:val="en-US" w:eastAsia="zh-CN"/>
                    </w:rPr>
                    <w:t>管理站房</w:t>
                  </w:r>
                  <w:r>
                    <w:rPr>
                      <w:rFonts w:hint="default" w:ascii="Times New Roman" w:hAnsi="Times New Roman" w:eastAsia="宋体" w:cs="Times New Roman"/>
                      <w:color w:val="auto"/>
                      <w:sz w:val="18"/>
                      <w:szCs w:val="18"/>
                    </w:rPr>
                    <w:t>不</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工作人员，无</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生活用水</w:t>
                  </w:r>
                  <w:r>
                    <w:rPr>
                      <w:rFonts w:hint="eastAsia" w:ascii="Times New Roman" w:hAnsi="Times New Roman" w:eastAsia="宋体" w:cs="Times New Roman"/>
                      <w:color w:val="auto"/>
                      <w:sz w:val="18"/>
                      <w:szCs w:val="18"/>
                      <w:lang w:eastAsia="zh-CN"/>
                    </w:rPr>
                    <w:t>。</w:t>
                  </w:r>
                </w:p>
              </w:tc>
            </w:tr>
            <w:tr w14:paraId="4BD854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16" w:type="dxa"/>
                  <w:vMerge w:val="continue"/>
                  <w:tcBorders>
                    <w:tl2br w:val="nil"/>
                    <w:tr2bl w:val="nil"/>
                  </w:tcBorders>
                  <w:shd w:val="clear" w:color="auto" w:fill="auto"/>
                  <w:vAlign w:val="center"/>
                </w:tcPr>
                <w:p w14:paraId="072194A3">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eastAsiaTheme="minorEastAsia"/>
                      <w:color w:val="auto"/>
                      <w:sz w:val="18"/>
                      <w:szCs w:val="18"/>
                      <w:highlight w:val="none"/>
                    </w:rPr>
                  </w:pPr>
                </w:p>
              </w:tc>
              <w:tc>
                <w:tcPr>
                  <w:tcW w:w="961" w:type="dxa"/>
                  <w:tcBorders>
                    <w:tl2br w:val="nil"/>
                    <w:tr2bl w:val="nil"/>
                  </w:tcBorders>
                  <w:shd w:val="clear" w:color="auto" w:fill="auto"/>
                  <w:vAlign w:val="center"/>
                </w:tcPr>
                <w:p w14:paraId="0A126B65">
                  <w:pPr>
                    <w:bidi w:val="0"/>
                    <w:jc w:val="center"/>
                    <w:rPr>
                      <w:color w:val="auto"/>
                      <w:sz w:val="18"/>
                      <w:szCs w:val="18"/>
                      <w:highlight w:val="none"/>
                    </w:rPr>
                  </w:pPr>
                  <w:r>
                    <w:rPr>
                      <w:rFonts w:hint="default"/>
                      <w:color w:val="auto"/>
                      <w:sz w:val="18"/>
                      <w:szCs w:val="18"/>
                      <w:highlight w:val="none"/>
                    </w:rPr>
                    <w:t>排水</w:t>
                  </w:r>
                </w:p>
              </w:tc>
              <w:tc>
                <w:tcPr>
                  <w:tcW w:w="6298" w:type="dxa"/>
                  <w:tcBorders>
                    <w:tl2br w:val="nil"/>
                    <w:tr2bl w:val="nil"/>
                  </w:tcBorders>
                  <w:shd w:val="clear" w:color="auto" w:fill="auto"/>
                  <w:vAlign w:val="center"/>
                </w:tcPr>
                <w:p w14:paraId="24727582">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cs="Times New Roman" w:eastAsiaTheme="minorEastAsia"/>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施工期</w:t>
                  </w:r>
                  <w:r>
                    <w:rPr>
                      <w:rFonts w:hint="default" w:ascii="Times New Roman" w:hAnsi="Times New Roman" w:cs="Times New Roman" w:eastAsiaTheme="minorEastAsia"/>
                      <w:color w:val="auto"/>
                      <w:sz w:val="18"/>
                      <w:szCs w:val="18"/>
                      <w:highlight w:val="none"/>
                    </w:rPr>
                    <w:t>生活污水</w:t>
                  </w:r>
                  <w:r>
                    <w:rPr>
                      <w:rFonts w:hint="default" w:ascii="Times New Roman" w:hAnsi="Times New Roman" w:cs="Times New Roman" w:eastAsiaTheme="minorEastAsia"/>
                      <w:color w:val="auto"/>
                      <w:sz w:val="18"/>
                      <w:szCs w:val="18"/>
                      <w:highlight w:val="none"/>
                      <w:lang w:eastAsia="zh-CN"/>
                    </w:rPr>
                    <w:t>排入防渗旱厕</w:t>
                  </w:r>
                  <w:r>
                    <w:rPr>
                      <w:rFonts w:hint="default" w:ascii="Times New Roman" w:hAnsi="Times New Roman" w:cs="Times New Roman" w:eastAsiaTheme="minorEastAsia"/>
                      <w:color w:val="auto"/>
                      <w:sz w:val="18"/>
                      <w:szCs w:val="18"/>
                      <w:highlight w:val="none"/>
                      <w:lang w:val="en-US" w:eastAsia="zh-CN"/>
                    </w:rPr>
                    <w:t>，</w:t>
                  </w:r>
                  <w:r>
                    <w:rPr>
                      <w:rFonts w:hint="default" w:ascii="Times New Roman" w:hAnsi="Times New Roman" w:cs="Times New Roman" w:eastAsiaTheme="minorEastAsia"/>
                      <w:color w:val="auto"/>
                      <w:sz w:val="18"/>
                      <w:szCs w:val="18"/>
                      <w:highlight w:val="none"/>
                    </w:rPr>
                    <w:t>定期清掏外运做农肥</w:t>
                  </w:r>
                  <w:r>
                    <w:rPr>
                      <w:rFonts w:hint="eastAsia" w:ascii="Times New Roman" w:hAnsi="Times New Roman" w:cs="Times New Roman" w:eastAsiaTheme="minorEastAsia"/>
                      <w:color w:val="auto"/>
                      <w:sz w:val="18"/>
                      <w:szCs w:val="18"/>
                      <w:highlight w:val="none"/>
                      <w:lang w:eastAsia="zh-CN"/>
                    </w:rPr>
                    <w:t>；生产废水经沉淀后回用，不外排。</w:t>
                  </w:r>
                </w:p>
                <w:p w14:paraId="2C2DB05B">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cs="Times New Roman" w:eastAsiaTheme="minorEastAsia"/>
                      <w:color w:val="auto"/>
                      <w:sz w:val="18"/>
                      <w:szCs w:val="18"/>
                      <w:highlight w:val="none"/>
                      <w:lang w:val="en-US" w:eastAsia="zh-CN"/>
                    </w:rPr>
                  </w:pPr>
                  <w:r>
                    <w:rPr>
                      <w:rFonts w:hint="default" w:ascii="Times New Roman" w:hAnsi="Times New Roman" w:eastAsia="宋体" w:cs="Times New Roman"/>
                      <w:color w:val="auto"/>
                      <w:sz w:val="18"/>
                      <w:szCs w:val="18"/>
                    </w:rPr>
                    <w:t>运营期</w:t>
                  </w:r>
                  <w:r>
                    <w:rPr>
                      <w:rFonts w:hint="default" w:ascii="Times New Roman" w:hAnsi="Times New Roman" w:cs="Times New Roman" w:eastAsiaTheme="minorEastAsia"/>
                      <w:color w:val="auto"/>
                      <w:sz w:val="18"/>
                      <w:szCs w:val="18"/>
                      <w:highlight w:val="none"/>
                      <w:vertAlign w:val="baseline"/>
                      <w:lang w:val="en-US" w:eastAsia="zh-CN"/>
                    </w:rPr>
                    <w:t>管理站房</w:t>
                  </w:r>
                  <w:r>
                    <w:rPr>
                      <w:rFonts w:hint="default" w:ascii="Times New Roman" w:hAnsi="Times New Roman" w:eastAsia="宋体" w:cs="Times New Roman"/>
                      <w:color w:val="auto"/>
                      <w:sz w:val="18"/>
                      <w:szCs w:val="18"/>
                    </w:rPr>
                    <w:t>不</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工作人员，无</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生活</w:t>
                  </w:r>
                  <w:r>
                    <w:rPr>
                      <w:rFonts w:hint="eastAsia" w:ascii="Times New Roman" w:hAnsi="Times New Roman" w:eastAsia="宋体" w:cs="Times New Roman"/>
                      <w:color w:val="auto"/>
                      <w:sz w:val="18"/>
                      <w:szCs w:val="18"/>
                      <w:lang w:eastAsia="zh-CN"/>
                    </w:rPr>
                    <w:t>污水。</w:t>
                  </w:r>
                </w:p>
              </w:tc>
            </w:tr>
            <w:tr w14:paraId="079D2C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16" w:type="dxa"/>
                  <w:vMerge w:val="continue"/>
                  <w:tcBorders>
                    <w:tl2br w:val="nil"/>
                    <w:tr2bl w:val="nil"/>
                  </w:tcBorders>
                  <w:shd w:val="clear" w:color="auto" w:fill="auto"/>
                  <w:vAlign w:val="center"/>
                </w:tcPr>
                <w:p w14:paraId="1434F74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eastAsiaTheme="minorEastAsia"/>
                      <w:color w:val="auto"/>
                      <w:sz w:val="18"/>
                      <w:szCs w:val="18"/>
                      <w:highlight w:val="none"/>
                    </w:rPr>
                  </w:pPr>
                </w:p>
              </w:tc>
              <w:tc>
                <w:tcPr>
                  <w:tcW w:w="961" w:type="dxa"/>
                  <w:tcBorders>
                    <w:tl2br w:val="nil"/>
                    <w:tr2bl w:val="nil"/>
                  </w:tcBorders>
                  <w:shd w:val="clear" w:color="auto" w:fill="auto"/>
                  <w:vAlign w:val="center"/>
                </w:tcPr>
                <w:p w14:paraId="5811D351">
                  <w:pPr>
                    <w:bidi w:val="0"/>
                    <w:jc w:val="center"/>
                    <w:rPr>
                      <w:rFonts w:hint="default" w:ascii="Times New Roman" w:hAnsi="Times New Roman" w:cs="Times New Roman" w:eastAsiaTheme="minorEastAsia"/>
                      <w:color w:val="auto"/>
                      <w:sz w:val="18"/>
                      <w:szCs w:val="18"/>
                      <w:highlight w:val="none"/>
                    </w:rPr>
                  </w:pPr>
                  <w:r>
                    <w:rPr>
                      <w:color w:val="auto"/>
                      <w:sz w:val="18"/>
                      <w:szCs w:val="18"/>
                      <w:highlight w:val="none"/>
                    </w:rPr>
                    <w:t>供电</w:t>
                  </w:r>
                </w:p>
              </w:tc>
              <w:tc>
                <w:tcPr>
                  <w:tcW w:w="6298" w:type="dxa"/>
                  <w:tcBorders>
                    <w:tl2br w:val="nil"/>
                    <w:tr2bl w:val="nil"/>
                  </w:tcBorders>
                  <w:shd w:val="clear" w:color="auto" w:fill="auto"/>
                  <w:vAlign w:val="center"/>
                </w:tcPr>
                <w:p w14:paraId="55097CBD">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用电采用国网及</w:t>
                  </w:r>
                  <w:r>
                    <w:rPr>
                      <w:rFonts w:hint="default" w:ascii="Times New Roman" w:hAnsi="Times New Roman" w:eastAsia="宋体" w:cs="Times New Roman"/>
                      <w:color w:val="auto"/>
                      <w:spacing w:val="0"/>
                      <w:sz w:val="18"/>
                      <w:szCs w:val="18"/>
                      <w:highlight w:val="none"/>
                      <w:lang w:eastAsia="zh-CN"/>
                    </w:rPr>
                    <w:t>60kW移动柴油发电机组</w:t>
                  </w:r>
                  <w:r>
                    <w:rPr>
                      <w:rFonts w:hint="default" w:ascii="Times New Roman" w:hAnsi="Times New Roman" w:eastAsia="宋体" w:cs="Times New Roman"/>
                      <w:b w:val="0"/>
                      <w:bCs w:val="0"/>
                      <w:color w:val="auto"/>
                      <w:sz w:val="18"/>
                      <w:szCs w:val="18"/>
                      <w:highlight w:val="none"/>
                      <w:lang w:val="en-US" w:eastAsia="zh-CN"/>
                    </w:rPr>
                    <w:t>自发电</w:t>
                  </w:r>
                  <w:r>
                    <w:rPr>
                      <w:rFonts w:hint="eastAsia" w:ascii="Times New Roman" w:hAnsi="Times New Roman" w:eastAsia="宋体" w:cs="Times New Roman"/>
                      <w:b w:val="0"/>
                      <w:bCs w:val="0"/>
                      <w:color w:val="auto"/>
                      <w:sz w:val="18"/>
                      <w:szCs w:val="18"/>
                      <w:highlight w:val="none"/>
                      <w:lang w:val="en-US" w:eastAsia="zh-CN"/>
                    </w:rPr>
                    <w:t>。</w:t>
                  </w:r>
                </w:p>
              </w:tc>
            </w:tr>
            <w:tr w14:paraId="745FC6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16" w:type="dxa"/>
                  <w:vMerge w:val="continue"/>
                  <w:tcBorders>
                    <w:tl2br w:val="nil"/>
                    <w:tr2bl w:val="nil"/>
                  </w:tcBorders>
                  <w:shd w:val="clear" w:color="auto" w:fill="auto"/>
                  <w:vAlign w:val="center"/>
                </w:tcPr>
                <w:p w14:paraId="0F7864DA">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eastAsiaTheme="minorEastAsia"/>
                      <w:color w:val="auto"/>
                      <w:sz w:val="18"/>
                      <w:szCs w:val="18"/>
                      <w:highlight w:val="none"/>
                    </w:rPr>
                  </w:pPr>
                </w:p>
              </w:tc>
              <w:tc>
                <w:tcPr>
                  <w:tcW w:w="961" w:type="dxa"/>
                  <w:tcBorders>
                    <w:tl2br w:val="nil"/>
                    <w:tr2bl w:val="nil"/>
                  </w:tcBorders>
                  <w:shd w:val="clear" w:color="auto" w:fill="auto"/>
                  <w:vAlign w:val="center"/>
                </w:tcPr>
                <w:p w14:paraId="2DE236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rPr>
                  </w:pPr>
                  <w:r>
                    <w:rPr>
                      <w:color w:val="auto"/>
                      <w:sz w:val="18"/>
                      <w:szCs w:val="18"/>
                      <w:highlight w:val="none"/>
                    </w:rPr>
                    <w:t>供</w:t>
                  </w:r>
                  <w:r>
                    <w:rPr>
                      <w:rFonts w:hint="default" w:ascii="Times New Roman" w:hAnsi="Times New Roman" w:cs="Times New Roman" w:eastAsiaTheme="minorEastAsia"/>
                      <w:color w:val="auto"/>
                      <w:sz w:val="18"/>
                      <w:szCs w:val="18"/>
                      <w:highlight w:val="none"/>
                      <w:lang w:val="en-US" w:eastAsia="zh-CN"/>
                    </w:rPr>
                    <w:t>暖</w:t>
                  </w:r>
                </w:p>
              </w:tc>
              <w:tc>
                <w:tcPr>
                  <w:tcW w:w="6298" w:type="dxa"/>
                  <w:tcBorders>
                    <w:tl2br w:val="nil"/>
                    <w:tr2bl w:val="nil"/>
                  </w:tcBorders>
                  <w:shd w:val="clear" w:color="auto" w:fill="auto"/>
                  <w:vAlign w:val="center"/>
                </w:tcPr>
                <w:p w14:paraId="6EB50D8C">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eastAsia="宋体" w:cs="Times New Roman"/>
                      <w:color w:val="auto"/>
                      <w:sz w:val="18"/>
                      <w:szCs w:val="18"/>
                    </w:rPr>
                    <w:t>运营期</w:t>
                  </w:r>
                  <w:r>
                    <w:rPr>
                      <w:rFonts w:hint="default" w:ascii="Times New Roman" w:hAnsi="Times New Roman" w:eastAsia="宋体" w:cs="Times New Roman"/>
                      <w:color w:val="auto"/>
                      <w:kern w:val="0"/>
                      <w:sz w:val="18"/>
                      <w:szCs w:val="18"/>
                      <w:lang w:val="en-US" w:eastAsia="zh-CN" w:bidi="ar"/>
                    </w:rPr>
                    <w:t>管理站房冬季无需供暖</w:t>
                  </w:r>
                  <w:r>
                    <w:rPr>
                      <w:rFonts w:hint="eastAsia" w:ascii="Times New Roman" w:hAnsi="Times New Roman" w:eastAsia="宋体" w:cs="Times New Roman"/>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不设置供热锅炉</w:t>
                  </w:r>
                  <w:r>
                    <w:rPr>
                      <w:rFonts w:hint="eastAsia" w:ascii="Times New Roman" w:hAnsi="Times New Roman" w:eastAsia="宋体" w:cs="Times New Roman"/>
                      <w:color w:val="auto"/>
                      <w:kern w:val="0"/>
                      <w:sz w:val="18"/>
                      <w:szCs w:val="18"/>
                      <w:lang w:val="en-US" w:eastAsia="zh-CN" w:bidi="ar"/>
                    </w:rPr>
                    <w:t>。</w:t>
                  </w:r>
                </w:p>
              </w:tc>
            </w:tr>
            <w:tr w14:paraId="48D77B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16" w:type="dxa"/>
                  <w:vMerge w:val="continue"/>
                  <w:tcBorders>
                    <w:tl2br w:val="nil"/>
                    <w:tr2bl w:val="nil"/>
                  </w:tcBorders>
                  <w:shd w:val="clear" w:color="auto" w:fill="auto"/>
                  <w:vAlign w:val="center"/>
                </w:tcPr>
                <w:p w14:paraId="2A1EEE83">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eastAsiaTheme="minorEastAsia"/>
                      <w:color w:val="auto"/>
                      <w:sz w:val="18"/>
                      <w:szCs w:val="18"/>
                      <w:highlight w:val="none"/>
                    </w:rPr>
                  </w:pPr>
                </w:p>
              </w:tc>
              <w:tc>
                <w:tcPr>
                  <w:tcW w:w="961" w:type="dxa"/>
                  <w:tcBorders>
                    <w:tl2br w:val="nil"/>
                    <w:tr2bl w:val="nil"/>
                  </w:tcBorders>
                  <w:shd w:val="clear" w:color="auto" w:fill="auto"/>
                  <w:vAlign w:val="center"/>
                </w:tcPr>
                <w:p w14:paraId="36059D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通信</w:t>
                  </w:r>
                </w:p>
              </w:tc>
              <w:tc>
                <w:tcPr>
                  <w:tcW w:w="6298" w:type="dxa"/>
                  <w:tcBorders>
                    <w:tl2br w:val="nil"/>
                    <w:tr2bl w:val="nil"/>
                  </w:tcBorders>
                  <w:shd w:val="clear" w:color="auto" w:fill="auto"/>
                  <w:vAlign w:val="center"/>
                </w:tcPr>
                <w:p w14:paraId="30B74BD8">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库区内采用现有的通讯网络，公网覆盖全部施工区域，对外通信无障碍</w:t>
                  </w:r>
                  <w:r>
                    <w:rPr>
                      <w:rFonts w:hint="eastAsia" w:ascii="Times New Roman" w:hAnsi="Times New Roman" w:cs="Times New Roman" w:eastAsiaTheme="minorEastAsia"/>
                      <w:color w:val="auto"/>
                      <w:sz w:val="18"/>
                      <w:szCs w:val="18"/>
                      <w:highlight w:val="none"/>
                      <w:lang w:eastAsia="zh-CN"/>
                    </w:rPr>
                    <w:t>，</w:t>
                  </w:r>
                  <w:r>
                    <w:rPr>
                      <w:rFonts w:hint="default" w:ascii="Times New Roman" w:hAnsi="Times New Roman" w:cs="Times New Roman" w:eastAsiaTheme="minorEastAsia"/>
                      <w:color w:val="auto"/>
                      <w:sz w:val="18"/>
                      <w:szCs w:val="18"/>
                      <w:highlight w:val="none"/>
                    </w:rPr>
                    <w:t>场内通信可采用对讲机。</w:t>
                  </w:r>
                </w:p>
              </w:tc>
            </w:tr>
            <w:tr w14:paraId="2285F0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restart"/>
                  <w:tcBorders>
                    <w:tl2br w:val="nil"/>
                    <w:tr2bl w:val="nil"/>
                  </w:tcBorders>
                  <w:shd w:val="clear" w:color="auto" w:fill="auto"/>
                  <w:vAlign w:val="center"/>
                </w:tcPr>
                <w:p w14:paraId="7F7AAC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环保工程</w:t>
                  </w:r>
                </w:p>
              </w:tc>
              <w:tc>
                <w:tcPr>
                  <w:tcW w:w="961" w:type="dxa"/>
                  <w:tcBorders>
                    <w:tl2br w:val="nil"/>
                    <w:tr2bl w:val="nil"/>
                  </w:tcBorders>
                  <w:shd w:val="clear" w:color="auto" w:fill="auto"/>
                  <w:vAlign w:val="center"/>
                </w:tcPr>
                <w:p w14:paraId="66AB447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default" w:ascii="Times New Roman" w:hAnsi="Times New Roman" w:cs="Times New Roman" w:eastAsiaTheme="minorEastAsia"/>
                      <w:bCs/>
                      <w:color w:val="auto"/>
                      <w:kern w:val="0"/>
                      <w:sz w:val="18"/>
                      <w:szCs w:val="18"/>
                      <w:highlight w:val="none"/>
                    </w:rPr>
                    <w:t>废水</w:t>
                  </w:r>
                </w:p>
              </w:tc>
              <w:tc>
                <w:tcPr>
                  <w:tcW w:w="6298" w:type="dxa"/>
                  <w:tcBorders>
                    <w:tl2br w:val="nil"/>
                    <w:tr2bl w:val="nil"/>
                  </w:tcBorders>
                  <w:shd w:val="clear" w:color="auto" w:fill="auto"/>
                  <w:vAlign w:val="center"/>
                </w:tcPr>
                <w:p w14:paraId="21807DB1">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运营期</w:t>
                  </w:r>
                  <w:r>
                    <w:rPr>
                      <w:rFonts w:hint="default" w:ascii="Times New Roman" w:hAnsi="Times New Roman" w:cs="Times New Roman" w:eastAsiaTheme="minorEastAsia"/>
                      <w:color w:val="auto"/>
                      <w:sz w:val="18"/>
                      <w:szCs w:val="18"/>
                      <w:highlight w:val="none"/>
                      <w:vertAlign w:val="baseline"/>
                      <w:lang w:val="en-US" w:eastAsia="zh-CN"/>
                    </w:rPr>
                    <w:t>管理站房</w:t>
                  </w:r>
                  <w:r>
                    <w:rPr>
                      <w:rFonts w:hint="default" w:ascii="Times New Roman" w:hAnsi="Times New Roman" w:eastAsia="宋体" w:cs="Times New Roman"/>
                      <w:color w:val="auto"/>
                      <w:sz w:val="18"/>
                      <w:szCs w:val="18"/>
                    </w:rPr>
                    <w:t>不</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工作人员，无</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生活</w:t>
                  </w:r>
                  <w:r>
                    <w:rPr>
                      <w:rFonts w:hint="eastAsia" w:ascii="Times New Roman" w:hAnsi="Times New Roman" w:eastAsia="宋体" w:cs="Times New Roman"/>
                      <w:color w:val="auto"/>
                      <w:sz w:val="18"/>
                      <w:szCs w:val="18"/>
                      <w:lang w:eastAsia="zh-CN"/>
                    </w:rPr>
                    <w:t>污水；水库运行无废水排放。</w:t>
                  </w:r>
                </w:p>
                <w:p w14:paraId="7710D869">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rPr>
                  </w:pPr>
                  <w:r>
                    <w:rPr>
                      <w:rFonts w:hint="eastAsia" w:ascii="Times New Roman" w:hAnsi="Times New Roman" w:eastAsia="宋体" w:cs="Times New Roman"/>
                      <w:color w:val="auto"/>
                      <w:sz w:val="18"/>
                      <w:szCs w:val="18"/>
                      <w:lang w:eastAsia="zh-CN"/>
                    </w:rPr>
                    <w:t>施工期</w:t>
                  </w:r>
                  <w:r>
                    <w:rPr>
                      <w:rFonts w:hint="default" w:ascii="Times New Roman" w:hAnsi="Times New Roman" w:cs="Times New Roman" w:eastAsiaTheme="minorEastAsia"/>
                      <w:color w:val="auto"/>
                      <w:sz w:val="18"/>
                      <w:szCs w:val="18"/>
                      <w:highlight w:val="none"/>
                    </w:rPr>
                    <w:t>生活污水</w:t>
                  </w:r>
                  <w:r>
                    <w:rPr>
                      <w:rFonts w:hint="eastAsia" w:cs="Times New Roman" w:eastAsiaTheme="minorEastAsia"/>
                      <w:color w:val="auto"/>
                      <w:sz w:val="18"/>
                      <w:szCs w:val="18"/>
                      <w:highlight w:val="none"/>
                      <w:lang w:eastAsia="zh-CN"/>
                    </w:rPr>
                    <w:t>：</w:t>
                  </w:r>
                  <w:r>
                    <w:rPr>
                      <w:rFonts w:hint="default" w:ascii="Times New Roman" w:hAnsi="Times New Roman" w:cs="Times New Roman" w:eastAsiaTheme="minorEastAsia"/>
                      <w:color w:val="auto"/>
                      <w:sz w:val="18"/>
                      <w:szCs w:val="18"/>
                      <w:highlight w:val="none"/>
                      <w:lang w:eastAsia="zh-CN"/>
                    </w:rPr>
                    <w:t>排入防渗旱厕</w:t>
                  </w:r>
                  <w:r>
                    <w:rPr>
                      <w:rFonts w:hint="default" w:ascii="Times New Roman" w:hAnsi="Times New Roman" w:cs="Times New Roman" w:eastAsiaTheme="minorEastAsia"/>
                      <w:color w:val="auto"/>
                      <w:sz w:val="18"/>
                      <w:szCs w:val="18"/>
                      <w:highlight w:val="none"/>
                      <w:lang w:val="en-US" w:eastAsia="zh-CN"/>
                    </w:rPr>
                    <w:t>，</w:t>
                  </w:r>
                  <w:r>
                    <w:rPr>
                      <w:rFonts w:hint="default" w:ascii="Times New Roman" w:hAnsi="Times New Roman" w:cs="Times New Roman" w:eastAsiaTheme="minorEastAsia"/>
                      <w:color w:val="auto"/>
                      <w:sz w:val="18"/>
                      <w:szCs w:val="18"/>
                      <w:highlight w:val="none"/>
                    </w:rPr>
                    <w:t>定期清掏外</w:t>
                  </w:r>
                  <w:r>
                    <w:rPr>
                      <w:rFonts w:hint="eastAsia" w:cs="Times New Roman" w:eastAsiaTheme="minorEastAsia"/>
                      <w:color w:val="auto"/>
                      <w:sz w:val="18"/>
                      <w:szCs w:val="18"/>
                      <w:highlight w:val="none"/>
                      <w:lang w:eastAsia="zh-CN"/>
                    </w:rPr>
                    <w:t>运作</w:t>
                  </w:r>
                  <w:r>
                    <w:rPr>
                      <w:rFonts w:hint="default" w:ascii="Times New Roman" w:hAnsi="Times New Roman" w:cs="Times New Roman" w:eastAsiaTheme="minorEastAsia"/>
                      <w:color w:val="auto"/>
                      <w:sz w:val="18"/>
                      <w:szCs w:val="18"/>
                      <w:highlight w:val="none"/>
                    </w:rPr>
                    <w:t>农肥。</w:t>
                  </w:r>
                </w:p>
                <w:p w14:paraId="7DE42033">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firstLine="0" w:firstLineChars="0"/>
                    <w:jc w:val="both"/>
                    <w:textAlignment w:val="auto"/>
                    <w:outlineLvl w:val="0"/>
                    <w:rPr>
                      <w:rFonts w:hint="default" w:ascii="Times New Roman" w:hAnsi="Times New Roman" w:eastAsia="宋体" w:cs="Times New Roman"/>
                      <w:bCs/>
                      <w:color w:val="auto"/>
                      <w:sz w:val="18"/>
                      <w:szCs w:val="18"/>
                      <w:highlight w:val="none"/>
                      <w:shd w:val="clear" w:color="auto" w:fill="auto"/>
                      <w:lang w:val="en-US" w:eastAsia="zh-CN"/>
                    </w:rPr>
                  </w:pPr>
                  <w:bookmarkStart w:id="10" w:name="_Toc15347"/>
                  <w:bookmarkStart w:id="11" w:name="_Toc7852"/>
                  <w:r>
                    <w:rPr>
                      <w:rFonts w:hint="default" w:ascii="Times New Roman" w:hAnsi="Times New Roman" w:eastAsia="宋体" w:cs="Times New Roman"/>
                      <w:color w:val="auto"/>
                      <w:kern w:val="0"/>
                      <w:sz w:val="18"/>
                      <w:szCs w:val="18"/>
                      <w:highlight w:val="none"/>
                    </w:rPr>
                    <w:t>施工机械轮胎冲洗废水</w:t>
                  </w:r>
                  <w:r>
                    <w:rPr>
                      <w:rFonts w:hint="eastAsia" w:ascii="Times New Roman" w:hAnsi="Times New Roman" w:eastAsia="宋体" w:cs="Times New Roman"/>
                      <w:color w:val="auto"/>
                      <w:kern w:val="0"/>
                      <w:sz w:val="18"/>
                      <w:szCs w:val="18"/>
                      <w:highlight w:val="none"/>
                      <w:lang w:eastAsia="zh-CN"/>
                    </w:rPr>
                    <w:t>：</w:t>
                  </w:r>
                  <w:r>
                    <w:rPr>
                      <w:rFonts w:hint="default" w:ascii="Times New Roman" w:hAnsi="Times New Roman" w:eastAsia="宋体" w:cs="Times New Roman"/>
                      <w:bCs/>
                      <w:color w:val="auto"/>
                      <w:sz w:val="18"/>
                      <w:szCs w:val="18"/>
                      <w:highlight w:val="none"/>
                    </w:rPr>
                    <w:t>项目施工场地不设置机械、车辆维修厂，不产生机械维修废水，机械维修依靠周边社会设施。机械冲洗业务外协委托，在工地仅设置轮胎冲洗，主要承担进出厂机械车轮污泥的冲洗，这部分废水经沉淀池收集沉淀后回用于洒水降尘，不产生含油废水</w:t>
                  </w:r>
                  <w:r>
                    <w:rPr>
                      <w:rFonts w:hint="default" w:ascii="Times New Roman" w:hAnsi="Times New Roman" w:eastAsia="宋体" w:cs="Times New Roman"/>
                      <w:bCs/>
                      <w:color w:val="auto"/>
                      <w:sz w:val="18"/>
                      <w:szCs w:val="18"/>
                      <w:highlight w:val="none"/>
                      <w:lang w:eastAsia="zh-CN"/>
                    </w:rPr>
                    <w:t>。</w:t>
                  </w:r>
                  <w:bookmarkEnd w:id="10"/>
                  <w:bookmarkEnd w:id="11"/>
                </w:p>
                <w:p w14:paraId="46C0AE5C">
                  <w:pPr>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firstLine="0" w:firstLineChars="0"/>
                    <w:jc w:val="both"/>
                    <w:textAlignment w:val="auto"/>
                    <w:outlineLvl w:val="0"/>
                    <w:rPr>
                      <w:rFonts w:hint="default"/>
                      <w:color w:val="auto"/>
                      <w:lang w:val="en-US" w:eastAsia="zh-CN"/>
                    </w:rPr>
                  </w:pPr>
                  <w:bookmarkStart w:id="12" w:name="_Toc24906"/>
                  <w:bookmarkStart w:id="13" w:name="_Toc32757"/>
                  <w:r>
                    <w:rPr>
                      <w:rFonts w:hint="default" w:ascii="Times New Roman" w:hAnsi="Times New Roman" w:cs="Times New Roman"/>
                      <w:caps w:val="0"/>
                      <w:color w:val="auto"/>
                      <w:sz w:val="18"/>
                      <w:szCs w:val="18"/>
                      <w:highlight w:val="none"/>
                    </w:rPr>
                    <w:t>基坑废水</w:t>
                  </w:r>
                  <w:r>
                    <w:rPr>
                      <w:rFonts w:hint="eastAsia" w:ascii="Times New Roman" w:hAnsi="Times New Roman" w:cs="Times New Roman"/>
                      <w:caps w:val="0"/>
                      <w:color w:val="auto"/>
                      <w:sz w:val="18"/>
                      <w:szCs w:val="18"/>
                      <w:highlight w:val="none"/>
                      <w:lang w:eastAsia="zh-CN"/>
                    </w:rPr>
                    <w:t>：</w:t>
                  </w:r>
                  <w:r>
                    <w:rPr>
                      <w:rFonts w:hint="default" w:ascii="Times New Roman" w:hAnsi="Times New Roman" w:cs="Times New Roman"/>
                      <w:caps w:val="0"/>
                      <w:color w:val="auto"/>
                      <w:sz w:val="18"/>
                      <w:szCs w:val="18"/>
                      <w:highlight w:val="none"/>
                    </w:rPr>
                    <w:t>基坑废水直接产生在围堰内，静置沉淀后用于洒水降尘</w:t>
                  </w:r>
                  <w:r>
                    <w:rPr>
                      <w:rFonts w:hint="default" w:ascii="Times New Roman" w:hAnsi="Times New Roman" w:cs="Times New Roman"/>
                      <w:caps w:val="0"/>
                      <w:color w:val="auto"/>
                      <w:sz w:val="18"/>
                      <w:szCs w:val="18"/>
                      <w:highlight w:val="none"/>
                      <w:lang w:eastAsia="zh-CN"/>
                    </w:rPr>
                    <w:t>，不外排。</w:t>
                  </w:r>
                  <w:bookmarkEnd w:id="12"/>
                  <w:r>
                    <w:rPr>
                      <w:rFonts w:hint="default" w:ascii="Times New Roman" w:hAnsi="Times New Roman" w:eastAsia="宋体" w:cs="Times New Roman"/>
                      <w:bCs/>
                      <w:color w:val="auto"/>
                      <w:sz w:val="18"/>
                      <w:szCs w:val="18"/>
                      <w:highlight w:val="none"/>
                      <w:shd w:val="clear" w:color="auto" w:fill="auto"/>
                      <w:lang w:val="en-US" w:eastAsia="zh-CN"/>
                    </w:rPr>
                    <w:t>本项目不设置混凝土</w:t>
                  </w:r>
                  <w:r>
                    <w:rPr>
                      <w:rFonts w:hint="eastAsia" w:cs="Times New Roman"/>
                      <w:bCs/>
                      <w:color w:val="auto"/>
                      <w:sz w:val="18"/>
                      <w:szCs w:val="18"/>
                      <w:highlight w:val="none"/>
                      <w:shd w:val="clear" w:color="auto" w:fill="auto"/>
                      <w:lang w:val="en-US" w:eastAsia="zh-CN"/>
                    </w:rPr>
                    <w:t>拌和站</w:t>
                  </w:r>
                  <w:r>
                    <w:rPr>
                      <w:rFonts w:hint="default" w:ascii="Times New Roman" w:hAnsi="Times New Roman" w:eastAsia="宋体" w:cs="Times New Roman"/>
                      <w:bCs/>
                      <w:color w:val="auto"/>
                      <w:sz w:val="18"/>
                      <w:szCs w:val="18"/>
                      <w:highlight w:val="none"/>
                      <w:shd w:val="clear" w:color="auto" w:fill="auto"/>
                      <w:lang w:val="en-US" w:eastAsia="zh-CN"/>
                    </w:rPr>
                    <w:t>，</w:t>
                  </w:r>
                  <w:r>
                    <w:rPr>
                      <w:rFonts w:hint="default" w:ascii="Times New Roman" w:hAnsi="Times New Roman" w:eastAsia="宋体" w:cs="Times New Roman"/>
                      <w:bCs/>
                      <w:color w:val="auto"/>
                      <w:sz w:val="18"/>
                      <w:szCs w:val="18"/>
                      <w:highlight w:val="none"/>
                    </w:rPr>
                    <w:t>不</w:t>
                  </w:r>
                  <w:r>
                    <w:rPr>
                      <w:rFonts w:hint="default" w:ascii="Times New Roman" w:hAnsi="Times New Roman" w:eastAsia="宋体" w:cs="Times New Roman"/>
                      <w:bCs/>
                      <w:color w:val="auto"/>
                      <w:sz w:val="18"/>
                      <w:szCs w:val="18"/>
                      <w:highlight w:val="none"/>
                      <w:shd w:val="clear" w:color="auto" w:fill="auto"/>
                      <w:lang w:val="en-US" w:eastAsia="zh-CN"/>
                    </w:rPr>
                    <w:t>产生</w:t>
                  </w:r>
                  <w:r>
                    <w:rPr>
                      <w:rFonts w:hint="default" w:ascii="Times New Roman" w:hAnsi="Times New Roman" w:cs="Times New Roman"/>
                      <w:color w:val="auto"/>
                      <w:sz w:val="18"/>
                      <w:szCs w:val="18"/>
                      <w:highlight w:val="none"/>
                    </w:rPr>
                    <w:t>混凝土拌和</w:t>
                  </w:r>
                  <w:r>
                    <w:rPr>
                      <w:rFonts w:hint="default" w:ascii="Times New Roman" w:hAnsi="Times New Roman" w:cs="Times New Roman"/>
                      <w:color w:val="auto"/>
                      <w:sz w:val="18"/>
                      <w:szCs w:val="18"/>
                      <w:highlight w:val="none"/>
                      <w:lang w:eastAsia="zh-CN"/>
                    </w:rPr>
                    <w:t>、</w:t>
                  </w:r>
                  <w:r>
                    <w:rPr>
                      <w:rFonts w:hint="default" w:ascii="Times New Roman" w:hAnsi="Times New Roman" w:eastAsia="宋体" w:cs="Times New Roman"/>
                      <w:bCs/>
                      <w:color w:val="auto"/>
                      <w:sz w:val="18"/>
                      <w:szCs w:val="18"/>
                      <w:highlight w:val="none"/>
                      <w:lang w:val="zh-CN"/>
                    </w:rPr>
                    <w:t>养护</w:t>
                  </w:r>
                  <w:r>
                    <w:rPr>
                      <w:rFonts w:hint="default" w:ascii="Times New Roman" w:hAnsi="Times New Roman" w:eastAsia="宋体" w:cs="Times New Roman"/>
                      <w:bCs/>
                      <w:color w:val="auto"/>
                      <w:sz w:val="18"/>
                      <w:szCs w:val="18"/>
                      <w:highlight w:val="none"/>
                    </w:rPr>
                    <w:t>废水</w:t>
                  </w:r>
                  <w:r>
                    <w:rPr>
                      <w:rFonts w:hint="default" w:ascii="Times New Roman" w:hAnsi="Times New Roman" w:eastAsia="宋体" w:cs="Times New Roman"/>
                      <w:bCs/>
                      <w:color w:val="auto"/>
                      <w:sz w:val="18"/>
                      <w:szCs w:val="18"/>
                      <w:highlight w:val="none"/>
                      <w:shd w:val="clear" w:color="auto" w:fill="auto"/>
                      <w:lang w:val="en-US" w:eastAsia="zh-CN"/>
                    </w:rPr>
                    <w:t>。</w:t>
                  </w:r>
                  <w:bookmarkEnd w:id="13"/>
                </w:p>
              </w:tc>
            </w:tr>
            <w:tr w14:paraId="0E655E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52F3C252">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67A27E6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default" w:ascii="Times New Roman" w:hAnsi="Times New Roman" w:cs="Times New Roman" w:eastAsiaTheme="minorEastAsia"/>
                      <w:bCs/>
                      <w:color w:val="auto"/>
                      <w:kern w:val="0"/>
                      <w:sz w:val="18"/>
                      <w:szCs w:val="18"/>
                      <w:highlight w:val="none"/>
                    </w:rPr>
                    <w:t>废气</w:t>
                  </w:r>
                </w:p>
              </w:tc>
              <w:tc>
                <w:tcPr>
                  <w:tcW w:w="6298" w:type="dxa"/>
                  <w:tcBorders>
                    <w:tl2br w:val="nil"/>
                    <w:tr2bl w:val="nil"/>
                  </w:tcBorders>
                  <w:shd w:val="clear" w:color="auto" w:fill="auto"/>
                  <w:vAlign w:val="center"/>
                </w:tcPr>
                <w:p w14:paraId="214164F2">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eastAsia="宋体" w:cs="Times New Roman"/>
                      <w:color w:val="auto"/>
                      <w:sz w:val="18"/>
                      <w:szCs w:val="18"/>
                    </w:rPr>
                    <w:t>运营期</w:t>
                  </w:r>
                  <w:r>
                    <w:rPr>
                      <w:rFonts w:hint="default" w:ascii="Times New Roman" w:hAnsi="Times New Roman" w:cs="Times New Roman" w:eastAsiaTheme="minorEastAsia"/>
                      <w:color w:val="auto"/>
                      <w:sz w:val="18"/>
                      <w:szCs w:val="18"/>
                      <w:highlight w:val="none"/>
                      <w:vertAlign w:val="baseline"/>
                      <w:lang w:val="en-US" w:eastAsia="zh-CN"/>
                    </w:rPr>
                    <w:t>管理站房</w:t>
                  </w:r>
                  <w:r>
                    <w:rPr>
                      <w:rFonts w:hint="eastAsia" w:ascii="Times New Roman" w:hAnsi="Times New Roman" w:eastAsia="宋体" w:cs="Times New Roman"/>
                      <w:color w:val="auto"/>
                      <w:sz w:val="18"/>
                      <w:szCs w:val="18"/>
                      <w:lang w:eastAsia="zh-CN"/>
                    </w:rPr>
                    <w:t>、水库运行</w:t>
                  </w:r>
                  <w:r>
                    <w:rPr>
                      <w:rFonts w:hint="default" w:ascii="Times New Roman" w:hAnsi="Times New Roman" w:eastAsia="宋体" w:cs="Times New Roman"/>
                      <w:color w:val="auto"/>
                      <w:kern w:val="0"/>
                      <w:sz w:val="18"/>
                      <w:szCs w:val="18"/>
                    </w:rPr>
                    <w:t>无废</w:t>
                  </w:r>
                  <w:r>
                    <w:rPr>
                      <w:rFonts w:hint="eastAsia" w:ascii="Times New Roman" w:hAnsi="Times New Roman" w:eastAsia="宋体" w:cs="Times New Roman"/>
                      <w:color w:val="auto"/>
                      <w:kern w:val="0"/>
                      <w:sz w:val="18"/>
                      <w:szCs w:val="18"/>
                      <w:lang w:eastAsia="zh-CN"/>
                    </w:rPr>
                    <w:t>气</w:t>
                  </w:r>
                  <w:r>
                    <w:rPr>
                      <w:rFonts w:hint="default" w:ascii="Times New Roman" w:hAnsi="Times New Roman" w:eastAsia="宋体" w:cs="Times New Roman"/>
                      <w:color w:val="auto"/>
                      <w:kern w:val="0"/>
                      <w:sz w:val="18"/>
                      <w:szCs w:val="18"/>
                    </w:rPr>
                    <w:t>排放。</w:t>
                  </w:r>
                </w:p>
                <w:p w14:paraId="070ABC7B">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eastAsia="zh-CN"/>
                    </w:rPr>
                    <w:t>施工期</w:t>
                  </w:r>
                  <w:r>
                    <w:rPr>
                      <w:rFonts w:hint="default" w:ascii="Times New Roman" w:hAnsi="Times New Roman" w:cs="Times New Roman" w:eastAsiaTheme="minorEastAsia"/>
                      <w:color w:val="auto"/>
                      <w:sz w:val="18"/>
                      <w:szCs w:val="18"/>
                      <w:highlight w:val="none"/>
                    </w:rPr>
                    <w:t>施工道路沿线洒水降尘；物料运输采用密封、苫盖等运输方式；物料堆存设置遮盖、</w:t>
                  </w:r>
                  <w:r>
                    <w:rPr>
                      <w:rFonts w:hint="default" w:ascii="Times New Roman" w:hAnsi="Times New Roman" w:cs="Times New Roman" w:eastAsiaTheme="minorEastAsia"/>
                      <w:color w:val="auto"/>
                      <w:sz w:val="18"/>
                      <w:szCs w:val="18"/>
                      <w:highlight w:val="none"/>
                      <w:lang w:eastAsia="zh-CN"/>
                    </w:rPr>
                    <w:t>洒水降尘</w:t>
                  </w:r>
                  <w:r>
                    <w:rPr>
                      <w:rFonts w:hint="default" w:ascii="Times New Roman" w:hAnsi="Times New Roman" w:cs="Times New Roman" w:eastAsiaTheme="minorEastAsia"/>
                      <w:color w:val="auto"/>
                      <w:sz w:val="18"/>
                      <w:szCs w:val="18"/>
                      <w:highlight w:val="none"/>
                    </w:rPr>
                    <w:t>等；</w:t>
                  </w:r>
                  <w:r>
                    <w:rPr>
                      <w:color w:val="auto"/>
                      <w:sz w:val="18"/>
                      <w:szCs w:val="18"/>
                      <w:highlight w:val="none"/>
                    </w:rPr>
                    <w:t>施工场地周边设置围挡</w:t>
                  </w:r>
                  <w:r>
                    <w:rPr>
                      <w:rFonts w:hint="eastAsia"/>
                      <w:color w:val="auto"/>
                      <w:sz w:val="18"/>
                      <w:szCs w:val="18"/>
                      <w:highlight w:val="none"/>
                      <w:lang w:eastAsia="zh-CN"/>
                    </w:rPr>
                    <w:t>；</w:t>
                  </w:r>
                  <w:r>
                    <w:rPr>
                      <w:rFonts w:hint="default" w:ascii="Times New Roman" w:hAnsi="Times New Roman" w:cs="Times New Roman"/>
                      <w:caps w:val="0"/>
                      <w:color w:val="auto"/>
                      <w:sz w:val="18"/>
                      <w:szCs w:val="18"/>
                      <w:highlight w:val="none"/>
                      <w:lang w:val="en-US" w:eastAsia="zh-CN"/>
                    </w:rPr>
                    <w:t>临时堆土</w:t>
                  </w:r>
                  <w:r>
                    <w:rPr>
                      <w:rFonts w:hint="eastAsia" w:ascii="Times New Roman" w:hAnsi="Times New Roman" w:cs="Times New Roman"/>
                      <w:caps w:val="0"/>
                      <w:color w:val="auto"/>
                      <w:sz w:val="18"/>
                      <w:szCs w:val="18"/>
                      <w:highlight w:val="none"/>
                      <w:lang w:val="en-US" w:eastAsia="zh-CN"/>
                    </w:rPr>
                    <w:t>设置</w:t>
                  </w:r>
                  <w:r>
                    <w:rPr>
                      <w:rFonts w:hint="default" w:ascii="Times New Roman" w:hAnsi="Times New Roman" w:cs="Times New Roman"/>
                      <w:caps w:val="0"/>
                      <w:color w:val="auto"/>
                      <w:sz w:val="18"/>
                      <w:szCs w:val="18"/>
                      <w:highlight w:val="none"/>
                      <w:lang w:val="en-US" w:eastAsia="zh-CN"/>
                    </w:rPr>
                    <w:t>拦挡、密目网等</w:t>
                  </w:r>
                  <w:r>
                    <w:rPr>
                      <w:rFonts w:hint="eastAsia" w:ascii="Times New Roman" w:hAnsi="Times New Roman" w:cs="Times New Roman"/>
                      <w:caps w:val="0"/>
                      <w:color w:val="auto"/>
                      <w:sz w:val="18"/>
                      <w:szCs w:val="18"/>
                      <w:highlight w:val="none"/>
                      <w:lang w:val="en-US" w:eastAsia="zh-CN"/>
                    </w:rPr>
                    <w:t>；</w:t>
                  </w:r>
                  <w:r>
                    <w:rPr>
                      <w:rFonts w:hint="default" w:ascii="Times New Roman" w:hAnsi="Times New Roman" w:cs="Times New Roman" w:eastAsiaTheme="minorEastAsia"/>
                      <w:color w:val="auto"/>
                      <w:sz w:val="18"/>
                      <w:szCs w:val="18"/>
                      <w:highlight w:val="none"/>
                    </w:rPr>
                    <w:t>机械设备维修保养</w:t>
                  </w:r>
                  <w:r>
                    <w:rPr>
                      <w:rFonts w:hint="default" w:ascii="Times New Roman" w:hAnsi="Times New Roman" w:cs="Times New Roman" w:eastAsiaTheme="minorEastAsia"/>
                      <w:color w:val="auto"/>
                      <w:sz w:val="18"/>
                      <w:szCs w:val="18"/>
                      <w:highlight w:val="none"/>
                      <w:lang w:eastAsia="zh-CN"/>
                    </w:rPr>
                    <w:t>后方可进场使用</w:t>
                  </w:r>
                  <w:r>
                    <w:rPr>
                      <w:rFonts w:hint="default" w:ascii="Times New Roman" w:hAnsi="Times New Roman" w:cs="Times New Roman" w:eastAsiaTheme="minorEastAsia"/>
                      <w:color w:val="auto"/>
                      <w:sz w:val="18"/>
                      <w:szCs w:val="18"/>
                      <w:highlight w:val="none"/>
                    </w:rPr>
                    <w:t>。</w:t>
                  </w:r>
                </w:p>
              </w:tc>
            </w:tr>
            <w:tr w14:paraId="5B6CE6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22AB8E66">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3804BCD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default" w:ascii="Times New Roman" w:hAnsi="Times New Roman" w:cs="Times New Roman" w:eastAsiaTheme="minorEastAsia"/>
                      <w:bCs/>
                      <w:color w:val="auto"/>
                      <w:kern w:val="0"/>
                      <w:sz w:val="18"/>
                      <w:szCs w:val="18"/>
                      <w:highlight w:val="none"/>
                    </w:rPr>
                    <w:t>噪声</w:t>
                  </w:r>
                </w:p>
              </w:tc>
              <w:tc>
                <w:tcPr>
                  <w:tcW w:w="6298" w:type="dxa"/>
                  <w:tcBorders>
                    <w:tl2br w:val="nil"/>
                    <w:tr2bl w:val="nil"/>
                  </w:tcBorders>
                  <w:shd w:val="clear" w:color="auto" w:fill="auto"/>
                  <w:vAlign w:val="center"/>
                </w:tcPr>
                <w:p w14:paraId="13EF1153">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kern w:val="2"/>
                      <w:sz w:val="18"/>
                      <w:szCs w:val="18"/>
                      <w:highlight w:val="none"/>
                      <w:lang w:val="en-US" w:eastAsia="zh-CN" w:bidi="ar-SA"/>
                    </w:rPr>
                  </w:pPr>
                  <w:r>
                    <w:rPr>
                      <w:color w:val="auto"/>
                      <w:sz w:val="18"/>
                      <w:szCs w:val="18"/>
                      <w:highlight w:val="none"/>
                    </w:rPr>
                    <w:t>合理安排施工时间，晚间禁止高噪声设备施工，施工设备采用低噪设备、基础减振</w:t>
                  </w:r>
                  <w:r>
                    <w:rPr>
                      <w:rFonts w:hint="eastAsia"/>
                      <w:color w:val="auto"/>
                      <w:sz w:val="18"/>
                      <w:szCs w:val="18"/>
                      <w:highlight w:val="none"/>
                    </w:rPr>
                    <w:t>、设置</w:t>
                  </w:r>
                  <w:r>
                    <w:rPr>
                      <w:color w:val="auto"/>
                      <w:sz w:val="18"/>
                      <w:szCs w:val="18"/>
                      <w:highlight w:val="none"/>
                    </w:rPr>
                    <w:t>临时隔声屏障等措施。施工期间的材料运输采用汽车拉运，避开高峰时期及中午等休息时间，在</w:t>
                  </w:r>
                  <w:r>
                    <w:rPr>
                      <w:rFonts w:hint="eastAsia"/>
                      <w:color w:val="auto"/>
                      <w:sz w:val="18"/>
                      <w:szCs w:val="18"/>
                      <w:highlight w:val="none"/>
                      <w:lang w:eastAsia="zh-CN"/>
                    </w:rPr>
                    <w:t>途经</w:t>
                  </w:r>
                  <w:r>
                    <w:rPr>
                      <w:color w:val="auto"/>
                      <w:sz w:val="18"/>
                      <w:szCs w:val="18"/>
                      <w:highlight w:val="none"/>
                    </w:rPr>
                    <w:t>河流、居民等敏感点处减速慢行、禁止鸣笛；在运输过程中尽可能选择开阔平整的道路。对周围环境影响较小，对于施工期间的材料运输、敲击等噪声源，要求施工单位文明施工；加强有效管理，加强施工队伍的素质教育，尽量减少人为的噪声以缓解其影响。加强劳动保护，改善施工人员作业环境。</w:t>
                  </w:r>
                </w:p>
              </w:tc>
            </w:tr>
            <w:tr w14:paraId="7E729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525CAC6A">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457BA56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default" w:ascii="Times New Roman" w:hAnsi="Times New Roman" w:cs="Times New Roman" w:eastAsiaTheme="minorEastAsia"/>
                      <w:bCs/>
                      <w:color w:val="auto"/>
                      <w:kern w:val="0"/>
                      <w:sz w:val="18"/>
                      <w:szCs w:val="18"/>
                      <w:highlight w:val="none"/>
                    </w:rPr>
                    <w:t>固体废物</w:t>
                  </w:r>
                </w:p>
              </w:tc>
              <w:tc>
                <w:tcPr>
                  <w:tcW w:w="6298" w:type="dxa"/>
                  <w:tcBorders>
                    <w:tl2br w:val="nil"/>
                    <w:tr2bl w:val="nil"/>
                  </w:tcBorders>
                  <w:shd w:val="clear" w:color="auto" w:fill="auto"/>
                  <w:vAlign w:val="center"/>
                </w:tcPr>
                <w:p w14:paraId="298145D3">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eastAsia="宋体" w:cs="Times New Roman"/>
                      <w:color w:val="auto"/>
                      <w:sz w:val="18"/>
                      <w:szCs w:val="18"/>
                    </w:rPr>
                    <w:t>运营期</w:t>
                  </w:r>
                  <w:r>
                    <w:rPr>
                      <w:rFonts w:hint="default" w:ascii="Times New Roman" w:hAnsi="Times New Roman" w:cs="Times New Roman" w:eastAsiaTheme="minorEastAsia"/>
                      <w:color w:val="auto"/>
                      <w:sz w:val="18"/>
                      <w:szCs w:val="18"/>
                      <w:highlight w:val="none"/>
                      <w:vertAlign w:val="baseline"/>
                      <w:lang w:val="en-US" w:eastAsia="zh-CN"/>
                    </w:rPr>
                    <w:t>管理站房</w:t>
                  </w:r>
                  <w:r>
                    <w:rPr>
                      <w:rFonts w:hint="default" w:ascii="Times New Roman" w:hAnsi="Times New Roman" w:eastAsia="宋体" w:cs="Times New Roman"/>
                      <w:color w:val="auto"/>
                      <w:sz w:val="18"/>
                      <w:szCs w:val="18"/>
                    </w:rPr>
                    <w:t>不</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工作人员，无</w:t>
                  </w:r>
                  <w:r>
                    <w:rPr>
                      <w:rFonts w:hint="eastAsia" w:ascii="Times New Roman" w:hAnsi="Times New Roman" w:eastAsia="宋体" w:cs="Times New Roman"/>
                      <w:color w:val="auto"/>
                      <w:sz w:val="18"/>
                      <w:szCs w:val="18"/>
                      <w:lang w:eastAsia="zh-CN"/>
                    </w:rPr>
                    <w:t>新增</w:t>
                  </w:r>
                  <w:r>
                    <w:rPr>
                      <w:rFonts w:hint="default" w:ascii="Times New Roman" w:hAnsi="Times New Roman" w:eastAsia="宋体" w:cs="Times New Roman"/>
                      <w:color w:val="auto"/>
                      <w:sz w:val="18"/>
                      <w:szCs w:val="18"/>
                    </w:rPr>
                    <w:t>生活</w:t>
                  </w:r>
                  <w:r>
                    <w:rPr>
                      <w:rFonts w:hint="eastAsia" w:ascii="Times New Roman" w:hAnsi="Times New Roman" w:eastAsia="宋体" w:cs="Times New Roman"/>
                      <w:color w:val="auto"/>
                      <w:sz w:val="18"/>
                      <w:szCs w:val="18"/>
                      <w:lang w:eastAsia="zh-CN"/>
                    </w:rPr>
                    <w:t>垃圾。</w:t>
                  </w:r>
                </w:p>
                <w:p w14:paraId="42F99F52">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施工期固体废物</w:t>
                  </w:r>
                  <w:r>
                    <w:rPr>
                      <w:rFonts w:hint="eastAsia" w:cs="Times New Roman" w:eastAsiaTheme="minorEastAsia"/>
                      <w:color w:val="auto"/>
                      <w:sz w:val="18"/>
                      <w:szCs w:val="18"/>
                      <w:highlight w:val="none"/>
                      <w:lang w:eastAsia="zh-CN"/>
                    </w:rPr>
                    <w:t>：</w:t>
                  </w:r>
                  <w:r>
                    <w:rPr>
                      <w:rFonts w:hint="default" w:ascii="Times New Roman" w:hAnsi="Times New Roman" w:cs="Times New Roman"/>
                      <w:bCs/>
                      <w:color w:val="auto"/>
                      <w:sz w:val="18"/>
                      <w:szCs w:val="18"/>
                      <w:highlight w:val="none"/>
                    </w:rPr>
                    <w:t>生活垃圾采用垃圾箱收集，定期运往附近垃圾填埋场处理</w:t>
                  </w:r>
                  <w:r>
                    <w:rPr>
                      <w:rFonts w:hint="eastAsia" w:ascii="Times New Roman" w:hAnsi="Times New Roman" w:cs="Times New Roman"/>
                      <w:bCs/>
                      <w:color w:val="auto"/>
                      <w:sz w:val="18"/>
                      <w:szCs w:val="18"/>
                      <w:highlight w:val="none"/>
                      <w:lang w:eastAsia="zh-CN"/>
                    </w:rPr>
                    <w:t>；</w:t>
                  </w:r>
                  <w:r>
                    <w:rPr>
                      <w:rFonts w:hint="eastAsia" w:cs="Times New Roman"/>
                      <w:bCs/>
                      <w:color w:val="auto"/>
                      <w:sz w:val="18"/>
                      <w:szCs w:val="18"/>
                      <w:highlight w:val="none"/>
                      <w:lang w:val="en-US" w:eastAsia="zh-CN"/>
                    </w:rPr>
                    <w:t>建筑垃圾</w:t>
                  </w:r>
                  <w:r>
                    <w:rPr>
                      <w:rFonts w:hint="default" w:ascii="Times New Roman" w:hAnsi="Times New Roman" w:cs="Times New Roman" w:eastAsiaTheme="minorEastAsia"/>
                      <w:b w:val="0"/>
                      <w:bCs w:val="0"/>
                      <w:color w:val="auto"/>
                      <w:kern w:val="0"/>
                      <w:sz w:val="18"/>
                      <w:szCs w:val="18"/>
                      <w:highlight w:val="none"/>
                      <w:lang w:val="en-US" w:eastAsia="zh-CN"/>
                    </w:rPr>
                    <w:t>严禁与生活垃圾混合，拉运至建设单位与环卫部门指定地点。</w:t>
                  </w:r>
                </w:p>
              </w:tc>
            </w:tr>
            <w:tr w14:paraId="754C49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0A92957D">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751678E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生态环境</w:t>
                  </w:r>
                </w:p>
              </w:tc>
              <w:tc>
                <w:tcPr>
                  <w:tcW w:w="6298" w:type="dxa"/>
                  <w:tcBorders>
                    <w:tl2br w:val="nil"/>
                    <w:tr2bl w:val="nil"/>
                  </w:tcBorders>
                  <w:shd w:val="clear" w:color="auto" w:fill="auto"/>
                  <w:vAlign w:val="center"/>
                </w:tcPr>
                <w:p w14:paraId="2C520BC0">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加强施工期的环境管理，严格按征地进行占地，临时占地尽量少占，减少植被破坏；施工开始前进行表土剥离，</w:t>
                  </w:r>
                  <w:r>
                    <w:rPr>
                      <w:rFonts w:hint="default" w:ascii="Times New Roman" w:hAnsi="Times New Roman" w:eastAsia="宋体" w:cs="Times New Roman"/>
                      <w:color w:val="auto"/>
                      <w:sz w:val="18"/>
                      <w:szCs w:val="18"/>
                      <w:highlight w:val="none"/>
                      <w:lang w:val="en-US" w:eastAsia="zh-CN"/>
                    </w:rPr>
                    <w:t>水域及水利设施用地</w:t>
                  </w:r>
                  <w:r>
                    <w:rPr>
                      <w:rFonts w:hint="default" w:ascii="Times New Roman" w:hAnsi="Times New Roman" w:eastAsia="宋体" w:cs="Times New Roman"/>
                      <w:color w:val="auto"/>
                      <w:sz w:val="18"/>
                      <w:szCs w:val="18"/>
                      <w:highlight w:val="none"/>
                      <w:lang w:eastAsia="zh-CN"/>
                    </w:rPr>
                    <w:t>剥离厚度20cm，表土</w:t>
                  </w:r>
                  <w:r>
                    <w:rPr>
                      <w:rFonts w:hint="eastAsia" w:ascii="Times New Roman" w:hAnsi="Times New Roman" w:eastAsia="宋体" w:cs="Times New Roman"/>
                      <w:color w:val="auto"/>
                      <w:sz w:val="18"/>
                      <w:szCs w:val="18"/>
                      <w:highlight w:val="none"/>
                      <w:lang w:eastAsia="zh-CN"/>
                    </w:rPr>
                    <w:t>集中</w:t>
                  </w:r>
                  <w:r>
                    <w:rPr>
                      <w:rFonts w:hint="default" w:ascii="Times New Roman" w:hAnsi="Times New Roman" w:eastAsia="宋体" w:cs="Times New Roman"/>
                      <w:color w:val="auto"/>
                      <w:sz w:val="18"/>
                      <w:szCs w:val="18"/>
                      <w:highlight w:val="none"/>
                      <w:lang w:eastAsia="zh-CN"/>
                    </w:rPr>
                    <w:t>堆置</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表土外表面采取密目网覆盖措施，布置编织袋土埂拦挡，施工结束后表土回填。施工结束后，临时占地全部恢复为原地类。施工中凡是土石方开采量大的应该避开暴雨期，减少暴雨冲刷，减轻水土流失。</w:t>
                  </w:r>
                </w:p>
              </w:tc>
            </w:tr>
            <w:tr w14:paraId="0C0A57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tcBorders>
                    <w:tl2br w:val="nil"/>
                    <w:tr2bl w:val="nil"/>
                  </w:tcBorders>
                </w:tcPr>
                <w:p w14:paraId="15247B0D">
                  <w:pPr>
                    <w:pStyle w:val="3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p>
              </w:tc>
              <w:tc>
                <w:tcPr>
                  <w:tcW w:w="961" w:type="dxa"/>
                  <w:tcBorders>
                    <w:tl2br w:val="nil"/>
                    <w:tr2bl w:val="nil"/>
                  </w:tcBorders>
                  <w:shd w:val="clear" w:color="auto" w:fill="auto"/>
                  <w:vAlign w:val="center"/>
                </w:tcPr>
                <w:p w14:paraId="584DE1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人群健康保护措施</w:t>
                  </w:r>
                </w:p>
              </w:tc>
              <w:tc>
                <w:tcPr>
                  <w:tcW w:w="6298" w:type="dxa"/>
                  <w:tcBorders>
                    <w:tl2br w:val="nil"/>
                    <w:tr2bl w:val="nil"/>
                  </w:tcBorders>
                  <w:shd w:val="clear" w:color="auto" w:fill="auto"/>
                  <w:vAlign w:val="center"/>
                </w:tcPr>
                <w:p w14:paraId="32A67C53">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施工人员进场前必须进行卫生检疫，并定期体检，明确卫生防疫负责人。</w:t>
                  </w:r>
                </w:p>
              </w:tc>
            </w:tr>
          </w:tbl>
          <w:p w14:paraId="3CEC195B">
            <w:pPr>
              <w:pStyle w:val="34"/>
              <w:rPr>
                <w:rFonts w:hint="default" w:ascii="Times New Roman" w:hAnsi="Times New Roman" w:cs="Times New Roman" w:eastAsiaTheme="minorEastAsia"/>
                <w:bCs/>
                <w:color w:val="auto"/>
                <w:szCs w:val="21"/>
                <w:highlight w:val="none"/>
              </w:rPr>
            </w:pPr>
          </w:p>
        </w:tc>
      </w:tr>
      <w:tr w14:paraId="3F9BE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69" w:type="pct"/>
            <w:vAlign w:val="center"/>
          </w:tcPr>
          <w:p w14:paraId="0624FF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 w:val="21"/>
                <w:szCs w:val="21"/>
                <w:highlight w:val="none"/>
              </w:rPr>
              <w:t>总平面及现场布置</w:t>
            </w:r>
          </w:p>
        </w:tc>
        <w:tc>
          <w:tcPr>
            <w:tcW w:w="4530" w:type="pct"/>
            <w:vAlign w:val="center"/>
          </w:tcPr>
          <w:p w14:paraId="57D2C370">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1</w:t>
            </w:r>
            <w:r>
              <w:rPr>
                <w:rFonts w:hint="default" w:ascii="Times New Roman" w:hAnsi="Times New Roman" w:cs="Times New Roman" w:eastAsiaTheme="minorEastAsia"/>
                <w:b/>
                <w:bCs/>
                <w:color w:val="auto"/>
                <w:sz w:val="21"/>
                <w:szCs w:val="21"/>
                <w:highlight w:val="none"/>
              </w:rPr>
              <w:t>、</w:t>
            </w:r>
            <w:r>
              <w:rPr>
                <w:rFonts w:hint="default" w:ascii="Times New Roman" w:hAnsi="Times New Roman" w:cs="Times New Roman" w:eastAsiaTheme="minorEastAsia"/>
                <w:b/>
                <w:bCs/>
                <w:color w:val="auto"/>
                <w:sz w:val="21"/>
                <w:szCs w:val="21"/>
                <w:highlight w:val="none"/>
                <w:lang w:eastAsia="zh-CN"/>
              </w:rPr>
              <w:t>工程规模</w:t>
            </w:r>
          </w:p>
          <w:p w14:paraId="4A69335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lang w:eastAsia="zh-CN"/>
              </w:rPr>
              <w:t>）设计标准</w:t>
            </w:r>
          </w:p>
          <w:p w14:paraId="02E53CA0">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根据《防洪标准》（GB50201-</w:t>
            </w:r>
            <w:r>
              <w:rPr>
                <w:rFonts w:hint="default" w:ascii="Times New Roman" w:hAnsi="Times New Roman" w:eastAsia="宋体" w:cs="Times New Roman"/>
                <w:color w:val="auto"/>
                <w:kern w:val="0"/>
                <w:sz w:val="21"/>
                <w:szCs w:val="21"/>
                <w:highlight w:val="none"/>
                <w:lang w:val="en-US" w:eastAsia="zh-CN"/>
              </w:rPr>
              <w:t>2014</w:t>
            </w:r>
            <w:r>
              <w:rPr>
                <w:rFonts w:hint="default" w:ascii="Times New Roman" w:hAnsi="Times New Roman" w:eastAsia="宋体" w:cs="Times New Roman"/>
                <w:color w:val="auto"/>
                <w:kern w:val="0"/>
                <w:sz w:val="21"/>
                <w:szCs w:val="21"/>
                <w:highlight w:val="none"/>
                <w:lang w:eastAsia="zh-CN"/>
              </w:rPr>
              <w:t>）和《水利水电工程等级划分及洪水标准》（SL252-2017）规定，该</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lang w:eastAsia="zh-CN"/>
              </w:rPr>
              <w:t>工程规模为小（I）型，工程等别为Ⅳ等，</w:t>
            </w:r>
            <w:r>
              <w:rPr>
                <w:rFonts w:hint="default" w:ascii="Times New Roman" w:hAnsi="Times New Roman" w:eastAsia="宋体" w:cs="Times New Roman"/>
                <w:color w:val="auto"/>
                <w:kern w:val="0"/>
                <w:sz w:val="21"/>
                <w:szCs w:val="21"/>
                <w:highlight w:val="none"/>
                <w:lang w:val="en-US" w:eastAsia="zh-CN"/>
              </w:rPr>
              <w:t>建筑物级别为4级，按照山区、丘陵区水库工程永久性水工建筑物洪水标准及原设计洪水标准，庆先水库洪水标准为20年一遇洪水设计，100年一遇洪水校核。</w:t>
            </w:r>
          </w:p>
          <w:p w14:paraId="445226B4">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根据《中国地震动参数区划图》（GB18306</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2015）中的附录A《中国地震动峰加速度区划图》，该区地震动峰加速度为0.05g；根据《中国地震动反应谱特征区划图》附录B，该区地震动反应谱特征周期为0.35s；根据《关于地震基本烈度向地震动参数过渡的说明》中的附录D表D1，该区相应的地震基本烈度为Ⅵ度区，可不进行抗震计算。</w:t>
            </w:r>
          </w:p>
          <w:p w14:paraId="190EC0B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根据《防洪标准》（GB50201-2014）和《水利水电枢纽工程等级划分及洪水标准》规定，该</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lang w:eastAsia="zh-CN"/>
              </w:rPr>
              <w:t>工程规模为小（I）型，工程等别为Ⅳ等，水库合理使用年限为50年；水库壅水建筑物、泄水建筑物级别为4级，合理使用年限为50年；输水洞合理使用年限为30年。</w:t>
            </w:r>
          </w:p>
          <w:p w14:paraId="49231DC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（2）正常蓄水位</w:t>
            </w:r>
          </w:p>
          <w:p w14:paraId="0319E71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hAnsi="Times New Roman" w:cs="Times New Roman"/>
                <w:b w:val="0"/>
                <w:i w:val="0"/>
                <w:color w:val="auto"/>
                <w:sz w:val="21"/>
                <w:szCs w:val="21"/>
                <w:highlight w:val="none"/>
                <w:lang w:eastAsia="zh-CN"/>
              </w:rPr>
            </w:pPr>
            <w:r>
              <w:rPr>
                <w:rFonts w:hint="default" w:ascii="Times New Roman" w:hAnsi="Times New Roman" w:cs="Times New Roman"/>
                <w:color w:val="auto"/>
                <w:sz w:val="21"/>
                <w:szCs w:val="21"/>
                <w:highlight w:val="none"/>
                <w:lang w:eastAsia="zh-CN"/>
              </w:rPr>
              <w:t>本次仍采用实际正常蓄水位1</w:t>
            </w:r>
            <w:r>
              <w:rPr>
                <w:rFonts w:hint="default" w:ascii="Times New Roman" w:hAnsi="Times New Roman" w:cs="Times New Roman"/>
                <w:color w:val="auto"/>
                <w:sz w:val="21"/>
                <w:szCs w:val="21"/>
                <w:highlight w:val="none"/>
                <w:lang w:val="en-US" w:eastAsia="zh-CN"/>
              </w:rPr>
              <w:t>65.70</w:t>
            </w:r>
            <w:r>
              <w:rPr>
                <w:rFonts w:hint="default" w:ascii="Times New Roman" w:hAnsi="Times New Roman" w:cs="Times New Roman"/>
                <w:color w:val="auto"/>
                <w:sz w:val="21"/>
                <w:szCs w:val="21"/>
                <w:highlight w:val="none"/>
                <w:lang w:eastAsia="zh-CN"/>
              </w:rPr>
              <w:t>m不变，正常蓄水位相应库容为</w:t>
            </w:r>
            <w:r>
              <w:rPr>
                <w:rFonts w:hint="default" w:ascii="Times New Roman" w:hAnsi="Times New Roman" w:cs="Times New Roman"/>
                <w:color w:val="auto"/>
                <w:sz w:val="21"/>
                <w:szCs w:val="21"/>
                <w:highlight w:val="none"/>
                <w:lang w:val="en-US" w:eastAsia="zh-CN"/>
              </w:rPr>
              <w:t>109.93</w:t>
            </w:r>
            <m:oMath>
              <m:r>
                <m:rPr>
                  <m:nor/>
                  <m:sty m:val="p"/>
                </m:rPr>
                <w:rPr>
                  <w:rFonts w:hint="default" w:ascii="Times New Roman" w:hAnsi="Times New Roman" w:cs="Times New Roman"/>
                  <w:b w:val="0"/>
                  <w:i w:val="0"/>
                  <w:color w:val="auto"/>
                  <w:sz w:val="21"/>
                  <w:szCs w:val="21"/>
                  <w:highlight w:val="none"/>
                  <w:lang w:eastAsia="zh-CN"/>
                </w:rPr>
                <m:t>×1</m:t>
              </m:r>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0</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4</m:t>
                  </m:r>
                  <m:ctrlPr>
                    <w:rPr>
                      <w:rFonts w:hint="default" w:ascii="Cambria Math" w:hAnsi="Cambria Math" w:cs="Times New Roman"/>
                      <w:color w:val="auto"/>
                      <w:sz w:val="21"/>
                      <w:szCs w:val="21"/>
                      <w:highlight w:val="none"/>
                      <w:lang w:eastAsia="zh-CN"/>
                    </w:rPr>
                  </m:ctrlPr>
                </m:sup>
              </m:sSup>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m</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3</m:t>
                  </m:r>
                  <m:ctrlPr>
                    <w:rPr>
                      <w:rFonts w:hint="default" w:ascii="Cambria Math" w:hAnsi="Cambria Math" w:cs="Times New Roman"/>
                      <w:color w:val="auto"/>
                      <w:sz w:val="21"/>
                      <w:szCs w:val="21"/>
                      <w:highlight w:val="none"/>
                      <w:lang w:eastAsia="zh-CN"/>
                    </w:rPr>
                  </m:ctrlPr>
                </m:sup>
              </m:sSup>
              <m:r>
                <m:rPr>
                  <m:nor/>
                  <m:sty m:val="p"/>
                </m:rPr>
                <w:rPr>
                  <w:rFonts w:hint="default" w:ascii="Times New Roman" w:hAnsi="Times New Roman" w:cs="Times New Roman"/>
                  <w:b w:val="0"/>
                  <w:i w:val="0"/>
                  <w:color w:val="auto"/>
                  <w:sz w:val="21"/>
                  <w:szCs w:val="21"/>
                  <w:highlight w:val="none"/>
                  <w:lang w:eastAsia="zh-CN"/>
                </w:rPr>
                <m:t>。</m:t>
              </m:r>
            </m:oMath>
          </w:p>
          <w:p w14:paraId="5FB4713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（3）死水位</w:t>
            </w:r>
          </w:p>
          <w:p w14:paraId="0B4E6A8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hAnsi="Times New Roman" w:cs="Times New Roman"/>
                <w:b w:val="0"/>
                <w:i w:val="0"/>
                <w:color w:val="auto"/>
                <w:sz w:val="21"/>
                <w:szCs w:val="21"/>
                <w:highlight w:val="none"/>
                <w:lang w:eastAsia="zh-CN"/>
              </w:rPr>
            </w:pPr>
            <w:r>
              <w:rPr>
                <w:rFonts w:hint="eastAsia" w:cs="Times New Roman" w:eastAsiaTheme="minorEastAsia"/>
                <w:color w:val="auto"/>
                <w:sz w:val="21"/>
                <w:szCs w:val="21"/>
                <w:highlight w:val="none"/>
                <w:lang w:val="en-US" w:eastAsia="zh-CN"/>
              </w:rPr>
              <w:t>工程设计单位</w:t>
            </w:r>
            <w:r>
              <w:rPr>
                <w:rFonts w:hint="default" w:ascii="Times New Roman" w:hAnsi="Times New Roman" w:cs="Times New Roman" w:eastAsiaTheme="minorEastAsia"/>
                <w:color w:val="auto"/>
                <w:sz w:val="21"/>
                <w:szCs w:val="21"/>
                <w:highlight w:val="none"/>
                <w:lang w:val="en-US" w:eastAsia="zh-CN"/>
              </w:rPr>
              <w:t>复核水库特性曲线</w:t>
            </w:r>
            <w:r>
              <w:rPr>
                <w:rFonts w:hint="eastAsia" w:cs="Times New Roman" w:eastAsiaTheme="minorEastAsia"/>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经复核后，</w:t>
            </w:r>
            <w:r>
              <w:rPr>
                <w:rFonts w:hint="default" w:ascii="Times New Roman" w:hAnsi="Times New Roman" w:cs="Times New Roman"/>
                <w:color w:val="auto"/>
                <w:sz w:val="21"/>
                <w:szCs w:val="21"/>
                <w:highlight w:val="none"/>
                <w:lang w:val="en-US" w:eastAsia="zh-CN"/>
              </w:rPr>
              <w:t>仍然</w:t>
            </w:r>
            <w:r>
              <w:rPr>
                <w:rFonts w:hint="default" w:ascii="Times New Roman" w:hAnsi="Times New Roman" w:cs="Times New Roman"/>
                <w:color w:val="auto"/>
                <w:sz w:val="21"/>
                <w:szCs w:val="21"/>
                <w:highlight w:val="none"/>
                <w:lang w:eastAsia="zh-CN"/>
              </w:rPr>
              <w:t>采用死水位</w:t>
            </w:r>
            <w:r>
              <w:rPr>
                <w:rFonts w:hint="default" w:ascii="Times New Roman" w:hAnsi="Times New Roman" w:cs="Times New Roman"/>
                <w:color w:val="auto"/>
                <w:sz w:val="21"/>
                <w:szCs w:val="21"/>
                <w:highlight w:val="none"/>
                <w:lang w:val="en-US" w:eastAsia="zh-CN"/>
              </w:rPr>
              <w:t>163.00</w:t>
            </w:r>
            <w:r>
              <w:rPr>
                <w:rFonts w:hint="default" w:ascii="Times New Roman" w:hAnsi="Times New Roman" w:cs="Times New Roman"/>
                <w:color w:val="auto"/>
                <w:sz w:val="21"/>
                <w:szCs w:val="21"/>
                <w:highlight w:val="none"/>
                <w:lang w:eastAsia="zh-CN"/>
              </w:rPr>
              <w:t>m，相应死库容为</w:t>
            </w:r>
            <m:oMath>
              <m:r>
                <m:rPr>
                  <m:nor/>
                  <m:sty m:val="p"/>
                </m:rPr>
                <w:rPr>
                  <w:rFonts w:hint="default" w:ascii="Times New Roman" w:hAnsi="Times New Roman" w:cs="Times New Roman"/>
                  <w:b w:val="0"/>
                  <w:i w:val="0"/>
                  <w:color w:val="auto"/>
                  <w:sz w:val="21"/>
                  <w:szCs w:val="21"/>
                  <w:highlight w:val="none"/>
                  <w:lang w:val="en-US" w:eastAsia="zh-CN"/>
                </w:rPr>
                <m:t>11.06</m:t>
              </m:r>
              <m:r>
                <m:rPr>
                  <m:nor/>
                  <m:sty m:val="p"/>
                </m:rPr>
                <w:rPr>
                  <w:rFonts w:hint="default" w:ascii="Times New Roman" w:hAnsi="Times New Roman" w:cs="Times New Roman"/>
                  <w:b w:val="0"/>
                  <w:i w:val="0"/>
                  <w:color w:val="auto"/>
                  <w:sz w:val="21"/>
                  <w:szCs w:val="21"/>
                  <w:highlight w:val="none"/>
                  <w:lang w:eastAsia="zh-CN"/>
                </w:rPr>
                <m:t>×1</m:t>
              </m:r>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0</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4</m:t>
                  </m:r>
                  <m:ctrlPr>
                    <w:rPr>
                      <w:rFonts w:hint="default" w:ascii="Cambria Math" w:hAnsi="Cambria Math" w:cs="Times New Roman"/>
                      <w:color w:val="auto"/>
                      <w:sz w:val="21"/>
                      <w:szCs w:val="21"/>
                      <w:highlight w:val="none"/>
                      <w:lang w:eastAsia="zh-CN"/>
                    </w:rPr>
                  </m:ctrlPr>
                </m:sup>
              </m:sSup>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m</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3</m:t>
                  </m:r>
                  <m:ctrlPr>
                    <w:rPr>
                      <w:rFonts w:hint="default" w:ascii="Cambria Math" w:hAnsi="Cambria Math" w:cs="Times New Roman"/>
                      <w:color w:val="auto"/>
                      <w:sz w:val="21"/>
                      <w:szCs w:val="21"/>
                      <w:highlight w:val="none"/>
                      <w:lang w:eastAsia="zh-CN"/>
                    </w:rPr>
                  </m:ctrlPr>
                </m:sup>
              </m:sSup>
              <m:r>
                <m:rPr>
                  <m:nor/>
                  <m:sty m:val="p"/>
                </m:rPr>
                <w:rPr>
                  <w:rFonts w:hint="default" w:ascii="Times New Roman" w:hAnsi="Times New Roman" w:cs="Times New Roman"/>
                  <w:b w:val="0"/>
                  <w:i w:val="0"/>
                  <w:color w:val="auto"/>
                  <w:sz w:val="21"/>
                  <w:szCs w:val="21"/>
                  <w:highlight w:val="none"/>
                  <w:lang w:eastAsia="zh-CN"/>
                </w:rPr>
                <m:t>。</m:t>
              </m:r>
            </m:oMath>
          </w:p>
          <w:p w14:paraId="72340F9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hAnsi="Times New Roman" w:cs="Times New Roman"/>
                <w:b w:val="0"/>
                <w:i w:val="0"/>
                <w:color w:val="auto"/>
                <w:sz w:val="21"/>
                <w:szCs w:val="21"/>
                <w:highlight w:val="none"/>
                <w:lang w:eastAsia="zh-CN"/>
              </w:rPr>
            </w:pPr>
            <w:r>
              <w:rPr>
                <w:rFonts w:hint="default" w:hAnsi="Times New Roman" w:cs="Times New Roman"/>
                <w:b w:val="0"/>
                <w:i w:val="0"/>
                <w:color w:val="auto"/>
                <w:sz w:val="21"/>
                <w:szCs w:val="21"/>
                <w:highlight w:val="none"/>
                <w:lang w:eastAsia="zh-CN"/>
              </w:rPr>
              <w:t>（</w:t>
            </w:r>
            <w:r>
              <w:rPr>
                <w:rFonts w:hint="eastAsia" w:cs="Times New Roman"/>
                <w:b w:val="0"/>
                <w:i w:val="0"/>
                <w:color w:val="auto"/>
                <w:sz w:val="21"/>
                <w:szCs w:val="21"/>
                <w:highlight w:val="none"/>
                <w:lang w:val="en-US" w:eastAsia="zh-CN"/>
              </w:rPr>
              <w:t>4</w:t>
            </w:r>
            <w:r>
              <w:rPr>
                <w:rFonts w:hint="default" w:hAnsi="Times New Roman" w:cs="Times New Roman"/>
                <w:b w:val="0"/>
                <w:i w:val="0"/>
                <w:color w:val="auto"/>
                <w:sz w:val="21"/>
                <w:szCs w:val="21"/>
                <w:highlight w:val="none"/>
                <w:lang w:eastAsia="zh-CN"/>
              </w:rPr>
              <w:t>）防洪规模</w:t>
            </w:r>
          </w:p>
          <w:p w14:paraId="6A73494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b w:val="0"/>
                <w:i w:val="0"/>
                <w:color w:val="auto"/>
                <w:sz w:val="21"/>
                <w:szCs w:val="21"/>
                <w:highlight w:val="none"/>
                <w:lang w:eastAsia="zh-CN"/>
              </w:rPr>
            </w:pPr>
            <w:r>
              <w:rPr>
                <w:rFonts w:hint="default" w:ascii="Times New Roman" w:hAnsi="Times New Roman" w:cs="Times New Roman"/>
                <w:color w:val="auto"/>
                <w:highlight w:val="none"/>
              </w:rPr>
              <w:t>庆先水库</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rPr>
              <w:t>0年一遇洪水标准设计，</w:t>
            </w:r>
            <w:r>
              <w:rPr>
                <w:rFonts w:hint="default" w:ascii="Times New Roman" w:hAnsi="Times New Roman" w:cs="Times New Roman"/>
                <w:color w:val="auto"/>
                <w:highlight w:val="none"/>
              </w:rPr>
              <w:t>设计洪水位为</w:t>
            </w:r>
            <w:r>
              <w:rPr>
                <w:rFonts w:hint="default" w:ascii="Times New Roman" w:hAnsi="Times New Roman" w:cs="Times New Roman"/>
                <w:color w:val="auto"/>
                <w:highlight w:val="none"/>
                <w:lang w:val="en-US"/>
              </w:rPr>
              <w:t>167.23</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相应库容为</w:t>
            </w:r>
            <w:r>
              <w:rPr>
                <w:rFonts w:hint="default" w:ascii="Times New Roman" w:hAnsi="Times New Roman" w:cs="Times New Roman"/>
                <w:color w:val="auto"/>
                <w:highlight w:val="none"/>
                <w:lang w:val="en-US"/>
              </w:rPr>
              <w:t>169.76×10</w:t>
            </w:r>
            <w:r>
              <w:rPr>
                <w:rFonts w:hint="default" w:ascii="Times New Roman" w:hAnsi="Times New Roman" w:cs="Times New Roman"/>
                <w:color w:val="auto"/>
                <w:highlight w:val="none"/>
                <w:vertAlign w:val="superscript"/>
                <w:lang w:val="en-US"/>
              </w:rPr>
              <w:t>4</w:t>
            </w:r>
            <m:oMath>
              <m:sSup>
                <m:sSupPr>
                  <m:ctrlPr>
                    <w:rPr>
                      <w:rFonts w:hint="default" w:ascii="Cambria Math" w:hAnsi="Cambria Math" w:cs="Times New Roman"/>
                      <w:color w:val="auto"/>
                      <w:highlight w:val="none"/>
                    </w:rPr>
                  </m:ctrlPr>
                </m:sSupPr>
                <m:e>
                  <m:r>
                    <m:rPr>
                      <m:nor/>
                      <m:sty m:val="p"/>
                    </m:rPr>
                    <w:rPr>
                      <w:rFonts w:hint="default" w:ascii="Times New Roman" w:hAnsi="Times New Roman" w:cs="Times New Roman"/>
                      <w:b w:val="0"/>
                      <w:i w:val="0"/>
                      <w:color w:val="auto"/>
                      <w:highlight w:val="none"/>
                    </w:rPr>
                    <m:t>m</m:t>
                  </m:r>
                  <m:ctrlPr>
                    <w:rPr>
                      <w:rFonts w:hint="default" w:ascii="Cambria Math" w:hAnsi="Cambria Math" w:cs="Times New Roman"/>
                      <w:color w:val="auto"/>
                      <w:highlight w:val="none"/>
                    </w:rPr>
                  </m:ctrlPr>
                </m:e>
                <m:sup>
                  <m:r>
                    <m:rPr>
                      <m:nor/>
                      <m:sty m:val="p"/>
                    </m:rPr>
                    <w:rPr>
                      <w:rFonts w:hint="default" w:ascii="Times New Roman" w:hAnsi="Times New Roman" w:cs="Times New Roman"/>
                      <w:b w:val="0"/>
                      <w:i w:val="0"/>
                      <w:color w:val="auto"/>
                      <w:highlight w:val="none"/>
                    </w:rPr>
                    <m:t>3</m:t>
                  </m:r>
                  <m:ctrlPr>
                    <w:rPr>
                      <w:rFonts w:hint="default" w:ascii="Cambria Math" w:hAnsi="Cambria Math" w:cs="Times New Roman"/>
                      <w:color w:val="auto"/>
                      <w:highlight w:val="none"/>
                    </w:rPr>
                  </m:ctrlPr>
                </m:sup>
              </m:sSup>
            </m:oMath>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相应最大泄量为</w:t>
            </w:r>
            <w:r>
              <w:rPr>
                <w:rFonts w:hint="default" w:ascii="Times New Roman" w:hAnsi="Times New Roman" w:cs="Times New Roman"/>
                <w:color w:val="auto"/>
                <w:highlight w:val="none"/>
                <w:lang w:val="en-US"/>
              </w:rPr>
              <w:t>27.52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default" w:ascii="Times New Roman" w:hAnsi="Times New Roman" w:cs="Times New Roman"/>
                <w:color w:val="auto"/>
                <w:szCs w:val="24"/>
                <w:highlight w:val="none"/>
                <w:lang w:val="en-US" w:eastAsia="zh-CN"/>
              </w:rPr>
              <w:t>1</w:t>
            </w:r>
            <w:r>
              <w:rPr>
                <w:rFonts w:hint="default" w:ascii="Times New Roman" w:hAnsi="Times New Roman" w:cs="Times New Roman"/>
                <w:color w:val="auto"/>
                <w:szCs w:val="24"/>
                <w:highlight w:val="none"/>
              </w:rPr>
              <w:t>00年一遇洪水标准校核，</w:t>
            </w:r>
            <w:r>
              <w:rPr>
                <w:rFonts w:hint="default" w:ascii="Times New Roman" w:hAnsi="Times New Roman" w:cs="Times New Roman"/>
                <w:color w:val="auto"/>
                <w:highlight w:val="none"/>
              </w:rPr>
              <w:t>校核洪水位为167.88m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总库容为</w:t>
            </w:r>
            <w:r>
              <w:rPr>
                <w:rFonts w:hint="default" w:ascii="Times New Roman" w:hAnsi="Times New Roman" w:cs="Times New Roman"/>
                <w:color w:val="auto"/>
                <w:highlight w:val="none"/>
                <w:lang w:val="en-US"/>
              </w:rPr>
              <w:t>20</w:t>
            </w:r>
            <w:r>
              <w:rPr>
                <w:rFonts w:hint="default" w:ascii="Times New Roman" w:hAnsi="Times New Roman" w:cs="Times New Roman"/>
                <w:color w:val="auto"/>
                <w:highlight w:val="none"/>
                <w:lang w:val="en-US" w:eastAsia="zh-CN"/>
              </w:rPr>
              <w:t>7.00</w:t>
            </w:r>
            <m:oMath>
              <m:r>
                <m:rPr>
                  <m:nor/>
                  <m:sty m:val="p"/>
                </m:rPr>
                <w:rPr>
                  <w:rFonts w:hint="default" w:ascii="Times New Roman" w:hAnsi="Times New Roman" w:cs="Times New Roman"/>
                  <w:b w:val="0"/>
                  <w:i w:val="0"/>
                  <w:color w:val="auto"/>
                  <w:highlight w:val="none"/>
                </w:rPr>
                <m:t>×1</m:t>
              </m:r>
              <m:sSup>
                <m:sSupPr>
                  <m:ctrlPr>
                    <w:rPr>
                      <w:rFonts w:hint="default" w:ascii="Cambria Math" w:hAnsi="Cambria Math" w:cs="Times New Roman"/>
                      <w:color w:val="auto"/>
                      <w:highlight w:val="none"/>
                    </w:rPr>
                  </m:ctrlPr>
                </m:sSupPr>
                <m:e>
                  <m:r>
                    <m:rPr>
                      <m:nor/>
                      <m:sty m:val="p"/>
                    </m:rPr>
                    <w:rPr>
                      <w:rFonts w:hint="default" w:ascii="Times New Roman" w:hAnsi="Times New Roman" w:cs="Times New Roman"/>
                      <w:b w:val="0"/>
                      <w:i w:val="0"/>
                      <w:color w:val="auto"/>
                      <w:highlight w:val="none"/>
                    </w:rPr>
                    <m:t>0</m:t>
                  </m:r>
                  <m:ctrlPr>
                    <w:rPr>
                      <w:rFonts w:hint="default" w:ascii="Cambria Math" w:hAnsi="Cambria Math" w:cs="Times New Roman"/>
                      <w:color w:val="auto"/>
                      <w:highlight w:val="none"/>
                    </w:rPr>
                  </m:ctrlPr>
                </m:e>
                <m:sup>
                  <m:r>
                    <m:rPr>
                      <m:nor/>
                      <m:sty m:val="p"/>
                    </m:rPr>
                    <w:rPr>
                      <w:rFonts w:hint="default" w:ascii="Times New Roman" w:hAnsi="Times New Roman" w:cs="Times New Roman"/>
                      <w:b w:val="0"/>
                      <w:i w:val="0"/>
                      <w:color w:val="auto"/>
                      <w:highlight w:val="none"/>
                    </w:rPr>
                    <m:t>4</m:t>
                  </m:r>
                  <m:ctrlPr>
                    <w:rPr>
                      <w:rFonts w:hint="default" w:ascii="Cambria Math" w:hAnsi="Cambria Math" w:cs="Times New Roman"/>
                      <w:color w:val="auto"/>
                      <w:highlight w:val="none"/>
                    </w:rPr>
                  </m:ctrlPr>
                </m:sup>
              </m:sSup>
              <m:sSup>
                <m:sSupPr>
                  <m:ctrlPr>
                    <w:rPr>
                      <w:rFonts w:hint="default" w:ascii="Cambria Math" w:hAnsi="Cambria Math" w:cs="Times New Roman"/>
                      <w:color w:val="auto"/>
                      <w:highlight w:val="none"/>
                    </w:rPr>
                  </m:ctrlPr>
                </m:sSupPr>
                <m:e>
                  <m:r>
                    <m:rPr>
                      <m:nor/>
                      <m:sty m:val="p"/>
                    </m:rPr>
                    <w:rPr>
                      <w:rFonts w:hint="default" w:ascii="Times New Roman" w:hAnsi="Times New Roman" w:cs="Times New Roman"/>
                      <w:b w:val="0"/>
                      <w:i w:val="0"/>
                      <w:color w:val="auto"/>
                      <w:highlight w:val="none"/>
                    </w:rPr>
                    <m:t>m</m:t>
                  </m:r>
                  <m:ctrlPr>
                    <w:rPr>
                      <w:rFonts w:hint="default" w:ascii="Cambria Math" w:hAnsi="Cambria Math" w:cs="Times New Roman"/>
                      <w:color w:val="auto"/>
                      <w:highlight w:val="none"/>
                    </w:rPr>
                  </m:ctrlPr>
                </m:e>
                <m:sup>
                  <m:r>
                    <m:rPr>
                      <m:nor/>
                      <m:sty m:val="p"/>
                    </m:rPr>
                    <w:rPr>
                      <w:rFonts w:hint="default" w:ascii="Times New Roman" w:hAnsi="Times New Roman" w:cs="Times New Roman"/>
                      <w:b w:val="0"/>
                      <w:i w:val="0"/>
                      <w:color w:val="auto"/>
                      <w:highlight w:val="none"/>
                    </w:rPr>
                    <m:t>3</m:t>
                  </m:r>
                  <m:ctrlPr>
                    <w:rPr>
                      <w:rFonts w:hint="default" w:ascii="Cambria Math" w:hAnsi="Cambria Math" w:cs="Times New Roman"/>
                      <w:color w:val="auto"/>
                      <w:highlight w:val="none"/>
                    </w:rPr>
                  </m:ctrlPr>
                </m:sup>
              </m:sSup>
            </m:oMath>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相应最大泄量为</w:t>
            </w:r>
            <w:r>
              <w:rPr>
                <w:rFonts w:hint="default" w:ascii="Times New Roman" w:hAnsi="Times New Roman" w:cs="Times New Roman"/>
                <w:color w:val="auto"/>
                <w:highlight w:val="none"/>
                <w:lang w:val="en-US"/>
              </w:rPr>
              <w:t>59.43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p>
          <w:p w14:paraId="300BB708">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ind w:leftChars="0" w:firstLine="422" w:firstLineChars="200"/>
              <w:textAlignment w:val="auto"/>
              <w:rPr>
                <w:rFonts w:hint="default" w:ascii="Times New Roman" w:hAnsi="Times New Roman" w:eastAsia="宋体" w:cs="Times New Roman"/>
                <w:b/>
                <w:bCs/>
                <w:color w:val="auto"/>
                <w:spacing w:val="0"/>
                <w:sz w:val="21"/>
                <w:highlight w:val="none"/>
                <w:lang w:eastAsia="zh-CN"/>
              </w:rPr>
            </w:pPr>
            <w:r>
              <w:rPr>
                <w:rFonts w:hint="eastAsia" w:ascii="Times New Roman" w:hAnsi="Times New Roman" w:eastAsia="宋体" w:cs="Times New Roman"/>
                <w:b/>
                <w:bCs/>
                <w:color w:val="auto"/>
                <w:spacing w:val="0"/>
                <w:sz w:val="21"/>
                <w:highlight w:val="none"/>
                <w:lang w:val="en-US" w:eastAsia="zh-CN"/>
              </w:rPr>
              <w:t>2、</w:t>
            </w:r>
            <w:r>
              <w:rPr>
                <w:rFonts w:hint="default" w:ascii="Times New Roman" w:hAnsi="Times New Roman" w:eastAsia="宋体" w:cs="Times New Roman"/>
                <w:b/>
                <w:bCs/>
                <w:color w:val="auto"/>
                <w:spacing w:val="0"/>
                <w:sz w:val="21"/>
                <w:highlight w:val="none"/>
                <w:lang w:eastAsia="zh-CN"/>
              </w:rPr>
              <w:t>工程总布置</w:t>
            </w:r>
          </w:p>
          <w:p w14:paraId="16FEEDAD">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工程</w:t>
            </w:r>
            <w:r>
              <w:rPr>
                <w:rFonts w:hint="default" w:ascii="Times New Roman" w:hAnsi="Times New Roman" w:eastAsia="宋体" w:cs="Times New Roman"/>
                <w:color w:val="auto"/>
                <w:kern w:val="0"/>
                <w:sz w:val="21"/>
                <w:szCs w:val="21"/>
                <w:highlight w:val="none"/>
              </w:rPr>
              <w:t>主要由大坝、溢洪道、输水洞各部分等组成。</w:t>
            </w:r>
          </w:p>
          <w:p w14:paraId="37CEA486">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1</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大坝（均质坝）</w:t>
            </w:r>
          </w:p>
          <w:p w14:paraId="5D5EA8DC">
            <w:pPr>
              <w:pStyle w:val="64"/>
              <w:keepNext w:val="0"/>
              <w:keepLines w:val="0"/>
              <w:pageBreakBefore w:val="0"/>
              <w:widowControl/>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次设计大坝坝长583m，坝顶宽度5m，坝的迎水坡坡比为1:3.0，背水坡坡比为1:2.5。迎水侧维持现有干砌石护坡；新增坝顶水泥混凝土硬化20cm厚下设水泥稳定碎石基层20cm厚，路面宽度4.5m，坝顶设0.25m宽0.7m高路缘石，高出坝顶路面0.20m；坝段背水侧碎石护坡20cm厚，坡脚0.5m宽排水沟，排水沟30cm厚干砌石下设10cm厚碎石垫层，碎石护坡及排水体整体下铺400g/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土工布。增加大坝表面变形监测设施，照明设施15座</w:t>
            </w:r>
            <w:r>
              <w:rPr>
                <w:rFonts w:hint="default" w:ascii="Times New Roman" w:hAnsi="Times New Roman" w:eastAsia="宋体" w:cs="Times New Roman"/>
                <w:color w:val="auto"/>
                <w:kern w:val="0"/>
                <w:sz w:val="21"/>
                <w:szCs w:val="21"/>
                <w:highlight w:val="none"/>
                <w:lang w:val="en-US" w:eastAsia="zh-CN"/>
              </w:rPr>
              <w:t>等</w:t>
            </w:r>
            <w:r>
              <w:rPr>
                <w:rFonts w:hint="default" w:ascii="Times New Roman" w:hAnsi="Times New Roman" w:eastAsia="宋体" w:cs="Times New Roman"/>
                <w:color w:val="auto"/>
                <w:kern w:val="0"/>
                <w:sz w:val="21"/>
                <w:szCs w:val="21"/>
                <w:highlight w:val="none"/>
              </w:rPr>
              <w:t>。</w:t>
            </w:r>
          </w:p>
          <w:p w14:paraId="0F7ED65D">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2</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溢洪道</w:t>
            </w:r>
          </w:p>
          <w:p w14:paraId="5DCDA26C">
            <w:pPr>
              <w:pStyle w:val="64"/>
              <w:keepNext w:val="0"/>
              <w:keepLines w:val="0"/>
              <w:pageBreakBefore w:val="0"/>
              <w:widowControl/>
              <w:kinsoku/>
              <w:wordWrap/>
              <w:overflowPunct/>
              <w:topLinePunct w:val="0"/>
              <w:autoSpaceDE/>
              <w:autoSpaceDN/>
              <w:bidi w:val="0"/>
              <w:adjustRightInd/>
              <w:snapToGrid/>
              <w:spacing w:line="360" w:lineRule="auto"/>
              <w:ind w:left="0" w:leftChars="0" w:right="0" w:firstLine="420" w:firstLineChars="200"/>
              <w:textAlignment w:val="auto"/>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溢洪道位于坝段桩号0+577，溢洪道维持进口段不变，对控制段溢流堰堰体表面修复，出口段增加安全防护围栏，维修海漫段长48m，护坡、护底均为钢筋石笼结构，厚50cm，底宽15m，边坡坡比1:2，两侧设1m宽钢筋石笼压顶，整体下铺400g/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土工布；海漫段尾部设干砌石防冲槽</w:t>
            </w:r>
            <w:r>
              <w:rPr>
                <w:rFonts w:hint="eastAsia" w:ascii="Times New Roman" w:hAnsi="Times New Roman" w:eastAsia="宋体" w:cs="Times New Roman"/>
                <w:color w:val="auto"/>
                <w:kern w:val="0"/>
                <w:sz w:val="21"/>
                <w:szCs w:val="21"/>
                <w:highlight w:val="none"/>
                <w:lang w:eastAsia="zh-CN"/>
              </w:rPr>
              <w:t>。</w:t>
            </w:r>
          </w:p>
          <w:p w14:paraId="51AA4F64">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3</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输水洞</w:t>
            </w:r>
          </w:p>
          <w:p w14:paraId="5ACF449C">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本次</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rPr>
              <w:t>拆除重建闸室段及工作桥，维修海漫段。</w:t>
            </w:r>
          </w:p>
          <w:p w14:paraId="3BE8BD9F">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闸室段：闸室段为</w:t>
            </w:r>
            <w:r>
              <w:rPr>
                <w:rFonts w:hint="default" w:ascii="Times New Roman" w:hAnsi="Times New Roman" w:eastAsia="宋体" w:cs="Times New Roman"/>
                <w:color w:val="auto"/>
                <w:sz w:val="21"/>
                <w:szCs w:val="21"/>
                <w:highlight w:val="none"/>
              </w:rPr>
              <w:t>钢筋混凝土结构，净宽1.2m。输水洞设检修闸门及工作闸门各一道，闸门采用铸铁闸门，2扇，尺寸为1.2m×1.2m，进口设置拦污栅尺寸为1.2m×1.2m，闸门及拦污栅采用LQ-80KN螺杆启闭机启闭3台。启闭平台顶高程为168.72m，设置检修爬梯15m。涵洞段拆除重建8m，采用圆涵结构，孔口尺寸为1.2m×1.2m×1（宽×高×孔），进口段及闸室底铺设10cm厚素砼垫层，下铺设保温板一层。</w:t>
            </w:r>
          </w:p>
          <w:p w14:paraId="323D04C9">
            <w:pPr>
              <w:pStyle w:val="66"/>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消力池段：消力池段四周增设安全防护围栏。</w:t>
            </w:r>
          </w:p>
          <w:p w14:paraId="1439CB07">
            <w:pPr>
              <w:pStyle w:val="66"/>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海漫段：出口海漫段长12.7m，沟道底宽由1.2m渐变到2m，底板顶高程为160.30m，两侧边坡为1:2.5，沟底和两侧边坡采用0.5m厚钢筋石笼防护，下设0.1m碎石垫层，垫层下铺设一层土工布，末端设抛石防冲槽。</w:t>
            </w:r>
          </w:p>
          <w:p w14:paraId="0121039E">
            <w:pPr>
              <w:pStyle w:val="64"/>
              <w:keepNext w:val="0"/>
              <w:keepLines w:val="0"/>
              <w:pageBreakBefore w:val="0"/>
              <w:widowControl/>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尾水渠段：尾水渠边坡1:2.5，底宽2m，长度18.8 m，开挖尾水渠与下游渠道顺滑连接。</w:t>
            </w:r>
          </w:p>
          <w:p w14:paraId="2B4C3962">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color w:val="auto"/>
                <w:highlight w:val="none"/>
              </w:rPr>
            </w:pPr>
            <w:r>
              <w:rPr>
                <w:rFonts w:hint="eastAsia"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lang w:val="en-US" w:eastAsia="zh-CN"/>
              </w:rPr>
              <w:t>、工程占地</w:t>
            </w:r>
          </w:p>
          <w:p w14:paraId="793AD89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本项目总占地面积为</w:t>
            </w:r>
            <w:r>
              <w:rPr>
                <w:rFonts w:hint="default" w:ascii="Times New Roman" w:hAnsi="Times New Roman" w:eastAsia="宋体" w:cs="Times New Roman"/>
                <w:color w:val="auto"/>
                <w:kern w:val="0"/>
                <w:sz w:val="21"/>
                <w:szCs w:val="21"/>
                <w:highlight w:val="none"/>
                <w:lang w:val="en-US" w:eastAsia="zh-CN"/>
              </w:rPr>
              <w:t>2.23</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，其中永久占地</w:t>
            </w:r>
            <w:r>
              <w:rPr>
                <w:rFonts w:hint="default" w:ascii="Times New Roman" w:hAnsi="Times New Roman" w:eastAsia="宋体" w:cs="Times New Roman"/>
                <w:color w:val="auto"/>
                <w:kern w:val="0"/>
                <w:sz w:val="21"/>
                <w:szCs w:val="21"/>
                <w:highlight w:val="none"/>
                <w:lang w:val="en-US" w:eastAsia="zh-CN"/>
              </w:rPr>
              <w:t>1.86</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，临时占地0.</w:t>
            </w:r>
            <w:r>
              <w:rPr>
                <w:rFonts w:hint="default" w:ascii="Times New Roman" w:hAnsi="Times New Roman" w:eastAsia="宋体" w:cs="Times New Roman"/>
                <w:color w:val="auto"/>
                <w:kern w:val="0"/>
                <w:sz w:val="21"/>
                <w:szCs w:val="21"/>
                <w:highlight w:val="none"/>
                <w:lang w:val="en-US" w:eastAsia="zh-CN"/>
              </w:rPr>
              <w:t>37</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，占地类型为水域及水利设施用地。</w:t>
            </w:r>
            <w:r>
              <w:rPr>
                <w:rFonts w:hint="default" w:ascii="Times New Roman" w:hAnsi="Times New Roman" w:eastAsia="宋体" w:cs="Times New Roman"/>
                <w:color w:val="auto"/>
                <w:kern w:val="0"/>
                <w:sz w:val="21"/>
                <w:szCs w:val="21"/>
                <w:highlight w:val="none"/>
                <w:lang w:val="en-US" w:eastAsia="zh-CN"/>
              </w:rPr>
              <w:t>根据初步设计报告、设计单位提供的平面布置图、断面图划分，永久占地为水库大坝、溢洪道、输水洞原有占地，临时占地为施工生产区及填塘工程区。</w:t>
            </w:r>
          </w:p>
          <w:p w14:paraId="3DC9704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2-2</w:t>
            </w:r>
            <w:r>
              <w:rPr>
                <w:rFonts w:hint="default" w:ascii="Times New Roman" w:hAnsi="Times New Roman" w:eastAsia="宋体" w:cs="Times New Roman"/>
                <w:b/>
                <w:bCs/>
                <w:color w:val="auto"/>
                <w:sz w:val="21"/>
                <w:szCs w:val="21"/>
                <w:highlight w:val="none"/>
              </w:rPr>
              <w:t>工程占地一览表</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kern w:val="0"/>
                <w:sz w:val="21"/>
                <w:szCs w:val="21"/>
                <w:highlight w:val="none"/>
                <w:lang w:val="zh-CN"/>
              </w:rPr>
              <w:t>单位：</w:t>
            </w:r>
            <w:r>
              <w:rPr>
                <w:rFonts w:hint="default" w:ascii="Times New Roman" w:hAnsi="Times New Roman" w:cs="Times New Roman"/>
                <w:b/>
                <w:bCs/>
                <w:color w:val="auto"/>
                <w:kern w:val="0"/>
                <w:sz w:val="21"/>
                <w:szCs w:val="21"/>
                <w:highlight w:val="none"/>
              </w:rPr>
              <w:t>h</w:t>
            </w:r>
            <w:r>
              <w:rPr>
                <w:rFonts w:hint="default" w:ascii="Times New Roman" w:hAnsi="Times New Roman" w:cs="Times New Roman"/>
                <w:b/>
                <w:bCs/>
                <w:color w:val="auto"/>
                <w:kern w:val="0"/>
                <w:sz w:val="21"/>
                <w:szCs w:val="21"/>
                <w:highlight w:val="none"/>
                <w:lang w:val="zh-CN"/>
              </w:rPr>
              <w:t>m</w:t>
            </w:r>
            <w:r>
              <w:rPr>
                <w:rFonts w:hint="default" w:ascii="Times New Roman" w:hAnsi="Times New Roman" w:cs="Times New Roman"/>
                <w:b/>
                <w:bCs/>
                <w:color w:val="auto"/>
                <w:kern w:val="0"/>
                <w:sz w:val="21"/>
                <w:szCs w:val="21"/>
                <w:highlight w:val="none"/>
                <w:vertAlign w:val="superscript"/>
                <w:lang w:val="zh-CN"/>
              </w:rPr>
              <w:t>2</w:t>
            </w:r>
          </w:p>
          <w:tbl>
            <w:tblPr>
              <w:tblStyle w:val="24"/>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30"/>
              <w:gridCol w:w="1330"/>
              <w:gridCol w:w="987"/>
              <w:gridCol w:w="1869"/>
              <w:gridCol w:w="1140"/>
              <w:gridCol w:w="1336"/>
            </w:tblGrid>
            <w:tr w14:paraId="581A5D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exact"/>
                <w:jc w:val="center"/>
              </w:trPr>
              <w:tc>
                <w:tcPr>
                  <w:tcW w:w="832" w:type="pct"/>
                  <w:vMerge w:val="restart"/>
                  <w:tcBorders>
                    <w:top w:val="single" w:color="000000" w:sz="4" w:space="0"/>
                    <w:bottom w:val="single" w:color="000000" w:sz="4" w:space="0"/>
                    <w:right w:val="single" w:color="000000" w:sz="4" w:space="0"/>
                  </w:tcBorders>
                  <w:noWrap w:val="0"/>
                  <w:vAlign w:val="center"/>
                </w:tcPr>
                <w:p w14:paraId="5F02D3C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地貌类型</w:t>
                  </w:r>
                </w:p>
              </w:tc>
              <w:tc>
                <w:tcPr>
                  <w:tcW w:w="832" w:type="pct"/>
                  <w:vMerge w:val="restart"/>
                  <w:tcBorders>
                    <w:top w:val="single" w:color="000000" w:sz="4" w:space="0"/>
                    <w:left w:val="single" w:color="000000" w:sz="4" w:space="0"/>
                    <w:bottom w:val="single" w:color="000000" w:sz="4" w:space="0"/>
                    <w:right w:val="single" w:color="000000" w:sz="4" w:space="0"/>
                  </w:tcBorders>
                  <w:noWrap w:val="0"/>
                  <w:vAlign w:val="center"/>
                </w:tcPr>
                <w:p w14:paraId="48CF02E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项目组成</w:t>
                  </w:r>
                </w:p>
              </w:tc>
              <w:tc>
                <w:tcPr>
                  <w:tcW w:w="617" w:type="pct"/>
                  <w:vMerge w:val="restart"/>
                  <w:tcBorders>
                    <w:top w:val="single" w:color="000000" w:sz="4" w:space="0"/>
                    <w:left w:val="single" w:color="000000" w:sz="4" w:space="0"/>
                    <w:bottom w:val="single" w:color="000000" w:sz="4" w:space="0"/>
                    <w:right w:val="single" w:color="000000" w:sz="4" w:space="0"/>
                  </w:tcBorders>
                  <w:noWrap w:val="0"/>
                  <w:vAlign w:val="center"/>
                </w:tcPr>
                <w:p w14:paraId="73E1545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合计</w:t>
                  </w:r>
                </w:p>
              </w:tc>
              <w:tc>
                <w:tcPr>
                  <w:tcW w:w="1169" w:type="pct"/>
                  <w:tcBorders>
                    <w:top w:val="single" w:color="000000" w:sz="4" w:space="0"/>
                    <w:left w:val="single" w:color="000000" w:sz="4" w:space="0"/>
                    <w:bottom w:val="single" w:color="000000" w:sz="4" w:space="0"/>
                    <w:right w:val="single" w:color="000000" w:sz="4" w:space="0"/>
                  </w:tcBorders>
                  <w:noWrap w:val="0"/>
                  <w:vAlign w:val="center"/>
                </w:tcPr>
                <w:p w14:paraId="66D8D79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占地类型</w:t>
                  </w:r>
                </w:p>
              </w:tc>
              <w:tc>
                <w:tcPr>
                  <w:tcW w:w="1549" w:type="pct"/>
                  <w:gridSpan w:val="2"/>
                  <w:tcBorders>
                    <w:top w:val="single" w:color="000000" w:sz="4" w:space="0"/>
                    <w:left w:val="single" w:color="000000" w:sz="4" w:space="0"/>
                    <w:bottom w:val="single" w:color="000000" w:sz="4" w:space="0"/>
                  </w:tcBorders>
                  <w:noWrap w:val="0"/>
                  <w:vAlign w:val="center"/>
                </w:tcPr>
                <w:p w14:paraId="4CE0056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占地性质</w:t>
                  </w:r>
                </w:p>
              </w:tc>
            </w:tr>
            <w:tr w14:paraId="63DF5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77EDF4A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vMerge w:val="continue"/>
                  <w:tcBorders>
                    <w:top w:val="single" w:color="000000" w:sz="4" w:space="0"/>
                    <w:left w:val="single" w:color="000000" w:sz="4" w:space="0"/>
                    <w:bottom w:val="single" w:color="000000" w:sz="4" w:space="0"/>
                    <w:right w:val="single" w:color="000000" w:sz="4" w:space="0"/>
                  </w:tcBorders>
                  <w:noWrap w:val="0"/>
                  <w:vAlign w:val="center"/>
                </w:tcPr>
                <w:p w14:paraId="76C84D8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617" w:type="pct"/>
                  <w:vMerge w:val="continue"/>
                  <w:tcBorders>
                    <w:top w:val="single" w:color="000000" w:sz="4" w:space="0"/>
                    <w:left w:val="single" w:color="000000" w:sz="4" w:space="0"/>
                    <w:bottom w:val="single" w:color="000000" w:sz="4" w:space="0"/>
                    <w:right w:val="single" w:color="000000" w:sz="4" w:space="0"/>
                  </w:tcBorders>
                  <w:noWrap w:val="0"/>
                  <w:vAlign w:val="center"/>
                </w:tcPr>
                <w:p w14:paraId="22263FA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1169" w:type="pct"/>
                  <w:tcBorders>
                    <w:top w:val="single" w:color="000000" w:sz="4" w:space="0"/>
                    <w:left w:val="single" w:color="000000" w:sz="4" w:space="0"/>
                    <w:bottom w:val="single" w:color="000000" w:sz="4" w:space="0"/>
                    <w:right w:val="single" w:color="000000" w:sz="4" w:space="0"/>
                  </w:tcBorders>
                  <w:noWrap w:val="0"/>
                  <w:vAlign w:val="center"/>
                </w:tcPr>
                <w:p w14:paraId="0E6AE56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水域及水利设施用地</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14:paraId="5105E0B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永久占地</w:t>
                  </w:r>
                </w:p>
              </w:tc>
              <w:tc>
                <w:tcPr>
                  <w:tcW w:w="835" w:type="pct"/>
                  <w:tcBorders>
                    <w:top w:val="single" w:color="000000" w:sz="4" w:space="0"/>
                    <w:left w:val="single" w:color="000000" w:sz="4" w:space="0"/>
                    <w:bottom w:val="single" w:color="000000" w:sz="4" w:space="0"/>
                  </w:tcBorders>
                  <w:noWrap w:val="0"/>
                  <w:vAlign w:val="center"/>
                </w:tcPr>
                <w:p w14:paraId="68FEF39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临时占地</w:t>
                  </w:r>
                </w:p>
              </w:tc>
            </w:tr>
            <w:tr w14:paraId="3BA929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restart"/>
                  <w:tcBorders>
                    <w:top w:val="single" w:color="000000" w:sz="4" w:space="0"/>
                    <w:bottom w:val="single" w:color="000000" w:sz="4" w:space="0"/>
                    <w:right w:val="single" w:color="000000" w:sz="4" w:space="0"/>
                  </w:tcBorders>
                  <w:noWrap w:val="0"/>
                  <w:vAlign w:val="center"/>
                </w:tcPr>
                <w:p w14:paraId="4915E61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低山丘陵</w:t>
                  </w: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737B28D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主体工程区</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52AACF5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1169" w:type="pct"/>
                  <w:tcBorders>
                    <w:top w:val="single" w:color="000000" w:sz="4" w:space="0"/>
                    <w:left w:val="single" w:color="000000" w:sz="4" w:space="0"/>
                    <w:bottom w:val="single" w:color="000000" w:sz="4" w:space="0"/>
                    <w:right w:val="single" w:color="000000" w:sz="4" w:space="0"/>
                  </w:tcBorders>
                  <w:noWrap w:val="0"/>
                  <w:vAlign w:val="center"/>
                </w:tcPr>
                <w:p w14:paraId="3BFC879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14:paraId="10D09C7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835" w:type="pct"/>
                  <w:tcBorders>
                    <w:top w:val="single" w:color="000000" w:sz="4" w:space="0"/>
                    <w:left w:val="single" w:color="000000" w:sz="4" w:space="0"/>
                    <w:bottom w:val="single" w:color="000000" w:sz="4" w:space="0"/>
                  </w:tcBorders>
                  <w:noWrap w:val="0"/>
                  <w:vAlign w:val="center"/>
                </w:tcPr>
                <w:p w14:paraId="53622B2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w:t>
                  </w:r>
                </w:p>
              </w:tc>
            </w:tr>
            <w:tr w14:paraId="0E324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0B02514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2B23817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填塘工程区</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2832E871">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0.27</w:t>
                  </w:r>
                </w:p>
              </w:tc>
              <w:tc>
                <w:tcPr>
                  <w:tcW w:w="1169" w:type="pct"/>
                  <w:tcBorders>
                    <w:top w:val="single" w:color="000000" w:sz="4" w:space="0"/>
                    <w:left w:val="single" w:color="000000" w:sz="4" w:space="0"/>
                    <w:bottom w:val="single" w:color="000000" w:sz="4" w:space="0"/>
                    <w:right w:val="single" w:color="000000" w:sz="4" w:space="0"/>
                  </w:tcBorders>
                  <w:noWrap w:val="0"/>
                  <w:vAlign w:val="center"/>
                </w:tcPr>
                <w:p w14:paraId="3E331A9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0.27</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14:paraId="7F29D8B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w:t>
                  </w:r>
                </w:p>
              </w:tc>
              <w:tc>
                <w:tcPr>
                  <w:tcW w:w="835" w:type="pct"/>
                  <w:tcBorders>
                    <w:top w:val="single" w:color="000000" w:sz="4" w:space="0"/>
                    <w:left w:val="single" w:color="000000" w:sz="4" w:space="0"/>
                    <w:bottom w:val="single" w:color="000000" w:sz="4" w:space="0"/>
                  </w:tcBorders>
                  <w:noWrap w:val="0"/>
                  <w:vAlign w:val="center"/>
                </w:tcPr>
                <w:p w14:paraId="2785113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0.27</w:t>
                  </w:r>
                </w:p>
              </w:tc>
            </w:tr>
            <w:tr w14:paraId="6D4238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18C8A76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16CC85C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施工生产区</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22E475B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0.10</w:t>
                  </w:r>
                </w:p>
              </w:tc>
              <w:tc>
                <w:tcPr>
                  <w:tcW w:w="1169" w:type="pct"/>
                  <w:tcBorders>
                    <w:top w:val="single" w:color="000000" w:sz="4" w:space="0"/>
                    <w:left w:val="single" w:color="000000" w:sz="4" w:space="0"/>
                    <w:bottom w:val="single" w:color="000000" w:sz="4" w:space="0"/>
                    <w:right w:val="single" w:color="000000" w:sz="4" w:space="0"/>
                  </w:tcBorders>
                  <w:noWrap w:val="0"/>
                  <w:vAlign w:val="center"/>
                </w:tcPr>
                <w:p w14:paraId="234B845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0.10</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14:paraId="1692A771">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w:t>
                  </w:r>
                </w:p>
              </w:tc>
              <w:tc>
                <w:tcPr>
                  <w:tcW w:w="835" w:type="pct"/>
                  <w:tcBorders>
                    <w:top w:val="single" w:color="000000" w:sz="4" w:space="0"/>
                    <w:left w:val="single" w:color="000000" w:sz="4" w:space="0"/>
                    <w:bottom w:val="single" w:color="000000" w:sz="4" w:space="0"/>
                  </w:tcBorders>
                  <w:noWrap w:val="0"/>
                  <w:vAlign w:val="center"/>
                </w:tcPr>
                <w:p w14:paraId="620248B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0.10</w:t>
                  </w:r>
                </w:p>
              </w:tc>
            </w:tr>
            <w:tr w14:paraId="311F5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17F1FB3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258D5C1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总计</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797FDD0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2.23</w:t>
                  </w:r>
                </w:p>
              </w:tc>
              <w:tc>
                <w:tcPr>
                  <w:tcW w:w="1169" w:type="pct"/>
                  <w:tcBorders>
                    <w:top w:val="single" w:color="000000" w:sz="4" w:space="0"/>
                    <w:left w:val="single" w:color="000000" w:sz="4" w:space="0"/>
                    <w:bottom w:val="single" w:color="000000" w:sz="4" w:space="0"/>
                    <w:right w:val="single" w:color="000000" w:sz="4" w:space="0"/>
                  </w:tcBorders>
                  <w:noWrap w:val="0"/>
                  <w:vAlign w:val="center"/>
                </w:tcPr>
                <w:p w14:paraId="48E3D98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2.23</w:t>
                  </w:r>
                </w:p>
              </w:tc>
              <w:tc>
                <w:tcPr>
                  <w:tcW w:w="713" w:type="pct"/>
                  <w:tcBorders>
                    <w:top w:val="single" w:color="000000" w:sz="4" w:space="0"/>
                    <w:left w:val="single" w:color="000000" w:sz="4" w:space="0"/>
                    <w:bottom w:val="single" w:color="000000" w:sz="4" w:space="0"/>
                    <w:right w:val="single" w:color="000000" w:sz="4" w:space="0"/>
                  </w:tcBorders>
                  <w:noWrap w:val="0"/>
                  <w:vAlign w:val="center"/>
                </w:tcPr>
                <w:p w14:paraId="484A66E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835" w:type="pct"/>
                  <w:tcBorders>
                    <w:top w:val="single" w:color="000000" w:sz="4" w:space="0"/>
                    <w:left w:val="single" w:color="000000" w:sz="4" w:space="0"/>
                    <w:bottom w:val="single" w:color="000000" w:sz="4" w:space="0"/>
                  </w:tcBorders>
                  <w:noWrap w:val="0"/>
                  <w:vAlign w:val="center"/>
                </w:tcPr>
                <w:p w14:paraId="6460606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0.37</w:t>
                  </w:r>
                </w:p>
              </w:tc>
            </w:tr>
          </w:tbl>
          <w:p w14:paraId="3F074D9E">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4</w:t>
            </w:r>
            <w:r>
              <w:rPr>
                <w:rFonts w:hint="default" w:ascii="Times New Roman" w:hAnsi="Times New Roman" w:eastAsia="宋体" w:cs="Times New Roman"/>
                <w:b/>
                <w:bCs/>
                <w:color w:val="auto"/>
                <w:kern w:val="0"/>
                <w:sz w:val="21"/>
                <w:szCs w:val="21"/>
                <w:highlight w:val="none"/>
                <w:lang w:val="en-US" w:eastAsia="zh-CN"/>
              </w:rPr>
              <w:t>、土石方工程</w:t>
            </w:r>
          </w:p>
          <w:p w14:paraId="2529B9E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土石方调运坚持尽量减少取、弃方量的原则，工程土方总量</w:t>
            </w:r>
            <w:r>
              <w:rPr>
                <w:rFonts w:hint="default" w:ascii="Times New Roman" w:hAnsi="Times New Roman" w:eastAsia="宋体" w:cs="Times New Roman"/>
                <w:color w:val="auto"/>
                <w:kern w:val="0"/>
                <w:sz w:val="21"/>
                <w:szCs w:val="21"/>
                <w:highlight w:val="none"/>
                <w:lang w:val="en-US" w:eastAsia="zh-CN"/>
              </w:rPr>
              <w:t>2.</w:t>
            </w:r>
            <w:r>
              <w:rPr>
                <w:rFonts w:hint="eastAsia"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，土方开挖0.</w:t>
            </w:r>
            <w:r>
              <w:rPr>
                <w:rFonts w:hint="default" w:ascii="Times New Roman" w:hAnsi="Times New Roman" w:eastAsia="宋体" w:cs="Times New Roman"/>
                <w:color w:val="auto"/>
                <w:kern w:val="0"/>
                <w:sz w:val="21"/>
                <w:szCs w:val="21"/>
                <w:highlight w:val="none"/>
                <w:lang w:val="en-US" w:eastAsia="zh-CN"/>
              </w:rPr>
              <w:t>8</w:t>
            </w:r>
            <w:r>
              <w:rPr>
                <w:rFonts w:hint="eastAsia" w:cs="Times New Roman"/>
                <w:color w:val="auto"/>
                <w:kern w:val="0"/>
                <w:sz w:val="21"/>
                <w:szCs w:val="21"/>
                <w:highlight w:val="none"/>
                <w:lang w:val="en-US" w:eastAsia="zh-CN"/>
              </w:rPr>
              <w:t>6</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（含表土剥离0.</w:t>
            </w:r>
            <w:r>
              <w:rPr>
                <w:rFonts w:hint="default"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7</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），填方</w:t>
            </w:r>
            <w:r>
              <w:rPr>
                <w:rFonts w:hint="default" w:ascii="Times New Roman" w:hAnsi="Times New Roman" w:eastAsia="宋体" w:cs="Times New Roman"/>
                <w:color w:val="auto"/>
                <w:kern w:val="0"/>
                <w:sz w:val="21"/>
                <w:szCs w:val="21"/>
                <w:highlight w:val="none"/>
                <w:lang w:val="en-US" w:eastAsia="zh-CN"/>
              </w:rPr>
              <w:t>1.3</w:t>
            </w:r>
            <w:r>
              <w:rPr>
                <w:rFonts w:hint="eastAsia" w:cs="Times New Roman"/>
                <w:color w:val="auto"/>
                <w:kern w:val="0"/>
                <w:sz w:val="21"/>
                <w:szCs w:val="21"/>
                <w:highlight w:val="none"/>
                <w:lang w:val="en-US" w:eastAsia="zh-CN"/>
              </w:rPr>
              <w:t>6</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（含表土回覆0.</w:t>
            </w:r>
            <w:r>
              <w:rPr>
                <w:rFonts w:hint="default"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7</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），借方0.</w:t>
            </w:r>
            <w:r>
              <w:rPr>
                <w:rFonts w:hint="default" w:ascii="Times New Roman" w:hAnsi="Times New Roman" w:eastAsia="宋体" w:cs="Times New Roman"/>
                <w:color w:val="auto"/>
                <w:kern w:val="0"/>
                <w:sz w:val="21"/>
                <w:szCs w:val="21"/>
                <w:highlight w:val="none"/>
                <w:lang w:val="en-US" w:eastAsia="zh-CN"/>
              </w:rPr>
              <w:t>50</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eastAsia" w:cs="Times New Roman"/>
                <w:color w:val="auto"/>
                <w:kern w:val="0"/>
                <w:sz w:val="21"/>
                <w:szCs w:val="21"/>
                <w:highlight w:val="none"/>
                <w:lang w:eastAsia="zh-CN"/>
              </w:rPr>
              <w:t>。</w:t>
            </w:r>
            <w:r>
              <w:rPr>
                <w:rFonts w:hint="eastAsia"/>
                <w:color w:val="auto"/>
                <w:kern w:val="0"/>
                <w:sz w:val="21"/>
                <w:szCs w:val="21"/>
                <w:highlight w:val="none"/>
              </w:rPr>
              <w:t>借方来源于2025农田整治项目</w:t>
            </w:r>
            <w:r>
              <w:rPr>
                <w:rFonts w:hint="eastAsia"/>
                <w:color w:val="auto"/>
                <w:kern w:val="0"/>
                <w:sz w:val="21"/>
                <w:szCs w:val="21"/>
                <w:highlight w:val="none"/>
                <w:lang w:val="en-US" w:eastAsia="zh-CN"/>
              </w:rPr>
              <w:t>弃土</w:t>
            </w:r>
            <w:r>
              <w:rPr>
                <w:rFonts w:hint="eastAsia"/>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挖方全部回填利用，主体工程建筑物挖方回填原区域，大坝背水侧清基土方、施工围堰拆除余土填入填塘工程区，</w:t>
            </w:r>
            <w:r>
              <w:rPr>
                <w:rFonts w:hint="eastAsia"/>
                <w:color w:val="auto"/>
                <w:kern w:val="0"/>
                <w:sz w:val="21"/>
                <w:szCs w:val="21"/>
                <w:highlight w:val="none"/>
              </w:rPr>
              <w:t>施工结束后</w:t>
            </w:r>
            <w:r>
              <w:rPr>
                <w:rFonts w:hint="eastAsia"/>
                <w:color w:val="auto"/>
                <w:kern w:val="0"/>
                <w:sz w:val="21"/>
                <w:szCs w:val="21"/>
                <w:highlight w:val="none"/>
                <w:lang w:eastAsia="zh-CN"/>
              </w:rPr>
              <w:t>低洼</w:t>
            </w:r>
            <w:r>
              <w:rPr>
                <w:rFonts w:hint="eastAsia"/>
                <w:color w:val="auto"/>
                <w:kern w:val="0"/>
                <w:sz w:val="21"/>
                <w:szCs w:val="21"/>
                <w:highlight w:val="none"/>
              </w:rPr>
              <w:t>坑塘填平与周围地形基本一致</w:t>
            </w:r>
            <w:r>
              <w:rPr>
                <w:rFonts w:hint="eastAsia"/>
                <w:color w:val="auto"/>
                <w:kern w:val="0"/>
                <w:sz w:val="21"/>
                <w:szCs w:val="21"/>
                <w:highlight w:val="none"/>
                <w:lang w:eastAsia="zh-CN"/>
              </w:rPr>
              <w:t>，</w:t>
            </w:r>
            <w:r>
              <w:rPr>
                <w:rFonts w:hint="eastAsia"/>
                <w:color w:val="auto"/>
                <w:kern w:val="0"/>
                <w:sz w:val="21"/>
                <w:szCs w:val="21"/>
                <w:highlight w:val="none"/>
              </w:rPr>
              <w:t>无弃</w:t>
            </w:r>
            <w:r>
              <w:rPr>
                <w:rFonts w:hint="eastAsia"/>
                <w:color w:val="auto"/>
                <w:kern w:val="0"/>
                <w:sz w:val="21"/>
                <w:szCs w:val="21"/>
                <w:highlight w:val="none"/>
                <w:lang w:eastAsia="zh-CN"/>
              </w:rPr>
              <w:t>土</w:t>
            </w:r>
            <w:r>
              <w:rPr>
                <w:rFonts w:hint="eastAsia"/>
                <w:color w:val="auto"/>
                <w:kern w:val="0"/>
                <w:sz w:val="21"/>
                <w:szCs w:val="21"/>
                <w:highlight w:val="none"/>
              </w:rPr>
              <w:t>产生</w:t>
            </w:r>
            <w:r>
              <w:rPr>
                <w:rFonts w:hint="eastAsia"/>
                <w:color w:val="auto"/>
                <w:kern w:val="0"/>
                <w:sz w:val="21"/>
                <w:szCs w:val="21"/>
                <w:highlight w:val="none"/>
                <w:lang w:eastAsia="zh-CN"/>
              </w:rPr>
              <w:t>，</w:t>
            </w:r>
            <w:r>
              <w:rPr>
                <w:rFonts w:hint="eastAsia"/>
                <w:color w:val="auto"/>
                <w:kern w:val="0"/>
                <w:sz w:val="21"/>
                <w:szCs w:val="21"/>
                <w:highlight w:val="none"/>
              </w:rPr>
              <w:t>工程</w:t>
            </w:r>
            <w:r>
              <w:rPr>
                <w:rFonts w:hint="eastAsia"/>
                <w:color w:val="auto"/>
                <w:kern w:val="0"/>
                <w:sz w:val="21"/>
                <w:szCs w:val="21"/>
                <w:highlight w:val="none"/>
                <w:lang w:val="en-US" w:eastAsia="zh-CN"/>
              </w:rPr>
              <w:t>不</w:t>
            </w:r>
            <w:r>
              <w:rPr>
                <w:rFonts w:hint="eastAsia"/>
                <w:color w:val="auto"/>
                <w:kern w:val="0"/>
                <w:sz w:val="21"/>
                <w:szCs w:val="21"/>
                <w:highlight w:val="none"/>
                <w:lang w:eastAsia="zh-CN"/>
              </w:rPr>
              <w:t>设置</w:t>
            </w:r>
            <w:r>
              <w:rPr>
                <w:rFonts w:hint="eastAsia"/>
                <w:color w:val="auto"/>
                <w:kern w:val="0"/>
                <w:sz w:val="21"/>
                <w:szCs w:val="21"/>
                <w:highlight w:val="none"/>
              </w:rPr>
              <w:t>弃</w:t>
            </w:r>
            <w:r>
              <w:rPr>
                <w:rFonts w:hint="eastAsia"/>
                <w:color w:val="auto"/>
                <w:kern w:val="0"/>
                <w:sz w:val="21"/>
                <w:szCs w:val="21"/>
                <w:highlight w:val="none"/>
                <w:lang w:eastAsia="zh-CN"/>
              </w:rPr>
              <w:t>土</w:t>
            </w:r>
            <w:r>
              <w:rPr>
                <w:rFonts w:hint="eastAsia"/>
                <w:color w:val="auto"/>
                <w:kern w:val="0"/>
                <w:sz w:val="21"/>
                <w:szCs w:val="21"/>
                <w:highlight w:val="none"/>
              </w:rPr>
              <w:t>场</w:t>
            </w:r>
            <w:r>
              <w:rPr>
                <w:rFonts w:hint="default" w:ascii="Times New Roman" w:hAnsi="Times New Roman" w:eastAsia="宋体" w:cs="Times New Roman"/>
                <w:color w:val="auto"/>
                <w:kern w:val="0"/>
                <w:sz w:val="21"/>
                <w:szCs w:val="21"/>
                <w:highlight w:val="none"/>
              </w:rPr>
              <w:t>。</w:t>
            </w:r>
          </w:p>
          <w:p w14:paraId="6023547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表2-</w:t>
            </w:r>
            <w:r>
              <w:rPr>
                <w:rFonts w:hint="eastAsia" w:cs="Times New Roman"/>
                <w:b/>
                <w:bCs/>
                <w:color w:val="auto"/>
                <w:kern w:val="0"/>
                <w:sz w:val="21"/>
                <w:szCs w:val="21"/>
                <w:highlight w:val="none"/>
                <w:lang w:val="en-US" w:eastAsia="zh-CN"/>
              </w:rPr>
              <w:t>3</w:t>
            </w:r>
            <w:r>
              <w:rPr>
                <w:rFonts w:hint="default" w:ascii="Times New Roman" w:hAnsi="Times New Roman" w:eastAsia="宋体" w:cs="Times New Roman"/>
                <w:b/>
                <w:bCs/>
                <w:color w:val="auto"/>
                <w:kern w:val="0"/>
                <w:sz w:val="21"/>
                <w:szCs w:val="21"/>
                <w:highlight w:val="none"/>
                <w:lang w:val="en-US" w:eastAsia="zh-CN"/>
              </w:rPr>
              <w:t>土石方平衡表（</w:t>
            </w:r>
            <w:r>
              <w:rPr>
                <w:rFonts w:hint="eastAsia" w:cs="Times New Roman"/>
                <w:b/>
                <w:bCs/>
                <w:color w:val="auto"/>
                <w:kern w:val="0"/>
                <w:sz w:val="21"/>
                <w:szCs w:val="21"/>
                <w:highlight w:val="none"/>
                <w:lang w:val="en-US" w:eastAsia="zh-CN"/>
              </w:rPr>
              <w:t>万</w:t>
            </w:r>
            <w:r>
              <w:rPr>
                <w:rFonts w:hint="default" w:ascii="Times New Roman" w:hAnsi="Times New Roman" w:eastAsia="宋体" w:cs="Times New Roman"/>
                <w:b/>
                <w:bCs/>
                <w:color w:val="auto"/>
                <w:kern w:val="0"/>
                <w:sz w:val="21"/>
                <w:szCs w:val="21"/>
                <w:highlight w:val="none"/>
                <w:lang w:val="en-US" w:eastAsia="zh-CN"/>
              </w:rPr>
              <w:t>m</w:t>
            </w:r>
            <w:r>
              <w:rPr>
                <w:rFonts w:hint="default" w:ascii="Times New Roman" w:hAnsi="Times New Roman" w:eastAsia="宋体" w:cs="Times New Roman"/>
                <w:b/>
                <w:bCs/>
                <w:color w:val="auto"/>
                <w:kern w:val="0"/>
                <w:sz w:val="21"/>
                <w:szCs w:val="21"/>
                <w:highlight w:val="none"/>
                <w:vertAlign w:val="superscript"/>
                <w:lang w:val="en-US" w:eastAsia="zh-CN"/>
              </w:rPr>
              <w:t>3</w:t>
            </w:r>
            <w:r>
              <w:rPr>
                <w:rFonts w:hint="default" w:ascii="Times New Roman" w:hAnsi="Times New Roman" w:eastAsia="宋体" w:cs="Times New Roman"/>
                <w:b/>
                <w:bCs/>
                <w:color w:val="auto"/>
                <w:kern w:val="0"/>
                <w:sz w:val="21"/>
                <w:szCs w:val="21"/>
                <w:highlight w:val="none"/>
                <w:lang w:val="en-US" w:eastAsia="zh-CN"/>
              </w:rPr>
              <w:t>）</w:t>
            </w:r>
          </w:p>
          <w:tbl>
            <w:tblPr>
              <w:tblStyle w:val="24"/>
              <w:tblW w:w="5000" w:type="pct"/>
              <w:tblInd w:w="5"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108" w:type="dxa"/>
                <w:bottom w:w="0" w:type="dxa"/>
                <w:right w:w="108" w:type="dxa"/>
              </w:tblCellMar>
            </w:tblPr>
            <w:tblGrid>
              <w:gridCol w:w="338"/>
              <w:gridCol w:w="780"/>
              <w:gridCol w:w="591"/>
              <w:gridCol w:w="572"/>
              <w:gridCol w:w="559"/>
              <w:gridCol w:w="545"/>
              <w:gridCol w:w="825"/>
              <w:gridCol w:w="559"/>
              <w:gridCol w:w="868"/>
              <w:gridCol w:w="566"/>
              <w:gridCol w:w="1076"/>
              <w:gridCol w:w="444"/>
              <w:gridCol w:w="271"/>
            </w:tblGrid>
            <w:tr w14:paraId="78A2F7C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211" w:type="pct"/>
                  <w:vMerge w:val="restart"/>
                  <w:tcBorders>
                    <w:top w:val="single" w:color="000000" w:sz="4" w:space="0"/>
                    <w:bottom w:val="single" w:color="000000" w:sz="4" w:space="0"/>
                    <w:right w:val="single" w:color="000000" w:sz="4" w:space="0"/>
                  </w:tcBorders>
                  <w:noWrap/>
                  <w:vAlign w:val="center"/>
                </w:tcPr>
                <w:p w14:paraId="43F9B3F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序号</w:t>
                  </w:r>
                </w:p>
              </w:tc>
              <w:tc>
                <w:tcPr>
                  <w:tcW w:w="857" w:type="pct"/>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6D835BB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357" w:type="pct"/>
                  <w:vMerge w:val="restart"/>
                  <w:tcBorders>
                    <w:top w:val="single" w:color="000000" w:sz="4" w:space="0"/>
                    <w:left w:val="single" w:color="000000" w:sz="4" w:space="0"/>
                    <w:bottom w:val="single" w:color="000000" w:sz="4" w:space="0"/>
                    <w:right w:val="single" w:color="000000" w:sz="4" w:space="0"/>
                  </w:tcBorders>
                  <w:noWrap/>
                  <w:vAlign w:val="center"/>
                </w:tcPr>
                <w:p w14:paraId="608D6D8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挖方</w:t>
                  </w:r>
                </w:p>
              </w:tc>
              <w:tc>
                <w:tcPr>
                  <w:tcW w:w="349" w:type="pct"/>
                  <w:vMerge w:val="restart"/>
                  <w:tcBorders>
                    <w:top w:val="single" w:color="000000" w:sz="4" w:space="0"/>
                    <w:left w:val="single" w:color="000000" w:sz="4" w:space="0"/>
                    <w:bottom w:val="single" w:color="000000" w:sz="4" w:space="0"/>
                    <w:right w:val="single" w:color="000000" w:sz="4" w:space="0"/>
                  </w:tcBorders>
                  <w:noWrap/>
                  <w:vAlign w:val="center"/>
                </w:tcPr>
                <w:p w14:paraId="3D5E487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填方</w:t>
                  </w:r>
                </w:p>
              </w:tc>
              <w:tc>
                <w:tcPr>
                  <w:tcW w:w="856" w:type="pct"/>
                  <w:gridSpan w:val="2"/>
                  <w:tcBorders>
                    <w:top w:val="single" w:color="000000" w:sz="4" w:space="0"/>
                    <w:left w:val="single" w:color="000000" w:sz="4" w:space="0"/>
                    <w:bottom w:val="single" w:color="000000" w:sz="4" w:space="0"/>
                    <w:right w:val="single" w:color="000000" w:sz="4" w:space="0"/>
                  </w:tcBorders>
                  <w:noWrap/>
                  <w:vAlign w:val="center"/>
                </w:tcPr>
                <w:p w14:paraId="20910C3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调入</w:t>
                  </w:r>
                </w:p>
              </w:tc>
              <w:tc>
                <w:tcPr>
                  <w:tcW w:w="892" w:type="pct"/>
                  <w:gridSpan w:val="2"/>
                  <w:tcBorders>
                    <w:top w:val="single" w:color="000000" w:sz="4" w:space="0"/>
                    <w:left w:val="single" w:color="000000" w:sz="4" w:space="0"/>
                    <w:bottom w:val="single" w:color="000000" w:sz="4" w:space="0"/>
                    <w:right w:val="single" w:color="000000" w:sz="4" w:space="0"/>
                  </w:tcBorders>
                  <w:noWrap/>
                  <w:vAlign w:val="center"/>
                </w:tcPr>
                <w:p w14:paraId="6200A54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调出</w:t>
                  </w:r>
                </w:p>
              </w:tc>
              <w:tc>
                <w:tcPr>
                  <w:tcW w:w="1027" w:type="pct"/>
                  <w:gridSpan w:val="2"/>
                  <w:tcBorders>
                    <w:top w:val="single" w:color="000000" w:sz="4" w:space="0"/>
                    <w:left w:val="single" w:color="000000" w:sz="4" w:space="0"/>
                    <w:bottom w:val="single" w:color="000000" w:sz="4" w:space="0"/>
                    <w:right w:val="single" w:color="000000" w:sz="4" w:space="0"/>
                  </w:tcBorders>
                  <w:noWrap/>
                  <w:vAlign w:val="center"/>
                </w:tcPr>
                <w:p w14:paraId="6F4833A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借方</w:t>
                  </w:r>
                </w:p>
              </w:tc>
              <w:tc>
                <w:tcPr>
                  <w:tcW w:w="447" w:type="pct"/>
                  <w:gridSpan w:val="2"/>
                  <w:tcBorders>
                    <w:top w:val="single" w:color="000000" w:sz="4" w:space="0"/>
                    <w:left w:val="single" w:color="000000" w:sz="4" w:space="0"/>
                    <w:bottom w:val="single" w:color="000000" w:sz="4" w:space="0"/>
                  </w:tcBorders>
                  <w:noWrap/>
                  <w:vAlign w:val="center"/>
                </w:tcPr>
                <w:p w14:paraId="1AA8843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弃方</w:t>
                  </w:r>
                </w:p>
              </w:tc>
            </w:tr>
            <w:tr w14:paraId="4A3C72B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211" w:type="pct"/>
                  <w:vMerge w:val="continue"/>
                  <w:tcBorders>
                    <w:top w:val="single" w:color="000000" w:sz="4" w:space="0"/>
                    <w:bottom w:val="single" w:color="000000" w:sz="4" w:space="0"/>
                    <w:right w:val="single" w:color="000000" w:sz="4" w:space="0"/>
                  </w:tcBorders>
                  <w:noWrap w:val="0"/>
                  <w:vAlign w:val="center"/>
                </w:tcPr>
                <w:p w14:paraId="4E11010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857" w:type="pct"/>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7468F8B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357" w:type="pct"/>
                  <w:vMerge w:val="continue"/>
                  <w:tcBorders>
                    <w:top w:val="single" w:color="000000" w:sz="4" w:space="0"/>
                    <w:left w:val="single" w:color="000000" w:sz="4" w:space="0"/>
                    <w:bottom w:val="single" w:color="000000" w:sz="4" w:space="0"/>
                    <w:right w:val="single" w:color="000000" w:sz="4" w:space="0"/>
                  </w:tcBorders>
                  <w:noWrap w:val="0"/>
                  <w:vAlign w:val="center"/>
                </w:tcPr>
                <w:p w14:paraId="210F3EC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349" w:type="pct"/>
                  <w:vMerge w:val="continue"/>
                  <w:tcBorders>
                    <w:top w:val="single" w:color="000000" w:sz="4" w:space="0"/>
                    <w:left w:val="single" w:color="000000" w:sz="4" w:space="0"/>
                    <w:bottom w:val="single" w:color="000000" w:sz="4" w:space="0"/>
                    <w:right w:val="single" w:color="000000" w:sz="4" w:space="0"/>
                  </w:tcBorders>
                  <w:noWrap w:val="0"/>
                  <w:vAlign w:val="center"/>
                </w:tcPr>
                <w:p w14:paraId="60EE622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340" w:type="pct"/>
                  <w:tcBorders>
                    <w:top w:val="single" w:color="000000" w:sz="4" w:space="0"/>
                    <w:left w:val="single" w:color="000000" w:sz="4" w:space="0"/>
                    <w:bottom w:val="single" w:color="000000" w:sz="4" w:space="0"/>
                    <w:right w:val="single" w:color="000000" w:sz="4" w:space="0"/>
                  </w:tcBorders>
                  <w:noWrap/>
                  <w:vAlign w:val="center"/>
                </w:tcPr>
                <w:p w14:paraId="71DF95E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数量</w:t>
                  </w:r>
                </w:p>
              </w:tc>
              <w:tc>
                <w:tcPr>
                  <w:tcW w:w="516" w:type="pct"/>
                  <w:tcBorders>
                    <w:top w:val="single" w:color="000000" w:sz="4" w:space="0"/>
                    <w:left w:val="single" w:color="000000" w:sz="4" w:space="0"/>
                    <w:bottom w:val="single" w:color="000000" w:sz="4" w:space="0"/>
                    <w:right w:val="single" w:color="000000" w:sz="4" w:space="0"/>
                  </w:tcBorders>
                  <w:noWrap/>
                  <w:vAlign w:val="center"/>
                </w:tcPr>
                <w:p w14:paraId="6ABE777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来源</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605BCA6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数量</w:t>
                  </w:r>
                </w:p>
              </w:tc>
              <w:tc>
                <w:tcPr>
                  <w:tcW w:w="542" w:type="pct"/>
                  <w:tcBorders>
                    <w:top w:val="single" w:color="000000" w:sz="4" w:space="0"/>
                    <w:left w:val="single" w:color="000000" w:sz="4" w:space="0"/>
                    <w:bottom w:val="single" w:color="000000" w:sz="4" w:space="0"/>
                    <w:right w:val="single" w:color="000000" w:sz="4" w:space="0"/>
                  </w:tcBorders>
                  <w:noWrap/>
                  <w:vAlign w:val="center"/>
                </w:tcPr>
                <w:p w14:paraId="752D948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去向</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0C6BC87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数量</w:t>
                  </w:r>
                </w:p>
              </w:tc>
              <w:tc>
                <w:tcPr>
                  <w:tcW w:w="673" w:type="pct"/>
                  <w:tcBorders>
                    <w:top w:val="single" w:color="000000" w:sz="4" w:space="0"/>
                    <w:left w:val="single" w:color="000000" w:sz="4" w:space="0"/>
                    <w:bottom w:val="single" w:color="000000" w:sz="4" w:space="0"/>
                    <w:right w:val="single" w:color="000000" w:sz="4" w:space="0"/>
                  </w:tcBorders>
                  <w:noWrap/>
                  <w:vAlign w:val="center"/>
                </w:tcPr>
                <w:p w14:paraId="6F57F1C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来源</w:t>
                  </w:r>
                </w:p>
              </w:tc>
              <w:tc>
                <w:tcPr>
                  <w:tcW w:w="277" w:type="pct"/>
                  <w:tcBorders>
                    <w:top w:val="single" w:color="000000" w:sz="4" w:space="0"/>
                    <w:left w:val="single" w:color="000000" w:sz="4" w:space="0"/>
                    <w:bottom w:val="single" w:color="000000" w:sz="4" w:space="0"/>
                    <w:right w:val="single" w:color="000000" w:sz="4" w:space="0"/>
                  </w:tcBorders>
                  <w:noWrap/>
                  <w:vAlign w:val="center"/>
                </w:tcPr>
                <w:p w14:paraId="0C12571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数量</w:t>
                  </w:r>
                </w:p>
              </w:tc>
              <w:tc>
                <w:tcPr>
                  <w:tcW w:w="169" w:type="pct"/>
                  <w:tcBorders>
                    <w:top w:val="single" w:color="000000" w:sz="4" w:space="0"/>
                    <w:left w:val="single" w:color="000000" w:sz="4" w:space="0"/>
                    <w:bottom w:val="single" w:color="000000" w:sz="4" w:space="0"/>
                  </w:tcBorders>
                  <w:noWrap/>
                  <w:vAlign w:val="center"/>
                </w:tcPr>
                <w:p w14:paraId="3666B7E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去向</w:t>
                  </w:r>
                </w:p>
              </w:tc>
            </w:tr>
            <w:tr w14:paraId="2CC0E88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211" w:type="pct"/>
                  <w:tcBorders>
                    <w:top w:val="single" w:color="000000" w:sz="4" w:space="0"/>
                    <w:bottom w:val="single" w:color="000000" w:sz="4" w:space="0"/>
                    <w:right w:val="single" w:color="000000" w:sz="4" w:space="0"/>
                  </w:tcBorders>
                  <w:noWrap/>
                  <w:vAlign w:val="center"/>
                </w:tcPr>
                <w:p w14:paraId="59B9E01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eastAsia" w:ascii="Times New Roman" w:hAnsi="Times New Roman" w:eastAsia="宋体" w:cs="Times New Roman"/>
                      <w:color w:val="auto"/>
                      <w:spacing w:val="0"/>
                      <w:sz w:val="18"/>
                      <w:szCs w:val="18"/>
                      <w:highlight w:val="none"/>
                      <w:lang w:eastAsia="zh-CN"/>
                    </w:rPr>
                  </w:pPr>
                  <w:r>
                    <w:rPr>
                      <w:rFonts w:hint="eastAsia" w:cs="Times New Roman"/>
                      <w:color w:val="auto"/>
                      <w:spacing w:val="0"/>
                      <w:sz w:val="18"/>
                      <w:szCs w:val="18"/>
                      <w:highlight w:val="none"/>
                      <w:lang w:val="en-US" w:eastAsia="zh-CN"/>
                    </w:rPr>
                    <w:t>1</w:t>
                  </w:r>
                </w:p>
              </w:tc>
              <w:tc>
                <w:tcPr>
                  <w:tcW w:w="487" w:type="pct"/>
                  <w:tcBorders>
                    <w:top w:val="single" w:color="000000" w:sz="4" w:space="0"/>
                    <w:left w:val="single" w:color="000000" w:sz="4" w:space="0"/>
                    <w:bottom w:val="single" w:color="000000" w:sz="4" w:space="0"/>
                    <w:right w:val="single" w:color="000000" w:sz="4" w:space="0"/>
                  </w:tcBorders>
                  <w:noWrap/>
                  <w:vAlign w:val="center"/>
                </w:tcPr>
                <w:p w14:paraId="36B1185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主体工程区</w:t>
                  </w:r>
                </w:p>
              </w:tc>
              <w:tc>
                <w:tcPr>
                  <w:tcW w:w="369" w:type="pct"/>
                  <w:tcBorders>
                    <w:top w:val="single" w:color="000000" w:sz="4" w:space="0"/>
                    <w:left w:val="single" w:color="000000" w:sz="4" w:space="0"/>
                    <w:bottom w:val="single" w:color="000000" w:sz="4" w:space="0"/>
                    <w:right w:val="single" w:color="000000" w:sz="4" w:space="0"/>
                  </w:tcBorders>
                  <w:noWrap/>
                  <w:vAlign w:val="center"/>
                </w:tcPr>
                <w:p w14:paraId="7759711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土方</w:t>
                  </w:r>
                </w:p>
              </w:tc>
              <w:tc>
                <w:tcPr>
                  <w:tcW w:w="357" w:type="pct"/>
                  <w:tcBorders>
                    <w:top w:val="single" w:color="000000" w:sz="4" w:space="0"/>
                    <w:left w:val="single" w:color="000000" w:sz="4" w:space="0"/>
                    <w:bottom w:val="single" w:color="000000" w:sz="4" w:space="0"/>
                    <w:right w:val="single" w:color="000000" w:sz="4" w:space="0"/>
                  </w:tcBorders>
                  <w:noWrap/>
                  <w:vAlign w:val="center"/>
                </w:tcPr>
                <w:p w14:paraId="5865FFB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0.54</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7A57C42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0.77</w:t>
                  </w:r>
                </w:p>
              </w:tc>
              <w:tc>
                <w:tcPr>
                  <w:tcW w:w="340" w:type="pct"/>
                  <w:tcBorders>
                    <w:top w:val="single" w:color="000000" w:sz="4" w:space="0"/>
                    <w:left w:val="single" w:color="000000" w:sz="4" w:space="0"/>
                    <w:bottom w:val="single" w:color="000000" w:sz="4" w:space="0"/>
                    <w:right w:val="single" w:color="000000" w:sz="4" w:space="0"/>
                  </w:tcBorders>
                  <w:noWrap/>
                  <w:vAlign w:val="center"/>
                </w:tcPr>
                <w:p w14:paraId="59FBEA61">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516" w:type="pct"/>
                  <w:tcBorders>
                    <w:top w:val="single" w:color="000000" w:sz="4" w:space="0"/>
                    <w:left w:val="single" w:color="000000" w:sz="4" w:space="0"/>
                    <w:bottom w:val="single" w:color="000000" w:sz="4" w:space="0"/>
                    <w:right w:val="single" w:color="000000" w:sz="4" w:space="0"/>
                  </w:tcBorders>
                  <w:noWrap/>
                  <w:vAlign w:val="center"/>
                </w:tcPr>
                <w:p w14:paraId="1A06444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185D002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0.27</w:t>
                  </w:r>
                </w:p>
              </w:tc>
              <w:tc>
                <w:tcPr>
                  <w:tcW w:w="542" w:type="pct"/>
                  <w:tcBorders>
                    <w:top w:val="single" w:color="000000" w:sz="4" w:space="0"/>
                    <w:left w:val="single" w:color="000000" w:sz="4" w:space="0"/>
                    <w:bottom w:val="single" w:color="000000" w:sz="4" w:space="0"/>
                    <w:right w:val="single" w:color="000000" w:sz="4" w:space="0"/>
                  </w:tcBorders>
                  <w:noWrap/>
                  <w:vAlign w:val="center"/>
                </w:tcPr>
                <w:p w14:paraId="0F932CD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填塘工程区</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3A62E89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rPr>
                    <w:t>0.</w:t>
                  </w:r>
                  <w:r>
                    <w:rPr>
                      <w:rFonts w:hint="default" w:ascii="Times New Roman" w:hAnsi="Times New Roman" w:eastAsia="宋体" w:cs="Times New Roman"/>
                      <w:color w:val="auto"/>
                      <w:spacing w:val="0"/>
                      <w:sz w:val="18"/>
                      <w:szCs w:val="18"/>
                      <w:highlight w:val="none"/>
                      <w:lang w:val="en-US" w:eastAsia="zh-CN"/>
                    </w:rPr>
                    <w:t>50</w:t>
                  </w:r>
                </w:p>
              </w:tc>
              <w:tc>
                <w:tcPr>
                  <w:tcW w:w="673" w:type="pct"/>
                  <w:tcBorders>
                    <w:top w:val="single" w:color="000000" w:sz="4" w:space="0"/>
                    <w:left w:val="single" w:color="000000" w:sz="4" w:space="0"/>
                    <w:bottom w:val="single" w:color="000000" w:sz="4" w:space="0"/>
                    <w:right w:val="single" w:color="000000" w:sz="4" w:space="0"/>
                  </w:tcBorders>
                  <w:noWrap/>
                  <w:vAlign w:val="center"/>
                </w:tcPr>
                <w:p w14:paraId="62F2EEC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其他项目弃土</w:t>
                  </w:r>
                </w:p>
              </w:tc>
              <w:tc>
                <w:tcPr>
                  <w:tcW w:w="277" w:type="pct"/>
                  <w:tcBorders>
                    <w:top w:val="single" w:color="000000" w:sz="4" w:space="0"/>
                    <w:left w:val="single" w:color="000000" w:sz="4" w:space="0"/>
                    <w:bottom w:val="single" w:color="000000" w:sz="4" w:space="0"/>
                    <w:right w:val="single" w:color="000000" w:sz="4" w:space="0"/>
                  </w:tcBorders>
                  <w:noWrap/>
                  <w:vAlign w:val="center"/>
                </w:tcPr>
                <w:p w14:paraId="257F683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169" w:type="pct"/>
                  <w:tcBorders>
                    <w:top w:val="single" w:color="000000" w:sz="4" w:space="0"/>
                    <w:left w:val="single" w:color="000000" w:sz="4" w:space="0"/>
                    <w:bottom w:val="single" w:color="000000" w:sz="4" w:space="0"/>
                  </w:tcBorders>
                  <w:noWrap w:val="0"/>
                  <w:vAlign w:val="center"/>
                </w:tcPr>
                <w:p w14:paraId="0C358191">
                  <w:pPr>
                    <w:keepNext w:val="0"/>
                    <w:keepLines w:val="0"/>
                    <w:pageBreakBefore w:val="0"/>
                    <w:widowControl/>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r>
            <w:tr w14:paraId="5CC9C3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211" w:type="pct"/>
                  <w:vMerge w:val="restart"/>
                  <w:tcBorders>
                    <w:top w:val="single" w:color="000000" w:sz="4" w:space="0"/>
                    <w:right w:val="single" w:color="000000" w:sz="4" w:space="0"/>
                  </w:tcBorders>
                  <w:noWrap/>
                  <w:vAlign w:val="center"/>
                </w:tcPr>
                <w:p w14:paraId="648EA10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eastAsia" w:ascii="Times New Roman" w:hAnsi="Times New Roman" w:eastAsia="宋体" w:cs="Times New Roman"/>
                      <w:color w:val="auto"/>
                      <w:spacing w:val="0"/>
                      <w:sz w:val="18"/>
                      <w:szCs w:val="18"/>
                      <w:highlight w:val="none"/>
                      <w:lang w:eastAsia="zh-CN"/>
                    </w:rPr>
                  </w:pPr>
                  <w:r>
                    <w:rPr>
                      <w:rFonts w:hint="eastAsia" w:cs="Times New Roman"/>
                      <w:color w:val="auto"/>
                      <w:spacing w:val="0"/>
                      <w:sz w:val="18"/>
                      <w:szCs w:val="18"/>
                      <w:highlight w:val="none"/>
                      <w:lang w:val="en-US" w:eastAsia="zh-CN"/>
                    </w:rPr>
                    <w:t>2</w:t>
                  </w:r>
                </w:p>
              </w:tc>
              <w:tc>
                <w:tcPr>
                  <w:tcW w:w="487" w:type="pct"/>
                  <w:vMerge w:val="restart"/>
                  <w:tcBorders>
                    <w:top w:val="single" w:color="000000" w:sz="4" w:space="0"/>
                    <w:left w:val="single" w:color="000000" w:sz="4" w:space="0"/>
                    <w:right w:val="single" w:color="000000" w:sz="4" w:space="0"/>
                  </w:tcBorders>
                  <w:noWrap/>
                  <w:vAlign w:val="center"/>
                </w:tcPr>
                <w:p w14:paraId="61EA1C9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填塘工程</w:t>
                  </w:r>
                  <w:r>
                    <w:rPr>
                      <w:rFonts w:hint="default" w:ascii="Times New Roman" w:hAnsi="Times New Roman" w:eastAsia="宋体" w:cs="Times New Roman"/>
                      <w:color w:val="auto"/>
                      <w:spacing w:val="0"/>
                      <w:sz w:val="18"/>
                      <w:szCs w:val="18"/>
                      <w:highlight w:val="none"/>
                    </w:rPr>
                    <w:t>区</w:t>
                  </w:r>
                </w:p>
              </w:tc>
              <w:tc>
                <w:tcPr>
                  <w:tcW w:w="369" w:type="pct"/>
                  <w:tcBorders>
                    <w:top w:val="single" w:color="000000" w:sz="4" w:space="0"/>
                    <w:left w:val="single" w:color="000000" w:sz="4" w:space="0"/>
                    <w:bottom w:val="single" w:color="000000" w:sz="4" w:space="0"/>
                    <w:right w:val="single" w:color="000000" w:sz="4" w:space="0"/>
                  </w:tcBorders>
                  <w:noWrap/>
                  <w:vAlign w:val="center"/>
                </w:tcPr>
                <w:p w14:paraId="1B51171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lang w:val="en-US" w:eastAsia="zh-CN"/>
                    </w:rPr>
                    <w:t>土方</w:t>
                  </w:r>
                </w:p>
              </w:tc>
              <w:tc>
                <w:tcPr>
                  <w:tcW w:w="357" w:type="pct"/>
                  <w:tcBorders>
                    <w:top w:val="single" w:color="000000" w:sz="4" w:space="0"/>
                    <w:left w:val="single" w:color="000000" w:sz="4" w:space="0"/>
                    <w:bottom w:val="single" w:color="000000" w:sz="4" w:space="0"/>
                    <w:right w:val="single" w:color="000000" w:sz="4" w:space="0"/>
                  </w:tcBorders>
                  <w:noWrap/>
                  <w:vAlign w:val="center"/>
                </w:tcPr>
                <w:p w14:paraId="0AC4C8A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0.25</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423E10E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rPr>
                    <w:t>0.</w:t>
                  </w:r>
                  <w:r>
                    <w:rPr>
                      <w:rFonts w:hint="default" w:ascii="Times New Roman" w:hAnsi="Times New Roman" w:eastAsia="宋体" w:cs="Times New Roman"/>
                      <w:color w:val="auto"/>
                      <w:spacing w:val="0"/>
                      <w:sz w:val="18"/>
                      <w:szCs w:val="18"/>
                      <w:highlight w:val="none"/>
                      <w:lang w:val="en-US" w:eastAsia="zh-CN"/>
                    </w:rPr>
                    <w:t>52</w:t>
                  </w:r>
                </w:p>
              </w:tc>
              <w:tc>
                <w:tcPr>
                  <w:tcW w:w="340" w:type="pct"/>
                  <w:tcBorders>
                    <w:top w:val="single" w:color="000000" w:sz="4" w:space="0"/>
                    <w:left w:val="single" w:color="000000" w:sz="4" w:space="0"/>
                    <w:bottom w:val="single" w:color="000000" w:sz="4" w:space="0"/>
                    <w:right w:val="single" w:color="000000" w:sz="4" w:space="0"/>
                  </w:tcBorders>
                  <w:noWrap/>
                  <w:vAlign w:val="center"/>
                </w:tcPr>
                <w:p w14:paraId="7D1AF05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0.27</w:t>
                  </w:r>
                </w:p>
              </w:tc>
              <w:tc>
                <w:tcPr>
                  <w:tcW w:w="516" w:type="pct"/>
                  <w:tcBorders>
                    <w:top w:val="single" w:color="000000" w:sz="4" w:space="0"/>
                    <w:left w:val="single" w:color="000000" w:sz="4" w:space="0"/>
                    <w:bottom w:val="single" w:color="000000" w:sz="4" w:space="0"/>
                    <w:right w:val="single" w:color="000000" w:sz="4" w:space="0"/>
                  </w:tcBorders>
                  <w:noWrap/>
                  <w:vAlign w:val="center"/>
                </w:tcPr>
                <w:p w14:paraId="53E32CB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lang w:val="en-US" w:eastAsia="zh-CN"/>
                    </w:rPr>
                    <w:t>主体工程区</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27FB50D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542" w:type="pct"/>
                  <w:tcBorders>
                    <w:top w:val="single" w:color="000000" w:sz="4" w:space="0"/>
                    <w:left w:val="single" w:color="000000" w:sz="4" w:space="0"/>
                    <w:bottom w:val="single" w:color="000000" w:sz="4" w:space="0"/>
                    <w:right w:val="single" w:color="000000" w:sz="4" w:space="0"/>
                  </w:tcBorders>
                  <w:noWrap/>
                  <w:vAlign w:val="center"/>
                </w:tcPr>
                <w:p w14:paraId="169D245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59476E3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673" w:type="pct"/>
                  <w:tcBorders>
                    <w:top w:val="single" w:color="000000" w:sz="4" w:space="0"/>
                    <w:left w:val="single" w:color="000000" w:sz="4" w:space="0"/>
                    <w:bottom w:val="single" w:color="000000" w:sz="4" w:space="0"/>
                    <w:right w:val="single" w:color="000000" w:sz="4" w:space="0"/>
                  </w:tcBorders>
                  <w:noWrap/>
                  <w:vAlign w:val="center"/>
                </w:tcPr>
                <w:p w14:paraId="0B46FC6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277" w:type="pct"/>
                  <w:tcBorders>
                    <w:top w:val="single" w:color="000000" w:sz="4" w:space="0"/>
                    <w:left w:val="single" w:color="000000" w:sz="4" w:space="0"/>
                    <w:bottom w:val="single" w:color="000000" w:sz="4" w:space="0"/>
                    <w:right w:val="single" w:color="000000" w:sz="4" w:space="0"/>
                  </w:tcBorders>
                  <w:noWrap/>
                  <w:vAlign w:val="center"/>
                </w:tcPr>
                <w:p w14:paraId="19C8B41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c>
                <w:tcPr>
                  <w:tcW w:w="169" w:type="pct"/>
                  <w:tcBorders>
                    <w:top w:val="single" w:color="000000" w:sz="4" w:space="0"/>
                    <w:left w:val="single" w:color="000000" w:sz="4" w:space="0"/>
                    <w:bottom w:val="single" w:color="000000" w:sz="4" w:space="0"/>
                  </w:tcBorders>
                  <w:noWrap w:val="0"/>
                  <w:vAlign w:val="center"/>
                </w:tcPr>
                <w:p w14:paraId="5D04A67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w:t>
                  </w:r>
                </w:p>
              </w:tc>
            </w:tr>
            <w:tr w14:paraId="43FDD08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211" w:type="pct"/>
                  <w:vMerge w:val="continue"/>
                  <w:tcBorders>
                    <w:bottom w:val="single" w:color="000000" w:sz="4" w:space="0"/>
                    <w:right w:val="single" w:color="000000" w:sz="4" w:space="0"/>
                  </w:tcBorders>
                  <w:noWrap/>
                  <w:vAlign w:val="center"/>
                </w:tcPr>
                <w:p w14:paraId="797626F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487" w:type="pct"/>
                  <w:vMerge w:val="continue"/>
                  <w:tcBorders>
                    <w:left w:val="single" w:color="000000" w:sz="4" w:space="0"/>
                    <w:bottom w:val="single" w:color="000000" w:sz="4" w:space="0"/>
                    <w:right w:val="single" w:color="000000" w:sz="4" w:space="0"/>
                  </w:tcBorders>
                  <w:noWrap/>
                  <w:vAlign w:val="center"/>
                </w:tcPr>
                <w:p w14:paraId="72C5DF7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369" w:type="pct"/>
                  <w:tcBorders>
                    <w:top w:val="single" w:color="000000" w:sz="4" w:space="0"/>
                    <w:left w:val="single" w:color="000000" w:sz="4" w:space="0"/>
                    <w:bottom w:val="single" w:color="000000" w:sz="4" w:space="0"/>
                    <w:right w:val="single" w:color="000000" w:sz="4" w:space="0"/>
                  </w:tcBorders>
                  <w:noWrap/>
                  <w:vAlign w:val="center"/>
                </w:tcPr>
                <w:p w14:paraId="66F9077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表土</w:t>
                  </w:r>
                </w:p>
              </w:tc>
              <w:tc>
                <w:tcPr>
                  <w:tcW w:w="357" w:type="pct"/>
                  <w:tcBorders>
                    <w:top w:val="single" w:color="000000" w:sz="4" w:space="0"/>
                    <w:left w:val="single" w:color="000000" w:sz="4" w:space="0"/>
                    <w:bottom w:val="single" w:color="000000" w:sz="4" w:space="0"/>
                    <w:right w:val="single" w:color="000000" w:sz="4" w:space="0"/>
                  </w:tcBorders>
                  <w:noWrap/>
                  <w:vAlign w:val="center"/>
                </w:tcPr>
                <w:p w14:paraId="0C33F95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rPr>
                    <w:t>0.0</w:t>
                  </w:r>
                  <w:r>
                    <w:rPr>
                      <w:rFonts w:hint="default" w:ascii="Times New Roman" w:hAnsi="Times New Roman" w:eastAsia="宋体" w:cs="Times New Roman"/>
                      <w:color w:val="auto"/>
                      <w:spacing w:val="0"/>
                      <w:sz w:val="18"/>
                      <w:szCs w:val="18"/>
                      <w:highlight w:val="none"/>
                      <w:lang w:val="en-US" w:eastAsia="zh-CN"/>
                    </w:rPr>
                    <w:t>5</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31E8D31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0.05</w:t>
                  </w:r>
                </w:p>
              </w:tc>
              <w:tc>
                <w:tcPr>
                  <w:tcW w:w="340" w:type="pct"/>
                  <w:tcBorders>
                    <w:top w:val="single" w:color="000000" w:sz="4" w:space="0"/>
                    <w:left w:val="single" w:color="000000" w:sz="4" w:space="0"/>
                    <w:bottom w:val="single" w:color="000000" w:sz="4" w:space="0"/>
                    <w:right w:val="single" w:color="000000" w:sz="4" w:space="0"/>
                  </w:tcBorders>
                  <w:noWrap/>
                  <w:vAlign w:val="center"/>
                </w:tcPr>
                <w:p w14:paraId="450D43D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516" w:type="pct"/>
                  <w:tcBorders>
                    <w:top w:val="single" w:color="000000" w:sz="4" w:space="0"/>
                    <w:left w:val="single" w:color="000000" w:sz="4" w:space="0"/>
                    <w:bottom w:val="single" w:color="000000" w:sz="4" w:space="0"/>
                    <w:right w:val="single" w:color="000000" w:sz="4" w:space="0"/>
                  </w:tcBorders>
                  <w:noWrap/>
                  <w:vAlign w:val="center"/>
                </w:tcPr>
                <w:p w14:paraId="28BA0D5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4E62D91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542" w:type="pct"/>
                  <w:tcBorders>
                    <w:top w:val="single" w:color="000000" w:sz="4" w:space="0"/>
                    <w:left w:val="single" w:color="000000" w:sz="4" w:space="0"/>
                    <w:bottom w:val="single" w:color="000000" w:sz="4" w:space="0"/>
                    <w:right w:val="single" w:color="000000" w:sz="4" w:space="0"/>
                  </w:tcBorders>
                  <w:noWrap/>
                  <w:vAlign w:val="center"/>
                </w:tcPr>
                <w:p w14:paraId="68138A1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0E76452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673" w:type="pct"/>
                  <w:tcBorders>
                    <w:top w:val="single" w:color="000000" w:sz="4" w:space="0"/>
                    <w:left w:val="single" w:color="000000" w:sz="4" w:space="0"/>
                    <w:bottom w:val="single" w:color="000000" w:sz="4" w:space="0"/>
                    <w:right w:val="single" w:color="000000" w:sz="4" w:space="0"/>
                  </w:tcBorders>
                  <w:noWrap/>
                  <w:vAlign w:val="center"/>
                </w:tcPr>
                <w:p w14:paraId="0C95525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277" w:type="pct"/>
                  <w:tcBorders>
                    <w:top w:val="single" w:color="000000" w:sz="4" w:space="0"/>
                    <w:left w:val="single" w:color="000000" w:sz="4" w:space="0"/>
                    <w:bottom w:val="single" w:color="000000" w:sz="4" w:space="0"/>
                    <w:right w:val="single" w:color="000000" w:sz="4" w:space="0"/>
                  </w:tcBorders>
                  <w:noWrap/>
                  <w:vAlign w:val="center"/>
                </w:tcPr>
                <w:p w14:paraId="23A8CE3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169" w:type="pct"/>
                  <w:tcBorders>
                    <w:top w:val="single" w:color="000000" w:sz="4" w:space="0"/>
                    <w:left w:val="single" w:color="000000" w:sz="4" w:space="0"/>
                    <w:bottom w:val="single" w:color="000000" w:sz="4" w:space="0"/>
                  </w:tcBorders>
                  <w:noWrap w:val="0"/>
                  <w:vAlign w:val="center"/>
                </w:tcPr>
                <w:p w14:paraId="14189C21">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r>
            <w:tr w14:paraId="253123D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211" w:type="pct"/>
                  <w:tcBorders>
                    <w:bottom w:val="single" w:color="000000" w:sz="4" w:space="0"/>
                    <w:right w:val="single" w:color="000000" w:sz="4" w:space="0"/>
                  </w:tcBorders>
                  <w:noWrap/>
                  <w:vAlign w:val="center"/>
                </w:tcPr>
                <w:p w14:paraId="2DDDEF11">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3</w:t>
                  </w:r>
                </w:p>
              </w:tc>
              <w:tc>
                <w:tcPr>
                  <w:tcW w:w="487" w:type="pct"/>
                  <w:tcBorders>
                    <w:left w:val="single" w:color="000000" w:sz="4" w:space="0"/>
                    <w:bottom w:val="single" w:color="000000" w:sz="4" w:space="0"/>
                    <w:right w:val="single" w:color="000000" w:sz="4" w:space="0"/>
                  </w:tcBorders>
                  <w:noWrap/>
                  <w:vAlign w:val="center"/>
                </w:tcPr>
                <w:p w14:paraId="1A31EE2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施工生产区</w:t>
                  </w:r>
                </w:p>
              </w:tc>
              <w:tc>
                <w:tcPr>
                  <w:tcW w:w="369" w:type="pct"/>
                  <w:tcBorders>
                    <w:top w:val="single" w:color="000000" w:sz="4" w:space="0"/>
                    <w:left w:val="single" w:color="000000" w:sz="4" w:space="0"/>
                    <w:bottom w:val="single" w:color="000000" w:sz="4" w:space="0"/>
                    <w:right w:val="single" w:color="000000" w:sz="4" w:space="0"/>
                  </w:tcBorders>
                  <w:noWrap/>
                  <w:vAlign w:val="center"/>
                </w:tcPr>
                <w:p w14:paraId="64830BE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表土</w:t>
                  </w:r>
                </w:p>
              </w:tc>
              <w:tc>
                <w:tcPr>
                  <w:tcW w:w="357" w:type="pct"/>
                  <w:tcBorders>
                    <w:top w:val="single" w:color="000000" w:sz="4" w:space="0"/>
                    <w:left w:val="single" w:color="000000" w:sz="4" w:space="0"/>
                    <w:bottom w:val="single" w:color="000000" w:sz="4" w:space="0"/>
                    <w:right w:val="single" w:color="000000" w:sz="4" w:space="0"/>
                  </w:tcBorders>
                  <w:noWrap/>
                  <w:vAlign w:val="center"/>
                </w:tcPr>
                <w:p w14:paraId="2F1DC8A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0.02</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652E988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0.02</w:t>
                  </w:r>
                </w:p>
              </w:tc>
              <w:tc>
                <w:tcPr>
                  <w:tcW w:w="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A1415">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eastAsia="zh-CN"/>
                    </w:rPr>
                    <w:t>/</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B3601">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kern w:val="0"/>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eastAsia="zh-CN"/>
                    </w:rPr>
                    <w:t>/</w:t>
                  </w:r>
                </w:p>
              </w:tc>
              <w:tc>
                <w:tcPr>
                  <w:tcW w:w="559" w:type="dxa"/>
                  <w:tcBorders>
                    <w:top w:val="single" w:color="000000" w:sz="4" w:space="0"/>
                    <w:left w:val="single" w:color="000000" w:sz="4" w:space="0"/>
                    <w:bottom w:val="single" w:color="000000" w:sz="4" w:space="0"/>
                    <w:right w:val="single" w:color="000000" w:sz="4" w:space="0"/>
                  </w:tcBorders>
                  <w:noWrap/>
                  <w:vAlign w:val="center"/>
                </w:tcPr>
                <w:p w14:paraId="5097C2C5">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868" w:type="dxa"/>
                  <w:tcBorders>
                    <w:top w:val="single" w:color="000000" w:sz="4" w:space="0"/>
                    <w:left w:val="single" w:color="000000" w:sz="4" w:space="0"/>
                    <w:bottom w:val="single" w:color="000000" w:sz="4" w:space="0"/>
                    <w:right w:val="single" w:color="000000" w:sz="4" w:space="0"/>
                  </w:tcBorders>
                  <w:noWrap/>
                  <w:vAlign w:val="center"/>
                </w:tcPr>
                <w:p w14:paraId="14B36483">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566" w:type="dxa"/>
                  <w:tcBorders>
                    <w:top w:val="single" w:color="000000" w:sz="4" w:space="0"/>
                    <w:left w:val="single" w:color="000000" w:sz="4" w:space="0"/>
                    <w:bottom w:val="single" w:color="000000" w:sz="4" w:space="0"/>
                    <w:right w:val="single" w:color="000000" w:sz="4" w:space="0"/>
                  </w:tcBorders>
                  <w:noWrap/>
                  <w:vAlign w:val="center"/>
                </w:tcPr>
                <w:p w14:paraId="56172689">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1076" w:type="dxa"/>
                  <w:tcBorders>
                    <w:top w:val="single" w:color="000000" w:sz="4" w:space="0"/>
                    <w:left w:val="single" w:color="000000" w:sz="4" w:space="0"/>
                    <w:bottom w:val="single" w:color="000000" w:sz="4" w:space="0"/>
                    <w:right w:val="single" w:color="000000" w:sz="4" w:space="0"/>
                  </w:tcBorders>
                  <w:noWrap/>
                  <w:vAlign w:val="center"/>
                </w:tcPr>
                <w:p w14:paraId="3F8FBE7F">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444" w:type="dxa"/>
                  <w:tcBorders>
                    <w:top w:val="single" w:color="000000" w:sz="4" w:space="0"/>
                    <w:left w:val="single" w:color="000000" w:sz="4" w:space="0"/>
                    <w:bottom w:val="single" w:color="000000" w:sz="4" w:space="0"/>
                    <w:right w:val="single" w:color="000000" w:sz="4" w:space="0"/>
                  </w:tcBorders>
                  <w:noWrap/>
                  <w:vAlign w:val="center"/>
                </w:tcPr>
                <w:p w14:paraId="1E28F571">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271" w:type="dxa"/>
                  <w:tcBorders>
                    <w:top w:val="single" w:color="000000" w:sz="4" w:space="0"/>
                    <w:left w:val="single" w:color="000000" w:sz="4" w:space="0"/>
                    <w:bottom w:val="single" w:color="000000" w:sz="4" w:space="0"/>
                  </w:tcBorders>
                  <w:noWrap w:val="0"/>
                  <w:vAlign w:val="center"/>
                </w:tcPr>
                <w:p w14:paraId="0CB51A3A">
                  <w:pPr>
                    <w:pStyle w:val="9"/>
                    <w:keepNext w:val="0"/>
                    <w:keepLines w:val="0"/>
                    <w:pageBreakBefore w:val="0"/>
                    <w:widowControl/>
                    <w:kinsoku/>
                    <w:wordWrap/>
                    <w:overflowPunct/>
                    <w:topLinePunct w:val="0"/>
                    <w:autoSpaceDE/>
                    <w:autoSpaceDN/>
                    <w:bidi w:val="0"/>
                    <w:adjustRightInd/>
                    <w:snapToGrid/>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r>
            <w:tr w14:paraId="2F630B0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68" w:type="pct"/>
                  <w:gridSpan w:val="3"/>
                  <w:tcBorders>
                    <w:top w:val="single" w:color="000000" w:sz="4" w:space="0"/>
                    <w:bottom w:val="single" w:color="000000" w:sz="4" w:space="0"/>
                    <w:right w:val="single" w:color="000000" w:sz="4" w:space="0"/>
                  </w:tcBorders>
                  <w:noWrap/>
                  <w:vAlign w:val="center"/>
                </w:tcPr>
                <w:p w14:paraId="497A224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合计</w:t>
                  </w:r>
                </w:p>
              </w:tc>
              <w:tc>
                <w:tcPr>
                  <w:tcW w:w="357" w:type="pct"/>
                  <w:tcBorders>
                    <w:top w:val="single" w:color="000000" w:sz="4" w:space="0"/>
                    <w:left w:val="single" w:color="000000" w:sz="4" w:space="0"/>
                    <w:bottom w:val="single" w:color="000000" w:sz="4" w:space="0"/>
                    <w:right w:val="single" w:color="000000" w:sz="4" w:space="0"/>
                  </w:tcBorders>
                  <w:noWrap/>
                  <w:vAlign w:val="center"/>
                </w:tcPr>
                <w:p w14:paraId="4C51392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0.8</w:t>
                  </w:r>
                  <w:r>
                    <w:rPr>
                      <w:rFonts w:hint="eastAsia" w:cs="Times New Roman"/>
                      <w:color w:val="auto"/>
                      <w:spacing w:val="0"/>
                      <w:sz w:val="18"/>
                      <w:szCs w:val="18"/>
                      <w:highlight w:val="none"/>
                      <w:lang w:val="en-US" w:eastAsia="zh-CN"/>
                    </w:rPr>
                    <w:t>6</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6BA083D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1.3</w:t>
                  </w:r>
                  <w:r>
                    <w:rPr>
                      <w:rFonts w:hint="eastAsia" w:cs="Times New Roman"/>
                      <w:color w:val="auto"/>
                      <w:spacing w:val="0"/>
                      <w:sz w:val="18"/>
                      <w:szCs w:val="18"/>
                      <w:highlight w:val="none"/>
                      <w:lang w:val="en-US" w:eastAsia="zh-CN"/>
                    </w:rPr>
                    <w:t>6</w:t>
                  </w:r>
                </w:p>
              </w:tc>
              <w:tc>
                <w:tcPr>
                  <w:tcW w:w="340" w:type="pct"/>
                  <w:tcBorders>
                    <w:top w:val="single" w:color="000000" w:sz="4" w:space="0"/>
                    <w:left w:val="single" w:color="000000" w:sz="4" w:space="0"/>
                    <w:bottom w:val="single" w:color="000000" w:sz="4" w:space="0"/>
                    <w:right w:val="single" w:color="000000" w:sz="4" w:space="0"/>
                  </w:tcBorders>
                  <w:noWrap/>
                  <w:vAlign w:val="center"/>
                </w:tcPr>
                <w:p w14:paraId="62F6E9D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0.27</w:t>
                  </w:r>
                </w:p>
              </w:tc>
              <w:tc>
                <w:tcPr>
                  <w:tcW w:w="516" w:type="pct"/>
                  <w:tcBorders>
                    <w:top w:val="single" w:color="000000" w:sz="4" w:space="0"/>
                    <w:left w:val="single" w:color="000000" w:sz="4" w:space="0"/>
                    <w:bottom w:val="single" w:color="000000" w:sz="4" w:space="0"/>
                    <w:right w:val="single" w:color="000000" w:sz="4" w:space="0"/>
                  </w:tcBorders>
                  <w:noWrap/>
                  <w:vAlign w:val="center"/>
                </w:tcPr>
                <w:p w14:paraId="55532C3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主体工程区</w:t>
                  </w:r>
                </w:p>
              </w:tc>
              <w:tc>
                <w:tcPr>
                  <w:tcW w:w="349" w:type="pct"/>
                  <w:tcBorders>
                    <w:top w:val="single" w:color="000000" w:sz="4" w:space="0"/>
                    <w:left w:val="single" w:color="000000" w:sz="4" w:space="0"/>
                    <w:bottom w:val="single" w:color="000000" w:sz="4" w:space="0"/>
                    <w:right w:val="single" w:color="000000" w:sz="4" w:space="0"/>
                  </w:tcBorders>
                  <w:noWrap/>
                  <w:vAlign w:val="center"/>
                </w:tcPr>
                <w:p w14:paraId="57AA817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0.27</w:t>
                  </w:r>
                </w:p>
              </w:tc>
              <w:tc>
                <w:tcPr>
                  <w:tcW w:w="542" w:type="pct"/>
                  <w:tcBorders>
                    <w:top w:val="single" w:color="000000" w:sz="4" w:space="0"/>
                    <w:left w:val="single" w:color="000000" w:sz="4" w:space="0"/>
                    <w:bottom w:val="single" w:color="000000" w:sz="4" w:space="0"/>
                    <w:right w:val="single" w:color="000000" w:sz="4" w:space="0"/>
                  </w:tcBorders>
                  <w:noWrap/>
                  <w:vAlign w:val="center"/>
                </w:tcPr>
                <w:p w14:paraId="6F63C4F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填塘工程区</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4D5082B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0.</w:t>
                  </w:r>
                  <w:r>
                    <w:rPr>
                      <w:rFonts w:hint="default" w:ascii="Times New Roman" w:hAnsi="Times New Roman" w:eastAsia="宋体" w:cs="Times New Roman"/>
                      <w:color w:val="auto"/>
                      <w:spacing w:val="0"/>
                      <w:sz w:val="18"/>
                      <w:szCs w:val="18"/>
                      <w:highlight w:val="none"/>
                      <w:lang w:val="en-US" w:eastAsia="zh-CN"/>
                    </w:rPr>
                    <w:t>50</w:t>
                  </w:r>
                </w:p>
              </w:tc>
              <w:tc>
                <w:tcPr>
                  <w:tcW w:w="673" w:type="pct"/>
                  <w:tcBorders>
                    <w:top w:val="single" w:color="000000" w:sz="4" w:space="0"/>
                    <w:left w:val="single" w:color="000000" w:sz="4" w:space="0"/>
                    <w:bottom w:val="single" w:color="000000" w:sz="4" w:space="0"/>
                    <w:right w:val="single" w:color="000000" w:sz="4" w:space="0"/>
                  </w:tcBorders>
                  <w:noWrap/>
                  <w:vAlign w:val="center"/>
                </w:tcPr>
                <w:p w14:paraId="0EB660B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其他项目弃土</w:t>
                  </w:r>
                </w:p>
              </w:tc>
              <w:tc>
                <w:tcPr>
                  <w:tcW w:w="277" w:type="pct"/>
                  <w:tcBorders>
                    <w:top w:val="single" w:color="000000" w:sz="4" w:space="0"/>
                    <w:left w:val="single" w:color="000000" w:sz="4" w:space="0"/>
                    <w:bottom w:val="single" w:color="000000" w:sz="4" w:space="0"/>
                    <w:right w:val="single" w:color="000000" w:sz="4" w:space="0"/>
                  </w:tcBorders>
                  <w:noWrap/>
                  <w:vAlign w:val="center"/>
                </w:tcPr>
                <w:p w14:paraId="330E71E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c>
                <w:tcPr>
                  <w:tcW w:w="169" w:type="pct"/>
                  <w:tcBorders>
                    <w:top w:val="single" w:color="000000" w:sz="4" w:space="0"/>
                    <w:left w:val="single" w:color="000000" w:sz="4" w:space="0"/>
                    <w:bottom w:val="single" w:color="000000" w:sz="4" w:space="0"/>
                  </w:tcBorders>
                  <w:noWrap/>
                  <w:vAlign w:val="center"/>
                </w:tcPr>
                <w:p w14:paraId="1EC17DD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w:t>
                  </w:r>
                </w:p>
              </w:tc>
            </w:tr>
          </w:tbl>
          <w:p w14:paraId="57263EEB">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olor w:val="auto"/>
                <w:kern w:val="0"/>
                <w:sz w:val="24"/>
                <w:szCs w:val="24"/>
                <w:highlight w:val="none"/>
                <w:lang w:eastAsia="zh-CN"/>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val="en-US" w:eastAsia="zh-CN"/>
              </w:rPr>
              <w:t>填塘工程</w:t>
            </w:r>
            <w:r>
              <w:rPr>
                <w:rFonts w:hint="default" w:ascii="Times New Roman" w:hAnsi="Times New Roman" w:eastAsia="宋体" w:cs="Times New Roman"/>
                <w:color w:val="auto"/>
                <w:kern w:val="0"/>
                <w:sz w:val="21"/>
                <w:szCs w:val="21"/>
                <w:highlight w:val="none"/>
              </w:rPr>
              <w:t>区临时占用水域及水利设施用地，</w:t>
            </w:r>
            <w:r>
              <w:rPr>
                <w:rFonts w:hint="default" w:ascii="Times New Roman" w:hAnsi="Times New Roman" w:eastAsia="宋体" w:cs="Times New Roman"/>
                <w:color w:val="auto"/>
                <w:kern w:val="0"/>
                <w:sz w:val="21"/>
                <w:szCs w:val="21"/>
                <w:highlight w:val="none"/>
                <w:lang w:val="en-US" w:eastAsia="zh-CN"/>
              </w:rPr>
              <w:t>现状地表有植被覆盖，</w:t>
            </w:r>
            <w:r>
              <w:rPr>
                <w:rFonts w:hint="default" w:ascii="Times New Roman" w:hAnsi="Times New Roman" w:eastAsia="宋体" w:cs="Times New Roman"/>
                <w:color w:val="auto"/>
                <w:kern w:val="0"/>
                <w:sz w:val="21"/>
                <w:szCs w:val="21"/>
                <w:highlight w:val="none"/>
              </w:rPr>
              <w:t>区域表土剥离面积0.</w:t>
            </w:r>
            <w:r>
              <w:rPr>
                <w:rFonts w:hint="default" w:ascii="Times New Roman" w:hAnsi="Times New Roman" w:eastAsia="宋体" w:cs="Times New Roman"/>
                <w:color w:val="auto"/>
                <w:kern w:val="0"/>
                <w:sz w:val="21"/>
                <w:szCs w:val="21"/>
                <w:highlight w:val="none"/>
                <w:lang w:val="en-US" w:eastAsia="zh-CN"/>
              </w:rPr>
              <w:t>27</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，剥离厚度</w:t>
            </w:r>
            <w:r>
              <w:rPr>
                <w:rFonts w:hint="default" w:ascii="Times New Roman" w:hAnsi="Times New Roman" w:eastAsia="宋体" w:cs="Times New Roman"/>
                <w:color w:val="auto"/>
                <w:kern w:val="0"/>
                <w:sz w:val="21"/>
                <w:szCs w:val="21"/>
                <w:highlight w:val="none"/>
                <w:lang w:val="en-US" w:eastAsia="zh-CN"/>
              </w:rPr>
              <w:t>20</w:t>
            </w:r>
            <w:r>
              <w:rPr>
                <w:rFonts w:hint="default" w:ascii="Times New Roman" w:hAnsi="Times New Roman" w:eastAsia="宋体" w:cs="Times New Roman"/>
                <w:color w:val="auto"/>
                <w:kern w:val="0"/>
                <w:sz w:val="21"/>
                <w:szCs w:val="21"/>
                <w:highlight w:val="none"/>
              </w:rPr>
              <w:t>cm，表土剥离量0.05万m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，施工结束后表土回覆到原区域</w:t>
            </w:r>
            <w:r>
              <w:rPr>
                <w:rFonts w:hint="default" w:ascii="Times New Roman" w:hAnsi="Times New Roman" w:eastAsia="宋体" w:cs="Times New Roman"/>
                <w:color w:val="auto"/>
                <w:kern w:val="0"/>
                <w:sz w:val="21"/>
                <w:szCs w:val="21"/>
                <w:highlight w:val="none"/>
                <w:lang w:eastAsia="zh-CN"/>
              </w:rPr>
              <w:t>。</w:t>
            </w:r>
            <w:r>
              <w:rPr>
                <w:rFonts w:hint="eastAsia"/>
                <w:color w:val="auto"/>
                <w:kern w:val="0"/>
                <w:sz w:val="21"/>
                <w:szCs w:val="21"/>
              </w:rPr>
              <w:t>施工生产区临时占用水域及水利设施用地，现状地表有植被覆盖，区域表土剥离面积0.10hm</w:t>
            </w:r>
            <w:r>
              <w:rPr>
                <w:rFonts w:hint="eastAsia"/>
                <w:color w:val="auto"/>
                <w:kern w:val="0"/>
                <w:sz w:val="21"/>
                <w:szCs w:val="21"/>
                <w:vertAlign w:val="superscript"/>
              </w:rPr>
              <w:t>2</w:t>
            </w:r>
            <w:r>
              <w:rPr>
                <w:rFonts w:hint="eastAsia"/>
                <w:color w:val="auto"/>
                <w:kern w:val="0"/>
                <w:sz w:val="21"/>
                <w:szCs w:val="21"/>
              </w:rPr>
              <w:t>，剥离厚度20cm，表土剥离量0.02万m</w:t>
            </w:r>
            <w:r>
              <w:rPr>
                <w:rFonts w:hint="eastAsia"/>
                <w:color w:val="auto"/>
                <w:kern w:val="0"/>
                <w:sz w:val="21"/>
                <w:szCs w:val="21"/>
                <w:vertAlign w:val="superscript"/>
              </w:rPr>
              <w:t>3</w:t>
            </w:r>
            <w:r>
              <w:rPr>
                <w:rFonts w:hint="eastAsia"/>
                <w:color w:val="auto"/>
                <w:kern w:val="0"/>
                <w:sz w:val="21"/>
                <w:szCs w:val="21"/>
              </w:rPr>
              <w:t>，施工结束后表土回覆到原区域。</w:t>
            </w:r>
          </w:p>
          <w:p w14:paraId="2A9354CD">
            <w:pPr>
              <w:keepNext w:val="0"/>
              <w:keepLines w:val="0"/>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表2-4</w:t>
            </w:r>
            <w:r>
              <w:rPr>
                <w:rFonts w:hint="default" w:ascii="Times New Roman" w:hAnsi="Times New Roman" w:eastAsia="宋体" w:cs="Times New Roman"/>
                <w:b/>
                <w:bCs/>
                <w:color w:val="auto"/>
                <w:kern w:val="0"/>
                <w:sz w:val="21"/>
                <w:szCs w:val="21"/>
                <w:highlight w:val="none"/>
              </w:rPr>
              <w:t>表土平衡表</w:t>
            </w:r>
          </w:p>
          <w:tbl>
            <w:tblPr>
              <w:tblStyle w:val="24"/>
              <w:tblW w:w="7995" w:type="dxa"/>
              <w:tblInd w:w="2"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92"/>
              <w:gridCol w:w="1789"/>
              <w:gridCol w:w="800"/>
              <w:gridCol w:w="800"/>
              <w:gridCol w:w="807"/>
              <w:gridCol w:w="802"/>
              <w:gridCol w:w="802"/>
              <w:gridCol w:w="803"/>
            </w:tblGrid>
            <w:tr w14:paraId="4EA5476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70" w:type="pct"/>
                  <w:vMerge w:val="restart"/>
                  <w:tcBorders>
                    <w:top w:val="single" w:color="000000" w:sz="2" w:space="0"/>
                    <w:bottom w:val="nil"/>
                  </w:tcBorders>
                  <w:noWrap w:val="0"/>
                  <w:vAlign w:val="center"/>
                </w:tcPr>
                <w:p w14:paraId="5FF4049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区域</w:t>
                  </w:r>
                </w:p>
              </w:tc>
              <w:tc>
                <w:tcPr>
                  <w:tcW w:w="1118" w:type="pct"/>
                  <w:vMerge w:val="restart"/>
                  <w:tcBorders>
                    <w:top w:val="single" w:color="000000" w:sz="2" w:space="0"/>
                  </w:tcBorders>
                  <w:noWrap w:val="0"/>
                  <w:vAlign w:val="center"/>
                </w:tcPr>
                <w:p w14:paraId="3CF76A2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地类</w:t>
                  </w:r>
                </w:p>
              </w:tc>
              <w:tc>
                <w:tcPr>
                  <w:tcW w:w="1505" w:type="pct"/>
                  <w:gridSpan w:val="3"/>
                  <w:tcBorders>
                    <w:top w:val="single" w:color="000000" w:sz="2" w:space="0"/>
                  </w:tcBorders>
                  <w:noWrap w:val="0"/>
                  <w:vAlign w:val="center"/>
                </w:tcPr>
                <w:p w14:paraId="01C7332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表土剥离</w:t>
                  </w:r>
                </w:p>
              </w:tc>
              <w:tc>
                <w:tcPr>
                  <w:tcW w:w="1505" w:type="pct"/>
                  <w:gridSpan w:val="3"/>
                  <w:tcBorders>
                    <w:top w:val="single" w:color="000000" w:sz="2" w:space="0"/>
                  </w:tcBorders>
                  <w:noWrap w:val="0"/>
                  <w:vAlign w:val="center"/>
                </w:tcPr>
                <w:p w14:paraId="4BCBB3E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表土回覆</w:t>
                  </w:r>
                </w:p>
              </w:tc>
            </w:tr>
            <w:tr w14:paraId="74DF601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70" w:type="pct"/>
                  <w:vMerge w:val="continue"/>
                  <w:tcBorders>
                    <w:top w:val="nil"/>
                  </w:tcBorders>
                  <w:noWrap w:val="0"/>
                  <w:vAlign w:val="center"/>
                </w:tcPr>
                <w:p w14:paraId="6349B68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1118" w:type="pct"/>
                  <w:vMerge w:val="continue"/>
                  <w:noWrap w:val="0"/>
                  <w:vAlign w:val="center"/>
                </w:tcPr>
                <w:p w14:paraId="5C63A30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500" w:type="pct"/>
                  <w:noWrap w:val="0"/>
                  <w:vAlign w:val="center"/>
                </w:tcPr>
                <w:p w14:paraId="724B23F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剥离面积</w:t>
                  </w:r>
                </w:p>
                <w:p w14:paraId="1B627AD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（hm</w:t>
                  </w:r>
                  <w:r>
                    <w:rPr>
                      <w:rFonts w:hint="default" w:ascii="Times New Roman" w:hAnsi="Times New Roman" w:eastAsia="宋体" w:cs="Times New Roman"/>
                      <w:color w:val="auto"/>
                      <w:spacing w:val="0"/>
                      <w:sz w:val="18"/>
                      <w:szCs w:val="18"/>
                      <w:highlight w:val="none"/>
                      <w:vertAlign w:val="superscript"/>
                    </w:rPr>
                    <w:t>2</w:t>
                  </w:r>
                  <w:r>
                    <w:rPr>
                      <w:rFonts w:hint="default" w:ascii="Times New Roman" w:hAnsi="Times New Roman" w:eastAsia="宋体" w:cs="Times New Roman"/>
                      <w:color w:val="auto"/>
                      <w:spacing w:val="0"/>
                      <w:sz w:val="18"/>
                      <w:szCs w:val="18"/>
                      <w:highlight w:val="none"/>
                    </w:rPr>
                    <w:t>）</w:t>
                  </w:r>
                </w:p>
              </w:tc>
              <w:tc>
                <w:tcPr>
                  <w:tcW w:w="500" w:type="pct"/>
                  <w:noWrap w:val="0"/>
                  <w:vAlign w:val="center"/>
                </w:tcPr>
                <w:p w14:paraId="4B56311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剥离厚度</w:t>
                  </w:r>
                </w:p>
                <w:p w14:paraId="1DDA82B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（m）</w:t>
                  </w:r>
                </w:p>
              </w:tc>
              <w:tc>
                <w:tcPr>
                  <w:tcW w:w="504" w:type="pct"/>
                  <w:noWrap w:val="0"/>
                  <w:vAlign w:val="center"/>
                </w:tcPr>
                <w:p w14:paraId="4B5695D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剥离数量</w:t>
                  </w:r>
                </w:p>
                <w:p w14:paraId="56C9F6F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（m</w:t>
                  </w:r>
                  <w:r>
                    <w:rPr>
                      <w:rFonts w:hint="default" w:ascii="Times New Roman" w:hAnsi="Times New Roman" w:eastAsia="宋体" w:cs="Times New Roman"/>
                      <w:color w:val="auto"/>
                      <w:spacing w:val="0"/>
                      <w:sz w:val="18"/>
                      <w:szCs w:val="18"/>
                      <w:highlight w:val="none"/>
                      <w:vertAlign w:val="superscript"/>
                    </w:rPr>
                    <w:t>3</w:t>
                  </w:r>
                  <w:r>
                    <w:rPr>
                      <w:rFonts w:hint="default" w:ascii="Times New Roman" w:hAnsi="Times New Roman" w:eastAsia="宋体" w:cs="Times New Roman"/>
                      <w:color w:val="auto"/>
                      <w:spacing w:val="0"/>
                      <w:sz w:val="18"/>
                      <w:szCs w:val="18"/>
                      <w:highlight w:val="none"/>
                    </w:rPr>
                    <w:t>）</w:t>
                  </w:r>
                </w:p>
              </w:tc>
              <w:tc>
                <w:tcPr>
                  <w:tcW w:w="501" w:type="pct"/>
                  <w:noWrap w:val="0"/>
                  <w:vAlign w:val="center"/>
                </w:tcPr>
                <w:p w14:paraId="23E26AA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回填面积</w:t>
                  </w:r>
                </w:p>
                <w:p w14:paraId="383C1C8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（hm</w:t>
                  </w:r>
                  <w:r>
                    <w:rPr>
                      <w:rFonts w:hint="default" w:ascii="Times New Roman" w:hAnsi="Times New Roman" w:eastAsia="宋体" w:cs="Times New Roman"/>
                      <w:color w:val="auto"/>
                      <w:spacing w:val="0"/>
                      <w:sz w:val="18"/>
                      <w:szCs w:val="18"/>
                      <w:highlight w:val="none"/>
                      <w:vertAlign w:val="superscript"/>
                    </w:rPr>
                    <w:t>2</w:t>
                  </w:r>
                  <w:r>
                    <w:rPr>
                      <w:rFonts w:hint="default" w:ascii="Times New Roman" w:hAnsi="Times New Roman" w:eastAsia="宋体" w:cs="Times New Roman"/>
                      <w:color w:val="auto"/>
                      <w:spacing w:val="0"/>
                      <w:sz w:val="18"/>
                      <w:szCs w:val="18"/>
                      <w:highlight w:val="none"/>
                    </w:rPr>
                    <w:t>）</w:t>
                  </w:r>
                </w:p>
              </w:tc>
              <w:tc>
                <w:tcPr>
                  <w:tcW w:w="501" w:type="pct"/>
                  <w:noWrap w:val="0"/>
                  <w:vAlign w:val="center"/>
                </w:tcPr>
                <w:p w14:paraId="31C555A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回填厚度</w:t>
                  </w:r>
                </w:p>
                <w:p w14:paraId="1365E82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（m）</w:t>
                  </w:r>
                </w:p>
              </w:tc>
              <w:tc>
                <w:tcPr>
                  <w:tcW w:w="502" w:type="pct"/>
                  <w:noWrap w:val="0"/>
                  <w:vAlign w:val="center"/>
                </w:tcPr>
                <w:p w14:paraId="68541B1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回填数量</w:t>
                  </w:r>
                </w:p>
                <w:p w14:paraId="14C0DBC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（m</w:t>
                  </w:r>
                  <w:r>
                    <w:rPr>
                      <w:rFonts w:hint="default" w:ascii="Times New Roman" w:hAnsi="Times New Roman" w:eastAsia="宋体" w:cs="Times New Roman"/>
                      <w:color w:val="auto"/>
                      <w:spacing w:val="0"/>
                      <w:sz w:val="18"/>
                      <w:szCs w:val="18"/>
                      <w:highlight w:val="none"/>
                      <w:vertAlign w:val="superscript"/>
                    </w:rPr>
                    <w:t>3</w:t>
                  </w:r>
                  <w:r>
                    <w:rPr>
                      <w:rFonts w:hint="default" w:ascii="Times New Roman" w:hAnsi="Times New Roman" w:eastAsia="宋体" w:cs="Times New Roman"/>
                      <w:color w:val="auto"/>
                      <w:spacing w:val="0"/>
                      <w:sz w:val="18"/>
                      <w:szCs w:val="18"/>
                      <w:highlight w:val="none"/>
                    </w:rPr>
                    <w:t>）</w:t>
                  </w:r>
                </w:p>
              </w:tc>
            </w:tr>
            <w:tr w14:paraId="0630294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70" w:type="pct"/>
                  <w:tcBorders>
                    <w:bottom w:val="nil"/>
                  </w:tcBorders>
                  <w:noWrap w:val="0"/>
                  <w:vAlign w:val="center"/>
                </w:tcPr>
                <w:p w14:paraId="0FA93BB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lang w:val="en-US" w:eastAsia="zh-CN"/>
                    </w:rPr>
                    <w:t>填塘工程</w:t>
                  </w:r>
                  <w:r>
                    <w:rPr>
                      <w:rFonts w:hint="default" w:ascii="Times New Roman" w:hAnsi="Times New Roman" w:eastAsia="宋体" w:cs="Times New Roman"/>
                      <w:color w:val="auto"/>
                      <w:spacing w:val="0"/>
                      <w:sz w:val="18"/>
                      <w:szCs w:val="18"/>
                      <w:highlight w:val="none"/>
                    </w:rPr>
                    <w:t>区</w:t>
                  </w:r>
                </w:p>
              </w:tc>
              <w:tc>
                <w:tcPr>
                  <w:tcW w:w="1118" w:type="pct"/>
                  <w:noWrap w:val="0"/>
                  <w:vAlign w:val="center"/>
                </w:tcPr>
                <w:p w14:paraId="3C5AC91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水域及水利设施用地</w:t>
                  </w:r>
                </w:p>
              </w:tc>
              <w:tc>
                <w:tcPr>
                  <w:tcW w:w="500" w:type="pct"/>
                  <w:noWrap w:val="0"/>
                  <w:vAlign w:val="center"/>
                </w:tcPr>
                <w:p w14:paraId="2131350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0.27</w:t>
                  </w:r>
                </w:p>
              </w:tc>
              <w:tc>
                <w:tcPr>
                  <w:tcW w:w="500" w:type="pct"/>
                  <w:noWrap w:val="0"/>
                  <w:vAlign w:val="center"/>
                </w:tcPr>
                <w:p w14:paraId="5CBF8ED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w:t>
                  </w:r>
                </w:p>
              </w:tc>
              <w:tc>
                <w:tcPr>
                  <w:tcW w:w="504" w:type="pct"/>
                  <w:noWrap w:val="0"/>
                  <w:vAlign w:val="center"/>
                </w:tcPr>
                <w:p w14:paraId="7C3D67F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544</w:t>
                  </w:r>
                </w:p>
              </w:tc>
              <w:tc>
                <w:tcPr>
                  <w:tcW w:w="501" w:type="pct"/>
                  <w:noWrap w:val="0"/>
                  <w:vAlign w:val="center"/>
                </w:tcPr>
                <w:p w14:paraId="7997DC7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0.27</w:t>
                  </w:r>
                </w:p>
              </w:tc>
              <w:tc>
                <w:tcPr>
                  <w:tcW w:w="501" w:type="pct"/>
                  <w:noWrap w:val="0"/>
                  <w:vAlign w:val="center"/>
                </w:tcPr>
                <w:p w14:paraId="74E69DB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0.2</w:t>
                  </w:r>
                </w:p>
              </w:tc>
              <w:tc>
                <w:tcPr>
                  <w:tcW w:w="502" w:type="pct"/>
                  <w:noWrap w:val="0"/>
                  <w:vAlign w:val="center"/>
                </w:tcPr>
                <w:p w14:paraId="2FD716A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544</w:t>
                  </w:r>
                </w:p>
              </w:tc>
            </w:tr>
            <w:tr w14:paraId="3B7C8D7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70" w:type="pct"/>
                  <w:tcBorders>
                    <w:bottom w:val="nil"/>
                  </w:tcBorders>
                  <w:noWrap w:val="0"/>
                  <w:vAlign w:val="center"/>
                </w:tcPr>
                <w:p w14:paraId="11FFFAE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施工生产区</w:t>
                  </w:r>
                </w:p>
              </w:tc>
              <w:tc>
                <w:tcPr>
                  <w:tcW w:w="1118" w:type="pct"/>
                  <w:noWrap w:val="0"/>
                  <w:vAlign w:val="center"/>
                </w:tcPr>
                <w:p w14:paraId="2B03E42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水域及水利设施用地</w:t>
                  </w:r>
                </w:p>
              </w:tc>
              <w:tc>
                <w:tcPr>
                  <w:tcW w:w="500" w:type="pct"/>
                  <w:noWrap w:val="0"/>
                  <w:vAlign w:val="center"/>
                </w:tcPr>
                <w:p w14:paraId="284E3DDD">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0.10</w:t>
                  </w:r>
                </w:p>
              </w:tc>
              <w:tc>
                <w:tcPr>
                  <w:tcW w:w="500" w:type="pct"/>
                  <w:noWrap w:val="0"/>
                  <w:vAlign w:val="center"/>
                </w:tcPr>
                <w:p w14:paraId="558D0FBB">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0.2</w:t>
                  </w:r>
                </w:p>
              </w:tc>
              <w:tc>
                <w:tcPr>
                  <w:tcW w:w="504" w:type="pct"/>
                  <w:noWrap w:val="0"/>
                  <w:vAlign w:val="center"/>
                </w:tcPr>
                <w:p w14:paraId="1EE9394A">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201</w:t>
                  </w:r>
                </w:p>
              </w:tc>
              <w:tc>
                <w:tcPr>
                  <w:tcW w:w="501" w:type="pct"/>
                  <w:noWrap w:val="0"/>
                  <w:vAlign w:val="center"/>
                </w:tcPr>
                <w:p w14:paraId="06519AD1">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0.10</w:t>
                  </w:r>
                </w:p>
              </w:tc>
              <w:tc>
                <w:tcPr>
                  <w:tcW w:w="501" w:type="pct"/>
                  <w:noWrap w:val="0"/>
                  <w:vAlign w:val="center"/>
                </w:tcPr>
                <w:p w14:paraId="5FAE22D0">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0.2</w:t>
                  </w:r>
                </w:p>
              </w:tc>
              <w:tc>
                <w:tcPr>
                  <w:tcW w:w="502" w:type="pct"/>
                  <w:noWrap w:val="0"/>
                  <w:vAlign w:val="center"/>
                </w:tcPr>
                <w:p w14:paraId="6238A2C3">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201</w:t>
                  </w:r>
                </w:p>
              </w:tc>
            </w:tr>
            <w:tr w14:paraId="1C9D9ED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989" w:type="pct"/>
                  <w:gridSpan w:val="2"/>
                  <w:tcBorders>
                    <w:bottom w:val="single" w:color="000000" w:sz="2" w:space="0"/>
                  </w:tcBorders>
                  <w:noWrap w:val="0"/>
                  <w:vAlign w:val="center"/>
                </w:tcPr>
                <w:p w14:paraId="7658E66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合计</w:t>
                  </w:r>
                </w:p>
              </w:tc>
              <w:tc>
                <w:tcPr>
                  <w:tcW w:w="500" w:type="pct"/>
                  <w:tcBorders>
                    <w:bottom w:val="single" w:color="000000" w:sz="2" w:space="0"/>
                  </w:tcBorders>
                  <w:noWrap w:val="0"/>
                  <w:vAlign w:val="center"/>
                </w:tcPr>
                <w:p w14:paraId="1E69D06C">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0.37</w:t>
                  </w:r>
                </w:p>
              </w:tc>
              <w:tc>
                <w:tcPr>
                  <w:tcW w:w="500" w:type="pct"/>
                  <w:tcBorders>
                    <w:bottom w:val="single" w:color="000000" w:sz="2" w:space="0"/>
                  </w:tcBorders>
                  <w:noWrap w:val="0"/>
                  <w:vAlign w:val="center"/>
                </w:tcPr>
                <w:p w14:paraId="15922869">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p>
              </w:tc>
              <w:tc>
                <w:tcPr>
                  <w:tcW w:w="504" w:type="pct"/>
                  <w:tcBorders>
                    <w:bottom w:val="single" w:color="000000" w:sz="2" w:space="0"/>
                  </w:tcBorders>
                  <w:noWrap w:val="0"/>
                  <w:vAlign w:val="center"/>
                </w:tcPr>
                <w:p w14:paraId="74A92E8D">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745</w:t>
                  </w:r>
                </w:p>
              </w:tc>
              <w:tc>
                <w:tcPr>
                  <w:tcW w:w="501" w:type="pct"/>
                  <w:tcBorders>
                    <w:bottom w:val="single" w:color="000000" w:sz="2" w:space="0"/>
                  </w:tcBorders>
                  <w:noWrap w:val="0"/>
                  <w:vAlign w:val="center"/>
                </w:tcPr>
                <w:p w14:paraId="48EA5122">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0.37</w:t>
                  </w:r>
                </w:p>
              </w:tc>
              <w:tc>
                <w:tcPr>
                  <w:tcW w:w="501" w:type="pct"/>
                  <w:tcBorders>
                    <w:bottom w:val="single" w:color="000000" w:sz="2" w:space="0"/>
                  </w:tcBorders>
                  <w:noWrap w:val="0"/>
                  <w:vAlign w:val="center"/>
                </w:tcPr>
                <w:p w14:paraId="5B228614">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rPr>
                  </w:pPr>
                </w:p>
              </w:tc>
              <w:tc>
                <w:tcPr>
                  <w:tcW w:w="502" w:type="pct"/>
                  <w:tcBorders>
                    <w:bottom w:val="single" w:color="000000" w:sz="2" w:space="0"/>
                  </w:tcBorders>
                  <w:noWrap w:val="0"/>
                  <w:vAlign w:val="center"/>
                </w:tcPr>
                <w:p w14:paraId="00E889EB">
                  <w:pPr>
                    <w:pStyle w:val="9"/>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pacing w:val="0"/>
                      <w:sz w:val="18"/>
                    </w:rPr>
                    <w:t>745</w:t>
                  </w:r>
                </w:p>
              </w:tc>
            </w:tr>
          </w:tbl>
          <w:p w14:paraId="08ED49D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kern w:val="0"/>
                <w:sz w:val="21"/>
                <w:szCs w:val="21"/>
                <w:highlight w:val="none"/>
                <w:lang w:val="en-US" w:eastAsia="zh-CN"/>
              </w:rPr>
              <w:t>5</w:t>
            </w:r>
            <w:r>
              <w:rPr>
                <w:rFonts w:hint="default" w:ascii="Times New Roman" w:hAnsi="Times New Roman" w:eastAsia="宋体" w:cs="Times New Roman"/>
                <w:b/>
                <w:bCs/>
                <w:color w:val="auto"/>
                <w:kern w:val="0"/>
                <w:sz w:val="21"/>
                <w:szCs w:val="21"/>
                <w:highlight w:val="none"/>
                <w:lang w:val="en-US" w:eastAsia="zh-CN"/>
              </w:rPr>
              <w:t>、</w:t>
            </w:r>
            <w:r>
              <w:rPr>
                <w:rFonts w:hint="default" w:ascii="Times New Roman" w:hAnsi="Times New Roman" w:eastAsia="宋体" w:cs="Times New Roman"/>
                <w:b/>
                <w:bCs/>
                <w:color w:val="auto"/>
                <w:sz w:val="21"/>
                <w:szCs w:val="21"/>
                <w:highlight w:val="none"/>
                <w:lang w:eastAsia="zh-CN"/>
              </w:rPr>
              <w:t>施工总布置</w:t>
            </w:r>
          </w:p>
          <w:p w14:paraId="75BAB94C">
            <w:pPr>
              <w:pStyle w:val="66"/>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（1）施工条件</w:t>
            </w:r>
          </w:p>
          <w:p w14:paraId="29F2A86A">
            <w:pPr>
              <w:pStyle w:val="4"/>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①水、电供条件</w:t>
            </w:r>
          </w:p>
          <w:p w14:paraId="2D89B90F">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施工生产和生活用水取自周边村庄自来水，用电采用国网及</w:t>
            </w:r>
            <w:r>
              <w:rPr>
                <w:rFonts w:hint="default" w:ascii="Times New Roman" w:hAnsi="Times New Roman" w:eastAsia="宋体" w:cs="Times New Roman"/>
                <w:color w:val="auto"/>
                <w:spacing w:val="0"/>
                <w:sz w:val="21"/>
                <w:szCs w:val="21"/>
                <w:highlight w:val="none"/>
                <w:lang w:eastAsia="zh-CN"/>
              </w:rPr>
              <w:t>60kW移动柴油发电机组</w:t>
            </w:r>
            <w:r>
              <w:rPr>
                <w:rFonts w:hint="default" w:ascii="Times New Roman" w:hAnsi="Times New Roman" w:eastAsia="宋体" w:cs="Times New Roman"/>
                <w:b w:val="0"/>
                <w:bCs w:val="0"/>
                <w:color w:val="auto"/>
                <w:sz w:val="21"/>
                <w:szCs w:val="21"/>
                <w:highlight w:val="none"/>
                <w:lang w:val="en-US" w:eastAsia="zh-CN"/>
              </w:rPr>
              <w:t>自发电</w:t>
            </w:r>
            <w:r>
              <w:rPr>
                <w:rFonts w:hint="eastAsia" w:ascii="Times New Roman" w:hAnsi="Times New Roman" w:eastAsia="宋体" w:cs="Times New Roman"/>
                <w:b w:val="0"/>
                <w:bCs w:val="0"/>
                <w:color w:val="auto"/>
                <w:sz w:val="21"/>
                <w:szCs w:val="21"/>
                <w:highlight w:val="none"/>
                <w:lang w:val="en-US" w:eastAsia="zh-CN"/>
              </w:rPr>
              <w:t>。</w:t>
            </w:r>
          </w:p>
          <w:p w14:paraId="6433C69A">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ind w:left="0" w:leftChars="0"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②建筑材料</w:t>
            </w:r>
          </w:p>
          <w:p w14:paraId="0731E5C8">
            <w:pPr>
              <w:pStyle w:val="67"/>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本工程挖填内部平衡，</w:t>
            </w:r>
            <w:r>
              <w:rPr>
                <w:rFonts w:hint="default" w:ascii="Times New Roman" w:hAnsi="Times New Roman" w:eastAsia="宋体" w:cs="Times New Roman"/>
                <w:b w:val="0"/>
                <w:bCs w:val="0"/>
                <w:color w:val="auto"/>
                <w:sz w:val="21"/>
                <w:szCs w:val="21"/>
                <w:highlight w:val="none"/>
              </w:rPr>
              <w:t>该工程所需</w:t>
            </w:r>
            <w:r>
              <w:rPr>
                <w:rFonts w:hint="default" w:ascii="Times New Roman" w:hAnsi="Times New Roman" w:eastAsia="宋体" w:cs="Times New Roman"/>
                <w:color w:val="auto"/>
                <w:sz w:val="21"/>
                <w:szCs w:val="21"/>
                <w:highlight w:val="none"/>
                <w:lang w:val="en-US" w:eastAsia="zh-CN"/>
              </w:rPr>
              <w:t>建筑材料</w:t>
            </w:r>
            <w:r>
              <w:rPr>
                <w:rFonts w:hint="default" w:ascii="Times New Roman" w:hAnsi="Times New Roman" w:eastAsia="宋体" w:cs="Times New Roman"/>
                <w:b w:val="0"/>
                <w:bCs w:val="0"/>
                <w:color w:val="auto"/>
                <w:sz w:val="21"/>
                <w:szCs w:val="21"/>
                <w:highlight w:val="none"/>
              </w:rPr>
              <w:t>均</w:t>
            </w:r>
            <w:r>
              <w:rPr>
                <w:rFonts w:hint="default" w:ascii="Times New Roman" w:hAnsi="Times New Roman" w:eastAsia="宋体" w:cs="Times New Roman"/>
                <w:b w:val="0"/>
                <w:bCs w:val="0"/>
                <w:color w:val="auto"/>
                <w:sz w:val="21"/>
                <w:szCs w:val="21"/>
                <w:highlight w:val="none"/>
                <w:lang w:val="en-US" w:eastAsia="zh-CN"/>
              </w:rPr>
              <w:t>就近</w:t>
            </w:r>
            <w:r>
              <w:rPr>
                <w:rFonts w:hint="default" w:ascii="Times New Roman" w:hAnsi="Times New Roman" w:eastAsia="宋体" w:cs="Times New Roman"/>
                <w:b w:val="0"/>
                <w:bCs w:val="0"/>
                <w:color w:val="auto"/>
                <w:sz w:val="21"/>
                <w:szCs w:val="21"/>
                <w:highlight w:val="none"/>
              </w:rPr>
              <w:t>外购</w:t>
            </w:r>
            <w:r>
              <w:rPr>
                <w:rFonts w:hint="default" w:ascii="Times New Roman" w:hAnsi="Times New Roman" w:eastAsia="宋体" w:cs="Times New Roman"/>
                <w:b w:val="0"/>
                <w:bCs w:val="0"/>
                <w:color w:val="auto"/>
                <w:sz w:val="21"/>
                <w:szCs w:val="21"/>
                <w:highlight w:val="none"/>
                <w:lang w:val="en-US" w:eastAsia="zh-CN"/>
              </w:rPr>
              <w:t>，利用汽车运至工地</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区内有多条乡镇公路及村路通向工程所在区域。</w:t>
            </w:r>
          </w:p>
          <w:p w14:paraId="5BB8E57D">
            <w:pPr>
              <w:pStyle w:val="66"/>
              <w:keepNext w:val="0"/>
              <w:keepLines w:val="0"/>
              <w:pageBreakBefore w:val="0"/>
              <w:widowControl/>
              <w:kinsoku/>
              <w:wordWrap/>
              <w:overflowPunct/>
              <w:topLinePunct w:val="0"/>
              <w:autoSpaceDE/>
              <w:autoSpaceDN/>
              <w:bidi w:val="0"/>
              <w:adjustRightInd/>
              <w:snapToGrid/>
              <w:spacing w:line="360" w:lineRule="auto"/>
              <w:ind w:left="0" w:leftChars="0" w:right="0" w:firstLine="420"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（2）施工生产生活区</w:t>
            </w:r>
          </w:p>
          <w:p w14:paraId="44F12ED5">
            <w:pPr>
              <w:pStyle w:val="9"/>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firstLine="420" w:firstLineChars="200"/>
              <w:textAlignment w:val="auto"/>
              <w:rPr>
                <w:rFonts w:hint="eastAsia"/>
                <w:color w:val="auto"/>
                <w:sz w:val="21"/>
                <w:szCs w:val="21"/>
                <w:highlight w:val="none"/>
              </w:rPr>
            </w:pPr>
            <w:r>
              <w:rPr>
                <w:rFonts w:hint="eastAsia"/>
                <w:color w:val="auto"/>
                <w:sz w:val="21"/>
                <w:szCs w:val="21"/>
                <w:highlight w:val="none"/>
              </w:rPr>
              <w:t>施工生产区布置于大坝左端管理房空地，占地面积为0.10hm</w:t>
            </w:r>
            <w:r>
              <w:rPr>
                <w:rFonts w:hint="eastAsia"/>
                <w:color w:val="auto"/>
                <w:sz w:val="21"/>
                <w:szCs w:val="21"/>
                <w:highlight w:val="none"/>
                <w:vertAlign w:val="superscript"/>
              </w:rPr>
              <w:t>2</w:t>
            </w:r>
            <w:r>
              <w:rPr>
                <w:rFonts w:hint="eastAsia"/>
                <w:color w:val="auto"/>
                <w:sz w:val="21"/>
                <w:szCs w:val="21"/>
                <w:highlight w:val="none"/>
              </w:rPr>
              <w:t>，属于生产区，</w:t>
            </w:r>
            <w:r>
              <w:rPr>
                <w:rFonts w:hint="default" w:ascii="Times New Roman" w:hAnsi="Times New Roman" w:cs="Times New Roman"/>
                <w:caps w:val="0"/>
                <w:color w:val="auto"/>
                <w:sz w:val="21"/>
                <w:szCs w:val="21"/>
                <w:highlight w:val="none"/>
                <w:lang w:val="en-US" w:eastAsia="zh-CN"/>
              </w:rPr>
              <w:t>包括施工仓库及施工工厂</w:t>
            </w:r>
            <w:r>
              <w:rPr>
                <w:rFonts w:hint="eastAsia"/>
                <w:color w:val="auto"/>
                <w:sz w:val="21"/>
                <w:szCs w:val="21"/>
                <w:highlight w:val="none"/>
              </w:rPr>
              <w:t>；生活区采用当地居民区内，不计占地。</w:t>
            </w:r>
          </w:p>
          <w:p w14:paraId="418AA511">
            <w:pPr>
              <w:pStyle w:val="66"/>
              <w:keepNext w:val="0"/>
              <w:keepLines w:val="0"/>
              <w:pageBreakBefore w:val="0"/>
              <w:numPr>
                <w:ilvl w:val="0"/>
                <w:numId w:val="6"/>
              </w:numPr>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填塘工程区</w:t>
            </w:r>
          </w:p>
          <w:p w14:paraId="58F5EDA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rPr>
            </w:pPr>
            <w:r>
              <w:rPr>
                <w:rFonts w:hint="default" w:ascii="Times New Roman" w:hAnsi="Times New Roman" w:eastAsia="宋体" w:cs="Times New Roman"/>
                <w:color w:val="auto"/>
                <w:sz w:val="21"/>
                <w:szCs w:val="21"/>
                <w:highlight w:val="none"/>
                <w:lang w:val="en-US" w:eastAsia="zh-CN"/>
              </w:rPr>
              <w:t>填塘工程区</w:t>
            </w:r>
            <w:r>
              <w:rPr>
                <w:rFonts w:hint="eastAsia" w:ascii="Times New Roman" w:hAnsi="Times New Roman"/>
                <w:color w:val="auto"/>
                <w:sz w:val="21"/>
                <w:szCs w:val="21"/>
                <w:highlight w:val="none"/>
                <w:lang w:val="en-US" w:eastAsia="zh-CN"/>
              </w:rPr>
              <w:t>位于</w:t>
            </w:r>
            <w:r>
              <w:rPr>
                <w:rFonts w:hint="eastAsia" w:ascii="Times New Roman" w:hAnsi="Times New Roman"/>
                <w:color w:val="auto"/>
                <w:sz w:val="21"/>
                <w:szCs w:val="21"/>
                <w:highlight w:val="none"/>
              </w:rPr>
              <w:t>大坝左端</w:t>
            </w:r>
            <w:r>
              <w:rPr>
                <w:rFonts w:hint="eastAsia" w:ascii="Times New Roman" w:hAnsi="Times New Roman"/>
                <w:color w:val="auto"/>
                <w:sz w:val="21"/>
                <w:szCs w:val="21"/>
                <w:highlight w:val="none"/>
                <w:lang w:val="en-US" w:eastAsia="zh-CN"/>
              </w:rPr>
              <w:t>坝体背水侧，</w:t>
            </w:r>
            <w:r>
              <w:rPr>
                <w:rFonts w:hint="eastAsia" w:ascii="Times New Roman" w:hAnsi="Times New Roman"/>
                <w:color w:val="auto"/>
                <w:sz w:val="21"/>
                <w:szCs w:val="21"/>
                <w:highlight w:val="none"/>
              </w:rPr>
              <w:t>占地面积为0.</w:t>
            </w:r>
            <w:r>
              <w:rPr>
                <w:rFonts w:hint="eastAsia" w:ascii="Times New Roman" w:hAnsi="Times New Roman"/>
                <w:color w:val="auto"/>
                <w:sz w:val="21"/>
                <w:szCs w:val="21"/>
                <w:highlight w:val="none"/>
                <w:lang w:val="en-US" w:eastAsia="zh-CN"/>
              </w:rPr>
              <w:t>27</w:t>
            </w:r>
            <w:r>
              <w:rPr>
                <w:rFonts w:hint="eastAsia" w:ascii="Times New Roman" w:hAnsi="Times New Roman"/>
                <w:color w:val="auto"/>
                <w:sz w:val="21"/>
                <w:szCs w:val="21"/>
                <w:highlight w:val="none"/>
              </w:rPr>
              <w:t>hm</w:t>
            </w:r>
            <w:r>
              <w:rPr>
                <w:rFonts w:hint="eastAsia" w:ascii="Times New Roman" w:hAnsi="Times New Roman"/>
                <w:color w:val="auto"/>
                <w:sz w:val="21"/>
                <w:szCs w:val="21"/>
                <w:highlight w:val="none"/>
                <w:vertAlign w:val="superscript"/>
              </w:rPr>
              <w:t>2</w:t>
            </w:r>
            <w:r>
              <w:rPr>
                <w:rFonts w:hint="eastAsia" w:ascii="Times New Roman" w:hAnsi="Times New Roman"/>
                <w:color w:val="auto"/>
                <w:sz w:val="21"/>
                <w:szCs w:val="21"/>
                <w:highlight w:val="none"/>
                <w:vertAlign w:val="baseline"/>
                <w:lang w:eastAsia="zh-CN"/>
              </w:rPr>
              <w:t>，</w:t>
            </w:r>
            <w:r>
              <w:rPr>
                <w:rFonts w:hint="eastAsia"/>
                <w:color w:val="auto"/>
                <w:sz w:val="21"/>
                <w:szCs w:val="21"/>
                <w:highlight w:val="none"/>
              </w:rPr>
              <w:t>现状坑塘深度约为1</w:t>
            </w:r>
            <w:r>
              <w:rPr>
                <w:rFonts w:hint="eastAsia"/>
                <w:color w:val="auto"/>
                <w:sz w:val="21"/>
                <w:szCs w:val="21"/>
                <w:highlight w:val="none"/>
                <w:lang w:val="en-US" w:eastAsia="zh-CN"/>
              </w:rPr>
              <w:t>.0</w:t>
            </w:r>
            <w:r>
              <w:rPr>
                <w:rFonts w:hint="eastAsia"/>
                <w:color w:val="auto"/>
                <w:sz w:val="21"/>
                <w:szCs w:val="21"/>
                <w:highlight w:val="none"/>
              </w:rPr>
              <w:t>m，</w:t>
            </w:r>
            <w:r>
              <w:rPr>
                <w:rFonts w:hint="eastAsia"/>
                <w:color w:val="auto"/>
                <w:sz w:val="21"/>
                <w:szCs w:val="21"/>
                <w:highlight w:val="none"/>
                <w:lang w:eastAsia="zh-CN"/>
              </w:rPr>
              <w:t>容量为</w:t>
            </w:r>
            <w:r>
              <w:rPr>
                <w:rFonts w:hint="eastAsia"/>
                <w:color w:val="auto"/>
                <w:sz w:val="21"/>
                <w:szCs w:val="21"/>
                <w:highlight w:val="none"/>
              </w:rPr>
              <w:t>0.27万m</w:t>
            </w:r>
            <w:r>
              <w:rPr>
                <w:rFonts w:hint="eastAsia"/>
                <w:color w:val="auto"/>
                <w:sz w:val="21"/>
                <w:szCs w:val="21"/>
                <w:highlight w:val="none"/>
                <w:vertAlign w:val="superscript"/>
              </w:rPr>
              <w:t>3</w:t>
            </w:r>
            <w:r>
              <w:rPr>
                <w:rFonts w:hint="eastAsia"/>
                <w:color w:val="auto"/>
                <w:sz w:val="21"/>
                <w:szCs w:val="21"/>
                <w:highlight w:val="none"/>
                <w:lang w:eastAsia="zh-CN"/>
              </w:rPr>
              <w:t>，</w:t>
            </w:r>
            <w:r>
              <w:rPr>
                <w:rFonts w:hint="eastAsia"/>
                <w:color w:val="auto"/>
                <w:sz w:val="21"/>
                <w:szCs w:val="21"/>
                <w:highlight w:val="none"/>
              </w:rPr>
              <w:t>坑塘里有植被覆盖，</w:t>
            </w:r>
            <w:r>
              <w:rPr>
                <w:rFonts w:hint="eastAsia"/>
                <w:color w:val="auto"/>
                <w:sz w:val="21"/>
                <w:szCs w:val="21"/>
                <w:highlight w:val="none"/>
                <w:lang w:eastAsia="zh-CN"/>
              </w:rPr>
              <w:t>施工前进行表土剥离，</w:t>
            </w:r>
            <w:r>
              <w:rPr>
                <w:rFonts w:hint="eastAsia" w:cs="Times New Roman"/>
                <w:color w:val="auto"/>
                <w:kern w:val="0"/>
                <w:sz w:val="21"/>
                <w:szCs w:val="21"/>
                <w:highlight w:val="none"/>
                <w:lang w:val="en-US" w:eastAsia="zh-CN"/>
              </w:rPr>
              <w:t>由</w:t>
            </w:r>
            <w:r>
              <w:rPr>
                <w:rFonts w:hint="default" w:ascii="Times New Roman" w:hAnsi="Times New Roman" w:eastAsia="宋体" w:cs="Times New Roman"/>
                <w:color w:val="auto"/>
                <w:kern w:val="0"/>
                <w:sz w:val="21"/>
                <w:szCs w:val="21"/>
                <w:highlight w:val="none"/>
              </w:rPr>
              <w:t>主体工程</w:t>
            </w:r>
            <w:r>
              <w:rPr>
                <w:rFonts w:hint="eastAsia" w:cs="Times New Roman"/>
                <w:color w:val="auto"/>
                <w:kern w:val="0"/>
                <w:sz w:val="21"/>
                <w:szCs w:val="21"/>
                <w:highlight w:val="none"/>
                <w:lang w:val="en-US" w:eastAsia="zh-CN"/>
              </w:rPr>
              <w:t>区调入</w:t>
            </w:r>
            <w:r>
              <w:rPr>
                <w:rFonts w:hint="default" w:ascii="Times New Roman" w:hAnsi="Times New Roman" w:eastAsia="宋体" w:cs="Times New Roman"/>
                <w:color w:val="auto"/>
                <w:kern w:val="0"/>
                <w:sz w:val="21"/>
                <w:szCs w:val="21"/>
                <w:highlight w:val="none"/>
              </w:rPr>
              <w:t>大坝背水侧清基土方、施工围堰拆除余土</w:t>
            </w:r>
            <w:r>
              <w:rPr>
                <w:rFonts w:hint="eastAsia"/>
                <w:color w:val="auto"/>
                <w:sz w:val="21"/>
                <w:szCs w:val="21"/>
                <w:highlight w:val="none"/>
              </w:rPr>
              <w:t>0.27万m</w:t>
            </w:r>
            <w:r>
              <w:rPr>
                <w:rFonts w:hint="eastAsia"/>
                <w:color w:val="auto"/>
                <w:sz w:val="21"/>
                <w:szCs w:val="21"/>
                <w:highlight w:val="none"/>
                <w:vertAlign w:val="superscript"/>
              </w:rPr>
              <w:t>3</w:t>
            </w:r>
            <w:r>
              <w:rPr>
                <w:rFonts w:hint="default" w:ascii="Times New Roman" w:hAnsi="Times New Roman" w:eastAsia="宋体" w:cs="Times New Roman"/>
                <w:color w:val="auto"/>
                <w:kern w:val="0"/>
                <w:sz w:val="21"/>
                <w:szCs w:val="21"/>
                <w:highlight w:val="none"/>
              </w:rPr>
              <w:t>填入填塘工程区，</w:t>
            </w:r>
            <w:r>
              <w:rPr>
                <w:rFonts w:hint="eastAsia"/>
                <w:color w:val="auto"/>
                <w:kern w:val="0"/>
                <w:sz w:val="21"/>
                <w:szCs w:val="21"/>
                <w:highlight w:val="none"/>
              </w:rPr>
              <w:t>施工结束后坑塘填平与周围地形基本一致</w:t>
            </w:r>
            <w:r>
              <w:rPr>
                <w:rFonts w:hint="eastAsia"/>
                <w:color w:val="auto"/>
                <w:kern w:val="0"/>
                <w:sz w:val="21"/>
                <w:szCs w:val="21"/>
                <w:highlight w:val="none"/>
                <w:lang w:eastAsia="zh-CN"/>
              </w:rPr>
              <w:t>，</w:t>
            </w:r>
            <w:r>
              <w:rPr>
                <w:rFonts w:hint="eastAsia"/>
                <w:color w:val="auto"/>
                <w:kern w:val="0"/>
                <w:sz w:val="21"/>
                <w:szCs w:val="21"/>
                <w:highlight w:val="none"/>
              </w:rPr>
              <w:t>无弃</w:t>
            </w:r>
            <w:r>
              <w:rPr>
                <w:rFonts w:hint="eastAsia"/>
                <w:color w:val="auto"/>
                <w:kern w:val="0"/>
                <w:sz w:val="21"/>
                <w:szCs w:val="21"/>
                <w:highlight w:val="none"/>
                <w:lang w:eastAsia="zh-CN"/>
              </w:rPr>
              <w:t>土</w:t>
            </w:r>
            <w:r>
              <w:rPr>
                <w:rFonts w:hint="eastAsia"/>
                <w:color w:val="auto"/>
                <w:kern w:val="0"/>
                <w:sz w:val="21"/>
                <w:szCs w:val="21"/>
                <w:highlight w:val="none"/>
              </w:rPr>
              <w:t>产生</w:t>
            </w:r>
            <w:r>
              <w:rPr>
                <w:rFonts w:hint="eastAsia"/>
                <w:color w:val="auto"/>
                <w:kern w:val="0"/>
                <w:sz w:val="21"/>
                <w:szCs w:val="21"/>
                <w:highlight w:val="none"/>
                <w:lang w:eastAsia="zh-CN"/>
              </w:rPr>
              <w:t>，</w:t>
            </w:r>
            <w:r>
              <w:rPr>
                <w:rFonts w:hint="eastAsia"/>
                <w:color w:val="auto"/>
                <w:kern w:val="0"/>
                <w:sz w:val="21"/>
                <w:szCs w:val="21"/>
                <w:highlight w:val="none"/>
              </w:rPr>
              <w:t>工程</w:t>
            </w:r>
            <w:r>
              <w:rPr>
                <w:rFonts w:hint="eastAsia"/>
                <w:color w:val="auto"/>
                <w:kern w:val="0"/>
                <w:sz w:val="21"/>
                <w:szCs w:val="21"/>
                <w:highlight w:val="none"/>
                <w:lang w:val="en-US" w:eastAsia="zh-CN"/>
              </w:rPr>
              <w:t>不</w:t>
            </w:r>
            <w:r>
              <w:rPr>
                <w:rFonts w:hint="eastAsia"/>
                <w:color w:val="auto"/>
                <w:kern w:val="0"/>
                <w:sz w:val="21"/>
                <w:szCs w:val="21"/>
                <w:highlight w:val="none"/>
                <w:lang w:eastAsia="zh-CN"/>
              </w:rPr>
              <w:t>设置</w:t>
            </w:r>
            <w:r>
              <w:rPr>
                <w:rFonts w:hint="eastAsia"/>
                <w:color w:val="auto"/>
                <w:kern w:val="0"/>
                <w:sz w:val="21"/>
                <w:szCs w:val="21"/>
                <w:highlight w:val="none"/>
              </w:rPr>
              <w:t>弃</w:t>
            </w:r>
            <w:r>
              <w:rPr>
                <w:rFonts w:hint="eastAsia"/>
                <w:color w:val="auto"/>
                <w:kern w:val="0"/>
                <w:sz w:val="21"/>
                <w:szCs w:val="21"/>
                <w:highlight w:val="none"/>
                <w:lang w:eastAsia="zh-CN"/>
              </w:rPr>
              <w:t>土</w:t>
            </w:r>
            <w:r>
              <w:rPr>
                <w:rFonts w:hint="eastAsia"/>
                <w:color w:val="auto"/>
                <w:kern w:val="0"/>
                <w:sz w:val="21"/>
                <w:szCs w:val="21"/>
                <w:highlight w:val="none"/>
              </w:rPr>
              <w:t>场</w:t>
            </w:r>
            <w:r>
              <w:rPr>
                <w:rFonts w:hint="default" w:ascii="Times New Roman" w:hAnsi="Times New Roman" w:eastAsia="宋体" w:cs="Times New Roman"/>
                <w:color w:val="auto"/>
                <w:kern w:val="0"/>
                <w:sz w:val="21"/>
                <w:szCs w:val="21"/>
                <w:highlight w:val="none"/>
              </w:rPr>
              <w:t>。</w:t>
            </w:r>
          </w:p>
          <w:p w14:paraId="7A6AC282">
            <w:pPr>
              <w:pStyle w:val="66"/>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（4）临时堆土区</w:t>
            </w:r>
          </w:p>
          <w:p w14:paraId="3C82EFE8">
            <w:pPr>
              <w:pStyle w:val="66"/>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施工生产区内设1处临时堆土场，占地0.05hm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，用于存放剥离的表土</w:t>
            </w:r>
            <w:r>
              <w:rPr>
                <w:rFonts w:hint="eastAsia" w:ascii="Times New Roman" w:hAnsi="Times New Roman" w:eastAsia="宋体" w:cs="Times New Roman"/>
                <w:color w:val="auto"/>
                <w:sz w:val="21"/>
                <w:szCs w:val="21"/>
                <w:highlight w:val="none"/>
                <w:lang w:eastAsia="zh-CN"/>
              </w:rPr>
              <w:t>及挖方</w:t>
            </w:r>
            <w:r>
              <w:rPr>
                <w:rFonts w:hint="default" w:ascii="Times New Roman" w:hAnsi="Times New Roman" w:eastAsia="宋体" w:cs="Times New Roman"/>
                <w:color w:val="auto"/>
                <w:sz w:val="21"/>
                <w:szCs w:val="21"/>
                <w:highlight w:val="none"/>
              </w:rPr>
              <w:t>。</w:t>
            </w:r>
          </w:p>
          <w:p w14:paraId="6A925417">
            <w:pPr>
              <w:pStyle w:val="66"/>
              <w:keepNext w:val="0"/>
              <w:keepLines w:val="0"/>
              <w:pageBreakBefore w:val="0"/>
              <w:widowControl/>
              <w:kinsoku/>
              <w:wordWrap/>
              <w:overflowPunct/>
              <w:topLinePunct w:val="0"/>
              <w:autoSpaceDE/>
              <w:autoSpaceDN/>
              <w:bidi w:val="0"/>
              <w:adjustRightInd/>
              <w:snapToGrid/>
              <w:spacing w:line="360" w:lineRule="auto"/>
              <w:ind w:left="0" w:leftChars="0" w:right="0" w:firstLine="420"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r>
              <w:rPr>
                <w:rFonts w:hint="eastAsia"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val="en-US" w:eastAsia="zh-CN"/>
              </w:rPr>
              <w:t>）施工交通运输</w:t>
            </w:r>
          </w:p>
          <w:p w14:paraId="5357B175">
            <w:pPr>
              <w:pStyle w:val="67"/>
              <w:keepNext w:val="0"/>
              <w:keepLines w:val="0"/>
              <w:pageBreakBefore w:val="0"/>
              <w:widowControl/>
              <w:kinsoku/>
              <w:wordWrap/>
              <w:overflowPunct/>
              <w:topLinePunct w:val="0"/>
              <w:autoSpaceDE/>
              <w:autoSpaceDN/>
              <w:bidi w:val="0"/>
              <w:adjustRightInd/>
              <w:snapToGrid/>
              <w:ind w:right="0"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①对外交通</w:t>
            </w:r>
          </w:p>
          <w:p w14:paraId="74F3733C">
            <w:pPr>
              <w:pStyle w:val="64"/>
              <w:keepNext w:val="0"/>
              <w:keepLines w:val="0"/>
              <w:pageBreakBefore w:val="0"/>
              <w:widowControl/>
              <w:kinsoku/>
              <w:wordWrap/>
              <w:overflowPunct/>
              <w:topLinePunct w:val="0"/>
              <w:autoSpaceDE/>
              <w:autoSpaceDN/>
              <w:bidi w:val="0"/>
              <w:adjustRightInd/>
              <w:snapToGrid/>
              <w:ind w:right="0" w:firstLine="48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庆先</w:t>
            </w:r>
            <w:r>
              <w:rPr>
                <w:rFonts w:hint="default" w:ascii="Times New Roman" w:hAnsi="Times New Roman" w:eastAsia="宋体" w:cs="Times New Roman"/>
                <w:color w:val="auto"/>
                <w:sz w:val="21"/>
                <w:szCs w:val="21"/>
                <w:highlight w:val="none"/>
                <w:lang w:val="en-US" w:eastAsia="zh-CN"/>
              </w:rPr>
              <w:t>水库交通便利</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距密山市及鸡东县40km</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有公路可通达工地</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所需建筑材料需通过此公路运至工地。为施工和管理提供了良好的交通保障。</w:t>
            </w:r>
          </w:p>
          <w:p w14:paraId="4CF30E51">
            <w:pPr>
              <w:pStyle w:val="67"/>
              <w:keepNext w:val="0"/>
              <w:keepLines w:val="0"/>
              <w:pageBreakBefore w:val="0"/>
              <w:widowControl/>
              <w:kinsoku/>
              <w:wordWrap/>
              <w:overflowPunct/>
              <w:topLinePunct w:val="0"/>
              <w:autoSpaceDE/>
              <w:autoSpaceDN/>
              <w:bidi w:val="0"/>
              <w:adjustRightInd/>
              <w:snapToGrid/>
              <w:ind w:right="0"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②场内交通</w:t>
            </w:r>
          </w:p>
          <w:p w14:paraId="3958FAD1">
            <w:pPr>
              <w:pStyle w:val="67"/>
              <w:keepNext w:val="0"/>
              <w:keepLines w:val="0"/>
              <w:pageBreakBefore w:val="0"/>
              <w:widowControl/>
              <w:kinsoku/>
              <w:wordWrap/>
              <w:overflowPunct/>
              <w:topLinePunct w:val="0"/>
              <w:autoSpaceDE/>
              <w:autoSpaceDN/>
              <w:bidi w:val="0"/>
              <w:adjustRightInd/>
              <w:snapToGrid/>
              <w:ind w:right="0"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本工程场内交通</w:t>
            </w:r>
            <w:r>
              <w:rPr>
                <w:rFonts w:hint="default" w:ascii="Times New Roman" w:hAnsi="Times New Roman" w:cs="Times New Roman"/>
                <w:color w:val="auto"/>
                <w:sz w:val="21"/>
                <w:szCs w:val="21"/>
                <w:highlight w:val="none"/>
                <w:lang w:val="en-US" w:eastAsia="zh-CN"/>
              </w:rPr>
              <w:t>有水库上坝路</w:t>
            </w:r>
            <w:r>
              <w:rPr>
                <w:rFonts w:hint="default" w:ascii="Times New Roman" w:hAnsi="Times New Roman" w:cs="Times New Roman"/>
                <w:color w:val="auto"/>
                <w:sz w:val="21"/>
                <w:szCs w:val="21"/>
                <w:highlight w:val="none"/>
              </w:rPr>
              <w:t>与现有</w:t>
            </w:r>
            <w:r>
              <w:rPr>
                <w:rFonts w:hint="default" w:ascii="Times New Roman" w:hAnsi="Times New Roman" w:cs="Times New Roman"/>
                <w:color w:val="auto"/>
                <w:sz w:val="21"/>
                <w:szCs w:val="21"/>
                <w:highlight w:val="none"/>
                <w:lang w:val="en-US" w:eastAsia="zh-CN"/>
              </w:rPr>
              <w:t>水库坝顶路</w:t>
            </w:r>
            <w:r>
              <w:rPr>
                <w:rFonts w:hint="default" w:ascii="Times New Roman" w:hAnsi="Times New Roman" w:cs="Times New Roman"/>
                <w:color w:val="auto"/>
                <w:sz w:val="21"/>
                <w:szCs w:val="21"/>
                <w:highlight w:val="none"/>
              </w:rPr>
              <w:t>连接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无需修建临时道路</w:t>
            </w:r>
            <w:r>
              <w:rPr>
                <w:rFonts w:hint="default" w:ascii="Times New Roman" w:hAnsi="Times New Roman" w:cs="Times New Roman"/>
                <w:color w:val="auto"/>
                <w:sz w:val="21"/>
                <w:szCs w:val="21"/>
                <w:highlight w:val="none"/>
              </w:rPr>
              <w:t>。</w:t>
            </w:r>
          </w:p>
          <w:p w14:paraId="5D3FC711">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eastAsiaTheme="minorEastAsia"/>
                <w:color w:val="auto"/>
                <w:kern w:val="21"/>
                <w:szCs w:val="21"/>
              </w:rPr>
            </w:pP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eastAsiaTheme="minorEastAsia"/>
                <w:color w:val="auto"/>
                <w:kern w:val="21"/>
                <w:szCs w:val="21"/>
              </w:rPr>
              <w:t>施工设备</w:t>
            </w:r>
          </w:p>
          <w:p w14:paraId="2F81BC57">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eastAsiaTheme="minorEastAsia"/>
                <w:color w:val="auto"/>
                <w:kern w:val="21"/>
                <w:szCs w:val="21"/>
              </w:rPr>
            </w:pPr>
            <w:r>
              <w:rPr>
                <w:rFonts w:hint="default" w:ascii="Times New Roman" w:hAnsi="Times New Roman" w:cs="Times New Roman" w:eastAsiaTheme="minorEastAsia"/>
                <w:color w:val="auto"/>
                <w:kern w:val="21"/>
                <w:szCs w:val="21"/>
              </w:rPr>
              <w:t>本工程施工</w:t>
            </w:r>
            <w:r>
              <w:rPr>
                <w:rFonts w:hint="default" w:ascii="Times New Roman" w:hAnsi="Times New Roman" w:cs="Times New Roman" w:eastAsiaTheme="minorEastAsia"/>
                <w:b w:val="0"/>
                <w:bCs/>
                <w:color w:val="auto"/>
                <w:kern w:val="21"/>
                <w:szCs w:val="21"/>
              </w:rPr>
              <w:t>主要</w:t>
            </w:r>
            <w:r>
              <w:rPr>
                <w:rFonts w:hint="default" w:ascii="Times New Roman" w:hAnsi="Times New Roman" w:cs="Times New Roman" w:eastAsiaTheme="minorEastAsia"/>
                <w:color w:val="auto"/>
                <w:kern w:val="21"/>
                <w:szCs w:val="21"/>
              </w:rPr>
              <w:t>使用挖掘机、推土机、装载机等施工机械。</w:t>
            </w:r>
          </w:p>
          <w:p w14:paraId="5BDBE78C">
            <w:pPr>
              <w:autoSpaceDE w:val="0"/>
              <w:autoSpaceDN w:val="0"/>
              <w:adjustRightInd w:val="0"/>
              <w:snapToGrid w:val="0"/>
              <w:spacing w:line="240" w:lineRule="auto"/>
              <w:jc w:val="center"/>
              <w:rPr>
                <w:rFonts w:hint="default" w:ascii="Times New Roman" w:hAnsi="Times New Roman" w:cs="Times New Roman" w:eastAsiaTheme="minorEastAsia"/>
                <w:b/>
                <w:color w:val="auto"/>
                <w:kern w:val="21"/>
                <w:szCs w:val="21"/>
              </w:rPr>
            </w:pPr>
            <w:r>
              <w:rPr>
                <w:rFonts w:hint="default" w:ascii="Times New Roman" w:hAnsi="Times New Roman" w:cs="Times New Roman" w:eastAsiaTheme="minorEastAsia"/>
                <w:b/>
                <w:color w:val="auto"/>
                <w:kern w:val="21"/>
                <w:szCs w:val="21"/>
              </w:rPr>
              <w:t>表2-</w:t>
            </w:r>
            <w:r>
              <w:rPr>
                <w:rFonts w:hint="eastAsia" w:cs="Times New Roman" w:eastAsiaTheme="minorEastAsia"/>
                <w:b/>
                <w:color w:val="auto"/>
                <w:kern w:val="21"/>
                <w:szCs w:val="21"/>
                <w:lang w:val="en-US" w:eastAsia="zh-CN"/>
              </w:rPr>
              <w:t>5</w:t>
            </w:r>
            <w:r>
              <w:rPr>
                <w:rFonts w:hint="default" w:ascii="Times New Roman" w:hAnsi="Times New Roman" w:cs="Times New Roman" w:eastAsiaTheme="minorEastAsia"/>
                <w:b/>
                <w:color w:val="auto"/>
                <w:kern w:val="21"/>
                <w:szCs w:val="21"/>
              </w:rPr>
              <w:t xml:space="preserve"> </w:t>
            </w:r>
            <w:r>
              <w:rPr>
                <w:rFonts w:hint="eastAsia" w:ascii="Times New Roman" w:hAnsi="Times New Roman" w:cs="Times New Roman" w:eastAsiaTheme="minorEastAsia"/>
                <w:b/>
                <w:color w:val="auto"/>
                <w:kern w:val="21"/>
                <w:szCs w:val="21"/>
                <w:lang w:val="en-US" w:eastAsia="zh-CN"/>
              </w:rPr>
              <w:t xml:space="preserve"> </w:t>
            </w:r>
            <w:r>
              <w:rPr>
                <w:rFonts w:hint="default" w:ascii="Times New Roman" w:hAnsi="Times New Roman" w:cs="Times New Roman" w:eastAsiaTheme="minorEastAsia"/>
                <w:b/>
                <w:color w:val="auto"/>
                <w:kern w:val="21"/>
                <w:szCs w:val="21"/>
              </w:rPr>
              <w:t>主要施工设备一览表</w:t>
            </w:r>
          </w:p>
          <w:tbl>
            <w:tblPr>
              <w:tblStyle w:val="25"/>
              <w:tblW w:w="495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55"/>
              <w:gridCol w:w="3019"/>
              <w:gridCol w:w="2639"/>
            </w:tblGrid>
            <w:tr w14:paraId="7F54CC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1" w:type="dxa"/>
                  <w:tcBorders>
                    <w:tl2br w:val="nil"/>
                    <w:tr2bl w:val="nil"/>
                  </w:tcBorders>
                  <w:vAlign w:val="center"/>
                </w:tcPr>
                <w:p w14:paraId="50FA3E4B">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序号</w:t>
                  </w:r>
                </w:p>
              </w:tc>
              <w:tc>
                <w:tcPr>
                  <w:tcW w:w="3203" w:type="dxa"/>
                  <w:tcBorders>
                    <w:tl2br w:val="nil"/>
                    <w:tr2bl w:val="nil"/>
                  </w:tcBorders>
                  <w:vAlign w:val="center"/>
                </w:tcPr>
                <w:p w14:paraId="080A4588">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设备名称</w:t>
                  </w:r>
                </w:p>
              </w:tc>
              <w:tc>
                <w:tcPr>
                  <w:tcW w:w="2798" w:type="dxa"/>
                  <w:tcBorders>
                    <w:tl2br w:val="nil"/>
                    <w:tr2bl w:val="nil"/>
                  </w:tcBorders>
                  <w:vAlign w:val="center"/>
                </w:tcPr>
                <w:p w14:paraId="4F235876">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数量</w:t>
                  </w:r>
                </w:p>
              </w:tc>
            </w:tr>
            <w:tr w14:paraId="5CAFDB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1" w:type="dxa"/>
                  <w:tcBorders>
                    <w:tl2br w:val="nil"/>
                    <w:tr2bl w:val="nil"/>
                  </w:tcBorders>
                  <w:vAlign w:val="center"/>
                </w:tcPr>
                <w:p w14:paraId="55ECAB3A">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1</w:t>
                  </w:r>
                </w:p>
              </w:tc>
              <w:tc>
                <w:tcPr>
                  <w:tcW w:w="3203" w:type="dxa"/>
                  <w:tcBorders>
                    <w:tl2br w:val="nil"/>
                    <w:tr2bl w:val="nil"/>
                  </w:tcBorders>
                  <w:vAlign w:val="center"/>
                </w:tcPr>
                <w:p w14:paraId="6C98B4E0">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推土机</w:t>
                  </w:r>
                </w:p>
              </w:tc>
              <w:tc>
                <w:tcPr>
                  <w:tcW w:w="2798" w:type="dxa"/>
                  <w:tcBorders>
                    <w:tl2br w:val="nil"/>
                    <w:tr2bl w:val="nil"/>
                  </w:tcBorders>
                  <w:vAlign w:val="center"/>
                </w:tcPr>
                <w:p w14:paraId="5B8E7509">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eastAsia" w:ascii="Times New Roman" w:hAnsi="Times New Roman" w:cs="Times New Roman" w:eastAsiaTheme="minorEastAsia"/>
                      <w:color w:val="auto"/>
                      <w:kern w:val="21"/>
                      <w:sz w:val="18"/>
                      <w:szCs w:val="18"/>
                      <w:lang w:val="en-US" w:eastAsia="zh-CN"/>
                    </w:rPr>
                    <w:t>4</w:t>
                  </w:r>
                  <w:r>
                    <w:rPr>
                      <w:rFonts w:hint="default" w:ascii="Times New Roman" w:hAnsi="Times New Roman" w:cs="Times New Roman" w:eastAsiaTheme="minorEastAsia"/>
                      <w:color w:val="auto"/>
                      <w:kern w:val="21"/>
                      <w:sz w:val="18"/>
                      <w:szCs w:val="18"/>
                    </w:rPr>
                    <w:t>台</w:t>
                  </w:r>
                </w:p>
              </w:tc>
            </w:tr>
            <w:tr w14:paraId="2CB65F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1" w:type="dxa"/>
                  <w:tcBorders>
                    <w:tl2br w:val="nil"/>
                    <w:tr2bl w:val="nil"/>
                  </w:tcBorders>
                  <w:vAlign w:val="center"/>
                </w:tcPr>
                <w:p w14:paraId="7E7F65CD">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2</w:t>
                  </w:r>
                </w:p>
              </w:tc>
              <w:tc>
                <w:tcPr>
                  <w:tcW w:w="3203" w:type="dxa"/>
                  <w:tcBorders>
                    <w:tl2br w:val="nil"/>
                    <w:tr2bl w:val="nil"/>
                  </w:tcBorders>
                  <w:vAlign w:val="center"/>
                </w:tcPr>
                <w:p w14:paraId="16E06415">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挖掘机</w:t>
                  </w:r>
                </w:p>
              </w:tc>
              <w:tc>
                <w:tcPr>
                  <w:tcW w:w="2798" w:type="dxa"/>
                  <w:tcBorders>
                    <w:tl2br w:val="nil"/>
                    <w:tr2bl w:val="nil"/>
                  </w:tcBorders>
                  <w:vAlign w:val="center"/>
                </w:tcPr>
                <w:p w14:paraId="5C41230E">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eastAsia" w:ascii="Times New Roman" w:hAnsi="Times New Roman" w:cs="Times New Roman" w:eastAsiaTheme="minorEastAsia"/>
                      <w:color w:val="auto"/>
                      <w:kern w:val="21"/>
                      <w:sz w:val="18"/>
                      <w:szCs w:val="18"/>
                      <w:lang w:val="en-US" w:eastAsia="zh-CN"/>
                    </w:rPr>
                    <w:t>1</w:t>
                  </w:r>
                  <w:r>
                    <w:rPr>
                      <w:rFonts w:hint="default" w:ascii="Times New Roman" w:hAnsi="Times New Roman" w:cs="Times New Roman" w:eastAsiaTheme="minorEastAsia"/>
                      <w:color w:val="auto"/>
                      <w:kern w:val="21"/>
                      <w:sz w:val="18"/>
                      <w:szCs w:val="18"/>
                    </w:rPr>
                    <w:t>台</w:t>
                  </w:r>
                </w:p>
              </w:tc>
            </w:tr>
            <w:tr w14:paraId="51875E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1" w:type="dxa"/>
                  <w:tcBorders>
                    <w:tl2br w:val="nil"/>
                    <w:tr2bl w:val="nil"/>
                  </w:tcBorders>
                  <w:vAlign w:val="center"/>
                </w:tcPr>
                <w:p w14:paraId="1C4A428B">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3</w:t>
                  </w:r>
                </w:p>
              </w:tc>
              <w:tc>
                <w:tcPr>
                  <w:tcW w:w="3203" w:type="dxa"/>
                  <w:tcBorders>
                    <w:tl2br w:val="nil"/>
                    <w:tr2bl w:val="nil"/>
                  </w:tcBorders>
                  <w:vAlign w:val="center"/>
                </w:tcPr>
                <w:p w14:paraId="776E6518">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装载机</w:t>
                  </w:r>
                </w:p>
              </w:tc>
              <w:tc>
                <w:tcPr>
                  <w:tcW w:w="2798" w:type="dxa"/>
                  <w:tcBorders>
                    <w:tl2br w:val="nil"/>
                    <w:tr2bl w:val="nil"/>
                  </w:tcBorders>
                  <w:vAlign w:val="center"/>
                </w:tcPr>
                <w:p w14:paraId="0A32EEFA">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eastAsia" w:ascii="Times New Roman" w:hAnsi="Times New Roman" w:cs="Times New Roman" w:eastAsiaTheme="minorEastAsia"/>
                      <w:color w:val="auto"/>
                      <w:kern w:val="21"/>
                      <w:sz w:val="18"/>
                      <w:szCs w:val="18"/>
                      <w:lang w:val="en-US" w:eastAsia="zh-CN"/>
                    </w:rPr>
                    <w:t>1</w:t>
                  </w:r>
                  <w:r>
                    <w:rPr>
                      <w:rFonts w:hint="default" w:ascii="Times New Roman" w:hAnsi="Times New Roman" w:cs="Times New Roman" w:eastAsiaTheme="minorEastAsia"/>
                      <w:color w:val="auto"/>
                      <w:kern w:val="21"/>
                      <w:sz w:val="18"/>
                      <w:szCs w:val="18"/>
                    </w:rPr>
                    <w:t>台</w:t>
                  </w:r>
                </w:p>
              </w:tc>
            </w:tr>
            <w:tr w14:paraId="1CF14D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1" w:type="dxa"/>
                  <w:tcBorders>
                    <w:tl2br w:val="nil"/>
                    <w:tr2bl w:val="nil"/>
                  </w:tcBorders>
                  <w:vAlign w:val="center"/>
                </w:tcPr>
                <w:p w14:paraId="68B24420">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4</w:t>
                  </w:r>
                </w:p>
              </w:tc>
              <w:tc>
                <w:tcPr>
                  <w:tcW w:w="3203" w:type="dxa"/>
                  <w:tcBorders>
                    <w:tl2br w:val="nil"/>
                    <w:tr2bl w:val="nil"/>
                  </w:tcBorders>
                  <w:vAlign w:val="center"/>
                </w:tcPr>
                <w:p w14:paraId="45384D73">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洒水车</w:t>
                  </w:r>
                </w:p>
              </w:tc>
              <w:tc>
                <w:tcPr>
                  <w:tcW w:w="2798" w:type="dxa"/>
                  <w:tcBorders>
                    <w:tl2br w:val="nil"/>
                    <w:tr2bl w:val="nil"/>
                  </w:tcBorders>
                  <w:vAlign w:val="center"/>
                </w:tcPr>
                <w:p w14:paraId="7F018A4A">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1台</w:t>
                  </w:r>
                </w:p>
              </w:tc>
            </w:tr>
            <w:tr w14:paraId="7FBC1F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391" w:type="dxa"/>
                  <w:tcBorders>
                    <w:tl2br w:val="nil"/>
                    <w:tr2bl w:val="nil"/>
                  </w:tcBorders>
                  <w:vAlign w:val="center"/>
                </w:tcPr>
                <w:p w14:paraId="640EE947">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lang w:val="en-US" w:eastAsia="zh-CN"/>
                    </w:rPr>
                  </w:pPr>
                  <w:r>
                    <w:rPr>
                      <w:rFonts w:hint="eastAsia" w:ascii="Times New Roman" w:hAnsi="Times New Roman" w:cs="Times New Roman" w:eastAsiaTheme="minorEastAsia"/>
                      <w:color w:val="auto"/>
                      <w:kern w:val="21"/>
                      <w:sz w:val="18"/>
                      <w:szCs w:val="18"/>
                      <w:lang w:val="en-US" w:eastAsia="zh-CN"/>
                    </w:rPr>
                    <w:t>5</w:t>
                  </w:r>
                </w:p>
              </w:tc>
              <w:tc>
                <w:tcPr>
                  <w:tcW w:w="3203" w:type="dxa"/>
                  <w:tcBorders>
                    <w:tl2br w:val="nil"/>
                    <w:tr2bl w:val="nil"/>
                  </w:tcBorders>
                  <w:vAlign w:val="center"/>
                </w:tcPr>
                <w:p w14:paraId="70A295BE">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自卸汽车</w:t>
                  </w:r>
                </w:p>
              </w:tc>
              <w:tc>
                <w:tcPr>
                  <w:tcW w:w="2798" w:type="dxa"/>
                  <w:tcBorders>
                    <w:tl2br w:val="nil"/>
                    <w:tr2bl w:val="nil"/>
                  </w:tcBorders>
                  <w:vAlign w:val="center"/>
                </w:tcPr>
                <w:p w14:paraId="3628A53A">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eastAsia" w:ascii="Times New Roman" w:hAnsi="Times New Roman" w:cs="Times New Roman" w:eastAsiaTheme="minorEastAsia"/>
                      <w:color w:val="auto"/>
                      <w:kern w:val="21"/>
                      <w:sz w:val="18"/>
                      <w:szCs w:val="18"/>
                      <w:lang w:val="en-US" w:eastAsia="zh-CN"/>
                    </w:rPr>
                    <w:t>2</w:t>
                  </w:r>
                  <w:r>
                    <w:rPr>
                      <w:rFonts w:hint="default" w:ascii="Times New Roman" w:hAnsi="Times New Roman" w:cs="Times New Roman" w:eastAsiaTheme="minorEastAsia"/>
                      <w:color w:val="auto"/>
                      <w:kern w:val="21"/>
                      <w:sz w:val="18"/>
                      <w:szCs w:val="18"/>
                    </w:rPr>
                    <w:t>台</w:t>
                  </w:r>
                </w:p>
              </w:tc>
            </w:tr>
            <w:tr w14:paraId="65763C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1" w:type="dxa"/>
                  <w:tcBorders>
                    <w:tl2br w:val="nil"/>
                    <w:tr2bl w:val="nil"/>
                  </w:tcBorders>
                  <w:vAlign w:val="center"/>
                </w:tcPr>
                <w:p w14:paraId="0115C456">
                  <w:pPr>
                    <w:autoSpaceDE w:val="0"/>
                    <w:autoSpaceDN w:val="0"/>
                    <w:adjustRightInd w:val="0"/>
                    <w:snapToGrid w:val="0"/>
                    <w:spacing w:line="240" w:lineRule="auto"/>
                    <w:jc w:val="center"/>
                    <w:rPr>
                      <w:rFonts w:hint="eastAsia" w:ascii="Times New Roman" w:hAnsi="Times New Roman" w:cs="Times New Roman" w:eastAsiaTheme="minorEastAsia"/>
                      <w:color w:val="auto"/>
                      <w:kern w:val="21"/>
                      <w:sz w:val="18"/>
                      <w:szCs w:val="18"/>
                      <w:lang w:val="en-US" w:eastAsia="zh-CN"/>
                    </w:rPr>
                  </w:pPr>
                  <w:r>
                    <w:rPr>
                      <w:rFonts w:hint="eastAsia" w:ascii="Times New Roman" w:hAnsi="Times New Roman" w:cs="Times New Roman" w:eastAsiaTheme="minorEastAsia"/>
                      <w:color w:val="auto"/>
                      <w:kern w:val="21"/>
                      <w:sz w:val="18"/>
                      <w:szCs w:val="18"/>
                      <w:lang w:val="en-US" w:eastAsia="zh-CN"/>
                    </w:rPr>
                    <w:t>6</w:t>
                  </w:r>
                </w:p>
              </w:tc>
              <w:tc>
                <w:tcPr>
                  <w:tcW w:w="3203" w:type="dxa"/>
                  <w:tcBorders>
                    <w:tl2br w:val="nil"/>
                    <w:tr2bl w:val="nil"/>
                  </w:tcBorders>
                  <w:vAlign w:val="center"/>
                </w:tcPr>
                <w:p w14:paraId="53C609BD">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eastAsia="宋体" w:cs="Times New Roman"/>
                      <w:color w:val="auto"/>
                      <w:sz w:val="18"/>
                      <w:szCs w:val="18"/>
                      <w:highlight w:val="none"/>
                      <w:lang w:eastAsia="zh-CN"/>
                    </w:rPr>
                    <w:t>移动柴油发电机</w:t>
                  </w:r>
                </w:p>
              </w:tc>
              <w:tc>
                <w:tcPr>
                  <w:tcW w:w="2798" w:type="dxa"/>
                  <w:tcBorders>
                    <w:tl2br w:val="nil"/>
                    <w:tr2bl w:val="nil"/>
                  </w:tcBorders>
                  <w:vAlign w:val="center"/>
                </w:tcPr>
                <w:p w14:paraId="19C6A180">
                  <w:pPr>
                    <w:autoSpaceDE w:val="0"/>
                    <w:autoSpaceDN w:val="0"/>
                    <w:adjustRightInd w:val="0"/>
                    <w:snapToGrid w:val="0"/>
                    <w:spacing w:line="240" w:lineRule="auto"/>
                    <w:jc w:val="center"/>
                    <w:rPr>
                      <w:rFonts w:hint="default" w:ascii="Times New Roman" w:hAnsi="Times New Roman" w:cs="Times New Roman" w:eastAsiaTheme="minorEastAsia"/>
                      <w:color w:val="auto"/>
                      <w:kern w:val="21"/>
                      <w:sz w:val="18"/>
                      <w:szCs w:val="18"/>
                    </w:rPr>
                  </w:pPr>
                  <w:r>
                    <w:rPr>
                      <w:rFonts w:hint="default" w:ascii="Times New Roman" w:hAnsi="Times New Roman" w:cs="Times New Roman" w:eastAsiaTheme="minorEastAsia"/>
                      <w:color w:val="auto"/>
                      <w:kern w:val="21"/>
                      <w:sz w:val="18"/>
                      <w:szCs w:val="18"/>
                    </w:rPr>
                    <w:t>1台</w:t>
                  </w:r>
                </w:p>
              </w:tc>
            </w:tr>
          </w:tbl>
          <w:p w14:paraId="4BF3A1D2">
            <w:pPr>
              <w:rPr>
                <w:rFonts w:hint="default"/>
                <w:color w:val="auto"/>
                <w:lang w:val="en-US" w:eastAsia="zh-CN"/>
              </w:rPr>
            </w:pPr>
          </w:p>
        </w:tc>
      </w:tr>
      <w:tr w14:paraId="6D5005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pct"/>
            <w:vAlign w:val="center"/>
          </w:tcPr>
          <w:p w14:paraId="3728594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施工</w:t>
            </w:r>
          </w:p>
          <w:p w14:paraId="0AB3F9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 w:val="21"/>
                <w:szCs w:val="21"/>
                <w:highlight w:val="none"/>
              </w:rPr>
              <w:t>方案</w:t>
            </w:r>
          </w:p>
        </w:tc>
        <w:tc>
          <w:tcPr>
            <w:tcW w:w="4530" w:type="pct"/>
            <w:vAlign w:val="center"/>
          </w:tcPr>
          <w:p w14:paraId="31850F99">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cs="Times New Roman" w:eastAsiaTheme="minorEastAsia"/>
                <w:b/>
                <w:color w:val="auto"/>
                <w:kern w:val="0"/>
                <w:sz w:val="21"/>
                <w:szCs w:val="21"/>
                <w:highlight w:val="yellow"/>
                <w:lang w:eastAsia="zh-CN"/>
              </w:rPr>
            </w:pPr>
            <w:r>
              <w:rPr>
                <w:rFonts w:hint="default" w:ascii="Times New Roman" w:hAnsi="Times New Roman" w:cs="Times New Roman" w:eastAsiaTheme="minorEastAsia"/>
                <w:b/>
                <w:color w:val="auto"/>
                <w:kern w:val="0"/>
                <w:sz w:val="21"/>
                <w:szCs w:val="21"/>
                <w:highlight w:val="none"/>
                <w:lang w:val="en-US" w:eastAsia="zh-CN"/>
              </w:rPr>
              <w:t>1、</w:t>
            </w:r>
            <w:r>
              <w:rPr>
                <w:rFonts w:hint="default" w:ascii="Times New Roman" w:hAnsi="Times New Roman" w:cs="Times New Roman" w:eastAsiaTheme="minorEastAsia"/>
                <w:b/>
                <w:color w:val="auto"/>
                <w:kern w:val="0"/>
                <w:sz w:val="21"/>
                <w:szCs w:val="21"/>
                <w:highlight w:val="none"/>
              </w:rPr>
              <w:t>主体工程施工</w:t>
            </w:r>
          </w:p>
          <w:p w14:paraId="338023CA">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cs="Times New Roman" w:eastAsiaTheme="minorEastAsia"/>
                <w:b w:val="0"/>
                <w:bCs w:val="0"/>
                <w:color w:val="auto"/>
                <w:kern w:val="0"/>
                <w:sz w:val="21"/>
                <w:szCs w:val="21"/>
                <w:highlight w:val="none"/>
                <w:lang w:eastAsia="zh-CN"/>
              </w:rPr>
            </w:pPr>
            <w:r>
              <w:rPr>
                <w:rFonts w:hint="eastAsia"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highlight w:val="none"/>
                <w:lang w:val="en-US" w:eastAsia="zh-CN"/>
              </w:rPr>
              <w:t>大坝工程</w:t>
            </w:r>
          </w:p>
          <w:p w14:paraId="05E99B2B">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i w:val="0"/>
                <w:iCs w:val="0"/>
                <w:caps w:val="0"/>
                <w:color w:val="auto"/>
                <w:spacing w:val="0"/>
                <w:sz w:val="21"/>
                <w:szCs w:val="21"/>
                <w:shd w:val="clear" w:fill="FFFFFF"/>
              </w:rPr>
            </w:pPr>
            <w:r>
              <w:rPr>
                <w:rFonts w:hint="default" w:ascii="Times New Roman" w:hAnsi="Times New Roman" w:eastAsia="宋体" w:cs="Times New Roman"/>
                <w:i w:val="0"/>
                <w:iCs w:val="0"/>
                <w:caps w:val="0"/>
                <w:color w:val="auto"/>
                <w:spacing w:val="0"/>
                <w:sz w:val="21"/>
                <w:szCs w:val="21"/>
                <w:shd w:val="clear" w:fill="FFFFFF"/>
              </w:rPr>
              <w:t>工程主要包括：坝顶路面硬化、背水侧碎石护坡及排水体施工、坝体局部填筑、清基及表土剥离、照明设施及监测设施安装等。</w:t>
            </w:r>
          </w:p>
          <w:p w14:paraId="6B2F84B6">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i w:val="0"/>
                <w:iCs w:val="0"/>
                <w:caps w:val="0"/>
                <w:color w:val="auto"/>
                <w:spacing w:val="0"/>
                <w:sz w:val="21"/>
                <w:szCs w:val="21"/>
                <w:shd w:val="clear" w:fill="FFFFFF"/>
              </w:rPr>
            </w:pPr>
            <w:r>
              <w:rPr>
                <w:rFonts w:hint="default" w:ascii="Times New Roman" w:hAnsi="Times New Roman" w:eastAsia="宋体" w:cs="Times New Roman"/>
                <w:i w:val="0"/>
                <w:iCs w:val="0"/>
                <w:caps w:val="0"/>
                <w:color w:val="auto"/>
                <w:spacing w:val="0"/>
                <w:sz w:val="21"/>
                <w:szCs w:val="21"/>
                <w:shd w:val="clear" w:fill="FFFFFF"/>
              </w:rPr>
              <w:t>工艺流程：坝体清基→表土剥离→碎石护坡铺设→干砌石排水体施工→坝顶路面硬化 →附属设施安装。</w:t>
            </w:r>
          </w:p>
          <w:p w14:paraId="4E651698">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i w:val="0"/>
                <w:iCs w:val="0"/>
                <w:caps w:val="0"/>
                <w:color w:val="auto"/>
                <w:spacing w:val="0"/>
                <w:sz w:val="21"/>
                <w:szCs w:val="21"/>
                <w:shd w:val="clear" w:fill="FFFFFF"/>
                <w:lang w:val="en-US" w:eastAsia="zh-CN"/>
              </w:rPr>
            </w:pPr>
            <w:r>
              <w:rPr>
                <w:rFonts w:hint="default" w:ascii="Times New Roman" w:hAnsi="Times New Roman" w:eastAsia="宋体" w:cs="Times New Roman"/>
                <w:i w:val="0"/>
                <w:iCs w:val="0"/>
                <w:caps w:val="0"/>
                <w:color w:val="auto"/>
                <w:spacing w:val="0"/>
                <w:sz w:val="21"/>
                <w:szCs w:val="21"/>
                <w:shd w:val="clear" w:fill="FFFFFF"/>
              </w:rPr>
              <w:t>施工方法：采用74kW推土机对坝体背水侧施工区域进行清基，清除草皮、树根等杂物，表土剥离厚度20cm，集中堆置于临时堆土场，用于后期绿化覆土。采用1m³挖掘机开挖，103kW推土机推平，压实度不小于0.96，分层填筑，每层厚度控制在30～40cm。碎石护坡</w:t>
            </w:r>
            <w:r>
              <w:rPr>
                <w:rFonts w:hint="default" w:ascii="Times New Roman" w:hAnsi="Times New Roman" w:eastAsia="宋体" w:cs="Times New Roman"/>
                <w:i w:val="0"/>
                <w:iCs w:val="0"/>
                <w:caps w:val="0"/>
                <w:color w:val="auto"/>
                <w:spacing w:val="0"/>
                <w:sz w:val="21"/>
                <w:szCs w:val="21"/>
                <w:shd w:val="clear" w:fill="FFFFFF"/>
                <w:lang w:val="en-US" w:eastAsia="zh-CN"/>
              </w:rPr>
              <w:t>采用</w:t>
            </w:r>
            <w:r>
              <w:rPr>
                <w:rFonts w:hint="default" w:ascii="Times New Roman" w:hAnsi="Times New Roman" w:eastAsia="宋体" w:cs="Times New Roman"/>
                <w:i w:val="0"/>
                <w:iCs w:val="0"/>
                <w:caps w:val="0"/>
                <w:color w:val="auto"/>
                <w:spacing w:val="0"/>
                <w:sz w:val="21"/>
                <w:szCs w:val="21"/>
                <w:shd w:val="clear" w:fill="FFFFFF"/>
              </w:rPr>
              <w:t>铺设20cm厚碎石，下设400g</w:t>
            </w:r>
            <w:r>
              <w:rPr>
                <w:rFonts w:hint="default" w:ascii="Times New Roman" w:hAnsi="Times New Roman" w:eastAsia="宋体" w:cs="Times New Roman"/>
                <w:i w:val="0"/>
                <w:iCs w:val="0"/>
                <w:caps w:val="0"/>
                <w:color w:val="auto"/>
                <w:spacing w:val="0"/>
                <w:sz w:val="21"/>
                <w:szCs w:val="21"/>
                <w:shd w:val="clear" w:fill="FFFFFF"/>
                <w:lang w:val="en-US" w:eastAsia="zh-CN"/>
              </w:rPr>
              <w:t>/</w:t>
            </w:r>
            <w:r>
              <w:rPr>
                <w:rFonts w:hint="default" w:ascii="Times New Roman" w:hAnsi="Times New Roman" w:eastAsia="宋体" w:cs="Times New Roman"/>
                <w:i w:val="0"/>
                <w:iCs w:val="0"/>
                <w:caps w:val="0"/>
                <w:color w:val="auto"/>
                <w:spacing w:val="0"/>
                <w:sz w:val="21"/>
                <w:szCs w:val="21"/>
                <w:shd w:val="clear" w:fill="FFFFFF"/>
              </w:rPr>
              <w:t>m²土工布，碎石粒径10～30mm，人工铺筑，拍打平整。坝脚布设干砌石排水体568m，厚度30cm，下设10cm碎石垫层，石料采用块石，人工砌筑。坝顶路面硬化铺设20cm厚C30水泥混凝土路面，下设20cm厚水泥稳定碎石基层，路面宽度4.5m，两侧设路缘石。安装太阳能LED路灯15座，布设GNSS（北斗）变形监测点10处。</w:t>
            </w:r>
          </w:p>
          <w:p w14:paraId="2A3D2839">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color w:val="auto"/>
                <w:kern w:val="0"/>
                <w:sz w:val="21"/>
                <w:szCs w:val="21"/>
                <w:highlight w:val="none"/>
              </w:rPr>
            </w:pPr>
            <w:r>
              <w:rPr>
                <w:rFonts w:hint="eastAsia" w:cs="Times New Roman" w:eastAsiaTheme="minorEastAsia"/>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溢洪道工程</w:t>
            </w:r>
          </w:p>
          <w:p w14:paraId="5B1614C1">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i w:val="0"/>
                <w:iCs w:val="0"/>
                <w:caps w:val="0"/>
                <w:color w:val="auto"/>
                <w:spacing w:val="0"/>
                <w:sz w:val="21"/>
                <w:szCs w:val="21"/>
                <w:shd w:val="clear" w:fill="FFFFFF"/>
                <w:lang w:eastAsia="zh-CN"/>
              </w:rPr>
            </w:pPr>
            <w:r>
              <w:rPr>
                <w:rFonts w:hint="default" w:ascii="Times New Roman" w:hAnsi="Times New Roman" w:eastAsia="宋体" w:cs="Times New Roman"/>
                <w:b w:val="0"/>
                <w:bCs w:val="0"/>
                <w:i w:val="0"/>
                <w:iCs w:val="0"/>
                <w:caps w:val="0"/>
                <w:color w:val="auto"/>
                <w:spacing w:val="0"/>
                <w:sz w:val="21"/>
                <w:szCs w:val="21"/>
                <w:shd w:val="clear" w:fill="FFFFFF"/>
              </w:rPr>
              <w:t>工程主要包括：溢流堰表面修复、海漫段维修、安全防护围栏安装</w:t>
            </w:r>
            <w:r>
              <w:rPr>
                <w:rFonts w:hint="default" w:ascii="Times New Roman" w:hAnsi="Times New Roman" w:eastAsia="宋体" w:cs="Times New Roman"/>
                <w:b w:val="0"/>
                <w:bCs w:val="0"/>
                <w:i w:val="0"/>
                <w:iCs w:val="0"/>
                <w:caps w:val="0"/>
                <w:color w:val="auto"/>
                <w:spacing w:val="0"/>
                <w:sz w:val="21"/>
                <w:szCs w:val="21"/>
                <w:shd w:val="clear" w:fill="FFFFFF"/>
                <w:lang w:eastAsia="zh-CN"/>
              </w:rPr>
              <w:t>。</w:t>
            </w:r>
          </w:p>
          <w:p w14:paraId="61377949">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i w:val="0"/>
                <w:iCs w:val="0"/>
                <w:caps w:val="0"/>
                <w:color w:val="auto"/>
                <w:spacing w:val="0"/>
                <w:sz w:val="21"/>
                <w:szCs w:val="21"/>
                <w:shd w:val="clear" w:fill="FFFFFF"/>
                <w:lang w:eastAsia="zh-CN"/>
              </w:rPr>
            </w:pPr>
            <w:r>
              <w:rPr>
                <w:rFonts w:hint="default" w:ascii="Times New Roman" w:hAnsi="Times New Roman" w:eastAsia="宋体" w:cs="Times New Roman"/>
                <w:b w:val="0"/>
                <w:bCs w:val="0"/>
                <w:i w:val="0"/>
                <w:iCs w:val="0"/>
                <w:caps w:val="0"/>
                <w:color w:val="auto"/>
                <w:spacing w:val="0"/>
                <w:sz w:val="21"/>
                <w:szCs w:val="21"/>
                <w:shd w:val="clear" w:fill="FFFFFF"/>
              </w:rPr>
              <w:t>工艺流程：表面清理→凿毛处理→环氧砂浆填补→ 聚脲防水涂料施工→海漫段钢筋石笼施工→防冲槽施工→围栏安装</w:t>
            </w:r>
            <w:r>
              <w:rPr>
                <w:rFonts w:hint="default" w:ascii="Times New Roman" w:hAnsi="Times New Roman" w:eastAsia="宋体" w:cs="Times New Roman"/>
                <w:b w:val="0"/>
                <w:bCs w:val="0"/>
                <w:i w:val="0"/>
                <w:iCs w:val="0"/>
                <w:caps w:val="0"/>
                <w:color w:val="auto"/>
                <w:spacing w:val="0"/>
                <w:sz w:val="21"/>
                <w:szCs w:val="21"/>
                <w:shd w:val="clear" w:fill="FFFFFF"/>
                <w:lang w:eastAsia="zh-CN"/>
              </w:rPr>
              <w:t>。</w:t>
            </w:r>
          </w:p>
          <w:p w14:paraId="44D5970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i w:val="0"/>
                <w:iCs w:val="0"/>
                <w:caps w:val="0"/>
                <w:color w:val="auto"/>
                <w:spacing w:val="0"/>
                <w:sz w:val="21"/>
                <w:szCs w:val="21"/>
                <w:shd w:val="clear" w:fill="FFFFFF"/>
                <w:lang w:eastAsia="zh-CN"/>
              </w:rPr>
            </w:pPr>
            <w:r>
              <w:rPr>
                <w:rFonts w:hint="default" w:ascii="Times New Roman" w:hAnsi="Times New Roman" w:eastAsia="宋体" w:cs="Times New Roman"/>
                <w:b w:val="0"/>
                <w:bCs w:val="0"/>
                <w:i w:val="0"/>
                <w:iCs w:val="0"/>
                <w:caps w:val="0"/>
                <w:color w:val="auto"/>
                <w:spacing w:val="0"/>
                <w:sz w:val="21"/>
                <w:szCs w:val="21"/>
                <w:shd w:val="clear" w:fill="FFFFFF"/>
              </w:rPr>
              <w:t>施工方法：先对溢流堰表面进行凿毛处理，清除松散混凝土，采用2cm厚环氧砂浆填补，最后涂刷聚脲防水涂料。海漫段维修采用钢筋石笼结构，厚50cm，底宽15m，边坡坡比1:2，石笼内填充块石，下设碎石垫层及土工布。海漫段尾部设干砌石防冲槽，深度2.5m，采用块石干砌。出口段增设安全防护围栏，采用成品金属围栏现场安装。</w:t>
            </w:r>
          </w:p>
          <w:p w14:paraId="2C201344">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color w:val="auto"/>
                <w:kern w:val="0"/>
                <w:sz w:val="21"/>
                <w:szCs w:val="21"/>
                <w:highlight w:val="none"/>
                <w:lang w:eastAsia="zh-CN"/>
              </w:rPr>
            </w:pPr>
            <w:r>
              <w:rPr>
                <w:rFonts w:hint="eastAsia" w:cs="Times New Roman" w:eastAsiaTheme="minorEastAsia"/>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val="en-US" w:eastAsia="zh-CN"/>
              </w:rPr>
              <w:t>输水洞工程</w:t>
            </w:r>
          </w:p>
          <w:p w14:paraId="600CE943">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i w:val="0"/>
                <w:iCs w:val="0"/>
                <w:caps w:val="0"/>
                <w:color w:val="auto"/>
                <w:spacing w:val="0"/>
                <w:sz w:val="21"/>
                <w:szCs w:val="21"/>
                <w:shd w:val="clear" w:fill="FFFFFF"/>
                <w:lang w:eastAsia="zh-CN"/>
              </w:rPr>
            </w:pPr>
            <w:r>
              <w:rPr>
                <w:rFonts w:hint="default" w:ascii="Times New Roman" w:hAnsi="Times New Roman" w:eastAsia="宋体" w:cs="Times New Roman"/>
                <w:i w:val="0"/>
                <w:iCs w:val="0"/>
                <w:caps w:val="0"/>
                <w:color w:val="auto"/>
                <w:spacing w:val="0"/>
                <w:sz w:val="21"/>
                <w:szCs w:val="21"/>
                <w:shd w:val="clear" w:fill="FFFFFF"/>
              </w:rPr>
              <w:t>工程主要包括：旧闸室段及工作桥拆除、闸室段重建、涵洞段重建、海漫段维修、金属结构安装</w:t>
            </w:r>
            <w:r>
              <w:rPr>
                <w:rFonts w:hint="default" w:ascii="Times New Roman" w:hAnsi="Times New Roman" w:eastAsia="宋体" w:cs="Times New Roman"/>
                <w:i w:val="0"/>
                <w:iCs w:val="0"/>
                <w:caps w:val="0"/>
                <w:color w:val="auto"/>
                <w:spacing w:val="0"/>
                <w:sz w:val="21"/>
                <w:szCs w:val="21"/>
                <w:shd w:val="clear" w:fill="FFFFFF"/>
                <w:lang w:eastAsia="zh-CN"/>
              </w:rPr>
              <w:t>。</w:t>
            </w:r>
          </w:p>
          <w:p w14:paraId="610DA2F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i w:val="0"/>
                <w:iCs w:val="0"/>
                <w:caps w:val="0"/>
                <w:color w:val="auto"/>
                <w:spacing w:val="0"/>
                <w:sz w:val="21"/>
                <w:szCs w:val="21"/>
                <w:shd w:val="clear" w:fill="FFFFFF"/>
                <w:lang w:eastAsia="zh-CN"/>
              </w:rPr>
            </w:pPr>
            <w:r>
              <w:rPr>
                <w:rFonts w:hint="default" w:ascii="Times New Roman" w:hAnsi="Times New Roman" w:eastAsia="宋体" w:cs="Times New Roman"/>
                <w:i w:val="0"/>
                <w:iCs w:val="0"/>
                <w:caps w:val="0"/>
                <w:color w:val="auto"/>
                <w:spacing w:val="0"/>
                <w:sz w:val="21"/>
                <w:szCs w:val="21"/>
                <w:shd w:val="clear" w:fill="FFFFFF"/>
              </w:rPr>
              <w:t>工艺流程：施工围堰设置→旧建筑物拆除→基础开挖→混凝土浇筑→涵洞安装→金属结构安装→海漫段施工→围堰拆除</w:t>
            </w:r>
            <w:r>
              <w:rPr>
                <w:rFonts w:hint="default" w:ascii="Times New Roman" w:hAnsi="Times New Roman" w:eastAsia="宋体" w:cs="Times New Roman"/>
                <w:i w:val="0"/>
                <w:iCs w:val="0"/>
                <w:caps w:val="0"/>
                <w:color w:val="auto"/>
                <w:spacing w:val="0"/>
                <w:sz w:val="21"/>
                <w:szCs w:val="21"/>
                <w:shd w:val="clear" w:fill="FFFFFF"/>
                <w:lang w:eastAsia="zh-CN"/>
              </w:rPr>
              <w:t>。</w:t>
            </w:r>
          </w:p>
          <w:p w14:paraId="163F7D58">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i w:val="0"/>
                <w:iCs w:val="0"/>
                <w:caps w:val="0"/>
                <w:color w:val="auto"/>
                <w:spacing w:val="0"/>
                <w:sz w:val="21"/>
                <w:szCs w:val="21"/>
                <w:shd w:val="clear" w:fill="FFFFFF"/>
                <w:lang w:val="en-US" w:eastAsia="zh-CN"/>
              </w:rPr>
            </w:pPr>
            <w:r>
              <w:rPr>
                <w:rFonts w:hint="default" w:ascii="Times New Roman" w:hAnsi="Times New Roman" w:eastAsia="宋体" w:cs="Times New Roman"/>
                <w:i w:val="0"/>
                <w:iCs w:val="0"/>
                <w:caps w:val="0"/>
                <w:color w:val="auto"/>
                <w:spacing w:val="0"/>
                <w:sz w:val="21"/>
                <w:szCs w:val="21"/>
                <w:shd w:val="clear" w:fill="FFFFFF"/>
              </w:rPr>
              <w:t>施工方法：</w:t>
            </w:r>
            <w:r>
              <w:rPr>
                <w:rFonts w:hint="default" w:ascii="Times New Roman" w:hAnsi="Times New Roman" w:eastAsia="宋体" w:cs="Times New Roman"/>
                <w:color w:val="auto"/>
                <w:sz w:val="21"/>
                <w:szCs w:val="21"/>
                <w:highlight w:val="none"/>
                <w:vertAlign w:val="baseline"/>
                <w:lang w:val="en-US" w:eastAsia="zh-CN"/>
              </w:rPr>
              <w:t>输水洞</w:t>
            </w:r>
            <w:r>
              <w:rPr>
                <w:rFonts w:hint="default" w:ascii="Times New Roman" w:hAnsi="Times New Roman" w:eastAsia="宋体" w:cs="Times New Roman"/>
                <w:color w:val="auto"/>
                <w:kern w:val="0"/>
                <w:sz w:val="21"/>
                <w:szCs w:val="21"/>
                <w:highlight w:val="none"/>
              </w:rPr>
              <w:t>闸室段</w:t>
            </w:r>
            <w:r>
              <w:rPr>
                <w:rFonts w:hint="default" w:ascii="Times New Roman" w:hAnsi="Times New Roman" w:eastAsia="宋体" w:cs="Times New Roman"/>
                <w:color w:val="auto"/>
                <w:kern w:val="0"/>
                <w:sz w:val="21"/>
                <w:szCs w:val="21"/>
                <w:highlight w:val="none"/>
                <w:lang w:val="en-US" w:eastAsia="zh-CN"/>
              </w:rPr>
              <w:t>拆除重建</w:t>
            </w:r>
            <w:r>
              <w:rPr>
                <w:rFonts w:hint="default" w:ascii="Times New Roman" w:hAnsi="Times New Roman" w:eastAsia="宋体" w:cs="Times New Roman"/>
                <w:color w:val="auto"/>
                <w:kern w:val="0"/>
                <w:sz w:val="21"/>
                <w:szCs w:val="21"/>
                <w:highlight w:val="none"/>
              </w:rPr>
              <w:t>在枯水期施工</w:t>
            </w:r>
            <w:r>
              <w:rPr>
                <w:rFonts w:hint="default" w:ascii="Times New Roman" w:hAnsi="Times New Roman" w:eastAsia="宋体" w:cs="Times New Roman"/>
                <w:color w:val="auto"/>
                <w:kern w:val="0"/>
                <w:sz w:val="21"/>
                <w:szCs w:val="21"/>
                <w:highlight w:val="none"/>
                <w:lang w:eastAsia="zh-CN"/>
              </w:rPr>
              <w:t>，为避免工程扰动水体，</w:t>
            </w:r>
            <w:r>
              <w:rPr>
                <w:rFonts w:hint="default" w:ascii="Times New Roman" w:hAnsi="Times New Roman" w:eastAsia="宋体" w:cs="Times New Roman"/>
                <w:color w:val="auto"/>
                <w:sz w:val="21"/>
                <w:szCs w:val="21"/>
                <w:highlight w:val="none"/>
                <w:lang w:val="en-US" w:eastAsia="zh-CN"/>
              </w:rPr>
              <w:t>施工时</w:t>
            </w:r>
            <w:r>
              <w:rPr>
                <w:rFonts w:hint="default" w:ascii="Times New Roman" w:hAnsi="Times New Roman" w:eastAsia="宋体" w:cs="Times New Roman"/>
                <w:color w:val="auto"/>
                <w:kern w:val="0"/>
                <w:sz w:val="21"/>
                <w:szCs w:val="21"/>
                <w:highlight w:val="none"/>
              </w:rPr>
              <w:t>于基坑外侧</w:t>
            </w:r>
            <w:r>
              <w:rPr>
                <w:rFonts w:hint="default" w:ascii="Times New Roman" w:hAnsi="Times New Roman" w:eastAsia="宋体" w:cs="Times New Roman"/>
                <w:color w:val="auto"/>
                <w:sz w:val="21"/>
                <w:szCs w:val="21"/>
                <w:highlight w:val="none"/>
                <w:lang w:val="en-US" w:eastAsia="zh-CN"/>
              </w:rPr>
              <w:t>设置临时</w:t>
            </w:r>
            <w:r>
              <w:rPr>
                <w:rFonts w:hint="default" w:ascii="Times New Roman" w:hAnsi="Times New Roman" w:eastAsia="宋体" w:cs="Times New Roman"/>
                <w:color w:val="auto"/>
                <w:kern w:val="0"/>
                <w:sz w:val="21"/>
                <w:szCs w:val="21"/>
                <w:highlight w:val="none"/>
              </w:rPr>
              <w:t>施工围堰，围堰采用土围堰型式，围堰</w:t>
            </w:r>
            <w:r>
              <w:rPr>
                <w:rFonts w:hint="default" w:ascii="Times New Roman" w:hAnsi="Times New Roman" w:eastAsia="宋体" w:cs="Times New Roman"/>
                <w:color w:val="auto"/>
                <w:sz w:val="21"/>
                <w:szCs w:val="21"/>
                <w:highlight w:val="none"/>
                <w:lang w:val="en-US" w:eastAsia="zh-CN"/>
              </w:rPr>
              <w:t>顶宽2m，</w:t>
            </w:r>
            <w:r>
              <w:rPr>
                <w:rFonts w:hint="default" w:ascii="Times New Roman" w:hAnsi="Times New Roman" w:eastAsia="宋体" w:cs="Times New Roman"/>
                <w:color w:val="auto"/>
                <w:kern w:val="0"/>
                <w:sz w:val="21"/>
                <w:szCs w:val="21"/>
                <w:highlight w:val="none"/>
              </w:rPr>
              <w:t>高度4m</w:t>
            </w:r>
            <w:r>
              <w:rPr>
                <w:rFonts w:hint="default" w:ascii="Times New Roman" w:hAnsi="Times New Roman" w:eastAsia="宋体" w:cs="Times New Roman"/>
                <w:color w:val="auto"/>
                <w:kern w:val="0"/>
                <w:sz w:val="21"/>
                <w:szCs w:val="21"/>
                <w:highlight w:val="none"/>
                <w:lang w:eastAsia="zh-CN"/>
              </w:rPr>
              <w:t>，坡比1:2</w:t>
            </w:r>
            <w:r>
              <w:rPr>
                <w:rFonts w:hint="default" w:ascii="Times New Roman" w:hAnsi="Times New Roman" w:eastAsia="宋体" w:cs="Times New Roman"/>
                <w:i w:val="0"/>
                <w:iCs w:val="0"/>
                <w:caps w:val="0"/>
                <w:color w:val="auto"/>
                <w:spacing w:val="0"/>
                <w:sz w:val="21"/>
                <w:szCs w:val="21"/>
                <w:shd w:val="clear" w:fill="FFFFFF"/>
              </w:rPr>
              <w:t>。拆除旧闸室段及工作桥，拆除的钢筋砼及涵管分类堆放。闸室段重建采用钢筋混凝土结构，净宽1.2m，设检修闸门及工作闸门各一道，铸铁闸门尺寸1.2m×1.2m。涵洞段重建采用圆涵结构，长8m，孔口尺寸1.2m×1.2m，下设保温板及素砼垫层。海漫段维修采用0.5m厚钢筋石笼防护，下设碎石垫层及土工布，末端设抛石防冲槽。金属结构安装</w:t>
            </w:r>
            <w:r>
              <w:rPr>
                <w:rFonts w:hint="default" w:ascii="Times New Roman" w:hAnsi="Times New Roman" w:eastAsia="宋体" w:cs="Times New Roman"/>
                <w:i w:val="0"/>
                <w:iCs w:val="0"/>
                <w:caps w:val="0"/>
                <w:color w:val="auto"/>
                <w:spacing w:val="0"/>
                <w:sz w:val="21"/>
                <w:szCs w:val="21"/>
                <w:shd w:val="clear" w:fill="FFFFFF"/>
                <w:lang w:eastAsia="zh-CN"/>
              </w:rPr>
              <w:t>的</w:t>
            </w:r>
            <w:r>
              <w:rPr>
                <w:rFonts w:hint="default" w:ascii="Times New Roman" w:hAnsi="Times New Roman" w:eastAsia="宋体" w:cs="Times New Roman"/>
                <w:i w:val="0"/>
                <w:iCs w:val="0"/>
                <w:caps w:val="0"/>
                <w:color w:val="auto"/>
                <w:spacing w:val="0"/>
                <w:sz w:val="21"/>
                <w:szCs w:val="21"/>
                <w:shd w:val="clear" w:fill="FFFFFF"/>
              </w:rPr>
              <w:t>闸门及启闭机现场吊装，启闭机采用LQ-80KN螺杆启闭机。</w:t>
            </w:r>
          </w:p>
          <w:p w14:paraId="6A4D7877">
            <w:pPr>
              <w:keepNext w:val="0"/>
              <w:keepLines w:val="0"/>
              <w:pageBreakBefore w:val="0"/>
              <w:widowControl/>
              <w:kinsoku/>
              <w:wordWrap/>
              <w:overflowPunct/>
              <w:topLinePunct w:val="0"/>
              <w:autoSpaceDE/>
              <w:autoSpaceDN/>
              <w:bidi w:val="0"/>
              <w:adjustRightInd/>
              <w:snapToGrid/>
              <w:spacing w:line="360" w:lineRule="auto"/>
              <w:ind w:firstLine="422" w:firstLineChars="200"/>
              <w:jc w:val="both"/>
              <w:textAlignment w:val="auto"/>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2、施工方法及方案</w:t>
            </w:r>
          </w:p>
          <w:p w14:paraId="24194D6A">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eastAsia="zh-CN"/>
              </w:rPr>
              <w:t>本次施工对水库下部分工程采用下调水位后再施工，枯水期利用大坝旧输水洞下调水位后，进行施工，如在枯水期遭遇大量来水，水库水位上涨影响施工时，可暂停大坝坝体、输水洞、溢洪道的施工，短时间内待水库水位下降后，再继续施工。</w:t>
            </w:r>
          </w:p>
          <w:p w14:paraId="07083EB2">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3</w:t>
            </w:r>
            <w:r>
              <w:rPr>
                <w:rFonts w:hint="default" w:ascii="Times New Roman" w:hAnsi="Times New Roman" w:cs="Times New Roman" w:eastAsiaTheme="minorEastAsia"/>
                <w:b/>
                <w:bCs/>
                <w:color w:val="auto"/>
                <w:sz w:val="21"/>
                <w:szCs w:val="21"/>
                <w:highlight w:val="none"/>
                <w:lang w:val="en-US" w:eastAsia="zh-CN"/>
              </w:rPr>
              <w:t>、</w:t>
            </w:r>
            <w:r>
              <w:rPr>
                <w:rFonts w:hint="default" w:ascii="Times New Roman" w:hAnsi="Times New Roman" w:cs="Times New Roman" w:eastAsiaTheme="minorEastAsia"/>
                <w:b/>
                <w:bCs/>
                <w:color w:val="auto"/>
                <w:sz w:val="21"/>
                <w:szCs w:val="21"/>
                <w:highlight w:val="none"/>
              </w:rPr>
              <w:t>施工时序</w:t>
            </w:r>
            <w:r>
              <w:rPr>
                <w:rFonts w:hint="eastAsia" w:cs="Times New Roman" w:eastAsiaTheme="minorEastAsia"/>
                <w:b/>
                <w:bCs/>
                <w:color w:val="auto"/>
                <w:sz w:val="21"/>
                <w:szCs w:val="21"/>
                <w:highlight w:val="none"/>
                <w:lang w:eastAsia="zh-CN"/>
              </w:rPr>
              <w:t>、</w:t>
            </w:r>
            <w:r>
              <w:rPr>
                <w:rFonts w:hint="eastAsia" w:cs="Times New Roman" w:eastAsiaTheme="minorEastAsia"/>
                <w:b/>
                <w:bCs/>
                <w:color w:val="auto"/>
                <w:sz w:val="21"/>
                <w:szCs w:val="21"/>
                <w:highlight w:val="none"/>
                <w:lang w:val="en-US" w:eastAsia="zh-CN"/>
              </w:rPr>
              <w:t>建设周期</w:t>
            </w:r>
          </w:p>
          <w:p w14:paraId="37475C6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本工程计划</w:t>
            </w:r>
            <w:r>
              <w:rPr>
                <w:rFonts w:hint="default" w:ascii="Times New Roman" w:hAnsi="Times New Roman" w:eastAsia="宋体" w:cs="Times New Roman"/>
                <w:color w:val="auto"/>
                <w:sz w:val="21"/>
                <w:szCs w:val="21"/>
                <w:highlight w:val="none"/>
                <w:lang w:eastAsia="zh-CN"/>
              </w:rPr>
              <w:t>施工期为</w:t>
            </w:r>
            <w:r>
              <w:rPr>
                <w:rFonts w:hint="eastAsia" w:ascii="Times New Roman" w:hAnsi="Times New Roman" w:eastAsia="宋体" w:cs="Times New Roman"/>
                <w:color w:val="auto"/>
                <w:sz w:val="21"/>
                <w:szCs w:val="21"/>
                <w:highlight w:val="none"/>
                <w:lang w:val="en-US" w:eastAsia="zh-CN"/>
              </w:rPr>
              <w:t>9个月</w:t>
            </w:r>
            <w:r>
              <w:rPr>
                <w:rFonts w:hint="eastAsia" w:cs="Times New Roman"/>
                <w:color w:val="auto"/>
                <w:sz w:val="21"/>
                <w:szCs w:val="21"/>
                <w:highlight w:val="none"/>
                <w:lang w:val="en-US" w:eastAsia="zh-CN"/>
              </w:rPr>
              <w:t>。</w:t>
            </w:r>
          </w:p>
          <w:p w14:paraId="51F96A1F">
            <w:pPr>
              <w:pStyle w:val="31"/>
              <w:keepNext w:val="0"/>
              <w:keepLines w:val="0"/>
              <w:pageBreakBefore w:val="0"/>
              <w:kinsoku/>
              <w:wordWrap/>
              <w:overflowPunct/>
              <w:topLinePunct w:val="0"/>
              <w:bidi w:val="0"/>
              <w:snapToGrid/>
              <w:spacing w:line="360" w:lineRule="auto"/>
              <w:ind w:firstLine="420" w:firstLineChars="200"/>
              <w:jc w:val="both"/>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施工准备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2026年</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月</w:t>
            </w:r>
            <w:r>
              <w:rPr>
                <w:rFonts w:hint="eastAsia" w:ascii="Times New Roman" w:hAnsi="Times New Roman" w:eastAsia="宋体" w:cs="Times New Roman"/>
                <w:color w:val="auto"/>
                <w:sz w:val="21"/>
                <w:szCs w:val="21"/>
                <w:highlight w:val="none"/>
                <w:lang w:val="en-US" w:eastAsia="zh-CN"/>
              </w:rPr>
              <w:t>。</w:t>
            </w:r>
          </w:p>
          <w:p w14:paraId="14012384">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主体工程：</w:t>
            </w:r>
            <w:r>
              <w:rPr>
                <w:rFonts w:hint="default" w:ascii="Times New Roman" w:hAnsi="Times New Roman" w:eastAsia="宋体" w:cs="Times New Roman"/>
                <w:color w:val="auto"/>
                <w:sz w:val="21"/>
                <w:szCs w:val="21"/>
                <w:highlight w:val="none"/>
                <w:lang w:eastAsia="zh-CN"/>
              </w:rPr>
              <w:t>2026年7月</w:t>
            </w:r>
            <w:r>
              <w:rPr>
                <w:rFonts w:hint="default"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eastAsia="zh-CN"/>
              </w:rPr>
              <w:t>月（汛期不进行涉水</w:t>
            </w:r>
            <w:r>
              <w:rPr>
                <w:rFonts w:hint="default" w:ascii="Times New Roman" w:hAnsi="Times New Roman" w:eastAsia="宋体" w:cs="Times New Roman"/>
                <w:color w:val="auto"/>
                <w:sz w:val="21"/>
                <w:szCs w:val="21"/>
                <w:highlight w:val="none"/>
                <w:lang w:val="en-US" w:eastAsia="zh-CN"/>
              </w:rPr>
              <w:t>/临水</w:t>
            </w:r>
            <w:r>
              <w:rPr>
                <w:rFonts w:hint="default" w:ascii="Times New Roman" w:hAnsi="Times New Roman" w:eastAsia="宋体" w:cs="Times New Roman"/>
                <w:color w:val="auto"/>
                <w:sz w:val="21"/>
                <w:szCs w:val="21"/>
                <w:highlight w:val="none"/>
                <w:lang w:eastAsia="zh-CN"/>
              </w:rPr>
              <w:t>施工），主要安排大坝坝顶路面硬化、大坝背水侧碎石护坡及排水体施工、坝顶照明及监测设施安装等不直接接触水体工程；2026年</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eastAsia="zh-CN"/>
              </w:rPr>
              <w:t>月</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2027年1月（枯水期），输水洞闸室段及工作桥拆除重建、涵洞段重建、输水洞海漫段维修等涉水及临水施工内容。</w:t>
            </w:r>
          </w:p>
          <w:p w14:paraId="056C552B">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竣工验收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202</w:t>
            </w:r>
            <w:r>
              <w:rPr>
                <w:rFonts w:hint="default"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年2月。</w:t>
            </w:r>
          </w:p>
        </w:tc>
      </w:tr>
      <w:tr w14:paraId="07ED6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51" w:hRule="atLeast"/>
          <w:jc w:val="center"/>
        </w:trPr>
        <w:tc>
          <w:tcPr>
            <w:tcW w:w="469" w:type="pct"/>
            <w:vAlign w:val="center"/>
          </w:tcPr>
          <w:p w14:paraId="30BE9DB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4"/>
                <w:szCs w:val="24"/>
                <w:highlight w:val="none"/>
              </w:rPr>
            </w:pPr>
            <w:r>
              <w:rPr>
                <w:rFonts w:hint="default" w:ascii="Times New Roman" w:hAnsi="Times New Roman" w:cs="Times New Roman" w:eastAsiaTheme="minorEastAsia"/>
                <w:color w:val="auto"/>
                <w:kern w:val="0"/>
                <w:sz w:val="21"/>
                <w:szCs w:val="21"/>
                <w:highlight w:val="none"/>
              </w:rPr>
              <w:t>其他</w:t>
            </w:r>
          </w:p>
        </w:tc>
        <w:tc>
          <w:tcPr>
            <w:tcW w:w="4530" w:type="pct"/>
            <w:vAlign w:val="center"/>
          </w:tcPr>
          <w:p w14:paraId="74CEB68B">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本工程属于改建项目，在大坝原位建设，输水洞、溢洪道在原位修复改建，</w:t>
            </w:r>
            <w:r>
              <w:rPr>
                <w:rFonts w:hint="default" w:ascii="Times New Roman" w:hAnsi="Times New Roman" w:cs="Times New Roman" w:eastAsiaTheme="minorEastAsia"/>
                <w:color w:val="auto"/>
                <w:sz w:val="21"/>
                <w:szCs w:val="21"/>
                <w:highlight w:val="none"/>
                <w:lang w:val="en-US" w:eastAsia="zh-CN"/>
              </w:rPr>
              <w:t>运行多年已与周围环境达到新的平衡，</w:t>
            </w:r>
            <w:r>
              <w:rPr>
                <w:rFonts w:hint="eastAsia" w:ascii="Times New Roman" w:hAnsi="Times New Roman" w:cs="Times New Roman" w:eastAsiaTheme="minorEastAsia"/>
                <w:color w:val="auto"/>
                <w:sz w:val="21"/>
                <w:szCs w:val="21"/>
                <w:highlight w:val="none"/>
                <w:lang w:val="en-US" w:eastAsia="zh-CN"/>
              </w:rPr>
              <w:t>若改变选址以及</w:t>
            </w:r>
            <w:r>
              <w:rPr>
                <w:rFonts w:hint="eastAsia" w:cs="Times New Roman" w:eastAsiaTheme="minorEastAsia"/>
                <w:color w:val="auto"/>
                <w:kern w:val="0"/>
                <w:sz w:val="21"/>
                <w:szCs w:val="21"/>
                <w:highlight w:val="none"/>
                <w:lang w:val="en-US" w:eastAsia="zh-CN"/>
              </w:rPr>
              <w:t>输水洞、溢洪道，会导致较大的生态影响，以及对河道的改变造成对下游水体的影响，因此本工程无比选方案；</w:t>
            </w:r>
          </w:p>
          <w:p w14:paraId="7EDB620B">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本工程选择非农业灌溉期以及枯水期进行施工，最大限度的降低对水库功能的影响，为避让保证庆先水库下游生态须水量，以及保证本庆先水库的使用功能致使工期较长，因此施工无替代方案。</w:t>
            </w:r>
          </w:p>
          <w:p w14:paraId="6888ECC7">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227908C5">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601BCBB8">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0A883C2E">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179D69E7">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464CF581">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62DF8167">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3DC30F0E">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74423F9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cs="Times New Roman" w:eastAsiaTheme="minorEastAsia"/>
                <w:color w:val="auto"/>
                <w:kern w:val="0"/>
                <w:sz w:val="21"/>
                <w:szCs w:val="21"/>
                <w:highlight w:val="none"/>
                <w:lang w:val="en-US" w:eastAsia="zh-CN"/>
              </w:rPr>
            </w:pPr>
          </w:p>
          <w:p w14:paraId="590B1691">
            <w:pPr>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cs="Times New Roman" w:eastAsiaTheme="minorEastAsia"/>
                <w:color w:val="auto"/>
                <w:kern w:val="0"/>
                <w:sz w:val="21"/>
                <w:szCs w:val="21"/>
                <w:highlight w:val="none"/>
                <w:lang w:val="en-US" w:eastAsia="zh-CN"/>
              </w:rPr>
            </w:pPr>
          </w:p>
        </w:tc>
      </w:tr>
    </w:tbl>
    <w:p w14:paraId="21059779">
      <w:pPr>
        <w:pStyle w:val="20"/>
        <w:jc w:val="center"/>
        <w:outlineLvl w:val="0"/>
        <w:rPr>
          <w:rFonts w:hint="default" w:ascii="Times New Roman" w:hAnsi="Times New Roman" w:eastAsia="黑体" w:cs="Times New Roman"/>
          <w:snapToGrid w:val="0"/>
          <w:color w:val="auto"/>
          <w:sz w:val="30"/>
          <w:szCs w:val="30"/>
          <w:highlight w:val="none"/>
        </w:rPr>
        <w:sectPr>
          <w:footerReference r:id="rId7"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4" w:name="_Toc13546"/>
    </w:p>
    <w:p w14:paraId="6E97CD7B">
      <w:pPr>
        <w:pStyle w:val="20"/>
        <w:jc w:val="center"/>
        <w:outlineLvl w:val="0"/>
        <w:rPr>
          <w:rFonts w:hint="default" w:ascii="Times New Roman" w:hAnsi="Times New Roman" w:eastAsia="黑体" w:cs="Times New Roman"/>
          <w:snapToGrid w:val="0"/>
          <w:color w:val="auto"/>
          <w:sz w:val="30"/>
          <w:szCs w:val="30"/>
          <w:highlight w:val="none"/>
        </w:rPr>
      </w:pPr>
      <w:bookmarkStart w:id="15" w:name="_Toc32729"/>
      <w:bookmarkStart w:id="16" w:name="_Toc13218"/>
      <w:bookmarkStart w:id="17" w:name="_Toc16669"/>
      <w:r>
        <w:rPr>
          <w:rFonts w:hint="default" w:ascii="Times New Roman" w:hAnsi="Times New Roman" w:eastAsia="黑体" w:cs="Times New Roman"/>
          <w:snapToGrid w:val="0"/>
          <w:color w:val="auto"/>
          <w:sz w:val="30"/>
          <w:szCs w:val="30"/>
          <w:highlight w:val="none"/>
        </w:rPr>
        <w:t>三、生态环境现状、保护目标及评价标准</w:t>
      </w:r>
      <w:bookmarkEnd w:id="14"/>
      <w:bookmarkEnd w:id="15"/>
      <w:bookmarkEnd w:id="16"/>
      <w:bookmarkEnd w:id="17"/>
    </w:p>
    <w:tbl>
      <w:tblPr>
        <w:tblStyle w:val="24"/>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0"/>
        <w:gridCol w:w="8210"/>
      </w:tblGrid>
      <w:tr w14:paraId="7E1202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850" w:type="dxa"/>
            <w:vAlign w:val="center"/>
          </w:tcPr>
          <w:p w14:paraId="7D97FB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 w:val="18"/>
                <w:szCs w:val="18"/>
                <w:highlight w:val="none"/>
              </w:rPr>
              <w:t>生态环境现状</w:t>
            </w:r>
          </w:p>
        </w:tc>
        <w:tc>
          <w:tcPr>
            <w:tcW w:w="8210" w:type="dxa"/>
            <w:vAlign w:val="center"/>
          </w:tcPr>
          <w:p w14:paraId="1026DDDB">
            <w:pPr>
              <w:keepNext w:val="0"/>
              <w:keepLines w:val="0"/>
              <w:pageBreakBefore w:val="0"/>
              <w:widowControl/>
              <w:kinsoku/>
              <w:wordWrap/>
              <w:overflowPunct/>
              <w:topLinePunct w:val="0"/>
              <w:autoSpaceDE/>
              <w:autoSpaceDN/>
              <w:bidi w:val="0"/>
              <w:adjustRightInd/>
              <w:snapToGrid/>
              <w:spacing w:line="360" w:lineRule="auto"/>
              <w:ind w:left="0" w:firstLine="422" w:firstLineChars="200"/>
              <w:textAlignment w:val="auto"/>
              <w:rPr>
                <w:rFonts w:hint="default" w:ascii="Times New Roman" w:hAnsi="Times New Roman" w:cs="Times New Roman" w:eastAsiaTheme="minorEastAsia"/>
                <w:b/>
                <w:color w:val="auto"/>
                <w:sz w:val="21"/>
                <w:szCs w:val="21"/>
                <w:highlight w:val="none"/>
              </w:rPr>
            </w:pPr>
            <w:r>
              <w:rPr>
                <w:rFonts w:hint="default" w:ascii="Times New Roman" w:hAnsi="Times New Roman" w:cs="Times New Roman" w:eastAsiaTheme="minorEastAsia"/>
                <w:b/>
                <w:color w:val="auto"/>
                <w:sz w:val="21"/>
                <w:szCs w:val="21"/>
                <w:highlight w:val="none"/>
                <w:lang w:val="en-US" w:eastAsia="zh-CN"/>
              </w:rPr>
              <w:t>1、</w:t>
            </w:r>
            <w:r>
              <w:rPr>
                <w:rFonts w:hint="default" w:ascii="Times New Roman" w:hAnsi="Times New Roman" w:cs="Times New Roman" w:eastAsiaTheme="minorEastAsia"/>
                <w:b/>
                <w:color w:val="auto"/>
                <w:sz w:val="21"/>
                <w:szCs w:val="21"/>
                <w:highlight w:val="none"/>
              </w:rPr>
              <w:t>生态环境现状</w:t>
            </w:r>
          </w:p>
          <w:p w14:paraId="5D26685D">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cs="Times New Roman" w:eastAsiaTheme="minorEastAsia"/>
                <w:b w:val="0"/>
                <w:bCs/>
                <w:color w:val="auto"/>
                <w:sz w:val="21"/>
                <w:szCs w:val="21"/>
                <w:highlight w:val="none"/>
              </w:rPr>
            </w:pPr>
            <w:r>
              <w:rPr>
                <w:rFonts w:hint="default" w:ascii="Times New Roman" w:hAnsi="Times New Roman" w:cs="Times New Roman" w:eastAsiaTheme="minorEastAsia"/>
                <w:b w:val="0"/>
                <w:bCs/>
                <w:color w:val="auto"/>
                <w:sz w:val="21"/>
                <w:szCs w:val="21"/>
                <w:highlight w:val="none"/>
                <w:lang w:eastAsia="zh-CN"/>
              </w:rPr>
              <w:t>（</w:t>
            </w:r>
            <w:r>
              <w:rPr>
                <w:rFonts w:hint="default" w:ascii="Times New Roman" w:hAnsi="Times New Roman" w:cs="Times New Roman" w:eastAsiaTheme="minorEastAsia"/>
                <w:b w:val="0"/>
                <w:bCs/>
                <w:color w:val="auto"/>
                <w:sz w:val="21"/>
                <w:szCs w:val="21"/>
                <w:highlight w:val="none"/>
                <w:lang w:val="en-US" w:eastAsia="zh-CN"/>
              </w:rPr>
              <w:t>1</w:t>
            </w:r>
            <w:r>
              <w:rPr>
                <w:rFonts w:hint="default" w:ascii="Times New Roman" w:hAnsi="Times New Roman" w:cs="Times New Roman" w:eastAsiaTheme="minorEastAsia"/>
                <w:b w:val="0"/>
                <w:bCs/>
                <w:color w:val="auto"/>
                <w:sz w:val="21"/>
                <w:szCs w:val="21"/>
                <w:highlight w:val="none"/>
                <w:lang w:eastAsia="zh-CN"/>
              </w:rPr>
              <w:t>）</w:t>
            </w:r>
            <w:r>
              <w:rPr>
                <w:rFonts w:hint="default" w:ascii="Times New Roman" w:hAnsi="Times New Roman" w:cs="Times New Roman" w:eastAsiaTheme="minorEastAsia"/>
                <w:b w:val="0"/>
                <w:bCs/>
                <w:color w:val="auto"/>
                <w:sz w:val="21"/>
                <w:szCs w:val="21"/>
                <w:highlight w:val="none"/>
              </w:rPr>
              <w:t>主体功能区规划</w:t>
            </w:r>
          </w:p>
          <w:p w14:paraId="2FFF1CF6">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sz w:val="21"/>
                <w:szCs w:val="21"/>
                <w:highlight w:val="none"/>
              </w:rPr>
              <w:t>根据《国务院关于印发全国主体功能区规划的通知》（国务院国发[2010]46号），我国国土空间分为以下主体功能区：按开发方式，分为优化开发区域、重点开发区域、限制开发区域和禁止开发区域。</w:t>
            </w:r>
            <w:r>
              <w:rPr>
                <w:rFonts w:hint="default" w:ascii="Times New Roman" w:hAnsi="Times New Roman" w:cs="Times New Roman"/>
                <w:color w:val="auto"/>
                <w:sz w:val="21"/>
                <w:szCs w:val="21"/>
                <w:highlight w:val="none"/>
                <w:lang w:eastAsia="zh-CN"/>
              </w:rPr>
              <w:t>根据</w:t>
            </w:r>
            <w:r>
              <w:rPr>
                <w:rFonts w:hint="default" w:ascii="Times New Roman" w:hAnsi="Times New Roman" w:cs="Times New Roman"/>
                <w:color w:val="auto"/>
                <w:kern w:val="0"/>
                <w:sz w:val="21"/>
                <w:szCs w:val="21"/>
                <w:highlight w:val="none"/>
              </w:rPr>
              <w:t>《黑龙江省主体功能区规划》（黑龙江省人民政府黑政发〔2012〕29号），黑龙江省全省区域内主体功能区分为国家级和省级重点开发区域、限制开发区域和禁止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r>
              <w:rPr>
                <w:rFonts w:hint="default" w:ascii="Times New Roman" w:hAnsi="Times New Roman" w:cs="Times New Roman"/>
                <w:color w:val="auto"/>
                <w:sz w:val="21"/>
                <w:szCs w:val="21"/>
                <w:highlight w:val="none"/>
              </w:rPr>
              <w:t>。</w:t>
            </w:r>
          </w:p>
          <w:p w14:paraId="294FF3F7">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lang w:eastAsia="zh-CN"/>
              </w:rPr>
              <w:t>本项目所在</w:t>
            </w:r>
            <w:r>
              <w:rPr>
                <w:rFonts w:hint="eastAsia" w:cs="Times New Roman"/>
                <w:color w:val="auto"/>
                <w:sz w:val="21"/>
                <w:szCs w:val="21"/>
                <w:highlight w:val="none"/>
                <w:lang w:eastAsia="zh-CN"/>
              </w:rPr>
              <w:t>地</w:t>
            </w:r>
            <w:r>
              <w:rPr>
                <w:rFonts w:hint="default" w:ascii="Times New Roman" w:hAnsi="Times New Roman" w:eastAsia="宋体" w:cs="Times New Roman"/>
                <w:color w:val="auto"/>
                <w:sz w:val="21"/>
                <w:szCs w:val="21"/>
                <w:highlight w:val="none"/>
                <w:lang w:eastAsia="zh-CN"/>
              </w:rPr>
              <w:t>的鸡西市密山市位于国家级限制开发区域（重点生态功能区），国家级限制开发区域（重点生态功能区）</w:t>
            </w:r>
            <w:r>
              <w:rPr>
                <w:rFonts w:hint="default" w:ascii="Times New Roman" w:hAnsi="Times New Roman" w:cs="Times New Roman"/>
                <w:color w:val="auto"/>
                <w:kern w:val="0"/>
                <w:sz w:val="21"/>
                <w:szCs w:val="21"/>
                <w:highlight w:val="none"/>
              </w:rPr>
              <w:t>功能定位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以提供生态产品为主，保障生态安全的重要区域，人与自然和谐相处的示范区。</w:t>
            </w:r>
          </w:p>
          <w:p w14:paraId="6D55FFB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eastAsia="zh-CN"/>
              </w:rPr>
              <w:t>国家级限制开发区域（重点生态功能区）</w:t>
            </w:r>
            <w:r>
              <w:rPr>
                <w:rFonts w:hint="default" w:ascii="Times New Roman" w:hAnsi="Times New Roman" w:cs="Times New Roman" w:eastAsiaTheme="minorEastAsia"/>
                <w:color w:val="auto"/>
                <w:sz w:val="21"/>
                <w:szCs w:val="21"/>
                <w:highlight w:val="none"/>
              </w:rPr>
              <w:t>发展方向：</w:t>
            </w:r>
            <w:r>
              <w:rPr>
                <w:rFonts w:hint="default" w:ascii="Times New Roman" w:hAnsi="Times New Roman" w:cs="Times New Roman" w:eastAsiaTheme="minorEastAsia"/>
                <w:color w:val="auto"/>
                <w:sz w:val="21"/>
                <w:szCs w:val="21"/>
                <w:highlight w:val="none"/>
                <w:lang w:val="en-US" w:eastAsia="zh-CN"/>
              </w:rPr>
              <w:t>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2FD0EF1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w:t>
            </w:r>
            <w:r>
              <w:rPr>
                <w:rFonts w:hint="default" w:ascii="Times New Roman" w:hAnsi="Times New Roman" w:cs="Times New Roman"/>
                <w:color w:val="auto"/>
                <w:kern w:val="0"/>
                <w:sz w:val="21"/>
                <w:szCs w:val="21"/>
                <w:highlight w:val="none"/>
                <w:lang w:eastAsia="zh-CN"/>
              </w:rPr>
              <w:t>为水库加固工程，</w:t>
            </w:r>
            <w:r>
              <w:rPr>
                <w:rFonts w:hint="default" w:ascii="Times New Roman" w:hAnsi="Times New Roman" w:cs="Times New Roman"/>
                <w:color w:val="auto"/>
                <w:kern w:val="0"/>
                <w:sz w:val="21"/>
                <w:szCs w:val="21"/>
                <w:highlight w:val="none"/>
              </w:rPr>
              <w:t>工程对生态的影响为</w:t>
            </w:r>
            <w:r>
              <w:rPr>
                <w:rFonts w:hint="default" w:ascii="Times New Roman" w:hAnsi="Times New Roman" w:cs="Times New Roman"/>
                <w:color w:val="auto"/>
                <w:kern w:val="0"/>
                <w:sz w:val="21"/>
                <w:szCs w:val="21"/>
                <w:highlight w:val="none"/>
                <w:lang w:eastAsia="zh-CN"/>
              </w:rPr>
              <w:t>正向，</w:t>
            </w:r>
            <w:r>
              <w:rPr>
                <w:rFonts w:hint="default" w:ascii="Times New Roman" w:hAnsi="Times New Roman" w:cs="Times New Roman"/>
                <w:color w:val="auto"/>
                <w:kern w:val="0"/>
                <w:sz w:val="21"/>
                <w:szCs w:val="21"/>
                <w:highlight w:val="none"/>
              </w:rPr>
              <w:t>能够控制影响在较小的空间范围内，不涉及居民区</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因此符合</w:t>
            </w:r>
            <w:r>
              <w:rPr>
                <w:rFonts w:hint="default" w:ascii="Times New Roman" w:hAnsi="Times New Roman" w:cs="Times New Roman" w:eastAsiaTheme="minorEastAsia"/>
                <w:color w:val="auto"/>
                <w:sz w:val="21"/>
                <w:szCs w:val="21"/>
                <w:highlight w:val="none"/>
                <w:lang w:eastAsia="zh-CN"/>
              </w:rPr>
              <w:t>国家级限制开发区域（重点生态功能区）</w:t>
            </w:r>
            <w:r>
              <w:rPr>
                <w:rFonts w:hint="default" w:ascii="Times New Roman" w:hAnsi="Times New Roman" w:cs="Times New Roman"/>
                <w:color w:val="auto"/>
                <w:kern w:val="0"/>
                <w:sz w:val="21"/>
                <w:szCs w:val="21"/>
                <w:highlight w:val="none"/>
              </w:rPr>
              <w:t>管控要求。</w:t>
            </w:r>
          </w:p>
          <w:p w14:paraId="4F36C3D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418982C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3EB46A6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43F2764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415579A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5988CB2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15444FE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39D5D3C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5B750DA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2DFAD85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p>
          <w:p w14:paraId="4215FF2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p>
          <w:p w14:paraId="0DC26297">
            <w:pPr>
              <w:kinsoku/>
              <w:autoSpaceDE/>
              <w:autoSpaceDN/>
              <w:spacing w:line="360" w:lineRule="auto"/>
              <w:jc w:val="center"/>
              <w:rPr>
                <w:rFonts w:hint="default" w:ascii="Times New Roman" w:hAnsi="Times New Roman" w:eastAsia="宋体" w:cs="Times New Roman"/>
                <w:color w:val="auto"/>
                <w:highlight w:val="none"/>
              </w:rPr>
            </w:pP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3449320</wp:posOffset>
                      </wp:positionH>
                      <wp:positionV relativeFrom="paragraph">
                        <wp:posOffset>2548255</wp:posOffset>
                      </wp:positionV>
                      <wp:extent cx="667385" cy="213360"/>
                      <wp:effectExtent l="132080" t="5080" r="19685" b="181610"/>
                      <wp:wrapNone/>
                      <wp:docPr id="5" name="矩形标注 5"/>
                      <wp:cNvGraphicFramePr/>
                      <a:graphic xmlns:a="http://schemas.openxmlformats.org/drawingml/2006/main">
                        <a:graphicData uri="http://schemas.microsoft.com/office/word/2010/wordprocessingShape">
                          <wps:wsp>
                            <wps:cNvSpPr/>
                            <wps:spPr>
                              <a:xfrm>
                                <a:off x="0" y="0"/>
                                <a:ext cx="667385" cy="213360"/>
                              </a:xfrm>
                              <a:prstGeom prst="wedgeRectCallout">
                                <a:avLst>
                                  <a:gd name="adj1" fmla="val -64843"/>
                                  <a:gd name="adj2" fmla="val 126190"/>
                                </a:avLst>
                              </a:prstGeom>
                              <a:noFill/>
                              <a:ln w="6350" cap="flat" cmpd="sng">
                                <a:solidFill>
                                  <a:srgbClr val="000000"/>
                                </a:solidFill>
                                <a:prstDash val="solid"/>
                                <a:miter/>
                                <a:headEnd type="none" w="med" len="med"/>
                                <a:tailEnd type="none" w="med" len="med"/>
                              </a:ln>
                            </wps:spPr>
                            <wps:txbx>
                              <w:txbxContent>
                                <w:p w14:paraId="5979DE1D">
                                  <w:pPr>
                                    <w:spacing w:line="240" w:lineRule="auto"/>
                                    <w:rPr>
                                      <w:rFonts w:hint="eastAsia" w:eastAsia="宋体"/>
                                      <w:b/>
                                      <w:bCs/>
                                      <w:color w:val="000000" w:themeColor="text1"/>
                                      <w:sz w:val="15"/>
                                      <w:szCs w:val="15"/>
                                      <w:lang w:eastAsia="zh-CN"/>
                                      <w14:textFill>
                                        <w14:solidFill>
                                          <w14:schemeClr w14:val="tx1"/>
                                        </w14:solidFill>
                                      </w14:textFill>
                                    </w:rPr>
                                  </w:pPr>
                                  <w:r>
                                    <w:rPr>
                                      <w:rFonts w:hint="eastAsia"/>
                                      <w:b/>
                                      <w:bCs/>
                                      <w:color w:val="000000" w:themeColor="text1"/>
                                      <w:sz w:val="15"/>
                                      <w:szCs w:val="15"/>
                                      <w:lang w:eastAsia="zh-CN"/>
                                      <w14:textFill>
                                        <w14:solidFill>
                                          <w14:schemeClr w14:val="tx1"/>
                                        </w14:solidFill>
                                      </w14:textFill>
                                    </w:rPr>
                                    <w:t>本项目位置</w:t>
                                  </w:r>
                                </w:p>
                              </w:txbxContent>
                            </wps:txbx>
                            <wps:bodyPr upright="1"/>
                          </wps:wsp>
                        </a:graphicData>
                      </a:graphic>
                    </wp:anchor>
                  </w:drawing>
                </mc:Choice>
                <mc:Fallback>
                  <w:pict>
                    <v:shape id="_x0000_s1026" o:spid="_x0000_s1026" o:spt="61" type="#_x0000_t61" style="position:absolute;left:0pt;margin-left:271.6pt;margin-top:200.65pt;height:16.8pt;width:52.55pt;z-index:251668480;mso-width-relative:page;mso-height-relative:page;" filled="f" stroked="t" coordsize="21600,21600" o:gfxdata="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5iT81wAAAAsBAAAPAAAAAAAAAAEAIAAAACIAAABkcnMvZG93bnJldi54&#10;bWxQSwECFAAUAAAACACHTuJANRNGdjQCAABkBAAADgAAAAAAAAABACAAAAAmAQAAZHJzL2Uyb0Rv&#10;Yy54bWxQSwUGAAAAAAYABgBZAQAAzAUAAAAA&#10;" adj="-3206,38057">
                      <v:fill on="f" focussize="0,0"/>
                      <v:stroke weight="0.5pt" color="#000000" joinstyle="miter"/>
                      <v:imagedata o:title=""/>
                      <o:lock v:ext="edit" aspectratio="f"/>
                      <v:textbox>
                        <w:txbxContent>
                          <w:p w14:paraId="5979DE1D">
                            <w:pPr>
                              <w:spacing w:line="240" w:lineRule="auto"/>
                              <w:rPr>
                                <w:rFonts w:hint="eastAsia" w:eastAsia="宋体"/>
                                <w:b/>
                                <w:bCs/>
                                <w:color w:val="000000" w:themeColor="text1"/>
                                <w:sz w:val="15"/>
                                <w:szCs w:val="15"/>
                                <w:lang w:eastAsia="zh-CN"/>
                                <w14:textFill>
                                  <w14:solidFill>
                                    <w14:schemeClr w14:val="tx1"/>
                                  </w14:solidFill>
                                </w14:textFill>
                              </w:rPr>
                            </w:pPr>
                            <w:r>
                              <w:rPr>
                                <w:rFonts w:hint="eastAsia"/>
                                <w:b/>
                                <w:bCs/>
                                <w:color w:val="000000" w:themeColor="text1"/>
                                <w:sz w:val="15"/>
                                <w:szCs w:val="15"/>
                                <w:lang w:eastAsia="zh-CN"/>
                                <w14:textFill>
                                  <w14:solidFill>
                                    <w14:schemeClr w14:val="tx1"/>
                                  </w14:solidFill>
                                </w14:textFill>
                              </w:rPr>
                              <w:t>本项目位置</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3260090</wp:posOffset>
                      </wp:positionH>
                      <wp:positionV relativeFrom="paragraph">
                        <wp:posOffset>2847975</wp:posOffset>
                      </wp:positionV>
                      <wp:extent cx="149225" cy="127635"/>
                      <wp:effectExtent l="15875" t="13970" r="25400" b="29845"/>
                      <wp:wrapNone/>
                      <wp:docPr id="11" name="五角星 11"/>
                      <wp:cNvGraphicFramePr/>
                      <a:graphic xmlns:a="http://schemas.openxmlformats.org/drawingml/2006/main">
                        <a:graphicData uri="http://schemas.microsoft.com/office/word/2010/wordprocessingShape">
                          <wps:wsp>
                            <wps:cNvSpPr/>
                            <wps:spPr>
                              <a:xfrm>
                                <a:off x="4341495" y="4222750"/>
                                <a:ext cx="149225" cy="127635"/>
                              </a:xfrm>
                              <a:prstGeom prst="star5">
                                <a:avLst/>
                              </a:prstGeom>
                              <a:solidFill>
                                <a:srgbClr val="FF0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6.7pt;margin-top:224.25pt;height:10.05pt;width:11.75pt;z-index:251667456;v-text-anchor:middle;mso-width-relative:page;mso-height-relative:page;" fillcolor="#FF0000" filled="t" stroked="t" coordsize="149225,127635" o:gfxdata="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yGlBa2QAAAAsBAAAPAAAAAAAAAAEA&#10;IAAAACIAAABkcnMvZG93bnJldi54bWxQSwECFAAUAAAACACHTuJAcDLNvYACAAAEBQAADgAAAAAA&#10;AAABACAAAAAoAQAAZHJzL2Uyb0RvYy54bWxQSwUGAAAAAAYABgBZAQAAGgYAAAAA&#10;" path="m0,48752l56999,48752,74612,0,92225,48752,149224,48752,103111,78882,120725,127634,74612,97503,28499,127634,46113,78882xe">
                      <v:path o:connectlocs="74612,0;0,48752;28499,127634;120725,127634;149224,48752" o:connectangles="247,164,82,82,0"/>
                      <v:fill on="t" focussize="0,0"/>
                      <v:stroke weight="0.25pt" color="#000000 [3213]" miterlimit="8" joinstyle="miter"/>
                      <v:imagedata o:title=""/>
                      <o:lock v:ext="edit" aspectratio="f"/>
                    </v:shape>
                  </w:pict>
                </mc:Fallback>
              </mc:AlternateContent>
            </w:r>
            <w:r>
              <w:rPr>
                <w:rFonts w:hint="default" w:ascii="Times New Roman" w:hAnsi="Times New Roman" w:eastAsia="宋体" w:cs="Times New Roman"/>
                <w:color w:val="auto"/>
                <w:highlight w:val="none"/>
              </w:rPr>
              <w:drawing>
                <wp:inline distT="0" distB="0" distL="114300" distR="114300">
                  <wp:extent cx="4998720" cy="3742690"/>
                  <wp:effectExtent l="0" t="0" r="11430" b="1016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7"/>
                          <a:stretch>
                            <a:fillRect/>
                          </a:stretch>
                        </pic:blipFill>
                        <pic:spPr>
                          <a:xfrm>
                            <a:off x="0" y="0"/>
                            <a:ext cx="4998720" cy="3742690"/>
                          </a:xfrm>
                          <a:prstGeom prst="rect">
                            <a:avLst/>
                          </a:prstGeom>
                          <a:noFill/>
                          <a:ln>
                            <a:noFill/>
                          </a:ln>
                        </pic:spPr>
                      </pic:pic>
                    </a:graphicData>
                  </a:graphic>
                </wp:inline>
              </w:drawing>
            </w:r>
          </w:p>
          <w:p w14:paraId="17335B59">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bCs/>
                <w:color w:val="auto"/>
                <w:spacing w:val="1"/>
                <w:position w:val="1"/>
                <w:sz w:val="21"/>
                <w:szCs w:val="21"/>
                <w:highlight w:val="none"/>
                <w:lang w:val="en-US" w:eastAsia="zh-CN"/>
              </w:rPr>
              <w:t>图3-1主体功能区规划图</w:t>
            </w:r>
          </w:p>
          <w:p w14:paraId="34D1C42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w:t>
            </w:r>
            <w:r>
              <w:rPr>
                <w:rFonts w:hint="default" w:ascii="Times New Roman" w:hAnsi="Times New Roman" w:eastAsia="宋体" w:cs="Times New Roman"/>
                <w:b w:val="0"/>
                <w:bCs/>
                <w:color w:val="auto"/>
                <w:sz w:val="21"/>
                <w:szCs w:val="21"/>
                <w:highlight w:val="none"/>
                <w:lang w:val="en-US" w:eastAsia="zh-CN"/>
              </w:rPr>
              <w:t>2</w:t>
            </w:r>
            <w:r>
              <w:rPr>
                <w:rFonts w:hint="default" w:ascii="Times New Roman" w:hAnsi="Times New Roman" w:eastAsia="宋体" w:cs="Times New Roman"/>
                <w:b w:val="0"/>
                <w:bCs/>
                <w:color w:val="auto"/>
                <w:sz w:val="21"/>
                <w:szCs w:val="21"/>
                <w:highlight w:val="none"/>
                <w:lang w:eastAsia="zh-CN"/>
              </w:rPr>
              <w:t>）生态功能区划</w:t>
            </w:r>
          </w:p>
          <w:p w14:paraId="3D74F98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rPr>
              <w:t>根据《黑龙江省生态功能区划》，</w:t>
            </w:r>
            <w:r>
              <w:rPr>
                <w:rFonts w:hint="default" w:ascii="Times New Roman" w:hAnsi="Times New Roman" w:eastAsia="宋体" w:cs="Times New Roman"/>
                <w:b w:val="0"/>
                <w:bCs/>
                <w:color w:val="auto"/>
                <w:kern w:val="0"/>
                <w:sz w:val="21"/>
                <w:szCs w:val="21"/>
                <w:highlight w:val="none"/>
                <w:lang w:eastAsia="zh-CN"/>
              </w:rPr>
              <w:t>密山市</w:t>
            </w:r>
            <w:r>
              <w:rPr>
                <w:rFonts w:hint="default" w:ascii="Times New Roman" w:hAnsi="Times New Roman" w:eastAsia="宋体" w:cs="Times New Roman"/>
                <w:b w:val="0"/>
                <w:bCs/>
                <w:color w:val="auto"/>
                <w:kern w:val="0"/>
                <w:sz w:val="21"/>
                <w:szCs w:val="21"/>
                <w:highlight w:val="none"/>
              </w:rPr>
              <w:t>所处区域属于</w:t>
            </w:r>
            <w:r>
              <w:rPr>
                <w:rFonts w:hint="default" w:ascii="Times New Roman" w:hAnsi="Times New Roman" w:eastAsia="宋体" w:cs="Times New Roman"/>
                <w:b w:val="0"/>
                <w:bCs/>
                <w:color w:val="auto"/>
                <w:sz w:val="21"/>
                <w:szCs w:val="21"/>
                <w:highlight w:val="none"/>
              </w:rPr>
              <w:t>I</w:t>
            </w:r>
            <w:r>
              <w:rPr>
                <w:rFonts w:hint="default" w:ascii="Times New Roman" w:hAnsi="Times New Roman" w:eastAsia="宋体" w:cs="Times New Roman"/>
                <w:b w:val="0"/>
                <w:bCs/>
                <w:color w:val="auto"/>
                <w:kern w:val="0"/>
                <w:sz w:val="21"/>
                <w:szCs w:val="21"/>
                <w:highlight w:val="none"/>
              </w:rPr>
              <w:t>—3—</w:t>
            </w:r>
            <w:r>
              <w:rPr>
                <w:rFonts w:hint="default" w:ascii="Times New Roman" w:hAnsi="Times New Roman" w:eastAsia="宋体" w:cs="Times New Roman"/>
                <w:b w:val="0"/>
                <w:bCs/>
                <w:color w:val="auto"/>
                <w:kern w:val="0"/>
                <w:sz w:val="21"/>
                <w:szCs w:val="21"/>
                <w:highlight w:val="none"/>
                <w:lang w:val="en-US" w:eastAsia="zh-CN"/>
              </w:rPr>
              <w:t>3</w:t>
            </w:r>
            <w:r>
              <w:rPr>
                <w:rFonts w:hint="default" w:ascii="Times New Roman" w:hAnsi="Times New Roman" w:eastAsia="宋体" w:cs="Times New Roman"/>
                <w:b w:val="0"/>
                <w:bCs/>
                <w:color w:val="auto"/>
                <w:kern w:val="0"/>
                <w:sz w:val="21"/>
                <w:szCs w:val="21"/>
                <w:highlight w:val="none"/>
              </w:rPr>
              <w:t>—</w:t>
            </w:r>
            <w:r>
              <w:rPr>
                <w:rFonts w:hint="default" w:ascii="Times New Roman" w:hAnsi="Times New Roman" w:eastAsia="宋体" w:cs="Times New Roman"/>
                <w:b w:val="0"/>
                <w:bCs/>
                <w:color w:val="auto"/>
                <w:kern w:val="0"/>
                <w:sz w:val="21"/>
                <w:szCs w:val="21"/>
                <w:highlight w:val="none"/>
                <w:lang w:val="en-US" w:eastAsia="zh-CN"/>
              </w:rPr>
              <w:t>2</w:t>
            </w:r>
            <w:r>
              <w:rPr>
                <w:rFonts w:hint="default" w:ascii="Times New Roman" w:hAnsi="Times New Roman" w:eastAsia="宋体" w:cs="Times New Roman"/>
                <w:b w:val="0"/>
                <w:bCs/>
                <w:color w:val="auto"/>
                <w:sz w:val="21"/>
                <w:szCs w:val="21"/>
                <w:highlight w:val="none"/>
                <w:lang w:val="en-US" w:eastAsia="zh-CN"/>
              </w:rPr>
              <w:t>兴凯湖农、牧、渔业与湿地及生物多样性保护生态功能区</w:t>
            </w:r>
            <w:r>
              <w:rPr>
                <w:rFonts w:hint="default" w:ascii="Times New Roman" w:hAnsi="Times New Roman" w:eastAsia="宋体" w:cs="Times New Roman"/>
                <w:b w:val="0"/>
                <w:bCs/>
                <w:color w:val="auto"/>
                <w:kern w:val="0"/>
                <w:sz w:val="21"/>
                <w:szCs w:val="21"/>
                <w:highlight w:val="none"/>
              </w:rPr>
              <w:t>所在区域的主要生态问题、生态环境敏感性、主要生态系统服务功能、保护措施与发展方向见表3-1。</w:t>
            </w:r>
          </w:p>
          <w:p w14:paraId="0852E63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val="en-US" w:eastAsia="zh-CN"/>
              </w:rPr>
              <w:t>-1</w:t>
            </w:r>
            <w:r>
              <w:rPr>
                <w:rFonts w:hint="default" w:ascii="Times New Roman" w:hAnsi="Times New Roman" w:cs="Times New Roman"/>
                <w:b/>
                <w:color w:val="auto"/>
                <w:kern w:val="0"/>
                <w:sz w:val="21"/>
                <w:szCs w:val="21"/>
                <w:highlight w:val="none"/>
              </w:rPr>
              <w:t>项目涉及生态功能区情况表</w:t>
            </w:r>
          </w:p>
          <w:tbl>
            <w:tblPr>
              <w:tblStyle w:val="4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38"/>
              <w:gridCol w:w="1153"/>
              <w:gridCol w:w="916"/>
              <w:gridCol w:w="739"/>
              <w:gridCol w:w="1291"/>
              <w:gridCol w:w="1114"/>
              <w:gridCol w:w="844"/>
              <w:gridCol w:w="1098"/>
            </w:tblGrid>
            <w:tr w14:paraId="23276A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1818" w:type="pct"/>
                  <w:gridSpan w:val="3"/>
                  <w:vAlign w:val="center"/>
                </w:tcPr>
                <w:p w14:paraId="6F5693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生态功能分区单元</w:t>
                  </w:r>
                </w:p>
              </w:tc>
              <w:tc>
                <w:tcPr>
                  <w:tcW w:w="462" w:type="pct"/>
                  <w:vMerge w:val="restart"/>
                  <w:vAlign w:val="center"/>
                </w:tcPr>
                <w:p w14:paraId="67611AC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所在区域面积</w:t>
                  </w:r>
                </w:p>
              </w:tc>
              <w:tc>
                <w:tcPr>
                  <w:tcW w:w="807" w:type="pct"/>
                  <w:vMerge w:val="restart"/>
                  <w:vAlign w:val="center"/>
                </w:tcPr>
                <w:p w14:paraId="134D07A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主要生态环境问题</w:t>
                  </w:r>
                </w:p>
              </w:tc>
              <w:tc>
                <w:tcPr>
                  <w:tcW w:w="697" w:type="pct"/>
                  <w:vMerge w:val="restart"/>
                  <w:vAlign w:val="center"/>
                </w:tcPr>
                <w:p w14:paraId="0D2B76D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生态环境敏感性</w:t>
                  </w:r>
                </w:p>
              </w:tc>
              <w:tc>
                <w:tcPr>
                  <w:tcW w:w="528" w:type="pct"/>
                  <w:vMerge w:val="restart"/>
                  <w:vAlign w:val="center"/>
                </w:tcPr>
                <w:p w14:paraId="06D1657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主要生态系统服务功能</w:t>
                  </w:r>
                </w:p>
              </w:tc>
              <w:tc>
                <w:tcPr>
                  <w:tcW w:w="687" w:type="pct"/>
                  <w:vMerge w:val="restart"/>
                  <w:vAlign w:val="center"/>
                </w:tcPr>
                <w:p w14:paraId="2A2D33C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保护措施与发展方向</w:t>
                  </w:r>
                </w:p>
              </w:tc>
            </w:tr>
            <w:tr w14:paraId="5BA047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4" w:type="pct"/>
                  <w:vAlign w:val="center"/>
                </w:tcPr>
                <w:p w14:paraId="3A2F6B3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生态区</w:t>
                  </w:r>
                </w:p>
              </w:tc>
              <w:tc>
                <w:tcPr>
                  <w:tcW w:w="721" w:type="pct"/>
                  <w:vAlign w:val="center"/>
                </w:tcPr>
                <w:p w14:paraId="48317F4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生态亚区</w:t>
                  </w:r>
                </w:p>
              </w:tc>
              <w:tc>
                <w:tcPr>
                  <w:tcW w:w="573" w:type="pct"/>
                  <w:vAlign w:val="center"/>
                </w:tcPr>
                <w:p w14:paraId="2DEC1C7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eastAsia="en-US"/>
                    </w:rPr>
                    <w:t>生态功能区</w:t>
                  </w:r>
                </w:p>
              </w:tc>
              <w:tc>
                <w:tcPr>
                  <w:tcW w:w="462" w:type="pct"/>
                  <w:vMerge w:val="continue"/>
                  <w:vAlign w:val="center"/>
                </w:tcPr>
                <w:p w14:paraId="560C9CA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p>
              </w:tc>
              <w:tc>
                <w:tcPr>
                  <w:tcW w:w="807" w:type="pct"/>
                  <w:vMerge w:val="continue"/>
                  <w:vAlign w:val="center"/>
                </w:tcPr>
                <w:p w14:paraId="3CE29EF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p>
              </w:tc>
              <w:tc>
                <w:tcPr>
                  <w:tcW w:w="697" w:type="pct"/>
                  <w:vMerge w:val="continue"/>
                  <w:vAlign w:val="center"/>
                </w:tcPr>
                <w:p w14:paraId="5CF8491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p>
              </w:tc>
              <w:tc>
                <w:tcPr>
                  <w:tcW w:w="528" w:type="pct"/>
                  <w:vMerge w:val="continue"/>
                  <w:vAlign w:val="center"/>
                </w:tcPr>
                <w:p w14:paraId="3C189A0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p>
              </w:tc>
              <w:tc>
                <w:tcPr>
                  <w:tcW w:w="687" w:type="pct"/>
                  <w:vMerge w:val="continue"/>
                  <w:vAlign w:val="center"/>
                </w:tcPr>
                <w:p w14:paraId="16DA9C0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p>
              </w:tc>
            </w:tr>
            <w:tr w14:paraId="4ADBA1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4" w:type="pct"/>
                  <w:vAlign w:val="center"/>
                </w:tcPr>
                <w:p w14:paraId="2EE7CC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I-3三江平原农业与湿地生态区</w:t>
                  </w:r>
                </w:p>
              </w:tc>
              <w:tc>
                <w:tcPr>
                  <w:tcW w:w="721" w:type="pct"/>
                  <w:vAlign w:val="center"/>
                </w:tcPr>
                <w:p w14:paraId="0D9706F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I-3-3兴凯湖平原农业与湿地生态亚区</w:t>
                  </w:r>
                </w:p>
              </w:tc>
              <w:tc>
                <w:tcPr>
                  <w:tcW w:w="573" w:type="pct"/>
                  <w:vAlign w:val="center"/>
                </w:tcPr>
                <w:p w14:paraId="5F89A47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en-US"/>
                    </w:rPr>
                  </w:pPr>
                  <w:r>
                    <w:rPr>
                      <w:rFonts w:hint="default" w:ascii="Times New Roman" w:hAnsi="Times New Roman" w:eastAsia="宋体" w:cs="Times New Roman"/>
                      <w:color w:val="auto"/>
                      <w:sz w:val="18"/>
                      <w:szCs w:val="18"/>
                      <w:highlight w:val="none"/>
                      <w:lang w:val="en-US" w:eastAsia="zh-CN"/>
                    </w:rPr>
                    <w:t>I-3-3-3兴凯湖农、牧、渔业与湿地及生物多样性保护生态功能区</w:t>
                  </w:r>
                </w:p>
              </w:tc>
              <w:tc>
                <w:tcPr>
                  <w:tcW w:w="462" w:type="pct"/>
                  <w:vAlign w:val="center"/>
                </w:tcPr>
                <w:p w14:paraId="3E769D2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en-US"/>
                    </w:rPr>
                  </w:pPr>
                  <w:r>
                    <w:rPr>
                      <w:rFonts w:hint="default" w:ascii="Times New Roman" w:hAnsi="Times New Roman" w:eastAsia="宋体" w:cs="Times New Roman"/>
                      <w:color w:val="auto"/>
                      <w:sz w:val="18"/>
                      <w:szCs w:val="18"/>
                      <w:highlight w:val="none"/>
                      <w:lang w:val="en-US" w:eastAsia="zh-CN"/>
                    </w:rPr>
                    <w:t>密山市，面积7843平方公里</w:t>
                  </w:r>
                </w:p>
              </w:tc>
              <w:tc>
                <w:tcPr>
                  <w:tcW w:w="807" w:type="pct"/>
                  <w:vAlign w:val="center"/>
                </w:tcPr>
                <w:p w14:paraId="6778B98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湖泊水体有潜在富营养化的趋势；湿地保护区被耕地包围，湿地生态功能衰退</w:t>
                  </w:r>
                </w:p>
              </w:tc>
              <w:tc>
                <w:tcPr>
                  <w:tcW w:w="697" w:type="pct"/>
                  <w:vAlign w:val="center"/>
                </w:tcPr>
                <w:p w14:paraId="1D72B61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该区东南部边缘地区生物多样性敏感性为极敏感，高度敏感性地区所占面积较大</w:t>
                  </w:r>
                </w:p>
              </w:tc>
              <w:tc>
                <w:tcPr>
                  <w:tcW w:w="528" w:type="pct"/>
                  <w:vAlign w:val="center"/>
                </w:tcPr>
                <w:p w14:paraId="54BFFA0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土壤保持、生物多样性保护、自然人文景观保护、农牧渔生产、旅游</w:t>
                  </w:r>
                </w:p>
              </w:tc>
              <w:tc>
                <w:tcPr>
                  <w:tcW w:w="687" w:type="pct"/>
                  <w:vAlign w:val="center"/>
                </w:tcPr>
                <w:p w14:paraId="63E7B36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加强保护区建设，以减少人为因素对其的影响，改善周围湿地质量。科学发展农牧渔业</w:t>
                  </w:r>
                </w:p>
              </w:tc>
            </w:tr>
          </w:tbl>
          <w:p w14:paraId="33AF490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本项目位于密山市，现有征地范围内</w:t>
            </w:r>
            <w:r>
              <w:rPr>
                <w:rFonts w:hint="default" w:ascii="Times New Roman" w:hAnsi="Times New Roman" w:cs="Times New Roman"/>
                <w:color w:val="auto"/>
                <w:kern w:val="0"/>
                <w:sz w:val="21"/>
                <w:szCs w:val="21"/>
                <w:highlight w:val="none"/>
              </w:rPr>
              <w:t>不涉及永久基本农田、自然保护区、森林公园等生态敏感目标。本工程施工过程中，采用避让、减缓、恢复等生态保护措施，降低工程对生态系统和生物多样性的破坏。工程通过优化施工现场布置，减少对野生动物栖息地的破坏。工程在运行期无污染物排放，不会对区域生物多样性维护产生不利影响和水源涵养等功能定位产生不利影响</w:t>
            </w:r>
            <w:r>
              <w:rPr>
                <w:rFonts w:hint="default" w:ascii="Times New Roman" w:hAnsi="Times New Roman" w:cs="Times New Roman"/>
                <w:color w:val="auto"/>
                <w:kern w:val="0"/>
                <w:sz w:val="21"/>
                <w:szCs w:val="21"/>
                <w:highlight w:val="none"/>
                <w:lang w:eastAsia="zh-CN"/>
              </w:rPr>
              <w:t>。</w:t>
            </w:r>
          </w:p>
          <w:p w14:paraId="0FA6B3C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p>
          <w:p w14:paraId="6915A29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p>
          <w:p w14:paraId="27E7BA9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p>
          <w:p w14:paraId="5C0B06D3">
            <w:pPr>
              <w:kinsoku/>
              <w:autoSpaceDE/>
              <w:autoSpaceDN/>
              <w:spacing w:line="360" w:lineRule="auto"/>
              <w:jc w:val="center"/>
              <w:rPr>
                <w:rFonts w:hint="default" w:ascii="Times New Roman" w:hAnsi="Times New Roman" w:eastAsia="宋体" w:cs="Times New Roman"/>
                <w:color w:val="auto"/>
                <w:highlight w:val="none"/>
              </w:rPr>
            </w:pP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3851275</wp:posOffset>
                      </wp:positionH>
                      <wp:positionV relativeFrom="paragraph">
                        <wp:posOffset>3300730</wp:posOffset>
                      </wp:positionV>
                      <wp:extent cx="667385" cy="213360"/>
                      <wp:effectExtent l="132080" t="5080" r="19685" b="181610"/>
                      <wp:wrapNone/>
                      <wp:docPr id="40" name="矩形标注 40"/>
                      <wp:cNvGraphicFramePr/>
                      <a:graphic xmlns:a="http://schemas.openxmlformats.org/drawingml/2006/main">
                        <a:graphicData uri="http://schemas.microsoft.com/office/word/2010/wordprocessingShape">
                          <wps:wsp>
                            <wps:cNvSpPr/>
                            <wps:spPr>
                              <a:xfrm>
                                <a:off x="0" y="0"/>
                                <a:ext cx="667385" cy="213360"/>
                              </a:xfrm>
                              <a:prstGeom prst="wedgeRectCallout">
                                <a:avLst>
                                  <a:gd name="adj1" fmla="val -64843"/>
                                  <a:gd name="adj2" fmla="val 126190"/>
                                </a:avLst>
                              </a:prstGeom>
                              <a:noFill/>
                              <a:ln w="6350" cap="flat" cmpd="sng">
                                <a:solidFill>
                                  <a:srgbClr val="000000"/>
                                </a:solidFill>
                                <a:prstDash val="solid"/>
                                <a:miter/>
                                <a:headEnd type="none" w="med" len="med"/>
                                <a:tailEnd type="none" w="med" len="med"/>
                              </a:ln>
                            </wps:spPr>
                            <wps:txbx>
                              <w:txbxContent>
                                <w:p w14:paraId="1EE049A2">
                                  <w:pPr>
                                    <w:spacing w:line="240" w:lineRule="auto"/>
                                    <w:rPr>
                                      <w:rFonts w:hint="eastAsia" w:eastAsia="宋体"/>
                                      <w:b/>
                                      <w:bCs/>
                                      <w:color w:val="000000" w:themeColor="text1"/>
                                      <w:sz w:val="15"/>
                                      <w:szCs w:val="15"/>
                                      <w:lang w:eastAsia="zh-CN"/>
                                      <w14:textFill>
                                        <w14:solidFill>
                                          <w14:schemeClr w14:val="tx1"/>
                                        </w14:solidFill>
                                      </w14:textFill>
                                    </w:rPr>
                                  </w:pPr>
                                  <w:r>
                                    <w:rPr>
                                      <w:rFonts w:hint="eastAsia"/>
                                      <w:b/>
                                      <w:bCs/>
                                      <w:color w:val="000000" w:themeColor="text1"/>
                                      <w:sz w:val="15"/>
                                      <w:szCs w:val="15"/>
                                      <w:lang w:eastAsia="zh-CN"/>
                                      <w14:textFill>
                                        <w14:solidFill>
                                          <w14:schemeClr w14:val="tx1"/>
                                        </w14:solidFill>
                                      </w14:textFill>
                                    </w:rPr>
                                    <w:t>本项目位置</w:t>
                                  </w:r>
                                </w:p>
                              </w:txbxContent>
                            </wps:txbx>
                            <wps:bodyPr upright="1"/>
                          </wps:wsp>
                        </a:graphicData>
                      </a:graphic>
                    </wp:anchor>
                  </w:drawing>
                </mc:Choice>
                <mc:Fallback>
                  <w:pict>
                    <v:shape id="_x0000_s1026" o:spid="_x0000_s1026" o:spt="61" type="#_x0000_t61" style="position:absolute;left:0pt;margin-left:303.25pt;margin-top:259.9pt;height:16.8pt;width:52.55pt;z-index:251670528;mso-width-relative:page;mso-height-relative:page;" filled="f" stroked="t" coordsize="21600,21600" o:gfxdata="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6fI3HdcAAAALAQAADwAAAAAAAAABACAAAAAiAAAAZHJzL2Rvd25yZXYu&#10;eG1sUEsBAhQAFAAAAAgAh07iQCt1/sA1AgAAZgQAAA4AAAAAAAAAAQAgAAAAJgEAAGRycy9lMm9E&#10;b2MueG1sUEsFBgAAAAAGAAYAWQEAAM0FAAAAAA==&#10;" adj="-3206,38057">
                      <v:fill on="f" focussize="0,0"/>
                      <v:stroke weight="0.5pt" color="#000000" joinstyle="miter"/>
                      <v:imagedata o:title=""/>
                      <o:lock v:ext="edit" aspectratio="f"/>
                      <v:textbox>
                        <w:txbxContent>
                          <w:p w14:paraId="1EE049A2">
                            <w:pPr>
                              <w:spacing w:line="240" w:lineRule="auto"/>
                              <w:rPr>
                                <w:rFonts w:hint="eastAsia" w:eastAsia="宋体"/>
                                <w:b/>
                                <w:bCs/>
                                <w:color w:val="000000" w:themeColor="text1"/>
                                <w:sz w:val="15"/>
                                <w:szCs w:val="15"/>
                                <w:lang w:eastAsia="zh-CN"/>
                                <w14:textFill>
                                  <w14:solidFill>
                                    <w14:schemeClr w14:val="tx1"/>
                                  </w14:solidFill>
                                </w14:textFill>
                              </w:rPr>
                            </w:pPr>
                            <w:r>
                              <w:rPr>
                                <w:rFonts w:hint="eastAsia"/>
                                <w:b/>
                                <w:bCs/>
                                <w:color w:val="000000" w:themeColor="text1"/>
                                <w:sz w:val="15"/>
                                <w:szCs w:val="15"/>
                                <w:lang w:eastAsia="zh-CN"/>
                                <w14:textFill>
                                  <w14:solidFill>
                                    <w14:schemeClr w14:val="tx1"/>
                                  </w14:solidFill>
                                </w14:textFill>
                              </w:rPr>
                              <w:t>本项目位置</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3648710</wp:posOffset>
                      </wp:positionH>
                      <wp:positionV relativeFrom="paragraph">
                        <wp:posOffset>3609975</wp:posOffset>
                      </wp:positionV>
                      <wp:extent cx="149225" cy="127635"/>
                      <wp:effectExtent l="15875" t="13970" r="25400" b="29845"/>
                      <wp:wrapNone/>
                      <wp:docPr id="41" name="五角星 41"/>
                      <wp:cNvGraphicFramePr/>
                      <a:graphic xmlns:a="http://schemas.openxmlformats.org/drawingml/2006/main">
                        <a:graphicData uri="http://schemas.microsoft.com/office/word/2010/wordprocessingShape">
                          <wps:wsp>
                            <wps:cNvSpPr/>
                            <wps:spPr>
                              <a:xfrm>
                                <a:off x="0" y="0"/>
                                <a:ext cx="149225" cy="127635"/>
                              </a:xfrm>
                              <a:prstGeom prst="star5">
                                <a:avLst/>
                              </a:prstGeom>
                              <a:solidFill>
                                <a:srgbClr val="FF0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7.3pt;margin-top:284.25pt;height:10.05pt;width:11.75pt;z-index:251669504;v-text-anchor:middle;mso-width-relative:page;mso-height-relative:page;" fillcolor="#FF0000" filled="t" stroked="t" coordsize="149225,127635" o:gfxdata="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G5bWnYAAAACwEAAA8AAAAAAAAAAQAgAAAAIgAAAGRy&#10;cy9kb3ducmV2LnhtbFBLAQIUABQAAAAIAIdO4kBNothCdwIAAPgEAAAOAAAAAAAAAAEAIAAAACcB&#10;AABkcnMvZTJvRG9jLnhtbFBLBQYAAAAABgAGAFkBAAAQBgAAAAA=&#10;" path="m0,48752l56999,48752,74612,0,92225,48752,149224,48752,103111,78882,120725,127634,74612,97503,28499,127634,46113,78882xe">
                      <v:path o:connectlocs="74612,0;0,48752;28499,127634;120725,127634;149224,48752" o:connectangles="247,164,82,82,0"/>
                      <v:fill on="t" focussize="0,0"/>
                      <v:stroke weight="0.25pt" color="#000000 [3213]" miterlimit="8" joinstyle="miter"/>
                      <v:imagedata o:title=""/>
                      <o:lock v:ext="edit" aspectratio="f"/>
                    </v:shape>
                  </w:pict>
                </mc:Fallback>
              </mc:AlternateContent>
            </w:r>
            <w:r>
              <w:rPr>
                <w:rFonts w:hint="default" w:ascii="Times New Roman" w:hAnsi="Times New Roman" w:eastAsia="宋体" w:cs="Times New Roman"/>
                <w:color w:val="auto"/>
                <w:highlight w:val="none"/>
              </w:rPr>
              <w:drawing>
                <wp:inline distT="0" distB="0" distL="114300" distR="114300">
                  <wp:extent cx="4902835" cy="4703445"/>
                  <wp:effectExtent l="0" t="0" r="12065"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8"/>
                          <a:stretch>
                            <a:fillRect/>
                          </a:stretch>
                        </pic:blipFill>
                        <pic:spPr>
                          <a:xfrm>
                            <a:off x="0" y="0"/>
                            <a:ext cx="4902835" cy="4703445"/>
                          </a:xfrm>
                          <a:prstGeom prst="rect">
                            <a:avLst/>
                          </a:prstGeom>
                          <a:noFill/>
                          <a:ln>
                            <a:noFill/>
                          </a:ln>
                        </pic:spPr>
                      </pic:pic>
                    </a:graphicData>
                  </a:graphic>
                </wp:inline>
              </w:drawing>
            </w:r>
          </w:p>
          <w:p w14:paraId="60831BE2">
            <w:pPr>
              <w:pStyle w:val="9"/>
              <w:keepNext w:val="0"/>
              <w:keepLines w:val="0"/>
              <w:pageBreakBefore w:val="0"/>
              <w:widowControl/>
              <w:kinsoku/>
              <w:wordWrap/>
              <w:overflowPunct/>
              <w:topLinePunct w:val="0"/>
              <w:autoSpaceDE/>
              <w:autoSpaceDN/>
              <w:bidi w:val="0"/>
              <w:adjustRightInd/>
              <w:snapToGrid/>
              <w:spacing w:before="0" w:after="0" w:line="240" w:lineRule="auto"/>
              <w:ind w:right="0"/>
              <w:jc w:val="center"/>
              <w:textAlignment w:val="auto"/>
              <w:rPr>
                <w:rFonts w:hint="default"/>
                <w:color w:val="auto"/>
                <w:highlight w:val="none"/>
              </w:rPr>
            </w:pPr>
            <w:r>
              <w:rPr>
                <w:rFonts w:hint="default" w:ascii="Times New Roman" w:hAnsi="Times New Roman" w:eastAsia="宋体" w:cs="Times New Roman"/>
                <w:b/>
                <w:bCs/>
                <w:color w:val="auto"/>
                <w:spacing w:val="1"/>
                <w:position w:val="1"/>
                <w:sz w:val="21"/>
                <w:szCs w:val="21"/>
                <w:highlight w:val="none"/>
                <w:lang w:val="en-US" w:eastAsia="zh-CN"/>
              </w:rPr>
              <w:t>图3-</w:t>
            </w:r>
            <w:r>
              <w:rPr>
                <w:rFonts w:hint="eastAsia" w:ascii="Times New Roman" w:hAnsi="Times New Roman" w:eastAsia="宋体" w:cs="Times New Roman"/>
                <w:b/>
                <w:bCs/>
                <w:color w:val="auto"/>
                <w:spacing w:val="1"/>
                <w:position w:val="1"/>
                <w:sz w:val="21"/>
                <w:szCs w:val="21"/>
                <w:highlight w:val="none"/>
                <w:lang w:val="en-US" w:eastAsia="zh-CN"/>
              </w:rPr>
              <w:t>2生态功能区划</w:t>
            </w:r>
            <w:r>
              <w:rPr>
                <w:rFonts w:hint="default" w:ascii="Times New Roman" w:hAnsi="Times New Roman" w:eastAsia="宋体" w:cs="Times New Roman"/>
                <w:b/>
                <w:bCs/>
                <w:color w:val="auto"/>
                <w:spacing w:val="1"/>
                <w:position w:val="1"/>
                <w:sz w:val="21"/>
                <w:szCs w:val="21"/>
                <w:highlight w:val="none"/>
                <w:lang w:val="en-US" w:eastAsia="zh-CN"/>
              </w:rPr>
              <w:t>图</w:t>
            </w:r>
          </w:p>
          <w:p w14:paraId="7B66663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lang w:eastAsia="zh-CN"/>
              </w:rPr>
              <w:t>）土地利用类型</w:t>
            </w:r>
          </w:p>
          <w:p w14:paraId="47ED23E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rPr>
              <w:t>本项目总占地面积为</w:t>
            </w:r>
            <w:r>
              <w:rPr>
                <w:rFonts w:hint="default" w:ascii="Times New Roman" w:hAnsi="Times New Roman" w:eastAsia="宋体" w:cs="Times New Roman"/>
                <w:color w:val="auto"/>
                <w:kern w:val="0"/>
                <w:sz w:val="21"/>
                <w:szCs w:val="21"/>
                <w:highlight w:val="none"/>
                <w:lang w:val="en-US" w:eastAsia="zh-CN"/>
              </w:rPr>
              <w:t>2.23</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，其中永久占地</w:t>
            </w:r>
            <w:r>
              <w:rPr>
                <w:rFonts w:hint="default" w:ascii="Times New Roman" w:hAnsi="Times New Roman" w:eastAsia="宋体" w:cs="Times New Roman"/>
                <w:color w:val="auto"/>
                <w:kern w:val="0"/>
                <w:sz w:val="21"/>
                <w:szCs w:val="21"/>
                <w:highlight w:val="none"/>
                <w:lang w:val="en-US" w:eastAsia="zh-CN"/>
              </w:rPr>
              <w:t>1.86</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，临时占地0.</w:t>
            </w:r>
            <w:r>
              <w:rPr>
                <w:rFonts w:hint="default" w:ascii="Times New Roman" w:hAnsi="Times New Roman" w:eastAsia="宋体" w:cs="Times New Roman"/>
                <w:color w:val="auto"/>
                <w:kern w:val="0"/>
                <w:sz w:val="21"/>
                <w:szCs w:val="21"/>
                <w:highlight w:val="none"/>
                <w:lang w:val="en-US" w:eastAsia="zh-CN"/>
              </w:rPr>
              <w:t>37</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，占地类型为水域及水利设施用地。</w:t>
            </w:r>
            <w:r>
              <w:rPr>
                <w:rFonts w:hint="default" w:ascii="Times New Roman" w:hAnsi="Times New Roman" w:eastAsia="宋体" w:cs="Times New Roman"/>
                <w:color w:val="auto"/>
                <w:kern w:val="0"/>
                <w:sz w:val="21"/>
                <w:szCs w:val="21"/>
                <w:highlight w:val="none"/>
                <w:lang w:val="en-US" w:eastAsia="zh-CN"/>
              </w:rPr>
              <w:t>永久占地为水库大坝、溢洪道、输水洞原有占地，临时占地为施工生产区及填塘工程区。</w:t>
            </w:r>
            <w:r>
              <w:rPr>
                <w:rFonts w:hint="eastAsia"/>
                <w:color w:val="auto"/>
                <w:sz w:val="21"/>
                <w:szCs w:val="21"/>
                <w:highlight w:val="none"/>
              </w:rPr>
              <w:t>生活区采用当地居民区内，不计占地。</w:t>
            </w:r>
          </w:p>
          <w:p w14:paraId="7DBBBFC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highlight w:val="none"/>
              </w:rPr>
            </w:pPr>
            <w:r>
              <w:rPr>
                <w:rFonts w:hint="default" w:ascii="Times New Roman" w:hAnsi="Times New Roman" w:eastAsia="宋体" w:cs="Times New Roman"/>
                <w:b/>
                <w:bCs/>
                <w:color w:val="auto"/>
                <w:sz w:val="21"/>
                <w:highlight w:val="none"/>
              </w:rPr>
              <w:t>表</w:t>
            </w:r>
            <w:r>
              <w:rPr>
                <w:rFonts w:hint="eastAsia" w:ascii="Times New Roman" w:hAnsi="Times New Roman" w:eastAsia="宋体" w:cs="Times New Roman"/>
                <w:b/>
                <w:bCs/>
                <w:color w:val="auto"/>
                <w:sz w:val="21"/>
                <w:highlight w:val="none"/>
                <w:lang w:val="en-US" w:eastAsia="zh-CN"/>
              </w:rPr>
              <w:t>3-</w:t>
            </w:r>
            <w:r>
              <w:rPr>
                <w:rFonts w:hint="eastAsia" w:cs="Times New Roman"/>
                <w:b/>
                <w:bCs/>
                <w:color w:val="auto"/>
                <w:sz w:val="21"/>
                <w:highlight w:val="none"/>
                <w:lang w:val="en-US" w:eastAsia="zh-CN"/>
              </w:rPr>
              <w:t>2</w:t>
            </w:r>
            <w:r>
              <w:rPr>
                <w:rFonts w:hint="default" w:ascii="Times New Roman" w:hAnsi="Times New Roman" w:eastAsia="宋体" w:cs="Times New Roman"/>
                <w:b/>
                <w:bCs/>
                <w:color w:val="auto"/>
                <w:sz w:val="21"/>
                <w:highlight w:val="none"/>
              </w:rPr>
              <w:t>工程占地一览表</w:t>
            </w:r>
          </w:p>
          <w:tbl>
            <w:tblPr>
              <w:tblStyle w:val="24"/>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31"/>
              <w:gridCol w:w="1331"/>
              <w:gridCol w:w="987"/>
              <w:gridCol w:w="1878"/>
              <w:gridCol w:w="1132"/>
              <w:gridCol w:w="1336"/>
            </w:tblGrid>
            <w:tr w14:paraId="719DC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832" w:type="pct"/>
                  <w:vMerge w:val="restart"/>
                  <w:tcBorders>
                    <w:top w:val="single" w:color="000000" w:sz="4" w:space="0"/>
                    <w:bottom w:val="single" w:color="000000" w:sz="4" w:space="0"/>
                    <w:right w:val="single" w:color="000000" w:sz="4" w:space="0"/>
                  </w:tcBorders>
                  <w:noWrap w:val="0"/>
                  <w:vAlign w:val="center"/>
                </w:tcPr>
                <w:p w14:paraId="2B421CAF">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地貌类型</w:t>
                  </w:r>
                </w:p>
              </w:tc>
              <w:tc>
                <w:tcPr>
                  <w:tcW w:w="832" w:type="pct"/>
                  <w:vMerge w:val="restart"/>
                  <w:tcBorders>
                    <w:top w:val="single" w:color="000000" w:sz="4" w:space="0"/>
                    <w:left w:val="single" w:color="000000" w:sz="4" w:space="0"/>
                    <w:bottom w:val="single" w:color="000000" w:sz="4" w:space="0"/>
                    <w:right w:val="single" w:color="000000" w:sz="4" w:space="0"/>
                  </w:tcBorders>
                  <w:noWrap w:val="0"/>
                  <w:vAlign w:val="center"/>
                </w:tcPr>
                <w:p w14:paraId="7414657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项目组成</w:t>
                  </w:r>
                </w:p>
              </w:tc>
              <w:tc>
                <w:tcPr>
                  <w:tcW w:w="617" w:type="pct"/>
                  <w:vMerge w:val="restart"/>
                  <w:tcBorders>
                    <w:top w:val="single" w:color="000000" w:sz="4" w:space="0"/>
                    <w:left w:val="single" w:color="000000" w:sz="4" w:space="0"/>
                    <w:bottom w:val="single" w:color="000000" w:sz="4" w:space="0"/>
                    <w:right w:val="single" w:color="000000" w:sz="4" w:space="0"/>
                  </w:tcBorders>
                  <w:noWrap w:val="0"/>
                  <w:vAlign w:val="center"/>
                </w:tcPr>
                <w:p w14:paraId="132EC9A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合计</w:t>
                  </w:r>
                </w:p>
              </w:tc>
              <w:tc>
                <w:tcPr>
                  <w:tcW w:w="1174" w:type="pct"/>
                  <w:tcBorders>
                    <w:top w:val="single" w:color="000000" w:sz="4" w:space="0"/>
                    <w:left w:val="single" w:color="000000" w:sz="4" w:space="0"/>
                    <w:bottom w:val="single" w:color="000000" w:sz="4" w:space="0"/>
                    <w:right w:val="single" w:color="000000" w:sz="4" w:space="0"/>
                  </w:tcBorders>
                  <w:noWrap w:val="0"/>
                  <w:vAlign w:val="center"/>
                </w:tcPr>
                <w:p w14:paraId="61432BE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占地类型</w:t>
                  </w:r>
                </w:p>
              </w:tc>
              <w:tc>
                <w:tcPr>
                  <w:tcW w:w="1543" w:type="pct"/>
                  <w:gridSpan w:val="2"/>
                  <w:tcBorders>
                    <w:top w:val="single" w:color="000000" w:sz="4" w:space="0"/>
                    <w:left w:val="single" w:color="000000" w:sz="4" w:space="0"/>
                    <w:bottom w:val="single" w:color="000000" w:sz="4" w:space="0"/>
                  </w:tcBorders>
                  <w:noWrap w:val="0"/>
                  <w:vAlign w:val="center"/>
                </w:tcPr>
                <w:p w14:paraId="5D56EC1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占地性质</w:t>
                  </w:r>
                </w:p>
              </w:tc>
            </w:tr>
            <w:tr w14:paraId="2093AE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46B3714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vMerge w:val="continue"/>
                  <w:tcBorders>
                    <w:top w:val="single" w:color="000000" w:sz="4" w:space="0"/>
                    <w:left w:val="single" w:color="000000" w:sz="4" w:space="0"/>
                    <w:bottom w:val="single" w:color="000000" w:sz="4" w:space="0"/>
                    <w:right w:val="single" w:color="000000" w:sz="4" w:space="0"/>
                  </w:tcBorders>
                  <w:noWrap w:val="0"/>
                  <w:vAlign w:val="center"/>
                </w:tcPr>
                <w:p w14:paraId="28F7F9E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617" w:type="pct"/>
                  <w:vMerge w:val="continue"/>
                  <w:tcBorders>
                    <w:top w:val="single" w:color="000000" w:sz="4" w:space="0"/>
                    <w:left w:val="single" w:color="000000" w:sz="4" w:space="0"/>
                    <w:bottom w:val="single" w:color="000000" w:sz="4" w:space="0"/>
                    <w:right w:val="single" w:color="000000" w:sz="4" w:space="0"/>
                  </w:tcBorders>
                  <w:noWrap w:val="0"/>
                  <w:vAlign w:val="center"/>
                </w:tcPr>
                <w:p w14:paraId="6D9AA4F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1174" w:type="pct"/>
                  <w:tcBorders>
                    <w:top w:val="single" w:color="000000" w:sz="4" w:space="0"/>
                    <w:left w:val="single" w:color="000000" w:sz="4" w:space="0"/>
                    <w:bottom w:val="single" w:color="000000" w:sz="4" w:space="0"/>
                    <w:right w:val="single" w:color="000000" w:sz="4" w:space="0"/>
                  </w:tcBorders>
                  <w:noWrap w:val="0"/>
                  <w:vAlign w:val="center"/>
                </w:tcPr>
                <w:p w14:paraId="30B02C8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水域及水利设施用地</w:t>
                  </w:r>
                </w:p>
              </w:tc>
              <w:tc>
                <w:tcPr>
                  <w:tcW w:w="707" w:type="pct"/>
                  <w:tcBorders>
                    <w:top w:val="single" w:color="000000" w:sz="4" w:space="0"/>
                    <w:left w:val="single" w:color="000000" w:sz="4" w:space="0"/>
                    <w:bottom w:val="single" w:color="000000" w:sz="4" w:space="0"/>
                    <w:right w:val="single" w:color="000000" w:sz="4" w:space="0"/>
                  </w:tcBorders>
                  <w:noWrap w:val="0"/>
                  <w:vAlign w:val="center"/>
                </w:tcPr>
                <w:p w14:paraId="135F6CB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永久占地</w:t>
                  </w:r>
                </w:p>
              </w:tc>
              <w:tc>
                <w:tcPr>
                  <w:tcW w:w="835" w:type="pct"/>
                  <w:tcBorders>
                    <w:top w:val="single" w:color="000000" w:sz="4" w:space="0"/>
                    <w:left w:val="single" w:color="000000" w:sz="4" w:space="0"/>
                    <w:bottom w:val="single" w:color="000000" w:sz="4" w:space="0"/>
                  </w:tcBorders>
                  <w:noWrap w:val="0"/>
                  <w:vAlign w:val="center"/>
                </w:tcPr>
                <w:p w14:paraId="6DC1A8D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临时占地</w:t>
                  </w:r>
                </w:p>
              </w:tc>
            </w:tr>
            <w:tr w14:paraId="3F1BFE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restart"/>
                  <w:tcBorders>
                    <w:top w:val="single" w:color="000000" w:sz="4" w:space="0"/>
                    <w:bottom w:val="single" w:color="000000" w:sz="4" w:space="0"/>
                    <w:right w:val="single" w:color="000000" w:sz="4" w:space="0"/>
                  </w:tcBorders>
                  <w:noWrap w:val="0"/>
                  <w:vAlign w:val="center"/>
                </w:tcPr>
                <w:p w14:paraId="1AB841D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低山丘陵</w:t>
                  </w: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2B4110D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主体工程区</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18569AD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1174" w:type="pct"/>
                  <w:tcBorders>
                    <w:top w:val="single" w:color="000000" w:sz="4" w:space="0"/>
                    <w:left w:val="single" w:color="000000" w:sz="4" w:space="0"/>
                    <w:bottom w:val="single" w:color="000000" w:sz="4" w:space="0"/>
                    <w:right w:val="single" w:color="000000" w:sz="4" w:space="0"/>
                  </w:tcBorders>
                  <w:noWrap w:val="0"/>
                  <w:vAlign w:val="center"/>
                </w:tcPr>
                <w:p w14:paraId="4635A174">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707" w:type="pct"/>
                  <w:tcBorders>
                    <w:top w:val="single" w:color="000000" w:sz="4" w:space="0"/>
                    <w:left w:val="single" w:color="000000" w:sz="4" w:space="0"/>
                    <w:bottom w:val="single" w:color="000000" w:sz="4" w:space="0"/>
                    <w:right w:val="single" w:color="000000" w:sz="4" w:space="0"/>
                  </w:tcBorders>
                  <w:noWrap w:val="0"/>
                  <w:vAlign w:val="center"/>
                </w:tcPr>
                <w:p w14:paraId="44E26036">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835" w:type="pct"/>
                  <w:tcBorders>
                    <w:top w:val="single" w:color="000000" w:sz="4" w:space="0"/>
                    <w:left w:val="single" w:color="000000" w:sz="4" w:space="0"/>
                    <w:bottom w:val="single" w:color="000000" w:sz="4" w:space="0"/>
                  </w:tcBorders>
                  <w:noWrap w:val="0"/>
                  <w:vAlign w:val="center"/>
                </w:tcPr>
                <w:p w14:paraId="0DADBBC0">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w:t>
                  </w:r>
                </w:p>
              </w:tc>
            </w:tr>
            <w:tr w14:paraId="672B84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2C96A03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0D095161">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填塘工程区</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7FFEF48B">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0.27</w:t>
                  </w:r>
                </w:p>
              </w:tc>
              <w:tc>
                <w:tcPr>
                  <w:tcW w:w="1174" w:type="pct"/>
                  <w:tcBorders>
                    <w:top w:val="single" w:color="000000" w:sz="4" w:space="0"/>
                    <w:left w:val="single" w:color="000000" w:sz="4" w:space="0"/>
                    <w:bottom w:val="single" w:color="000000" w:sz="4" w:space="0"/>
                    <w:right w:val="single" w:color="000000" w:sz="4" w:space="0"/>
                  </w:tcBorders>
                  <w:noWrap w:val="0"/>
                  <w:vAlign w:val="center"/>
                </w:tcPr>
                <w:p w14:paraId="4846F1B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0.27</w:t>
                  </w:r>
                </w:p>
              </w:tc>
              <w:tc>
                <w:tcPr>
                  <w:tcW w:w="707" w:type="pct"/>
                  <w:tcBorders>
                    <w:top w:val="single" w:color="000000" w:sz="4" w:space="0"/>
                    <w:left w:val="single" w:color="000000" w:sz="4" w:space="0"/>
                    <w:bottom w:val="single" w:color="000000" w:sz="4" w:space="0"/>
                    <w:right w:val="single" w:color="000000" w:sz="4" w:space="0"/>
                  </w:tcBorders>
                  <w:noWrap w:val="0"/>
                  <w:vAlign w:val="center"/>
                </w:tcPr>
                <w:p w14:paraId="477E7BE8">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w:t>
                  </w:r>
                </w:p>
              </w:tc>
              <w:tc>
                <w:tcPr>
                  <w:tcW w:w="835" w:type="pct"/>
                  <w:tcBorders>
                    <w:top w:val="single" w:color="000000" w:sz="4" w:space="0"/>
                    <w:left w:val="single" w:color="000000" w:sz="4" w:space="0"/>
                    <w:bottom w:val="single" w:color="000000" w:sz="4" w:space="0"/>
                  </w:tcBorders>
                  <w:noWrap w:val="0"/>
                  <w:vAlign w:val="center"/>
                </w:tcPr>
                <w:p w14:paraId="0078C36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0.27</w:t>
                  </w:r>
                </w:p>
              </w:tc>
            </w:tr>
            <w:tr w14:paraId="7CCAC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2C8AF11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1646AAA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施工生产区</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277BBB49">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0.10</w:t>
                  </w:r>
                </w:p>
              </w:tc>
              <w:tc>
                <w:tcPr>
                  <w:tcW w:w="1174" w:type="pct"/>
                  <w:tcBorders>
                    <w:top w:val="single" w:color="000000" w:sz="4" w:space="0"/>
                    <w:left w:val="single" w:color="000000" w:sz="4" w:space="0"/>
                    <w:bottom w:val="single" w:color="000000" w:sz="4" w:space="0"/>
                    <w:right w:val="single" w:color="000000" w:sz="4" w:space="0"/>
                  </w:tcBorders>
                  <w:noWrap w:val="0"/>
                  <w:vAlign w:val="center"/>
                </w:tcPr>
                <w:p w14:paraId="5C60F22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0.10</w:t>
                  </w:r>
                </w:p>
              </w:tc>
              <w:tc>
                <w:tcPr>
                  <w:tcW w:w="707" w:type="pct"/>
                  <w:tcBorders>
                    <w:top w:val="single" w:color="000000" w:sz="4" w:space="0"/>
                    <w:left w:val="single" w:color="000000" w:sz="4" w:space="0"/>
                    <w:bottom w:val="single" w:color="000000" w:sz="4" w:space="0"/>
                    <w:right w:val="single" w:color="000000" w:sz="4" w:space="0"/>
                  </w:tcBorders>
                  <w:noWrap w:val="0"/>
                  <w:vAlign w:val="center"/>
                </w:tcPr>
                <w:p w14:paraId="49807E8E">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w:t>
                  </w:r>
                </w:p>
              </w:tc>
              <w:tc>
                <w:tcPr>
                  <w:tcW w:w="835" w:type="pct"/>
                  <w:tcBorders>
                    <w:top w:val="single" w:color="000000" w:sz="4" w:space="0"/>
                    <w:left w:val="single" w:color="000000" w:sz="4" w:space="0"/>
                    <w:bottom w:val="single" w:color="000000" w:sz="4" w:space="0"/>
                  </w:tcBorders>
                  <w:noWrap w:val="0"/>
                  <w:vAlign w:val="center"/>
                </w:tcPr>
                <w:p w14:paraId="67C74693">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0.10</w:t>
                  </w:r>
                </w:p>
              </w:tc>
            </w:tr>
            <w:tr w14:paraId="7AC2F2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jc w:val="center"/>
              </w:trPr>
              <w:tc>
                <w:tcPr>
                  <w:tcW w:w="832" w:type="pct"/>
                  <w:vMerge w:val="continue"/>
                  <w:tcBorders>
                    <w:top w:val="single" w:color="000000" w:sz="4" w:space="0"/>
                    <w:bottom w:val="single" w:color="000000" w:sz="4" w:space="0"/>
                    <w:right w:val="single" w:color="000000" w:sz="4" w:space="0"/>
                  </w:tcBorders>
                  <w:noWrap w:val="0"/>
                  <w:vAlign w:val="center"/>
                </w:tcPr>
                <w:p w14:paraId="4717AB1A">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p>
              </w:tc>
              <w:tc>
                <w:tcPr>
                  <w:tcW w:w="832" w:type="pct"/>
                  <w:tcBorders>
                    <w:top w:val="single" w:color="000000" w:sz="4" w:space="0"/>
                    <w:left w:val="single" w:color="000000" w:sz="4" w:space="0"/>
                    <w:bottom w:val="single" w:color="000000" w:sz="4" w:space="0"/>
                    <w:right w:val="single" w:color="000000" w:sz="4" w:space="0"/>
                  </w:tcBorders>
                  <w:noWrap w:val="0"/>
                  <w:vAlign w:val="center"/>
                </w:tcPr>
                <w:p w14:paraId="7A3A9EBD">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总计</w:t>
                  </w:r>
                </w:p>
              </w:tc>
              <w:tc>
                <w:tcPr>
                  <w:tcW w:w="617" w:type="pct"/>
                  <w:tcBorders>
                    <w:top w:val="single" w:color="000000" w:sz="4" w:space="0"/>
                    <w:left w:val="single" w:color="000000" w:sz="4" w:space="0"/>
                    <w:bottom w:val="single" w:color="000000" w:sz="4" w:space="0"/>
                    <w:right w:val="single" w:color="000000" w:sz="4" w:space="0"/>
                  </w:tcBorders>
                  <w:noWrap w:val="0"/>
                  <w:vAlign w:val="center"/>
                </w:tcPr>
                <w:p w14:paraId="21647A97">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2.23</w:t>
                  </w:r>
                </w:p>
              </w:tc>
              <w:tc>
                <w:tcPr>
                  <w:tcW w:w="1174" w:type="pct"/>
                  <w:tcBorders>
                    <w:top w:val="single" w:color="000000" w:sz="4" w:space="0"/>
                    <w:left w:val="single" w:color="000000" w:sz="4" w:space="0"/>
                    <w:bottom w:val="single" w:color="000000" w:sz="4" w:space="0"/>
                    <w:right w:val="single" w:color="000000" w:sz="4" w:space="0"/>
                  </w:tcBorders>
                  <w:noWrap w:val="0"/>
                  <w:vAlign w:val="center"/>
                </w:tcPr>
                <w:p w14:paraId="0F5B9BEC">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2.23</w:t>
                  </w:r>
                </w:p>
              </w:tc>
              <w:tc>
                <w:tcPr>
                  <w:tcW w:w="707" w:type="pct"/>
                  <w:tcBorders>
                    <w:top w:val="single" w:color="000000" w:sz="4" w:space="0"/>
                    <w:left w:val="single" w:color="000000" w:sz="4" w:space="0"/>
                    <w:bottom w:val="single" w:color="000000" w:sz="4" w:space="0"/>
                    <w:right w:val="single" w:color="000000" w:sz="4" w:space="0"/>
                  </w:tcBorders>
                  <w:noWrap w:val="0"/>
                  <w:vAlign w:val="center"/>
                </w:tcPr>
                <w:p w14:paraId="655E0FD2">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1.86</w:t>
                  </w:r>
                </w:p>
              </w:tc>
              <w:tc>
                <w:tcPr>
                  <w:tcW w:w="835" w:type="pct"/>
                  <w:tcBorders>
                    <w:top w:val="single" w:color="000000" w:sz="4" w:space="0"/>
                    <w:left w:val="single" w:color="000000" w:sz="4" w:space="0"/>
                    <w:bottom w:val="single" w:color="000000" w:sz="4" w:space="0"/>
                  </w:tcBorders>
                  <w:noWrap w:val="0"/>
                  <w:vAlign w:val="center"/>
                </w:tcPr>
                <w:p w14:paraId="4573DFD5">
                  <w:pPr>
                    <w:pStyle w:val="9"/>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i w:val="0"/>
                      <w:iCs w:val="0"/>
                      <w:color w:val="auto"/>
                      <w:spacing w:val="0"/>
                      <w:sz w:val="18"/>
                      <w:szCs w:val="18"/>
                      <w:highlight w:val="none"/>
                      <w:u w:val="none"/>
                    </w:rPr>
                  </w:pPr>
                  <w:r>
                    <w:rPr>
                      <w:rFonts w:hint="default" w:ascii="Times New Roman" w:hAnsi="Times New Roman" w:eastAsia="宋体" w:cs="Times New Roman"/>
                      <w:i w:val="0"/>
                      <w:iCs w:val="0"/>
                      <w:snapToGrid w:val="0"/>
                      <w:color w:val="auto"/>
                      <w:spacing w:val="0"/>
                      <w:kern w:val="2"/>
                      <w:sz w:val="18"/>
                      <w:szCs w:val="18"/>
                      <w:highlight w:val="none"/>
                      <w:u w:val="none"/>
                      <w:lang w:val="en-US" w:eastAsia="zh-CN" w:bidi="ar"/>
                    </w:rPr>
                    <w:t>0.37</w:t>
                  </w:r>
                </w:p>
              </w:tc>
            </w:tr>
          </w:tbl>
          <w:p w14:paraId="16CDF686">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2</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植物类型</w:t>
            </w:r>
          </w:p>
          <w:p w14:paraId="3B05414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密山市区域属于温带针阔叶混交林区，植物种类有300多种</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主要乔木树种有红松、云杉、赤松、樟子松、落叶松、柞树、椴树、水曲柳、黄菠萝、山杨、白桦、榆树、胡桃楸、唐槭、槐树、水冬瓜等。灌木有榛柴、杨树、杜鹃、丁香等上百种。藤本类有山葡萄、五味子等</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此外还有龙胆草、刺五加等名贵中草药及蕨菜、薇菜等山野菜和榛蘑、元蘑等菌类，资源十分丰富。</w:t>
            </w:r>
          </w:p>
          <w:p w14:paraId="485AC01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r>
              <w:rPr>
                <w:rFonts w:hint="eastAsia" w:ascii="Times New Roman" w:hAnsi="Times New Roman" w:eastAsia="宋体" w:cs="Times New Roman"/>
                <w:color w:val="auto"/>
                <w:highlight w:val="none"/>
              </w:rPr>
              <w:t>项目所在区域</w:t>
            </w:r>
            <w:r>
              <w:rPr>
                <w:rFonts w:hint="default" w:ascii="Times New Roman" w:hAnsi="Times New Roman" w:cs="Times New Roman"/>
                <w:color w:val="auto"/>
                <w:kern w:val="0"/>
                <w:sz w:val="21"/>
                <w:szCs w:val="21"/>
                <w:highlight w:val="none"/>
                <w:lang w:eastAsia="zh-CN"/>
              </w:rPr>
              <w:t>植被类型主要为</w:t>
            </w:r>
            <w:r>
              <w:rPr>
                <w:rFonts w:hint="default" w:ascii="Times New Roman" w:hAnsi="Times New Roman" w:cs="Times New Roman"/>
                <w:color w:val="auto"/>
                <w:kern w:val="0"/>
                <w:sz w:val="21"/>
                <w:szCs w:val="21"/>
                <w:highlight w:val="none"/>
              </w:rPr>
              <w:t>落叶松</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樟子松</w:t>
            </w:r>
            <w:r>
              <w:rPr>
                <w:rFonts w:hint="default" w:ascii="Times New Roman" w:hAnsi="Times New Roman" w:cs="Times New Roman"/>
                <w:color w:val="auto"/>
                <w:kern w:val="0"/>
                <w:sz w:val="21"/>
                <w:szCs w:val="21"/>
                <w:highlight w:val="none"/>
                <w:lang w:eastAsia="zh-CN"/>
              </w:rPr>
              <w:t>、杨树，农作物以玉米、大豆为主。项目区及周边陆生植物均为该地区广布种、常见种，评价范围内无各级野生保护植物和珍稀濒危陆生植物。</w:t>
            </w:r>
          </w:p>
          <w:p w14:paraId="37A5FEA1">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3</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野生动物</w:t>
            </w:r>
          </w:p>
          <w:p w14:paraId="1B79AF94">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highlight w:val="none"/>
              </w:rPr>
              <w:t>密山市野生动物资源种类繁多</w:t>
            </w:r>
            <w:r>
              <w:rPr>
                <w:rFonts w:hint="eastAsia" w:cs="Times New Roman"/>
                <w:color w:val="auto"/>
                <w:highlight w:val="none"/>
                <w:lang w:eastAsia="zh-CN"/>
              </w:rPr>
              <w:t>，</w:t>
            </w:r>
            <w:r>
              <w:rPr>
                <w:rFonts w:hint="eastAsia" w:ascii="Times New Roman" w:hAnsi="Times New Roman" w:eastAsia="宋体" w:cs="Times New Roman"/>
                <w:color w:val="auto"/>
                <w:highlight w:val="none"/>
              </w:rPr>
              <w:t>哺乳类动物有熊、鹿、獐子、狍子、狐、兔、野猪等</w:t>
            </w:r>
            <w:r>
              <w:rPr>
                <w:rFonts w:hint="eastAsia" w:cs="Times New Roman"/>
                <w:color w:val="auto"/>
                <w:highlight w:val="none"/>
                <w:lang w:val="en-US" w:eastAsia="zh-CN"/>
              </w:rPr>
              <w:t>20余</w:t>
            </w:r>
            <w:r>
              <w:rPr>
                <w:rFonts w:hint="eastAsia" w:ascii="Times New Roman" w:hAnsi="Times New Roman" w:eastAsia="宋体" w:cs="Times New Roman"/>
                <w:color w:val="auto"/>
                <w:highlight w:val="none"/>
              </w:rPr>
              <w:t>种。两栖动物主要有</w:t>
            </w:r>
            <w:r>
              <w:rPr>
                <w:rFonts w:hint="default" w:ascii="Times New Roman" w:hAnsi="Times New Roman" w:cs="Times New Roman"/>
                <w:color w:val="auto"/>
                <w:kern w:val="0"/>
                <w:sz w:val="21"/>
                <w:szCs w:val="21"/>
                <w:highlight w:val="none"/>
              </w:rPr>
              <w:t>中国林蛙、黑龙江林蛙</w:t>
            </w:r>
            <w:r>
              <w:rPr>
                <w:rFonts w:hint="eastAsia" w:ascii="Times New Roman" w:hAnsi="Times New Roman" w:cs="Times New Roman"/>
                <w:color w:val="auto"/>
                <w:kern w:val="0"/>
                <w:sz w:val="21"/>
                <w:szCs w:val="21"/>
                <w:highlight w:val="none"/>
                <w:lang w:eastAsia="zh-CN"/>
              </w:rPr>
              <w:t>、蟾蜍、蝌蚪、青蛙、蚓螈</w:t>
            </w:r>
            <w:r>
              <w:rPr>
                <w:rFonts w:hint="eastAsia" w:ascii="Times New Roman" w:hAnsi="Times New Roman" w:eastAsia="宋体" w:cs="Times New Roman"/>
                <w:color w:val="auto"/>
                <w:highlight w:val="none"/>
              </w:rPr>
              <w:t>等。</w:t>
            </w:r>
            <w:r>
              <w:rPr>
                <w:rFonts w:hint="default" w:ascii="Times New Roman" w:hAnsi="Times New Roman" w:cs="Times New Roman"/>
                <w:color w:val="auto"/>
                <w:kern w:val="0"/>
                <w:sz w:val="21"/>
                <w:szCs w:val="21"/>
                <w:highlight w:val="none"/>
              </w:rPr>
              <w:t>爬行类常见有黄脊游蛇、蝮蛇等。</w:t>
            </w:r>
            <w:r>
              <w:rPr>
                <w:rFonts w:hint="eastAsia" w:ascii="Times New Roman" w:hAnsi="Times New Roman" w:eastAsia="宋体" w:cs="Times New Roman"/>
                <w:color w:val="auto"/>
                <w:highlight w:val="none"/>
              </w:rPr>
              <w:t>鸟类</w:t>
            </w:r>
            <w:r>
              <w:rPr>
                <w:rFonts w:hint="default" w:ascii="Times New Roman" w:hAnsi="Times New Roman" w:cs="Times New Roman"/>
                <w:color w:val="auto"/>
                <w:kern w:val="0"/>
                <w:sz w:val="21"/>
                <w:szCs w:val="21"/>
                <w:highlight w:val="none"/>
              </w:rPr>
              <w:t>资源非常丰富</w:t>
            </w:r>
            <w:r>
              <w:rPr>
                <w:rFonts w:hint="eastAsia" w:ascii="Times New Roman" w:hAnsi="Times New Roman" w:eastAsia="宋体" w:cs="Times New Roman"/>
                <w:color w:val="auto"/>
                <w:highlight w:val="none"/>
              </w:rPr>
              <w:t>主要有</w:t>
            </w:r>
            <w:r>
              <w:rPr>
                <w:rFonts w:hint="default" w:ascii="Times New Roman" w:hAnsi="Times New Roman" w:cs="Times New Roman"/>
                <w:color w:val="auto"/>
                <w:kern w:val="0"/>
                <w:sz w:val="21"/>
                <w:szCs w:val="21"/>
                <w:highlight w:val="none"/>
              </w:rPr>
              <w:t>金雕、丹顶鹤、白鹤、中华秋沙鸭</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天鹅、鸳鸯、</w:t>
            </w:r>
            <w:r>
              <w:rPr>
                <w:rFonts w:hint="eastAsia" w:ascii="Times New Roman" w:hAnsi="Times New Roman" w:eastAsia="宋体" w:cs="Times New Roman"/>
                <w:color w:val="auto"/>
                <w:highlight w:val="none"/>
              </w:rPr>
              <w:t>灰鹳、麻雀、喜鹊、家燕等</w:t>
            </w:r>
            <w:r>
              <w:rPr>
                <w:rFonts w:hint="default" w:ascii="Times New Roman" w:hAnsi="Times New Roman" w:cs="Times New Roman"/>
                <w:color w:val="auto"/>
                <w:kern w:val="0"/>
                <w:sz w:val="21"/>
                <w:szCs w:val="21"/>
                <w:highlight w:val="none"/>
              </w:rPr>
              <w:t>200多种</w:t>
            </w:r>
            <w:r>
              <w:rPr>
                <w:rFonts w:hint="eastAsia" w:ascii="Times New Roman" w:hAnsi="Times New Roman" w:eastAsia="宋体" w:cs="Times New Roman"/>
                <w:color w:val="auto"/>
                <w:highlight w:val="none"/>
              </w:rPr>
              <w:t>。</w:t>
            </w:r>
          </w:p>
          <w:p w14:paraId="5FE19289">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highlight w:val="none"/>
              </w:rPr>
              <w:t>项目所在区域</w:t>
            </w:r>
            <w:r>
              <w:rPr>
                <w:rFonts w:hint="default" w:ascii="Times New Roman" w:hAnsi="Times New Roman" w:cs="Times New Roman"/>
                <w:color w:val="auto"/>
                <w:kern w:val="0"/>
                <w:sz w:val="21"/>
                <w:szCs w:val="21"/>
                <w:highlight w:val="none"/>
              </w:rPr>
              <w:t>无大型猛禽分布，动物以啮齿类及飞禽类居多，</w:t>
            </w:r>
            <w:r>
              <w:rPr>
                <w:rFonts w:hint="eastAsia" w:ascii="Times New Roman" w:hAnsi="Times New Roman" w:eastAsia="宋体" w:cs="Times New Roman"/>
                <w:color w:val="auto"/>
                <w:highlight w:val="none"/>
              </w:rPr>
              <w:t>如</w:t>
            </w:r>
            <w:r>
              <w:rPr>
                <w:rFonts w:hint="default" w:ascii="Times New Roman" w:hAnsi="Times New Roman" w:cs="Times New Roman"/>
                <w:color w:val="auto"/>
                <w:kern w:val="0"/>
                <w:sz w:val="21"/>
                <w:szCs w:val="21"/>
                <w:highlight w:val="none"/>
              </w:rPr>
              <w:t>麻雀、喜鹊、家燕等</w:t>
            </w:r>
            <w:r>
              <w:rPr>
                <w:rFonts w:hint="eastAsia" w:ascii="Times New Roman" w:hAnsi="Times New Roman" w:eastAsia="宋体" w:cs="Times New Roman"/>
                <w:color w:val="auto"/>
                <w:highlight w:val="none"/>
              </w:rPr>
              <w:t>常见鸟类</w:t>
            </w:r>
            <w:r>
              <w:rPr>
                <w:rFonts w:hint="default" w:ascii="Times New Roman" w:hAnsi="Times New Roman" w:cs="Times New Roman"/>
                <w:color w:val="auto"/>
                <w:kern w:val="0"/>
                <w:sz w:val="21"/>
                <w:szCs w:val="21"/>
                <w:highlight w:val="none"/>
              </w:rPr>
              <w:t>。评价区域内爬行动物数量较少，哺乳动物常见的动物多为小型食肉兽和啮齿类动物，</w:t>
            </w:r>
            <w:r>
              <w:rPr>
                <w:rFonts w:hint="eastAsia" w:ascii="Times New Roman" w:hAnsi="Times New Roman" w:eastAsia="宋体" w:cs="Times New Roman"/>
                <w:color w:val="auto"/>
                <w:highlight w:val="none"/>
              </w:rPr>
              <w:t>如</w:t>
            </w:r>
            <w:r>
              <w:rPr>
                <w:rFonts w:hint="default" w:ascii="Times New Roman" w:hAnsi="Times New Roman" w:cs="Times New Roman"/>
                <w:color w:val="auto"/>
                <w:kern w:val="0"/>
                <w:sz w:val="21"/>
                <w:szCs w:val="21"/>
                <w:highlight w:val="none"/>
              </w:rPr>
              <w:t>普通田鼠、褐家鼠、小家鼠等，评价范围内无各级野生保护动物、野生动物栖息地和野生动物自然保护区。评价范围内无湿地生态系统分布</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无自然保护区、风景名胜区、世界文化和自然遗产、饮用水水源保护区、森林公园</w:t>
            </w:r>
            <w:r>
              <w:rPr>
                <w:color w:val="auto"/>
                <w:highlight w:val="none"/>
              </w:rPr>
              <w:t>等特殊保护目标</w:t>
            </w:r>
            <w:r>
              <w:rPr>
                <w:rFonts w:hint="default" w:ascii="Times New Roman" w:hAnsi="Times New Roman" w:cs="Times New Roman"/>
                <w:color w:val="auto"/>
                <w:kern w:val="0"/>
                <w:sz w:val="21"/>
                <w:szCs w:val="21"/>
                <w:highlight w:val="none"/>
              </w:rPr>
              <w:t>。</w:t>
            </w:r>
          </w:p>
          <w:p w14:paraId="2CAB1C3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lang w:val="en-US" w:eastAsia="zh-CN"/>
              </w:rPr>
            </w:pPr>
            <w:bookmarkStart w:id="18" w:name="_Hlk158128144"/>
            <w:r>
              <w:rPr>
                <w:rFonts w:hint="default" w:ascii="Times New Roman" w:hAnsi="Times New Roman" w:cs="Times New Roman" w:eastAsiaTheme="minorEastAsia"/>
                <w:color w:val="auto"/>
                <w:sz w:val="21"/>
                <w:szCs w:val="21"/>
                <w:highlight w:val="none"/>
                <w:lang w:val="en-US" w:eastAsia="zh-CN"/>
              </w:rPr>
              <w:t>4）水生生物</w:t>
            </w:r>
          </w:p>
          <w:p w14:paraId="0550F83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color w:val="auto"/>
                <w:highlight w:val="none"/>
              </w:rPr>
            </w:pPr>
            <w:r>
              <w:rPr>
                <w:rFonts w:hint="eastAsia" w:cs="Times New Roman" w:eastAsiaTheme="minorEastAsia"/>
                <w:color w:val="auto"/>
                <w:sz w:val="21"/>
                <w:szCs w:val="21"/>
                <w:highlight w:val="none"/>
                <w:lang w:val="en-US" w:eastAsia="zh-CN"/>
              </w:rPr>
              <w:t>庆先</w:t>
            </w:r>
            <w:r>
              <w:rPr>
                <w:rFonts w:hint="default" w:ascii="Times New Roman" w:hAnsi="Times New Roman" w:cs="Times New Roman" w:eastAsiaTheme="minorEastAsia"/>
                <w:color w:val="auto"/>
                <w:sz w:val="21"/>
                <w:szCs w:val="21"/>
                <w:highlight w:val="none"/>
                <w:lang w:eastAsia="zh-CN"/>
              </w:rPr>
              <w:t>水库</w:t>
            </w:r>
            <w:r>
              <w:rPr>
                <w:rFonts w:hint="eastAsia" w:cs="Times New Roman" w:eastAsiaTheme="minorEastAsia"/>
                <w:color w:val="auto"/>
                <w:sz w:val="21"/>
                <w:szCs w:val="21"/>
                <w:highlight w:val="none"/>
                <w:lang w:eastAsia="zh-CN"/>
              </w:rPr>
              <w:t>通过锅盔河汇入</w:t>
            </w:r>
            <w:r>
              <w:rPr>
                <w:rFonts w:hint="default" w:ascii="Times New Roman" w:hAnsi="Times New Roman" w:cs="Times New Roman" w:eastAsiaTheme="minorEastAsia"/>
                <w:color w:val="auto"/>
                <w:sz w:val="21"/>
                <w:szCs w:val="21"/>
                <w:highlight w:val="none"/>
                <w:lang w:eastAsia="zh-CN"/>
              </w:rPr>
              <w:t>穆棱河</w:t>
            </w:r>
            <w:r>
              <w:rPr>
                <w:rFonts w:hint="eastAsia" w:cs="Times New Roman" w:eastAsiaTheme="minorEastAsia"/>
                <w:color w:val="auto"/>
                <w:sz w:val="21"/>
                <w:szCs w:val="21"/>
                <w:highlight w:val="none"/>
                <w:lang w:eastAsia="zh-CN"/>
              </w:rPr>
              <w:t>，锅盔河</w:t>
            </w:r>
            <w:r>
              <w:rPr>
                <w:color w:val="auto"/>
                <w:highlight w:val="none"/>
              </w:rPr>
              <w:t>现存鱼类主要为</w:t>
            </w:r>
            <w:r>
              <w:rPr>
                <w:rFonts w:hint="eastAsia"/>
                <w:color w:val="auto"/>
                <w:highlight w:val="none"/>
              </w:rPr>
              <w:t>有鲤鱼、鲫鱼、鲢鱼等</w:t>
            </w:r>
            <w:r>
              <w:rPr>
                <w:color w:val="auto"/>
                <w:highlight w:val="none"/>
              </w:rPr>
              <w:t>，无受保护鱼类，也没有形成捕捞量。</w:t>
            </w:r>
          </w:p>
          <w:p w14:paraId="27CEC136">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eastAsia="宋体"/>
                <w:color w:val="auto"/>
                <w:sz w:val="21"/>
                <w:szCs w:val="21"/>
                <w:highlight w:val="none"/>
                <w:lang w:eastAsia="zh-CN"/>
              </w:rPr>
            </w:pPr>
            <w:r>
              <w:rPr>
                <w:color w:val="auto"/>
                <w:sz w:val="21"/>
                <w:szCs w:val="21"/>
                <w:highlight w:val="none"/>
              </w:rPr>
              <w:t>A.</w:t>
            </w:r>
            <w:r>
              <w:rPr>
                <w:rFonts w:hint="eastAsia"/>
                <w:color w:val="auto"/>
                <w:sz w:val="21"/>
                <w:szCs w:val="21"/>
                <w:highlight w:val="none"/>
                <w:lang w:eastAsia="zh-CN"/>
              </w:rPr>
              <w:t>鲤鱼</w:t>
            </w:r>
          </w:p>
          <w:p w14:paraId="72A666D1">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color w:val="auto"/>
                <w:sz w:val="21"/>
                <w:szCs w:val="21"/>
                <w:highlight w:val="none"/>
              </w:rPr>
            </w:pPr>
            <w:r>
              <w:rPr>
                <w:rFonts w:hint="eastAsia"/>
                <w:color w:val="auto"/>
                <w:sz w:val="21"/>
                <w:szCs w:val="21"/>
                <w:highlight w:val="none"/>
              </w:rPr>
              <w:t>鲤鱼身体侧扁而腹部圆，口呈马蹄形，须2对。背鳍基部较长，背鳍和臀鳍均有一根粗壮带锯齿的硬棘。鳞大，上腭两侧各有二须。鲤平时多栖息于底质松软、水草丛生的水体低层，冬季游泳迟缓，在深水底层越冬。鲤的成鱼是以底栖软体动物为主的杂食性鱼类，幼鱼期则以大型浮游动物为主食</w:t>
            </w:r>
            <w:r>
              <w:rPr>
                <w:rFonts w:hint="eastAsia"/>
                <w:color w:val="auto"/>
                <w:sz w:val="21"/>
                <w:szCs w:val="21"/>
                <w:highlight w:val="none"/>
                <w:lang w:eastAsia="zh-CN"/>
              </w:rPr>
              <w:t>。</w:t>
            </w:r>
            <w:r>
              <w:rPr>
                <w:color w:val="auto"/>
                <w:sz w:val="21"/>
                <w:szCs w:val="21"/>
                <w:highlight w:val="none"/>
              </w:rPr>
              <w:t>繁殖方式为卵生，产卵期</w:t>
            </w:r>
            <w:r>
              <w:rPr>
                <w:rFonts w:hint="eastAsia"/>
                <w:color w:val="auto"/>
                <w:sz w:val="21"/>
                <w:szCs w:val="21"/>
                <w:highlight w:val="none"/>
                <w:lang w:eastAsia="zh-CN"/>
              </w:rPr>
              <w:t>在春季</w:t>
            </w:r>
            <w:r>
              <w:rPr>
                <w:color w:val="auto"/>
                <w:sz w:val="21"/>
                <w:szCs w:val="21"/>
                <w:highlight w:val="none"/>
              </w:rPr>
              <w:t>。冬季潜居于深水层。</w:t>
            </w:r>
          </w:p>
          <w:p w14:paraId="5379C446">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color w:val="auto"/>
                <w:sz w:val="21"/>
                <w:szCs w:val="21"/>
                <w:highlight w:val="none"/>
              </w:rPr>
            </w:pPr>
            <w:r>
              <w:rPr>
                <w:color w:val="auto"/>
                <w:sz w:val="21"/>
                <w:szCs w:val="21"/>
                <w:highlight w:val="none"/>
              </w:rPr>
              <w:t>B</w:t>
            </w:r>
            <w:r>
              <w:rPr>
                <w:rFonts w:hint="eastAsia"/>
                <w:color w:val="auto"/>
                <w:sz w:val="21"/>
                <w:szCs w:val="21"/>
                <w:highlight w:val="none"/>
              </w:rPr>
              <w:t>.</w:t>
            </w:r>
            <w:r>
              <w:rPr>
                <w:color w:val="auto"/>
                <w:sz w:val="21"/>
                <w:szCs w:val="21"/>
                <w:highlight w:val="none"/>
              </w:rPr>
              <w:t>鲫鱼</w:t>
            </w:r>
          </w:p>
          <w:p w14:paraId="525ED418">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color w:val="auto"/>
                <w:sz w:val="21"/>
                <w:szCs w:val="21"/>
                <w:highlight w:val="none"/>
              </w:rPr>
            </w:pPr>
            <w:r>
              <w:rPr>
                <w:color w:val="auto"/>
                <w:sz w:val="21"/>
                <w:szCs w:val="21"/>
                <w:highlight w:val="none"/>
              </w:rPr>
              <w:t>鲫鱼是生活在淡水中的杂食性鱼</w:t>
            </w:r>
            <w:r>
              <w:rPr>
                <w:rFonts w:hint="eastAsia"/>
                <w:color w:val="auto"/>
                <w:sz w:val="21"/>
                <w:szCs w:val="21"/>
                <w:highlight w:val="none"/>
                <w:lang w:eastAsia="zh-CN"/>
              </w:rPr>
              <w:t>，</w:t>
            </w:r>
            <w:r>
              <w:rPr>
                <w:color w:val="auto"/>
                <w:sz w:val="21"/>
                <w:szCs w:val="21"/>
                <w:highlight w:val="none"/>
              </w:rPr>
              <w:t>鲫鱼的生活层次属底层鱼类。一般情况下，都在水下游动、觅食、栖息。在气温、水温较高时，也会到水的中下层、中上层游动、觅食。成鱼鲫鱼主要以植物性食料为主。硅藻和一些状藻类也是鲫鱼的食物，另外还有小虾、蚯蚓、幼螺，昆虫等。鲫鱼适应性非常强，不论是深水或浅水、流水或静水、高温水</w:t>
            </w:r>
            <w:r>
              <w:rPr>
                <w:rFonts w:hint="eastAsia"/>
                <w:color w:val="auto"/>
                <w:sz w:val="21"/>
                <w:szCs w:val="21"/>
                <w:highlight w:val="none"/>
                <w:lang w:eastAsia="zh-CN"/>
              </w:rPr>
              <w:t>（</w:t>
            </w:r>
            <w:r>
              <w:rPr>
                <w:color w:val="auto"/>
                <w:sz w:val="21"/>
                <w:szCs w:val="21"/>
                <w:highlight w:val="none"/>
              </w:rPr>
              <w:t>32℃</w:t>
            </w:r>
            <w:r>
              <w:rPr>
                <w:rFonts w:hint="eastAsia"/>
                <w:color w:val="auto"/>
                <w:sz w:val="21"/>
                <w:szCs w:val="21"/>
                <w:highlight w:val="none"/>
                <w:lang w:eastAsia="zh-CN"/>
              </w:rPr>
              <w:t>）</w:t>
            </w:r>
            <w:r>
              <w:rPr>
                <w:color w:val="auto"/>
                <w:sz w:val="21"/>
                <w:szCs w:val="21"/>
                <w:highlight w:val="none"/>
              </w:rPr>
              <w:t>或低温水</w:t>
            </w:r>
            <w:r>
              <w:rPr>
                <w:rFonts w:hint="eastAsia"/>
                <w:color w:val="auto"/>
                <w:sz w:val="21"/>
                <w:szCs w:val="21"/>
                <w:highlight w:val="none"/>
                <w:lang w:eastAsia="zh-CN"/>
              </w:rPr>
              <w:t>（</w:t>
            </w:r>
            <w:r>
              <w:rPr>
                <w:color w:val="auto"/>
                <w:sz w:val="21"/>
                <w:szCs w:val="21"/>
                <w:highlight w:val="none"/>
              </w:rPr>
              <w:t>0℃</w:t>
            </w:r>
            <w:r>
              <w:rPr>
                <w:rFonts w:hint="eastAsia"/>
                <w:color w:val="auto"/>
                <w:sz w:val="21"/>
                <w:szCs w:val="21"/>
                <w:highlight w:val="none"/>
                <w:lang w:eastAsia="zh-CN"/>
              </w:rPr>
              <w:t>）</w:t>
            </w:r>
            <w:r>
              <w:rPr>
                <w:color w:val="auto"/>
                <w:sz w:val="21"/>
                <w:szCs w:val="21"/>
                <w:highlight w:val="none"/>
              </w:rPr>
              <w:t>均能生存。即使在pH为9的强碱性水域，盐度高达4.5%的达里湖，仍然能生长繁殖。鲫鱼喜欢群集而行。有时顺水，有时逆水，到水草丰茂的浅滩，河湾，沟汊，芦苇丛中寻食，产卵；遇到水流缓慢或静止不动，具有丰富饵料的场所，它们就暂栖息下来。</w:t>
            </w:r>
          </w:p>
          <w:p w14:paraId="75806365">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eastAsia="宋体"/>
                <w:color w:val="auto"/>
                <w:sz w:val="21"/>
                <w:szCs w:val="21"/>
                <w:highlight w:val="none"/>
                <w:lang w:eastAsia="zh-CN"/>
              </w:rPr>
            </w:pPr>
            <w:r>
              <w:rPr>
                <w:color w:val="auto"/>
                <w:sz w:val="21"/>
                <w:szCs w:val="21"/>
                <w:highlight w:val="none"/>
              </w:rPr>
              <w:t>C</w:t>
            </w:r>
            <w:r>
              <w:rPr>
                <w:rFonts w:hint="eastAsia"/>
                <w:color w:val="auto"/>
                <w:sz w:val="21"/>
                <w:szCs w:val="21"/>
                <w:highlight w:val="none"/>
              </w:rPr>
              <w:t>.</w:t>
            </w:r>
            <w:r>
              <w:rPr>
                <w:rFonts w:hint="eastAsia"/>
                <w:color w:val="auto"/>
                <w:sz w:val="21"/>
                <w:szCs w:val="21"/>
                <w:highlight w:val="none"/>
                <w:lang w:eastAsia="zh-CN"/>
              </w:rPr>
              <w:t>鲢鱼</w:t>
            </w:r>
          </w:p>
          <w:p w14:paraId="216E1B5B">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color w:val="auto"/>
                <w:sz w:val="21"/>
                <w:szCs w:val="21"/>
                <w:highlight w:val="none"/>
              </w:rPr>
            </w:pPr>
            <w:r>
              <w:rPr>
                <w:rFonts w:hint="eastAsia"/>
                <w:color w:val="auto"/>
                <w:sz w:val="21"/>
                <w:szCs w:val="21"/>
                <w:highlight w:val="none"/>
              </w:rPr>
              <w:t>鲢鱼体长450-600mm，体形侧扁、稍高，呈纺锤形，背部青灰色，两侧及腹部白色，头较大、眼睛位置很低、鳞片细小，腹部正中角质棱自胸鳍下方直延达肛门，胸鳍不超过腹鳍基部，各鳍色灰白，肠管长度约为体长的6-10倍。鲢鱼终生以浮游生物为食，喜吃草鱼粪便及鸡、牛粪。喜高温，绝大多数时间在水域的中上层游动觅食，冬季则潜至深水越冬。耐低氧能力极差。喜欢跳跃，有逆流而上的习性。</w:t>
            </w:r>
          </w:p>
          <w:p w14:paraId="39F4150F">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eastAsia="宋体"/>
                <w:color w:val="auto"/>
                <w:sz w:val="21"/>
                <w:szCs w:val="21"/>
                <w:highlight w:val="none"/>
                <w:lang w:eastAsia="zh-CN"/>
              </w:rPr>
            </w:pPr>
            <w:r>
              <w:rPr>
                <w:rFonts w:hint="eastAsia"/>
                <w:color w:val="auto"/>
                <w:sz w:val="21"/>
                <w:szCs w:val="21"/>
                <w:highlight w:val="none"/>
                <w:lang w:val="en-US" w:eastAsia="zh-CN"/>
              </w:rPr>
              <w:t>D</w:t>
            </w:r>
            <w:r>
              <w:rPr>
                <w:rFonts w:hint="eastAsia"/>
                <w:color w:val="auto"/>
                <w:sz w:val="21"/>
                <w:szCs w:val="21"/>
                <w:highlight w:val="none"/>
              </w:rPr>
              <w:t>.</w:t>
            </w:r>
            <w:r>
              <w:rPr>
                <w:rFonts w:hint="eastAsia"/>
                <w:color w:val="auto"/>
                <w:sz w:val="21"/>
                <w:szCs w:val="21"/>
                <w:highlight w:val="none"/>
                <w:lang w:eastAsia="zh-CN"/>
              </w:rPr>
              <w:t>浮游生物</w:t>
            </w:r>
          </w:p>
          <w:p w14:paraId="221EAFB2">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eastAsia="宋体"/>
                <w:color w:val="auto"/>
                <w:sz w:val="21"/>
                <w:szCs w:val="21"/>
                <w:highlight w:val="none"/>
                <w:lang w:val="en-US" w:eastAsia="zh-CN"/>
              </w:rPr>
            </w:pPr>
            <w:r>
              <w:rPr>
                <w:rFonts w:hint="eastAsia"/>
                <w:color w:val="auto"/>
                <w:sz w:val="21"/>
                <w:szCs w:val="21"/>
                <w:highlight w:val="none"/>
                <w:lang w:eastAsia="zh-CN"/>
              </w:rPr>
              <w:t>根据《锅盔河健康评价报告》，锅盔河有水生昆虫</w:t>
            </w:r>
            <w:r>
              <w:rPr>
                <w:rFonts w:hint="eastAsia"/>
                <w:color w:val="auto"/>
                <w:sz w:val="21"/>
                <w:szCs w:val="21"/>
                <w:highlight w:val="none"/>
                <w:lang w:val="en-US" w:eastAsia="zh-CN"/>
              </w:rPr>
              <w:t>11种（龙虱、红娘华、水斧、松藻虫、田鳖、仰泳蝽、蝎蝽、水黾、泥蛉、鱼蛉、扁泥虫），水生环节生物2种（水丝蚓、沙蚕），水生软体动物一种（田螺）。</w:t>
            </w:r>
            <w:r>
              <w:rPr>
                <w:rFonts w:hint="eastAsia"/>
                <w:color w:val="auto"/>
                <w:sz w:val="21"/>
                <w:szCs w:val="21"/>
                <w:highlight w:val="none"/>
                <w:lang w:eastAsia="zh-CN"/>
              </w:rPr>
              <w:t>锅盔河</w:t>
            </w:r>
            <w:r>
              <w:rPr>
                <w:color w:val="auto"/>
                <w:sz w:val="21"/>
                <w:szCs w:val="21"/>
                <w:highlight w:val="none"/>
              </w:rPr>
              <w:t>原有的生物量和净生产量并不高，而且这些水生生物都是河流水生环境中常见的物种</w:t>
            </w:r>
            <w:r>
              <w:rPr>
                <w:rFonts w:hint="eastAsia"/>
                <w:color w:val="auto"/>
                <w:sz w:val="21"/>
                <w:szCs w:val="21"/>
                <w:highlight w:val="none"/>
                <w:lang w:eastAsia="zh-CN"/>
              </w:rPr>
              <w:t>。</w:t>
            </w:r>
          </w:p>
          <w:p w14:paraId="2A58A0A9">
            <w:pPr>
              <w:pStyle w:val="70"/>
              <w:keepNext w:val="0"/>
              <w:keepLines w:val="0"/>
              <w:pageBreakBefore w:val="0"/>
              <w:widowControl w:val="0"/>
              <w:kinsoku/>
              <w:wordWrap/>
              <w:overflowPunct/>
              <w:topLinePunct w:val="0"/>
              <w:autoSpaceDE/>
              <w:autoSpaceDN/>
              <w:bidi w:val="0"/>
              <w:adjustRightInd w:val="0"/>
              <w:snapToGrid w:val="0"/>
              <w:spacing w:line="360" w:lineRule="auto"/>
              <w:textAlignment w:val="baseline"/>
              <w:rPr>
                <w:color w:val="auto"/>
                <w:sz w:val="21"/>
                <w:szCs w:val="21"/>
                <w:highlight w:val="none"/>
              </w:rPr>
            </w:pPr>
            <w:r>
              <w:rPr>
                <w:color w:val="auto"/>
                <w:sz w:val="21"/>
                <w:szCs w:val="21"/>
                <w:highlight w:val="none"/>
              </w:rPr>
              <w:t>项目涉及河段流量较小，水生生物资源较为贫乏，且项目区域人类活动频繁，</w:t>
            </w:r>
            <w:r>
              <w:rPr>
                <w:rFonts w:hint="eastAsia"/>
                <w:color w:val="auto"/>
                <w:sz w:val="21"/>
                <w:szCs w:val="21"/>
                <w:highlight w:val="none"/>
                <w:lang w:val="en-US" w:eastAsia="zh-CN"/>
              </w:rPr>
              <w:t>项目</w:t>
            </w:r>
            <w:r>
              <w:rPr>
                <w:rFonts w:hint="eastAsia" w:ascii="Times New Roman" w:hAnsi="Times New Roman" w:eastAsia="宋体" w:cs="Times New Roman"/>
                <w:color w:val="auto"/>
                <w:sz w:val="21"/>
                <w:szCs w:val="21"/>
                <w:highlight w:val="none"/>
              </w:rPr>
              <w:t>所在区域</w:t>
            </w:r>
            <w:r>
              <w:rPr>
                <w:rFonts w:hint="default" w:ascii="Times New Roman" w:hAnsi="Times New Roman" w:eastAsia="宋体" w:cs="Times New Roman"/>
                <w:color w:val="auto"/>
                <w:sz w:val="21"/>
                <w:szCs w:val="21"/>
                <w:highlight w:val="none"/>
                <w:lang w:val="en-US" w:eastAsia="zh-CN"/>
              </w:rPr>
              <w:t>无保护性鱼类</w:t>
            </w:r>
            <w:r>
              <w:rPr>
                <w:rFonts w:hint="default" w:ascii="Times New Roman" w:hAnsi="Times New Roman" w:eastAsia="宋体" w:cs="Times New Roman"/>
                <w:color w:val="auto"/>
                <w:sz w:val="21"/>
                <w:szCs w:val="21"/>
                <w:highlight w:val="none"/>
                <w:lang w:eastAsia="zh-CN"/>
              </w:rPr>
              <w:t>等水生生物</w:t>
            </w:r>
            <w:r>
              <w:rPr>
                <w:rFonts w:hint="default" w:ascii="Times New Roman" w:hAnsi="Times New Roman" w:eastAsia="宋体" w:cs="Times New Roman"/>
                <w:color w:val="auto"/>
                <w:sz w:val="21"/>
                <w:szCs w:val="21"/>
                <w:highlight w:val="none"/>
                <w:lang w:val="en-US" w:eastAsia="zh-CN"/>
              </w:rPr>
              <w:t>的产卵场、越冬场、索饵场和洄游通道</w:t>
            </w:r>
            <w:r>
              <w:rPr>
                <w:color w:val="auto"/>
                <w:sz w:val="21"/>
                <w:szCs w:val="21"/>
                <w:highlight w:val="none"/>
              </w:rPr>
              <w:t>。</w:t>
            </w:r>
          </w:p>
          <w:bookmarkEnd w:id="18"/>
          <w:p w14:paraId="5BA04B7E">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b/>
                <w:color w:val="auto"/>
                <w:kern w:val="0"/>
                <w:sz w:val="21"/>
                <w:szCs w:val="21"/>
                <w:highlight w:val="none"/>
                <w:lang w:val="en-US" w:eastAsia="zh-CN"/>
              </w:rPr>
              <w:t>2、</w:t>
            </w:r>
            <w:r>
              <w:rPr>
                <w:rFonts w:hint="default" w:ascii="Times New Roman" w:hAnsi="Times New Roman" w:cs="Times New Roman"/>
                <w:b/>
                <w:color w:val="auto"/>
                <w:kern w:val="0"/>
                <w:sz w:val="21"/>
                <w:szCs w:val="21"/>
                <w:highlight w:val="none"/>
              </w:rPr>
              <w:t>大气环境</w:t>
            </w:r>
          </w:p>
          <w:p w14:paraId="6494081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kern w:val="0"/>
                <w:sz w:val="21"/>
                <w:szCs w:val="21"/>
                <w:highlight w:val="none"/>
              </w:rPr>
              <w:t>本项目位于黑龙江省</w:t>
            </w:r>
            <w:r>
              <w:rPr>
                <w:rFonts w:hint="default" w:ascii="Times New Roman" w:hAnsi="Times New Roman" w:cs="Times New Roman"/>
                <w:color w:val="auto"/>
                <w:kern w:val="0"/>
                <w:sz w:val="21"/>
                <w:szCs w:val="21"/>
                <w:highlight w:val="none"/>
                <w:lang w:eastAsia="zh-CN"/>
              </w:rPr>
              <w:t>鸡西市密山市，根据</w:t>
            </w:r>
            <w:r>
              <w:rPr>
                <w:rFonts w:hint="default" w:ascii="Times New Roman" w:hAnsi="Times New Roman" w:cs="Times New Roman"/>
                <w:color w:val="auto"/>
                <w:kern w:val="0"/>
                <w:sz w:val="21"/>
                <w:szCs w:val="21"/>
                <w:highlight w:val="none"/>
              </w:rPr>
              <w:t>《202</w:t>
            </w:r>
            <w:r>
              <w:rPr>
                <w:rFonts w:hint="default" w:ascii="Times New Roman" w:hAnsi="Times New Roman"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rPr>
              <w:t>年黑龙江省生态环境质量状况》</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2024年</w:t>
            </w:r>
            <w:r>
              <w:rPr>
                <w:rFonts w:hint="default" w:ascii="Times New Roman" w:hAnsi="Times New Roman" w:cs="Times New Roman"/>
                <w:color w:val="auto"/>
                <w:kern w:val="0"/>
                <w:sz w:val="21"/>
                <w:szCs w:val="21"/>
                <w:highlight w:val="none"/>
                <w:lang w:eastAsia="zh-CN"/>
              </w:rPr>
              <w:t>鸡西市</w:t>
            </w:r>
            <w:r>
              <w:rPr>
                <w:rFonts w:hint="default" w:ascii="Times New Roman" w:hAnsi="Times New Roman" w:cs="Times New Roman"/>
                <w:color w:val="auto"/>
                <w:kern w:val="0"/>
                <w:sz w:val="21"/>
                <w:szCs w:val="21"/>
                <w:highlight w:val="none"/>
              </w:rPr>
              <w:t>环境空气基本污染物PM</w:t>
            </w:r>
            <w:r>
              <w:rPr>
                <w:rFonts w:hint="default" w:ascii="Times New Roman" w:hAnsi="Times New Roman" w:cs="Times New Roman"/>
                <w:color w:val="auto"/>
                <w:kern w:val="0"/>
                <w:sz w:val="21"/>
                <w:szCs w:val="21"/>
                <w:highlight w:val="none"/>
                <w:vertAlign w:val="subscript"/>
              </w:rPr>
              <w:t>10</w:t>
            </w:r>
            <w:r>
              <w:rPr>
                <w:rFonts w:hint="default" w:ascii="Times New Roman" w:hAnsi="Times New Roman" w:cs="Times New Roman"/>
                <w:color w:val="auto"/>
                <w:kern w:val="0"/>
                <w:sz w:val="21"/>
                <w:szCs w:val="21"/>
                <w:highlight w:val="none"/>
              </w:rPr>
              <w:t>、PM</w:t>
            </w:r>
            <w:r>
              <w:rPr>
                <w:rFonts w:hint="default" w:ascii="Times New Roman" w:hAnsi="Times New Roman" w:cs="Times New Roman"/>
                <w:color w:val="auto"/>
                <w:kern w:val="0"/>
                <w:sz w:val="21"/>
                <w:szCs w:val="21"/>
                <w:highlight w:val="none"/>
                <w:vertAlign w:val="subscript"/>
              </w:rPr>
              <w:t>2.5</w:t>
            </w:r>
            <w:r>
              <w:rPr>
                <w:rFonts w:hint="default" w:ascii="Times New Roman" w:hAnsi="Times New Roman" w:cs="Times New Roman"/>
                <w:color w:val="auto"/>
                <w:kern w:val="0"/>
                <w:sz w:val="21"/>
                <w:szCs w:val="21"/>
                <w:highlight w:val="none"/>
              </w:rPr>
              <w:t>、SO</w:t>
            </w:r>
            <w:r>
              <w:rPr>
                <w:rFonts w:hint="default" w:ascii="Times New Roman" w:hAnsi="Times New Roman" w:cs="Times New Roman"/>
                <w:color w:val="auto"/>
                <w:kern w:val="0"/>
                <w:sz w:val="21"/>
                <w:szCs w:val="21"/>
                <w:highlight w:val="none"/>
                <w:vertAlign w:val="subscript"/>
              </w:rPr>
              <w:t>2</w:t>
            </w:r>
            <w:r>
              <w:rPr>
                <w:rFonts w:hint="default" w:ascii="Times New Roman" w:hAnsi="Times New Roman" w:cs="Times New Roman"/>
                <w:color w:val="auto"/>
                <w:kern w:val="0"/>
                <w:sz w:val="21"/>
                <w:szCs w:val="21"/>
                <w:highlight w:val="none"/>
              </w:rPr>
              <w:t>、NO</w:t>
            </w:r>
            <w:r>
              <w:rPr>
                <w:rFonts w:hint="default" w:ascii="Times New Roman" w:hAnsi="Times New Roman" w:cs="Times New Roman"/>
                <w:color w:val="auto"/>
                <w:kern w:val="0"/>
                <w:sz w:val="21"/>
                <w:szCs w:val="21"/>
                <w:highlight w:val="none"/>
                <w:vertAlign w:val="subscript"/>
              </w:rPr>
              <w:t>2</w:t>
            </w:r>
            <w:r>
              <w:rPr>
                <w:rFonts w:hint="default" w:ascii="Times New Roman" w:hAnsi="Times New Roman" w:cs="Times New Roman"/>
                <w:color w:val="auto"/>
                <w:kern w:val="0"/>
                <w:sz w:val="21"/>
                <w:szCs w:val="21"/>
                <w:highlight w:val="none"/>
              </w:rPr>
              <w:t>、CO和O</w:t>
            </w:r>
            <w:r>
              <w:rPr>
                <w:rFonts w:hint="default" w:ascii="Times New Roman" w:hAnsi="Times New Roman" w:cs="Times New Roman"/>
                <w:color w:val="auto"/>
                <w:kern w:val="0"/>
                <w:sz w:val="21"/>
                <w:szCs w:val="21"/>
                <w:highlight w:val="none"/>
                <w:vertAlign w:val="subscript"/>
              </w:rPr>
              <w:t>3</w:t>
            </w:r>
            <w:r>
              <w:rPr>
                <w:rFonts w:hint="default" w:ascii="Times New Roman" w:hAnsi="Times New Roman" w:cs="Times New Roman"/>
                <w:color w:val="auto"/>
                <w:kern w:val="0"/>
                <w:sz w:val="21"/>
                <w:szCs w:val="21"/>
                <w:highlight w:val="none"/>
              </w:rPr>
              <w:t>的环境空气质量及区域达标情况判定见表</w:t>
            </w:r>
            <w:r>
              <w:rPr>
                <w:rFonts w:hint="eastAsia" w:cs="Times New Roman"/>
                <w:color w:val="auto"/>
                <w:kern w:val="0"/>
                <w:sz w:val="21"/>
                <w:szCs w:val="21"/>
                <w:highlight w:val="none"/>
                <w:lang w:val="en-US" w:eastAsia="zh-CN"/>
              </w:rPr>
              <w:t>3-3</w:t>
            </w:r>
            <w:r>
              <w:rPr>
                <w:rFonts w:hint="default" w:ascii="Times New Roman" w:hAnsi="Times New Roman" w:cs="Times New Roman"/>
                <w:color w:val="auto"/>
                <w:kern w:val="0"/>
                <w:sz w:val="21"/>
                <w:szCs w:val="21"/>
                <w:highlight w:val="none"/>
              </w:rPr>
              <w:t>。</w:t>
            </w:r>
          </w:p>
          <w:p w14:paraId="5DA9F664">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表3</w:t>
            </w:r>
            <w:r>
              <w:rPr>
                <w:rFonts w:hint="default" w:ascii="Times New Roman" w:hAnsi="Times New Roman" w:cs="Times New Roman"/>
                <w:b/>
                <w:bCs w:val="0"/>
                <w:color w:val="auto"/>
                <w:sz w:val="21"/>
                <w:szCs w:val="21"/>
                <w:highlight w:val="none"/>
                <w:lang w:val="en-US" w:eastAsia="zh-CN"/>
              </w:rPr>
              <w:t>-</w:t>
            </w:r>
            <w:r>
              <w:rPr>
                <w:rFonts w:hint="eastAsia" w:cs="Times New Roman"/>
                <w:b/>
                <w:bCs w:val="0"/>
                <w:color w:val="auto"/>
                <w:sz w:val="21"/>
                <w:szCs w:val="21"/>
                <w:highlight w:val="none"/>
                <w:lang w:val="en-US" w:eastAsia="zh-CN"/>
              </w:rPr>
              <w:t>3</w:t>
            </w:r>
            <w:r>
              <w:rPr>
                <w:rFonts w:hint="default" w:ascii="Times New Roman" w:hAnsi="Times New Roman" w:cs="Times New Roman"/>
                <w:b/>
                <w:bCs w:val="0"/>
                <w:color w:val="auto"/>
                <w:sz w:val="21"/>
                <w:szCs w:val="21"/>
                <w:highlight w:val="none"/>
              </w:rPr>
              <w:t>区域空气质量现状评价表单位：（μg/m</w:t>
            </w:r>
            <w:r>
              <w:rPr>
                <w:rFonts w:hint="default" w:ascii="Times New Roman" w:hAnsi="Times New Roman" w:cs="Times New Roman"/>
                <w:b/>
                <w:bCs w:val="0"/>
                <w:color w:val="auto"/>
                <w:sz w:val="21"/>
                <w:szCs w:val="21"/>
                <w:highlight w:val="none"/>
                <w:vertAlign w:val="superscript"/>
              </w:rPr>
              <w:t>3</w:t>
            </w:r>
            <w:r>
              <w:rPr>
                <w:rFonts w:hint="default" w:ascii="Times New Roman" w:hAnsi="Times New Roman" w:cs="Times New Roman"/>
                <w:b/>
                <w:bCs w:val="0"/>
                <w:color w:val="auto"/>
                <w:sz w:val="21"/>
                <w:szCs w:val="21"/>
                <w:highlight w:val="none"/>
              </w:rPr>
              <w:t>）</w:t>
            </w:r>
          </w:p>
          <w:tbl>
            <w:tblPr>
              <w:tblStyle w:val="24"/>
              <w:tblW w:w="4999"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2"/>
              <w:gridCol w:w="2691"/>
              <w:gridCol w:w="1090"/>
              <w:gridCol w:w="1090"/>
              <w:gridCol w:w="1090"/>
              <w:gridCol w:w="1090"/>
            </w:tblGrid>
            <w:tr w14:paraId="072639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vAlign w:val="center"/>
                </w:tcPr>
                <w:p w14:paraId="5C5E47F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污染物</w:t>
                  </w:r>
                </w:p>
              </w:tc>
              <w:tc>
                <w:tcPr>
                  <w:tcW w:w="1683" w:type="pct"/>
                  <w:vAlign w:val="center"/>
                </w:tcPr>
                <w:p w14:paraId="27FB052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评价指标</w:t>
                  </w:r>
                </w:p>
              </w:tc>
              <w:tc>
                <w:tcPr>
                  <w:tcW w:w="681" w:type="pct"/>
                  <w:vAlign w:val="center"/>
                </w:tcPr>
                <w:p w14:paraId="640174C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现状浓度</w:t>
                  </w:r>
                </w:p>
              </w:tc>
              <w:tc>
                <w:tcPr>
                  <w:tcW w:w="681" w:type="pct"/>
                  <w:vAlign w:val="center"/>
                </w:tcPr>
                <w:p w14:paraId="26E98DF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标准值</w:t>
                  </w:r>
                </w:p>
              </w:tc>
              <w:tc>
                <w:tcPr>
                  <w:tcW w:w="681" w:type="pct"/>
                  <w:vAlign w:val="center"/>
                </w:tcPr>
                <w:p w14:paraId="68F84C3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占标率（%）</w:t>
                  </w:r>
                </w:p>
              </w:tc>
              <w:tc>
                <w:tcPr>
                  <w:tcW w:w="681" w:type="pct"/>
                  <w:vAlign w:val="center"/>
                </w:tcPr>
                <w:p w14:paraId="1890D41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达标情况</w:t>
                  </w:r>
                </w:p>
              </w:tc>
            </w:tr>
            <w:tr w14:paraId="75C68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vAlign w:val="center"/>
                </w:tcPr>
                <w:p w14:paraId="606E0DA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PM</w:t>
                  </w:r>
                  <w:r>
                    <w:rPr>
                      <w:rFonts w:hint="default" w:ascii="Times New Roman" w:hAnsi="Times New Roman" w:eastAsia="宋体" w:cs="Times New Roman"/>
                      <w:b w:val="0"/>
                      <w:bCs/>
                      <w:color w:val="auto"/>
                      <w:sz w:val="18"/>
                      <w:szCs w:val="18"/>
                      <w:highlight w:val="none"/>
                      <w:vertAlign w:val="subscript"/>
                    </w:rPr>
                    <w:t>2.5</w:t>
                  </w:r>
                </w:p>
              </w:tc>
              <w:tc>
                <w:tcPr>
                  <w:tcW w:w="1683" w:type="pct"/>
                  <w:vAlign w:val="center"/>
                </w:tcPr>
                <w:p w14:paraId="790DD61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年平均浓度</w:t>
                  </w:r>
                </w:p>
              </w:tc>
              <w:tc>
                <w:tcPr>
                  <w:tcW w:w="681" w:type="pct"/>
                  <w:vAlign w:val="center"/>
                </w:tcPr>
                <w:p w14:paraId="22DB332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27</w:t>
                  </w:r>
                </w:p>
              </w:tc>
              <w:tc>
                <w:tcPr>
                  <w:tcW w:w="681" w:type="pct"/>
                  <w:vAlign w:val="center"/>
                </w:tcPr>
                <w:p w14:paraId="4E474B3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rPr>
                    <w:t>3</w:t>
                  </w:r>
                  <w:r>
                    <w:rPr>
                      <w:rFonts w:hint="default" w:ascii="Times New Roman" w:hAnsi="Times New Roman" w:eastAsia="宋体" w:cs="Times New Roman"/>
                      <w:b w:val="0"/>
                      <w:bCs/>
                      <w:color w:val="auto"/>
                      <w:sz w:val="18"/>
                      <w:szCs w:val="18"/>
                      <w:highlight w:val="none"/>
                      <w:lang w:val="en-US" w:eastAsia="zh-CN"/>
                    </w:rPr>
                    <w:t>0</w:t>
                  </w:r>
                </w:p>
              </w:tc>
              <w:tc>
                <w:tcPr>
                  <w:tcW w:w="681" w:type="pct"/>
                  <w:vAlign w:val="center"/>
                </w:tcPr>
                <w:p w14:paraId="201E7A1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90.00</w:t>
                  </w:r>
                </w:p>
              </w:tc>
              <w:tc>
                <w:tcPr>
                  <w:tcW w:w="681" w:type="pct"/>
                  <w:vAlign w:val="center"/>
                </w:tcPr>
                <w:p w14:paraId="4C3DB14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达标</w:t>
                  </w:r>
                </w:p>
              </w:tc>
            </w:tr>
            <w:tr w14:paraId="214058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vAlign w:val="center"/>
                </w:tcPr>
                <w:p w14:paraId="5D5FC1D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PM</w:t>
                  </w:r>
                  <w:r>
                    <w:rPr>
                      <w:rFonts w:hint="default" w:ascii="Times New Roman" w:hAnsi="Times New Roman" w:eastAsia="宋体" w:cs="Times New Roman"/>
                      <w:b w:val="0"/>
                      <w:bCs/>
                      <w:color w:val="auto"/>
                      <w:sz w:val="18"/>
                      <w:szCs w:val="18"/>
                      <w:highlight w:val="none"/>
                      <w:vertAlign w:val="subscript"/>
                    </w:rPr>
                    <w:t>10</w:t>
                  </w:r>
                </w:p>
              </w:tc>
              <w:tc>
                <w:tcPr>
                  <w:tcW w:w="1683" w:type="pct"/>
                  <w:vAlign w:val="center"/>
                </w:tcPr>
                <w:p w14:paraId="3D9CC1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年平均浓度</w:t>
                  </w:r>
                </w:p>
              </w:tc>
              <w:tc>
                <w:tcPr>
                  <w:tcW w:w="681" w:type="pct"/>
                  <w:vAlign w:val="center"/>
                </w:tcPr>
                <w:p w14:paraId="41B84EA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46</w:t>
                  </w:r>
                </w:p>
              </w:tc>
              <w:tc>
                <w:tcPr>
                  <w:tcW w:w="681" w:type="pct"/>
                  <w:vAlign w:val="center"/>
                </w:tcPr>
                <w:p w14:paraId="56AD250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eastAsia" w:cs="Times New Roman"/>
                      <w:b w:val="0"/>
                      <w:bCs/>
                      <w:color w:val="auto"/>
                      <w:sz w:val="18"/>
                      <w:szCs w:val="18"/>
                      <w:highlight w:val="none"/>
                      <w:lang w:val="en-US" w:eastAsia="zh-CN"/>
                    </w:rPr>
                    <w:t>6</w:t>
                  </w:r>
                  <w:r>
                    <w:rPr>
                      <w:rFonts w:hint="default" w:ascii="Times New Roman" w:hAnsi="Times New Roman" w:eastAsia="宋体" w:cs="Times New Roman"/>
                      <w:b w:val="0"/>
                      <w:bCs/>
                      <w:color w:val="auto"/>
                      <w:sz w:val="18"/>
                      <w:szCs w:val="18"/>
                      <w:highlight w:val="none"/>
                    </w:rPr>
                    <w:t>0</w:t>
                  </w:r>
                </w:p>
              </w:tc>
              <w:tc>
                <w:tcPr>
                  <w:tcW w:w="681" w:type="pct"/>
                  <w:vAlign w:val="center"/>
                </w:tcPr>
                <w:p w14:paraId="4B7202F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76.67</w:t>
                  </w:r>
                </w:p>
              </w:tc>
              <w:tc>
                <w:tcPr>
                  <w:tcW w:w="681" w:type="pct"/>
                  <w:vAlign w:val="center"/>
                </w:tcPr>
                <w:p w14:paraId="6FE78E0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达标</w:t>
                  </w:r>
                </w:p>
              </w:tc>
            </w:tr>
            <w:tr w14:paraId="1BD0D1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shd w:val="clear" w:color="auto" w:fill="auto"/>
                  <w:vAlign w:val="center"/>
                </w:tcPr>
                <w:p w14:paraId="7D0B4B8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SO</w:t>
                  </w:r>
                  <w:r>
                    <w:rPr>
                      <w:rFonts w:hint="default" w:ascii="Times New Roman" w:hAnsi="Times New Roman" w:eastAsia="宋体" w:cs="Times New Roman"/>
                      <w:b w:val="0"/>
                      <w:bCs/>
                      <w:color w:val="auto"/>
                      <w:sz w:val="18"/>
                      <w:szCs w:val="18"/>
                      <w:highlight w:val="none"/>
                      <w:vertAlign w:val="subscript"/>
                    </w:rPr>
                    <w:t>2</w:t>
                  </w:r>
                </w:p>
              </w:tc>
              <w:tc>
                <w:tcPr>
                  <w:tcW w:w="1683" w:type="pct"/>
                  <w:shd w:val="clear" w:color="auto" w:fill="auto"/>
                  <w:vAlign w:val="center"/>
                </w:tcPr>
                <w:p w14:paraId="7EDE4D2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年平均浓度</w:t>
                  </w:r>
                </w:p>
              </w:tc>
              <w:tc>
                <w:tcPr>
                  <w:tcW w:w="681" w:type="pct"/>
                  <w:shd w:val="clear" w:color="auto" w:fill="auto"/>
                  <w:vAlign w:val="center"/>
                </w:tcPr>
                <w:p w14:paraId="1324236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kern w:val="2"/>
                      <w:sz w:val="18"/>
                      <w:szCs w:val="18"/>
                      <w:highlight w:val="none"/>
                      <w:lang w:val="en-US" w:eastAsia="zh-CN" w:bidi="ar-SA"/>
                    </w:rPr>
                    <w:t>8</w:t>
                  </w:r>
                </w:p>
              </w:tc>
              <w:tc>
                <w:tcPr>
                  <w:tcW w:w="681" w:type="pct"/>
                  <w:shd w:val="clear" w:color="auto" w:fill="auto"/>
                  <w:vAlign w:val="center"/>
                </w:tcPr>
                <w:p w14:paraId="352FDE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60</w:t>
                  </w:r>
                </w:p>
              </w:tc>
              <w:tc>
                <w:tcPr>
                  <w:tcW w:w="681" w:type="pct"/>
                  <w:shd w:val="clear" w:color="auto" w:fill="auto"/>
                  <w:vAlign w:val="center"/>
                </w:tcPr>
                <w:p w14:paraId="7D882C7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lang w:val="en-US" w:eastAsia="zh-CN"/>
                    </w:rPr>
                    <w:t>13.33</w:t>
                  </w:r>
                </w:p>
              </w:tc>
              <w:tc>
                <w:tcPr>
                  <w:tcW w:w="681" w:type="pct"/>
                  <w:shd w:val="clear" w:color="auto" w:fill="auto"/>
                  <w:vAlign w:val="center"/>
                </w:tcPr>
                <w:p w14:paraId="095E2DE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达标</w:t>
                  </w:r>
                </w:p>
              </w:tc>
            </w:tr>
            <w:tr w14:paraId="1F1384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vAlign w:val="center"/>
                </w:tcPr>
                <w:p w14:paraId="3C7E6C2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NO</w:t>
                  </w:r>
                  <w:r>
                    <w:rPr>
                      <w:rFonts w:hint="default" w:ascii="Times New Roman" w:hAnsi="Times New Roman" w:eastAsia="宋体" w:cs="Times New Roman"/>
                      <w:b w:val="0"/>
                      <w:bCs/>
                      <w:color w:val="auto"/>
                      <w:sz w:val="18"/>
                      <w:szCs w:val="18"/>
                      <w:highlight w:val="none"/>
                      <w:vertAlign w:val="subscript"/>
                    </w:rPr>
                    <w:t>2</w:t>
                  </w:r>
                </w:p>
              </w:tc>
              <w:tc>
                <w:tcPr>
                  <w:tcW w:w="1683" w:type="pct"/>
                  <w:vAlign w:val="center"/>
                </w:tcPr>
                <w:p w14:paraId="5907B29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年平均浓度</w:t>
                  </w:r>
                </w:p>
              </w:tc>
              <w:tc>
                <w:tcPr>
                  <w:tcW w:w="681" w:type="pct"/>
                  <w:vAlign w:val="center"/>
                </w:tcPr>
                <w:p w14:paraId="175B1AF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17</w:t>
                  </w:r>
                </w:p>
              </w:tc>
              <w:tc>
                <w:tcPr>
                  <w:tcW w:w="681" w:type="pct"/>
                  <w:vAlign w:val="center"/>
                </w:tcPr>
                <w:p w14:paraId="1D25E32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40</w:t>
                  </w:r>
                </w:p>
              </w:tc>
              <w:tc>
                <w:tcPr>
                  <w:tcW w:w="681" w:type="pct"/>
                  <w:vAlign w:val="center"/>
                </w:tcPr>
                <w:p w14:paraId="518800D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42.50</w:t>
                  </w:r>
                </w:p>
              </w:tc>
              <w:tc>
                <w:tcPr>
                  <w:tcW w:w="681" w:type="pct"/>
                  <w:vAlign w:val="center"/>
                </w:tcPr>
                <w:p w14:paraId="699548B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达标</w:t>
                  </w:r>
                </w:p>
              </w:tc>
            </w:tr>
            <w:tr w14:paraId="75F618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vAlign w:val="center"/>
                </w:tcPr>
                <w:p w14:paraId="7A03AA5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CO</w:t>
                  </w:r>
                </w:p>
                <w:p w14:paraId="4016A75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lang w:eastAsia="zh-CN"/>
                    </w:rPr>
                    <w:t>mg/m</w:t>
                  </w:r>
                  <w:r>
                    <w:rPr>
                      <w:rFonts w:hint="default" w:ascii="Times New Roman" w:hAnsi="Times New Roman" w:eastAsia="宋体" w:cs="Times New Roman"/>
                      <w:b w:val="0"/>
                      <w:bCs/>
                      <w:color w:val="auto"/>
                      <w:sz w:val="18"/>
                      <w:szCs w:val="18"/>
                      <w:highlight w:val="none"/>
                      <w:vertAlign w:val="superscript"/>
                      <w:lang w:eastAsia="zh-CN"/>
                    </w:rPr>
                    <w:t>3</w:t>
                  </w:r>
                </w:p>
              </w:tc>
              <w:tc>
                <w:tcPr>
                  <w:tcW w:w="1683" w:type="pct"/>
                  <w:vAlign w:val="center"/>
                </w:tcPr>
                <w:p w14:paraId="401F8496">
                  <w:pPr>
                    <w:pStyle w:val="6"/>
                    <w:keepNext w:val="0"/>
                    <w:keepLines w:val="0"/>
                    <w:pageBreakBefore w:val="0"/>
                    <w:widowControl/>
                    <w:suppressLineNumbers w:val="0"/>
                    <w:shd w:val="clear" w:color="auto" w:fill="auto"/>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lang w:val="en-US" w:eastAsia="zh-CN"/>
                    </w:rPr>
                    <w:t>第95百分位数日平均质量浓度</w:t>
                  </w:r>
                </w:p>
              </w:tc>
              <w:tc>
                <w:tcPr>
                  <w:tcW w:w="681" w:type="pct"/>
                  <w:vAlign w:val="center"/>
                </w:tcPr>
                <w:p w14:paraId="142E344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1.0</w:t>
                  </w:r>
                </w:p>
              </w:tc>
              <w:tc>
                <w:tcPr>
                  <w:tcW w:w="681" w:type="pct"/>
                  <w:vAlign w:val="center"/>
                </w:tcPr>
                <w:p w14:paraId="4B97593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4</w:t>
                  </w:r>
                  <w:r>
                    <w:rPr>
                      <w:rFonts w:hint="default" w:ascii="Times New Roman" w:hAnsi="Times New Roman" w:eastAsia="宋体" w:cs="Times New Roman"/>
                      <w:b w:val="0"/>
                      <w:bCs/>
                      <w:color w:val="auto"/>
                      <w:sz w:val="18"/>
                      <w:szCs w:val="18"/>
                      <w:highlight w:val="none"/>
                      <w:lang w:val="en-US" w:eastAsia="zh-CN"/>
                    </w:rPr>
                    <w:t>.</w:t>
                  </w:r>
                  <w:r>
                    <w:rPr>
                      <w:rFonts w:hint="default" w:ascii="Times New Roman" w:hAnsi="Times New Roman" w:eastAsia="宋体" w:cs="Times New Roman"/>
                      <w:b w:val="0"/>
                      <w:bCs/>
                      <w:color w:val="auto"/>
                      <w:sz w:val="18"/>
                      <w:szCs w:val="18"/>
                      <w:highlight w:val="none"/>
                    </w:rPr>
                    <w:t>0</w:t>
                  </w:r>
                </w:p>
              </w:tc>
              <w:tc>
                <w:tcPr>
                  <w:tcW w:w="681" w:type="pct"/>
                  <w:vAlign w:val="center"/>
                </w:tcPr>
                <w:p w14:paraId="08463DE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25.00</w:t>
                  </w:r>
                </w:p>
              </w:tc>
              <w:tc>
                <w:tcPr>
                  <w:tcW w:w="681" w:type="pct"/>
                  <w:vAlign w:val="center"/>
                </w:tcPr>
                <w:p w14:paraId="09C216E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达标</w:t>
                  </w:r>
                </w:p>
              </w:tc>
            </w:tr>
            <w:tr w14:paraId="5A2736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9" w:type="pct"/>
                  <w:vAlign w:val="center"/>
                </w:tcPr>
                <w:p w14:paraId="7D0B4CC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O</w:t>
                  </w:r>
                  <w:r>
                    <w:rPr>
                      <w:rFonts w:hint="default" w:ascii="Times New Roman" w:hAnsi="Times New Roman" w:eastAsia="宋体" w:cs="Times New Roman"/>
                      <w:b w:val="0"/>
                      <w:bCs/>
                      <w:color w:val="auto"/>
                      <w:sz w:val="18"/>
                      <w:szCs w:val="18"/>
                      <w:highlight w:val="none"/>
                      <w:vertAlign w:val="subscript"/>
                    </w:rPr>
                    <w:t>3</w:t>
                  </w:r>
                </w:p>
              </w:tc>
              <w:tc>
                <w:tcPr>
                  <w:tcW w:w="1683" w:type="pct"/>
                  <w:vAlign w:val="center"/>
                </w:tcPr>
                <w:p w14:paraId="358CFF4D">
                  <w:pPr>
                    <w:pStyle w:val="6"/>
                    <w:keepNext w:val="0"/>
                    <w:keepLines w:val="0"/>
                    <w:pageBreakBefore w:val="0"/>
                    <w:widowControl/>
                    <w:suppressLineNumbers w:val="0"/>
                    <w:shd w:val="clear" w:color="auto" w:fill="auto"/>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lang w:val="en-US" w:eastAsia="zh-CN"/>
                    </w:rPr>
                    <w:t>日最大8小时滑动平均值第90百分位数</w:t>
                  </w:r>
                </w:p>
              </w:tc>
              <w:tc>
                <w:tcPr>
                  <w:tcW w:w="681" w:type="pct"/>
                  <w:vAlign w:val="center"/>
                </w:tcPr>
                <w:p w14:paraId="7D2B0FC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90</w:t>
                  </w:r>
                </w:p>
              </w:tc>
              <w:tc>
                <w:tcPr>
                  <w:tcW w:w="681" w:type="pct"/>
                  <w:vAlign w:val="center"/>
                </w:tcPr>
                <w:p w14:paraId="780A1BB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160</w:t>
                  </w:r>
                </w:p>
              </w:tc>
              <w:tc>
                <w:tcPr>
                  <w:tcW w:w="681" w:type="pct"/>
                  <w:vAlign w:val="center"/>
                </w:tcPr>
                <w:p w14:paraId="36D6193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56.25</w:t>
                  </w:r>
                </w:p>
              </w:tc>
              <w:tc>
                <w:tcPr>
                  <w:tcW w:w="681" w:type="pct"/>
                  <w:vAlign w:val="center"/>
                </w:tcPr>
                <w:p w14:paraId="4E9235C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达标</w:t>
                  </w:r>
                </w:p>
              </w:tc>
            </w:tr>
          </w:tbl>
          <w:p w14:paraId="2454142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kern w:val="0"/>
                <w:sz w:val="21"/>
                <w:szCs w:val="21"/>
                <w:highlight w:val="none"/>
              </w:rPr>
              <w:t>根据上表数据可知，202</w:t>
            </w:r>
            <w:r>
              <w:rPr>
                <w:rFonts w:hint="default" w:ascii="Times New Roman" w:hAnsi="Times New Roman"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rPr>
              <w:t>年</w:t>
            </w:r>
            <w:r>
              <w:rPr>
                <w:rFonts w:hint="default" w:ascii="Times New Roman" w:hAnsi="Times New Roman" w:cs="Times New Roman"/>
                <w:color w:val="auto"/>
                <w:kern w:val="0"/>
                <w:sz w:val="21"/>
                <w:szCs w:val="21"/>
                <w:highlight w:val="none"/>
                <w:lang w:eastAsia="zh-CN"/>
              </w:rPr>
              <w:t>鸡西</w:t>
            </w:r>
            <w:r>
              <w:rPr>
                <w:rFonts w:hint="default" w:ascii="Times New Roman" w:hAnsi="Times New Roman" w:cs="Times New Roman"/>
                <w:color w:val="auto"/>
                <w:kern w:val="0"/>
                <w:sz w:val="21"/>
                <w:szCs w:val="21"/>
                <w:highlight w:val="none"/>
              </w:rPr>
              <w:t>市区域空气质量满足</w:t>
            </w:r>
            <w:r>
              <w:rPr>
                <w:rFonts w:hint="eastAsia" w:cs="Times New Roman"/>
                <w:color w:val="auto"/>
                <w:kern w:val="0"/>
                <w:sz w:val="21"/>
                <w:szCs w:val="21"/>
                <w:highlight w:val="none"/>
                <w:lang w:eastAsia="zh-CN"/>
              </w:rPr>
              <w:t>《环境空气质量标准》（GB3095-2026）中过渡阶段二级标准</w:t>
            </w:r>
            <w:r>
              <w:rPr>
                <w:rFonts w:hint="default" w:ascii="Times New Roman" w:hAnsi="Times New Roman" w:cs="Times New Roman"/>
                <w:color w:val="auto"/>
                <w:kern w:val="0"/>
                <w:sz w:val="21"/>
                <w:szCs w:val="21"/>
                <w:highlight w:val="none"/>
              </w:rPr>
              <w:t>，</w:t>
            </w:r>
            <w:r>
              <w:rPr>
                <w:rFonts w:hint="default" w:ascii="Times New Roman" w:hAnsi="Times New Roman" w:cs="Times New Roman"/>
                <w:color w:val="auto"/>
                <w:kern w:val="0"/>
                <w:sz w:val="21"/>
                <w:szCs w:val="21"/>
                <w:highlight w:val="none"/>
                <w:lang w:eastAsia="zh-CN"/>
              </w:rPr>
              <w:t>鸡西</w:t>
            </w:r>
            <w:r>
              <w:rPr>
                <w:rFonts w:hint="default" w:ascii="Times New Roman" w:hAnsi="Times New Roman" w:cs="Times New Roman"/>
                <w:color w:val="auto"/>
                <w:kern w:val="0"/>
                <w:sz w:val="21"/>
                <w:szCs w:val="21"/>
                <w:highlight w:val="none"/>
              </w:rPr>
              <w:t>市属于环境空气质量达标区，空气环境质量良好。</w:t>
            </w:r>
          </w:p>
          <w:p w14:paraId="099FCA1B">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b/>
                <w:color w:val="auto"/>
                <w:kern w:val="0"/>
                <w:sz w:val="21"/>
                <w:szCs w:val="21"/>
                <w:highlight w:val="none"/>
                <w:lang w:val="en-US" w:eastAsia="zh-CN"/>
              </w:rPr>
              <w:t>3、声</w:t>
            </w:r>
            <w:r>
              <w:rPr>
                <w:rFonts w:hint="default" w:ascii="Times New Roman" w:hAnsi="Times New Roman" w:cs="Times New Roman"/>
                <w:b/>
                <w:color w:val="auto"/>
                <w:kern w:val="0"/>
                <w:sz w:val="21"/>
                <w:szCs w:val="21"/>
                <w:highlight w:val="none"/>
              </w:rPr>
              <w:t>环境</w:t>
            </w:r>
          </w:p>
          <w:p w14:paraId="437A324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eastAsia="zh-CN"/>
              </w:rPr>
              <w:t>根据</w:t>
            </w:r>
            <w:r>
              <w:rPr>
                <w:rFonts w:hint="default" w:ascii="Times New Roman" w:hAnsi="Times New Roman" w:cs="Times New Roman"/>
                <w:color w:val="auto"/>
                <w:kern w:val="0"/>
                <w:sz w:val="21"/>
                <w:szCs w:val="21"/>
                <w:highlight w:val="none"/>
              </w:rPr>
              <w:t>《202</w:t>
            </w:r>
            <w:r>
              <w:rPr>
                <w:rFonts w:hint="default" w:ascii="Times New Roman" w:hAnsi="Times New Roman"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rPr>
              <w:t>年黑龙江省生态环境质量状况》</w:t>
            </w:r>
            <w:r>
              <w:rPr>
                <w:rFonts w:hint="default" w:ascii="Times New Roman" w:hAnsi="Times New Roman" w:cs="Times New Roman"/>
                <w:color w:val="auto"/>
                <w:kern w:val="0"/>
                <w:sz w:val="21"/>
                <w:szCs w:val="21"/>
                <w:highlight w:val="none"/>
                <w:lang w:eastAsia="zh-CN"/>
              </w:rPr>
              <w:t>数据可知，</w:t>
            </w:r>
            <w:r>
              <w:rPr>
                <w:rFonts w:hint="default" w:ascii="Times New Roman" w:hAnsi="Times New Roman" w:eastAsia="宋体" w:cs="Times New Roman"/>
                <w:color w:val="auto"/>
                <w:sz w:val="21"/>
                <w:szCs w:val="21"/>
                <w:highlight w:val="none"/>
              </w:rPr>
              <w:t>鸡西市区域昼间声环境质量为二级，等效声级为53.6dB（A），道路交通昼间声环境质量为一级，等效声级为65.8dB（A）</w:t>
            </w:r>
            <w:r>
              <w:rPr>
                <w:rFonts w:hint="default" w:ascii="Times New Roman" w:hAnsi="Times New Roman" w:eastAsia="宋体" w:cs="Times New Roman"/>
                <w:color w:val="auto"/>
                <w:kern w:val="0"/>
                <w:sz w:val="21"/>
                <w:szCs w:val="21"/>
                <w:highlight w:val="none"/>
                <w:lang w:val="en-US" w:eastAsia="zh-CN"/>
              </w:rPr>
              <w:t>。</w:t>
            </w:r>
          </w:p>
          <w:p w14:paraId="781BC999">
            <w:pPr>
              <w:pStyle w:val="15"/>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根据《声环境功能区划分技术规范》（GB/T 15190-2014）及《声环境质量标准》（GB3096-2008），考虑到本项目所在区域为农村地区，原则上执行1类声功能区要求，执行1类标准。</w:t>
            </w:r>
          </w:p>
          <w:p w14:paraId="1BE7430F">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4、地表水</w:t>
            </w:r>
          </w:p>
          <w:p w14:paraId="6BC9494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水功能区划</w:t>
            </w:r>
          </w:p>
          <w:p w14:paraId="3C84C17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根据《全国重要江河湖泊水功能区划（2011～2030年）》，</w:t>
            </w:r>
            <w:r>
              <w:rPr>
                <w:rFonts w:hint="eastAsia" w:cs="Times New Roman" w:eastAsiaTheme="minorEastAsia"/>
                <w:color w:val="auto"/>
                <w:sz w:val="21"/>
                <w:szCs w:val="21"/>
                <w:highlight w:val="none"/>
                <w:lang w:val="en-US" w:eastAsia="zh-CN"/>
              </w:rPr>
              <w:t>庆先</w:t>
            </w:r>
            <w:r>
              <w:rPr>
                <w:rFonts w:hint="default" w:ascii="Times New Roman" w:hAnsi="Times New Roman" w:cs="Times New Roman" w:eastAsiaTheme="minorEastAsia"/>
                <w:color w:val="auto"/>
                <w:sz w:val="21"/>
                <w:szCs w:val="21"/>
                <w:highlight w:val="none"/>
                <w:lang w:eastAsia="zh-CN"/>
              </w:rPr>
              <w:t>水库</w:t>
            </w:r>
            <w:r>
              <w:rPr>
                <w:rFonts w:hint="eastAsia" w:cs="Times New Roman" w:eastAsiaTheme="minorEastAsia"/>
                <w:color w:val="auto"/>
                <w:sz w:val="21"/>
                <w:szCs w:val="21"/>
                <w:highlight w:val="none"/>
                <w:lang w:eastAsia="zh-CN"/>
              </w:rPr>
              <w:t>通过锅盔河汇入</w:t>
            </w:r>
            <w:r>
              <w:rPr>
                <w:rFonts w:hint="default" w:ascii="Times New Roman" w:hAnsi="Times New Roman" w:cs="Times New Roman" w:eastAsiaTheme="minorEastAsia"/>
                <w:color w:val="auto"/>
                <w:sz w:val="21"/>
                <w:szCs w:val="21"/>
                <w:highlight w:val="none"/>
                <w:lang w:eastAsia="zh-CN"/>
              </w:rPr>
              <w:t>穆棱河</w:t>
            </w:r>
            <w:r>
              <w:rPr>
                <w:rFonts w:hint="eastAsia" w:cs="Times New Roman" w:eastAsiaTheme="minorEastAsia"/>
                <w:color w:val="auto"/>
                <w:sz w:val="21"/>
                <w:szCs w:val="21"/>
                <w:highlight w:val="none"/>
                <w:lang w:eastAsia="zh-CN"/>
              </w:rPr>
              <w:t>，锅盔河</w:t>
            </w:r>
            <w:r>
              <w:rPr>
                <w:rFonts w:hint="default" w:ascii="Times New Roman" w:hAnsi="Times New Roman" w:cs="Times New Roman" w:eastAsiaTheme="minorEastAsia"/>
                <w:color w:val="auto"/>
                <w:sz w:val="21"/>
                <w:szCs w:val="21"/>
                <w:highlight w:val="none"/>
              </w:rPr>
              <w:t>支流并未划分水功能区，也并无国控水质监测断面，但</w:t>
            </w:r>
            <w:r>
              <w:rPr>
                <w:rFonts w:hint="default" w:ascii="Times New Roman" w:hAnsi="Times New Roman" w:cs="Times New Roman" w:eastAsiaTheme="minorEastAsia"/>
                <w:color w:val="auto"/>
                <w:sz w:val="21"/>
                <w:szCs w:val="21"/>
                <w:highlight w:val="none"/>
                <w:lang w:eastAsia="zh-CN"/>
              </w:rPr>
              <w:t>最终汇入穆棱河</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所涉及的功能区为穆棱河鸡西市开发利用区</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按照支流不低于干流水质的原则，本次评价对</w:t>
            </w:r>
            <w:r>
              <w:rPr>
                <w:rFonts w:hint="eastAsia" w:cs="Times New Roman" w:eastAsiaTheme="minorEastAsia"/>
                <w:color w:val="auto"/>
                <w:sz w:val="21"/>
                <w:szCs w:val="21"/>
                <w:highlight w:val="none"/>
                <w:lang w:val="en-US" w:eastAsia="zh-CN"/>
              </w:rPr>
              <w:t>庆先</w:t>
            </w:r>
            <w:r>
              <w:rPr>
                <w:rFonts w:hint="default" w:ascii="Times New Roman" w:hAnsi="Times New Roman" w:cs="Times New Roman" w:eastAsiaTheme="minorEastAsia"/>
                <w:color w:val="auto"/>
                <w:sz w:val="21"/>
                <w:szCs w:val="21"/>
                <w:highlight w:val="none"/>
              </w:rPr>
              <w:t>水库水质按Ⅲ类标准执行。</w:t>
            </w:r>
          </w:p>
          <w:p w14:paraId="5858B9D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pacing w:val="0"/>
                <w:sz w:val="21"/>
                <w:szCs w:val="21"/>
                <w:highlight w:val="none"/>
              </w:rPr>
            </w:pPr>
            <w:r>
              <w:rPr>
                <w:rFonts w:hint="default" w:ascii="Times New Roman" w:hAnsi="Times New Roman" w:cs="Times New Roman" w:eastAsiaTheme="minorEastAsia"/>
                <w:color w:val="auto"/>
                <w:spacing w:val="0"/>
                <w:sz w:val="21"/>
                <w:szCs w:val="21"/>
                <w:highlight w:val="none"/>
                <w:lang w:eastAsia="zh-CN"/>
              </w:rPr>
              <w:t>（</w:t>
            </w:r>
            <w:r>
              <w:rPr>
                <w:rFonts w:hint="default" w:ascii="Times New Roman" w:hAnsi="Times New Roman" w:cs="Times New Roman" w:eastAsiaTheme="minorEastAsia"/>
                <w:color w:val="auto"/>
                <w:spacing w:val="0"/>
                <w:sz w:val="21"/>
                <w:szCs w:val="21"/>
                <w:highlight w:val="none"/>
                <w:lang w:val="en-US" w:eastAsia="zh-CN"/>
              </w:rPr>
              <w:t>2</w:t>
            </w:r>
            <w:r>
              <w:rPr>
                <w:rFonts w:hint="default" w:ascii="Times New Roman" w:hAnsi="Times New Roman" w:cs="Times New Roman" w:eastAsiaTheme="minorEastAsia"/>
                <w:color w:val="auto"/>
                <w:spacing w:val="0"/>
                <w:sz w:val="21"/>
                <w:szCs w:val="21"/>
                <w:highlight w:val="none"/>
                <w:lang w:eastAsia="zh-CN"/>
              </w:rPr>
              <w:t>）</w:t>
            </w:r>
            <w:r>
              <w:rPr>
                <w:rFonts w:hint="default" w:ascii="Times New Roman" w:hAnsi="Times New Roman" w:cs="Times New Roman" w:eastAsiaTheme="minorEastAsia"/>
                <w:color w:val="auto"/>
                <w:spacing w:val="0"/>
                <w:sz w:val="21"/>
                <w:szCs w:val="21"/>
                <w:highlight w:val="none"/>
              </w:rPr>
              <w:t>水质现状</w:t>
            </w:r>
          </w:p>
          <w:p w14:paraId="0D4240A3">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eastAsiaTheme="minorEastAsia"/>
                <w:color w:val="auto"/>
                <w:spacing w:val="0"/>
                <w:sz w:val="21"/>
                <w:szCs w:val="21"/>
                <w:highlight w:val="none"/>
              </w:rPr>
            </w:pPr>
            <w:r>
              <w:rPr>
                <w:rFonts w:hint="default" w:ascii="Times New Roman" w:hAnsi="Times New Roman" w:cs="Times New Roman" w:eastAsiaTheme="minorEastAsia"/>
                <w:color w:val="auto"/>
                <w:spacing w:val="0"/>
                <w:sz w:val="21"/>
                <w:szCs w:val="21"/>
                <w:highlight w:val="none"/>
              </w:rPr>
              <w:t>本次</w:t>
            </w:r>
            <w:r>
              <w:rPr>
                <w:rFonts w:hint="eastAsia" w:cs="Times New Roman" w:eastAsiaTheme="minorEastAsia"/>
                <w:color w:val="auto"/>
                <w:spacing w:val="0"/>
                <w:sz w:val="21"/>
                <w:szCs w:val="21"/>
                <w:highlight w:val="none"/>
                <w:lang w:val="en-US" w:eastAsia="zh-CN"/>
              </w:rPr>
              <w:t>庆先</w:t>
            </w:r>
            <w:r>
              <w:rPr>
                <w:rFonts w:hint="default" w:ascii="Times New Roman" w:hAnsi="Times New Roman" w:cs="Times New Roman" w:eastAsiaTheme="minorEastAsia"/>
                <w:color w:val="auto"/>
                <w:spacing w:val="0"/>
                <w:sz w:val="21"/>
                <w:szCs w:val="21"/>
                <w:highlight w:val="none"/>
              </w:rPr>
              <w:t>水库水质现状委托</w:t>
            </w:r>
            <w:r>
              <w:rPr>
                <w:rFonts w:hint="eastAsia" w:ascii="Times New Roman" w:hAnsi="Times New Roman" w:cs="Times New Roman"/>
                <w:b w:val="0"/>
                <w:bCs/>
                <w:color w:val="auto"/>
                <w:spacing w:val="0"/>
                <w:sz w:val="21"/>
                <w:szCs w:val="21"/>
                <w:highlight w:val="none"/>
                <w:lang w:eastAsia="zh-CN"/>
              </w:rPr>
              <w:t>黑龙江省得凡检测有限公司哈尔滨分公司</w:t>
            </w:r>
            <w:r>
              <w:rPr>
                <w:rFonts w:hint="default" w:ascii="Times New Roman" w:hAnsi="Times New Roman" w:cs="Times New Roman" w:eastAsiaTheme="minorEastAsia"/>
                <w:color w:val="auto"/>
                <w:spacing w:val="0"/>
                <w:sz w:val="21"/>
                <w:szCs w:val="21"/>
                <w:highlight w:val="none"/>
              </w:rPr>
              <w:t>进行检测</w:t>
            </w:r>
            <w:r>
              <w:rPr>
                <w:rFonts w:hint="default" w:ascii="Times New Roman" w:hAnsi="Times New Roman" w:cs="Times New Roman" w:eastAsiaTheme="minorEastAsia"/>
                <w:color w:val="auto"/>
                <w:spacing w:val="0"/>
                <w:sz w:val="21"/>
                <w:szCs w:val="21"/>
                <w:highlight w:val="none"/>
                <w:lang w:eastAsia="zh-CN"/>
              </w:rPr>
              <w:t>，</w:t>
            </w:r>
            <w:r>
              <w:rPr>
                <w:rFonts w:hint="default" w:ascii="Times New Roman" w:hAnsi="Times New Roman" w:cs="Times New Roman" w:eastAsiaTheme="minorEastAsia"/>
                <w:color w:val="auto"/>
                <w:spacing w:val="0"/>
                <w:sz w:val="21"/>
                <w:szCs w:val="21"/>
                <w:highlight w:val="none"/>
              </w:rPr>
              <w:t>监测数据及评价结果见表</w:t>
            </w:r>
            <w:r>
              <w:rPr>
                <w:rFonts w:hint="default" w:ascii="Times New Roman" w:hAnsi="Times New Roman" w:cs="Times New Roman" w:eastAsiaTheme="minorEastAsia"/>
                <w:color w:val="auto"/>
                <w:spacing w:val="0"/>
                <w:sz w:val="21"/>
                <w:szCs w:val="21"/>
                <w:highlight w:val="none"/>
                <w:lang w:val="en-US" w:eastAsia="zh-CN"/>
              </w:rPr>
              <w:t>3-</w:t>
            </w:r>
            <w:r>
              <w:rPr>
                <w:rFonts w:hint="eastAsia" w:cs="Times New Roman" w:eastAsiaTheme="minorEastAsia"/>
                <w:color w:val="auto"/>
                <w:spacing w:val="0"/>
                <w:sz w:val="21"/>
                <w:szCs w:val="21"/>
                <w:highlight w:val="none"/>
                <w:lang w:val="en-US" w:eastAsia="zh-CN"/>
              </w:rPr>
              <w:t>4</w:t>
            </w:r>
            <w:r>
              <w:rPr>
                <w:rFonts w:hint="default" w:ascii="Times New Roman" w:hAnsi="Times New Roman" w:cs="Times New Roman" w:eastAsiaTheme="minorEastAsia"/>
                <w:color w:val="auto"/>
                <w:spacing w:val="0"/>
                <w:sz w:val="21"/>
                <w:szCs w:val="21"/>
                <w:highlight w:val="none"/>
                <w:lang w:val="en-US" w:eastAsia="zh-CN"/>
              </w:rPr>
              <w:t>，</w:t>
            </w:r>
            <w:r>
              <w:rPr>
                <w:rFonts w:hint="default" w:ascii="Times New Roman" w:hAnsi="Times New Roman" w:cs="Times New Roman" w:eastAsiaTheme="minorEastAsia"/>
                <w:color w:val="auto"/>
                <w:spacing w:val="0"/>
                <w:sz w:val="21"/>
                <w:szCs w:val="21"/>
                <w:highlight w:val="none"/>
              </w:rPr>
              <w:t>监测结果表明，</w:t>
            </w:r>
            <w:r>
              <w:rPr>
                <w:rFonts w:hint="eastAsia" w:cs="Times New Roman" w:eastAsiaTheme="minorEastAsia"/>
                <w:color w:val="auto"/>
                <w:spacing w:val="0"/>
                <w:sz w:val="21"/>
                <w:szCs w:val="21"/>
                <w:highlight w:val="none"/>
                <w:lang w:val="en-US" w:eastAsia="zh-CN"/>
              </w:rPr>
              <w:t>庆先</w:t>
            </w:r>
            <w:r>
              <w:rPr>
                <w:rFonts w:hint="default" w:ascii="Times New Roman" w:hAnsi="Times New Roman" w:cs="Times New Roman" w:eastAsiaTheme="minorEastAsia"/>
                <w:color w:val="auto"/>
                <w:spacing w:val="0"/>
                <w:sz w:val="21"/>
                <w:szCs w:val="21"/>
                <w:highlight w:val="none"/>
              </w:rPr>
              <w:t>水库</w:t>
            </w:r>
            <w:r>
              <w:rPr>
                <w:rFonts w:hint="eastAsia" w:cs="Times New Roman" w:eastAsiaTheme="minorEastAsia"/>
                <w:color w:val="auto"/>
                <w:spacing w:val="0"/>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水库</w:t>
            </w:r>
            <w:r>
              <w:rPr>
                <w:rFonts w:hint="default" w:ascii="Times New Roman" w:hAnsi="Times New Roman"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lang w:val="en-US" w:eastAsia="zh-CN"/>
              </w:rPr>
              <w:t>游汇入锅盔河处</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锅盔河汇入穆棱河处</w:t>
            </w:r>
            <w:r>
              <w:rPr>
                <w:rFonts w:hint="default" w:ascii="Times New Roman" w:hAnsi="Times New Roman" w:cs="Times New Roman" w:eastAsiaTheme="minorEastAsia"/>
                <w:color w:val="auto"/>
                <w:spacing w:val="0"/>
                <w:sz w:val="21"/>
                <w:szCs w:val="21"/>
                <w:highlight w:val="none"/>
              </w:rPr>
              <w:t>现状水质</w:t>
            </w:r>
            <w:r>
              <w:rPr>
                <w:rFonts w:hint="eastAsia" w:cs="Times New Roman" w:eastAsiaTheme="minorEastAsia"/>
                <w:color w:val="auto"/>
                <w:spacing w:val="0"/>
                <w:sz w:val="21"/>
                <w:szCs w:val="21"/>
                <w:highlight w:val="none"/>
                <w:lang w:val="en-US" w:eastAsia="zh-CN"/>
              </w:rPr>
              <w:t>均</w:t>
            </w:r>
            <w:r>
              <w:rPr>
                <w:rFonts w:hint="default" w:ascii="Times New Roman" w:hAnsi="Times New Roman" w:cs="Times New Roman" w:eastAsiaTheme="minorEastAsia"/>
                <w:color w:val="auto"/>
                <w:spacing w:val="0"/>
                <w:sz w:val="21"/>
                <w:szCs w:val="21"/>
                <w:highlight w:val="none"/>
              </w:rPr>
              <w:t>满足</w:t>
            </w:r>
            <w:r>
              <w:rPr>
                <w:rFonts w:hint="default" w:ascii="Times New Roman" w:hAnsi="Times New Roman" w:eastAsia="宋体" w:cs="Times New Roman"/>
                <w:color w:val="auto"/>
                <w:sz w:val="21"/>
                <w:highlight w:val="none"/>
                <w:lang w:eastAsia="zh-CN"/>
              </w:rPr>
              <w:t>《地表水环境质量标准》（GB3838-2002）Ⅲ类标准</w:t>
            </w:r>
            <w:r>
              <w:rPr>
                <w:rFonts w:hint="default" w:ascii="Times New Roman" w:hAnsi="Times New Roman" w:cs="Times New Roman" w:eastAsiaTheme="minorEastAsia"/>
                <w:color w:val="auto"/>
                <w:spacing w:val="0"/>
                <w:sz w:val="21"/>
                <w:szCs w:val="21"/>
                <w:highlight w:val="none"/>
              </w:rPr>
              <w:t>要求。</w:t>
            </w:r>
          </w:p>
          <w:p w14:paraId="44A46026">
            <w:pPr>
              <w:jc w:val="center"/>
              <w:rPr>
                <w:rFonts w:hint="default"/>
                <w:color w:val="auto"/>
                <w:highlight w:val="none"/>
                <w:lang w:val="en-US" w:eastAsia="zh-CN"/>
              </w:rPr>
            </w:pPr>
            <w:r>
              <w:rPr>
                <w:rFonts w:hint="default"/>
                <w:color w:val="auto"/>
                <w:highlight w:val="none"/>
                <w:lang w:val="en-US" w:eastAsia="zh-CN"/>
              </w:rPr>
              <w:object>
                <v:shape id="_x0000_i1025" o:spt="75" type="#_x0000_t75" style="height:300pt;width:330.75pt;" o:ole="t" filled="f" o:preferrelative="t" stroked="f" coordsize="21600,21600">
                  <v:path/>
                  <v:fill on="f" focussize="0,0"/>
                  <v:stroke on="f"/>
                  <v:imagedata r:id="rId20" o:title=""/>
                  <o:lock v:ext="edit" aspectratio="f"/>
                  <w10:wrap type="none"/>
                  <w10:anchorlock/>
                </v:shape>
                <o:OLEObject Type="Embed" ProgID="Visio.Drawing.11" ShapeID="_x0000_i1025" DrawAspect="Content" ObjectID="_1468075725" r:id="rId19">
                  <o:LockedField>false</o:LockedField>
                </o:OLEObject>
              </w:object>
            </w:r>
          </w:p>
          <w:p w14:paraId="185C82E2">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cs="Times New Roman"/>
                <w:b/>
                <w:bCs/>
                <w:color w:val="auto"/>
                <w:sz w:val="21"/>
                <w:szCs w:val="21"/>
                <w:highlight w:val="none"/>
                <w:lang w:val="en-US" w:eastAsia="zh-CN"/>
              </w:rPr>
              <w:t>图3-</w:t>
            </w:r>
            <w:r>
              <w:rPr>
                <w:rFonts w:hint="eastAsia" w:cs="Times New Roman"/>
                <w:b/>
                <w:bCs/>
                <w:color w:val="auto"/>
                <w:sz w:val="21"/>
                <w:szCs w:val="21"/>
                <w:highlight w:val="none"/>
                <w:lang w:val="en-US" w:eastAsia="zh-CN"/>
              </w:rPr>
              <w:t>3</w:t>
            </w:r>
            <w:r>
              <w:rPr>
                <w:rFonts w:hint="eastAsia" w:ascii="Times New Roman" w:cs="Times New Roman"/>
                <w:b/>
                <w:bCs/>
                <w:color w:val="auto"/>
                <w:sz w:val="21"/>
                <w:szCs w:val="21"/>
                <w:highlight w:val="none"/>
                <w:lang w:val="en-US" w:eastAsia="zh-CN"/>
              </w:rPr>
              <w:t>水环境监测点位图</w:t>
            </w:r>
          </w:p>
          <w:p w14:paraId="0616A4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表</w:t>
            </w:r>
            <w:r>
              <w:rPr>
                <w:rFonts w:hint="default" w:ascii="Times New Roman" w:hAnsi="Times New Roman" w:cs="Times New Roman" w:eastAsiaTheme="minorEastAsia"/>
                <w:b/>
                <w:bCs/>
                <w:color w:val="auto"/>
                <w:sz w:val="21"/>
                <w:szCs w:val="21"/>
                <w:highlight w:val="none"/>
                <w:lang w:val="en-US" w:eastAsia="zh-CN"/>
              </w:rPr>
              <w:t>3-</w:t>
            </w:r>
            <w:r>
              <w:rPr>
                <w:rFonts w:hint="eastAsia" w:cs="Times New Roman" w:eastAsiaTheme="minorEastAsia"/>
                <w:b/>
                <w:bCs/>
                <w:color w:val="auto"/>
                <w:sz w:val="21"/>
                <w:szCs w:val="21"/>
                <w:highlight w:val="none"/>
                <w:lang w:val="en-US" w:eastAsia="zh-CN"/>
              </w:rPr>
              <w:t>4</w:t>
            </w:r>
            <w:r>
              <w:rPr>
                <w:rFonts w:hint="eastAsia" w:cs="Times New Roman" w:eastAsiaTheme="minorEastAsia"/>
                <w:b/>
                <w:bCs/>
                <w:color w:val="auto"/>
                <w:sz w:val="21"/>
                <w:szCs w:val="21"/>
                <w:highlight w:val="none"/>
                <w:lang w:eastAsia="zh-CN"/>
              </w:rPr>
              <w:t>庆先水库</w:t>
            </w:r>
            <w:r>
              <w:rPr>
                <w:rFonts w:hint="default" w:ascii="Times New Roman" w:hAnsi="Times New Roman" w:cs="Times New Roman" w:eastAsiaTheme="minorEastAsia"/>
                <w:b/>
                <w:bCs/>
                <w:color w:val="auto"/>
                <w:sz w:val="21"/>
                <w:szCs w:val="21"/>
                <w:highlight w:val="none"/>
              </w:rPr>
              <w:t>水质监测结果</w:t>
            </w:r>
            <w:r>
              <w:rPr>
                <w:rFonts w:hint="eastAsia" w:cs="Times New Roman" w:eastAsiaTheme="minorEastAsia"/>
                <w:b/>
                <w:bCs/>
                <w:color w:val="auto"/>
                <w:sz w:val="21"/>
                <w:szCs w:val="21"/>
                <w:highlight w:val="none"/>
                <w:lang w:val="en-US" w:eastAsia="zh-CN"/>
              </w:rPr>
              <w:t xml:space="preserve"> </w:t>
            </w:r>
            <w:r>
              <w:rPr>
                <w:rFonts w:hint="default" w:ascii="Times New Roman" w:hAnsi="Times New Roman" w:cs="Times New Roman" w:eastAsiaTheme="minorEastAsia"/>
                <w:b/>
                <w:bCs/>
                <w:color w:val="auto"/>
                <w:sz w:val="21"/>
                <w:szCs w:val="21"/>
                <w:highlight w:val="none"/>
              </w:rPr>
              <w:t>单位：mg/L</w:t>
            </w:r>
          </w:p>
          <w:tbl>
            <w:tblPr>
              <w:tblStyle w:val="24"/>
              <w:tblpPr w:leftFromText="180" w:rightFromText="180" w:vertAnchor="text" w:horzAnchor="page" w:tblpX="125" w:tblpY="75"/>
              <w:tblOverlap w:val="never"/>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3737"/>
              <w:gridCol w:w="2516"/>
            </w:tblGrid>
            <w:tr w14:paraId="7DD24A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restart"/>
                  <w:vAlign w:val="center"/>
                </w:tcPr>
                <w:p w14:paraId="30AEB96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检测项目</w:t>
                  </w:r>
                </w:p>
              </w:tc>
              <w:tc>
                <w:tcPr>
                  <w:tcW w:w="2338" w:type="pct"/>
                  <w:vAlign w:val="center"/>
                </w:tcPr>
                <w:p w14:paraId="451047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样品编号及点位</w:t>
                  </w:r>
                </w:p>
              </w:tc>
              <w:tc>
                <w:tcPr>
                  <w:tcW w:w="1574" w:type="pct"/>
                  <w:vMerge w:val="restart"/>
                  <w:vAlign w:val="center"/>
                </w:tcPr>
                <w:p w14:paraId="0F40892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单位</w:t>
                  </w:r>
                </w:p>
              </w:tc>
            </w:tr>
            <w:tr w14:paraId="428623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continue"/>
                  <w:vAlign w:val="center"/>
                </w:tcPr>
                <w:p w14:paraId="04A6DF3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2338" w:type="pct"/>
                  <w:vAlign w:val="center"/>
                </w:tcPr>
                <w:p w14:paraId="7B7A8B2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庆先</w:t>
                  </w:r>
                  <w:r>
                    <w:rPr>
                      <w:rFonts w:hint="default" w:ascii="Times New Roman" w:hAnsi="Times New Roman" w:cs="Times New Roman" w:eastAsiaTheme="minorEastAsia"/>
                      <w:color w:val="auto"/>
                      <w:sz w:val="18"/>
                      <w:szCs w:val="18"/>
                      <w:highlight w:val="none"/>
                    </w:rPr>
                    <w:t>水库1#</w:t>
                  </w:r>
                </w:p>
              </w:tc>
              <w:tc>
                <w:tcPr>
                  <w:tcW w:w="1574" w:type="pct"/>
                  <w:vMerge w:val="continue"/>
                  <w:vAlign w:val="center"/>
                </w:tcPr>
                <w:p w14:paraId="5D6C583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696542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continue"/>
                  <w:vAlign w:val="center"/>
                </w:tcPr>
                <w:p w14:paraId="09457E4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2338" w:type="pct"/>
                  <w:shd w:val="clear" w:color="auto" w:fill="auto"/>
                  <w:vAlign w:val="center"/>
                </w:tcPr>
                <w:p w14:paraId="3BE677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val="0"/>
                      <w:bCs/>
                      <w:color w:val="auto"/>
                      <w:spacing w:val="0"/>
                      <w:sz w:val="18"/>
                      <w:szCs w:val="18"/>
                      <w:highlight w:val="none"/>
                      <w:lang w:val="en-US" w:eastAsia="zh-CN"/>
                    </w:rPr>
                    <w:t>检测结果</w:t>
                  </w:r>
                </w:p>
              </w:tc>
              <w:tc>
                <w:tcPr>
                  <w:tcW w:w="1574" w:type="pct"/>
                  <w:vMerge w:val="continue"/>
                  <w:vAlign w:val="center"/>
                </w:tcPr>
                <w:p w14:paraId="533B93D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4A085B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95A065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PH值</w:t>
                  </w:r>
                </w:p>
              </w:tc>
              <w:tc>
                <w:tcPr>
                  <w:tcW w:w="2338" w:type="pct"/>
                  <w:shd w:val="clear" w:color="auto" w:fill="auto"/>
                  <w:vAlign w:val="center"/>
                </w:tcPr>
                <w:p w14:paraId="6F9E65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7.0</w:t>
                  </w:r>
                </w:p>
              </w:tc>
              <w:tc>
                <w:tcPr>
                  <w:tcW w:w="1574" w:type="pct"/>
                  <w:shd w:val="clear" w:color="auto" w:fill="auto"/>
                  <w:vAlign w:val="center"/>
                </w:tcPr>
                <w:p w14:paraId="7E08BE1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cs="Times New Roman"/>
                      <w:color w:val="auto"/>
                      <w:kern w:val="0"/>
                      <w:sz w:val="18"/>
                      <w:szCs w:val="18"/>
                      <w:highlight w:val="none"/>
                    </w:rPr>
                    <w:t>无量纲</w:t>
                  </w:r>
                </w:p>
              </w:tc>
            </w:tr>
            <w:tr w14:paraId="626BE7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19B30F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溶解氧</w:t>
                  </w:r>
                </w:p>
              </w:tc>
              <w:tc>
                <w:tcPr>
                  <w:tcW w:w="2338" w:type="pct"/>
                  <w:shd w:val="clear" w:color="auto" w:fill="auto"/>
                  <w:vAlign w:val="center"/>
                </w:tcPr>
                <w:p w14:paraId="7FD7350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8.60</w:t>
                  </w:r>
                </w:p>
              </w:tc>
              <w:tc>
                <w:tcPr>
                  <w:tcW w:w="1574" w:type="pct"/>
                  <w:shd w:val="clear" w:color="auto" w:fill="auto"/>
                  <w:vAlign w:val="center"/>
                </w:tcPr>
                <w:p w14:paraId="7BBC651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2C3DD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73CCEC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氨氮</w:t>
                  </w:r>
                </w:p>
              </w:tc>
              <w:tc>
                <w:tcPr>
                  <w:tcW w:w="2338" w:type="pct"/>
                  <w:shd w:val="clear" w:color="auto" w:fill="auto"/>
                  <w:vAlign w:val="center"/>
                </w:tcPr>
                <w:p w14:paraId="1E44FC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0.142</w:t>
                  </w:r>
                </w:p>
              </w:tc>
              <w:tc>
                <w:tcPr>
                  <w:tcW w:w="1574" w:type="pct"/>
                  <w:shd w:val="clear" w:color="auto" w:fill="auto"/>
                  <w:vAlign w:val="center"/>
                </w:tcPr>
                <w:p w14:paraId="42FCEE7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EFD8B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6A20B00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高锰酸盐指数</w:t>
                  </w:r>
                </w:p>
              </w:tc>
              <w:tc>
                <w:tcPr>
                  <w:tcW w:w="2338" w:type="pct"/>
                  <w:shd w:val="clear" w:color="auto" w:fill="auto"/>
                  <w:vAlign w:val="center"/>
                </w:tcPr>
                <w:p w14:paraId="759831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3.8</w:t>
                  </w:r>
                </w:p>
              </w:tc>
              <w:tc>
                <w:tcPr>
                  <w:tcW w:w="1574" w:type="pct"/>
                  <w:shd w:val="clear" w:color="auto" w:fill="auto"/>
                  <w:vAlign w:val="center"/>
                </w:tcPr>
                <w:p w14:paraId="37F0B5B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2A61EF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576F9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化学需氧量</w:t>
                  </w:r>
                </w:p>
              </w:tc>
              <w:tc>
                <w:tcPr>
                  <w:tcW w:w="2338" w:type="pct"/>
                  <w:shd w:val="clear" w:color="auto" w:fill="auto"/>
                  <w:vAlign w:val="center"/>
                </w:tcPr>
                <w:p w14:paraId="34B7C2F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13</w:t>
                  </w:r>
                </w:p>
              </w:tc>
              <w:tc>
                <w:tcPr>
                  <w:tcW w:w="1574" w:type="pct"/>
                  <w:shd w:val="clear" w:color="auto" w:fill="auto"/>
                  <w:vAlign w:val="center"/>
                </w:tcPr>
                <w:p w14:paraId="415A427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EA81E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D95834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五日生化需氧量</w:t>
                  </w:r>
                </w:p>
              </w:tc>
              <w:tc>
                <w:tcPr>
                  <w:tcW w:w="2338" w:type="pct"/>
                  <w:shd w:val="clear" w:color="auto" w:fill="auto"/>
                  <w:vAlign w:val="center"/>
                </w:tcPr>
                <w:p w14:paraId="2ABAEE1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2.7</w:t>
                  </w:r>
                </w:p>
              </w:tc>
              <w:tc>
                <w:tcPr>
                  <w:tcW w:w="1574" w:type="pct"/>
                  <w:shd w:val="clear" w:color="auto" w:fill="auto"/>
                  <w:vAlign w:val="center"/>
                </w:tcPr>
                <w:p w14:paraId="05A9D90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6585C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EB1E8B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总磷</w:t>
                  </w:r>
                </w:p>
              </w:tc>
              <w:tc>
                <w:tcPr>
                  <w:tcW w:w="2338" w:type="pct"/>
                  <w:shd w:val="clear" w:color="auto" w:fill="auto"/>
                  <w:vAlign w:val="center"/>
                </w:tcPr>
                <w:p w14:paraId="6EA3AEF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0.09</w:t>
                  </w:r>
                </w:p>
              </w:tc>
              <w:tc>
                <w:tcPr>
                  <w:tcW w:w="1574" w:type="pct"/>
                  <w:shd w:val="clear" w:color="auto" w:fill="auto"/>
                  <w:vAlign w:val="center"/>
                </w:tcPr>
                <w:p w14:paraId="79A4F5B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1C3A8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4B9B192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总氮</w:t>
                  </w:r>
                </w:p>
              </w:tc>
              <w:tc>
                <w:tcPr>
                  <w:tcW w:w="2338" w:type="pct"/>
                  <w:shd w:val="clear" w:color="auto" w:fill="auto"/>
                  <w:vAlign w:val="center"/>
                </w:tcPr>
                <w:p w14:paraId="472844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0.77</w:t>
                  </w:r>
                </w:p>
              </w:tc>
              <w:tc>
                <w:tcPr>
                  <w:tcW w:w="1574" w:type="pct"/>
                  <w:shd w:val="clear" w:color="auto" w:fill="auto"/>
                  <w:vAlign w:val="center"/>
                </w:tcPr>
                <w:p w14:paraId="2B83AAF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232D3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CE0BCC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铜</w:t>
                  </w:r>
                </w:p>
              </w:tc>
              <w:tc>
                <w:tcPr>
                  <w:tcW w:w="2338" w:type="pct"/>
                  <w:shd w:val="clear" w:color="auto" w:fill="auto"/>
                  <w:vAlign w:val="center"/>
                </w:tcPr>
                <w:p w14:paraId="64ABFE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574" w:type="pct"/>
                  <w:shd w:val="clear" w:color="auto" w:fill="auto"/>
                  <w:vAlign w:val="center"/>
                </w:tcPr>
                <w:p w14:paraId="666E827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44E26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5FDC66B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锌</w:t>
                  </w:r>
                </w:p>
              </w:tc>
              <w:tc>
                <w:tcPr>
                  <w:tcW w:w="2338" w:type="pct"/>
                  <w:tcBorders>
                    <w:left w:val="single" w:color="auto" w:sz="4" w:space="0"/>
                    <w:bottom w:val="single" w:color="auto" w:sz="4" w:space="0"/>
                    <w:right w:val="single" w:color="auto" w:sz="4" w:space="0"/>
                  </w:tcBorders>
                  <w:shd w:val="clear" w:color="auto" w:fill="auto"/>
                  <w:vAlign w:val="center"/>
                </w:tcPr>
                <w:p w14:paraId="2CC438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574" w:type="pct"/>
                  <w:tcBorders>
                    <w:left w:val="single" w:color="auto" w:sz="4" w:space="0"/>
                    <w:bottom w:val="single" w:color="auto" w:sz="4" w:space="0"/>
                  </w:tcBorders>
                  <w:shd w:val="clear" w:color="auto" w:fill="auto"/>
                  <w:vAlign w:val="center"/>
                </w:tcPr>
                <w:p w14:paraId="0D4AEC7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E7D48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3EAAC2F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氟化物</w:t>
                  </w:r>
                </w:p>
              </w:tc>
              <w:tc>
                <w:tcPr>
                  <w:tcW w:w="2338" w:type="pct"/>
                  <w:tcBorders>
                    <w:left w:val="single" w:color="auto" w:sz="4" w:space="0"/>
                    <w:bottom w:val="single" w:color="auto" w:sz="4" w:space="0"/>
                    <w:right w:val="single" w:color="auto" w:sz="4" w:space="0"/>
                  </w:tcBorders>
                  <w:shd w:val="clear" w:color="auto" w:fill="auto"/>
                  <w:vAlign w:val="center"/>
                </w:tcPr>
                <w:p w14:paraId="729257F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0.006L</w:t>
                  </w:r>
                </w:p>
              </w:tc>
              <w:tc>
                <w:tcPr>
                  <w:tcW w:w="1574" w:type="pct"/>
                  <w:tcBorders>
                    <w:left w:val="single" w:color="auto" w:sz="4" w:space="0"/>
                    <w:bottom w:val="single" w:color="auto" w:sz="4" w:space="0"/>
                  </w:tcBorders>
                  <w:shd w:val="clear" w:color="auto" w:fill="auto"/>
                  <w:vAlign w:val="center"/>
                </w:tcPr>
                <w:p w14:paraId="5D38245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0FD2B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52F739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氰化物</w:t>
                  </w:r>
                </w:p>
              </w:tc>
              <w:tc>
                <w:tcPr>
                  <w:tcW w:w="2338" w:type="pct"/>
                  <w:tcBorders>
                    <w:left w:val="single" w:color="auto" w:sz="4" w:space="0"/>
                    <w:bottom w:val="single" w:color="auto" w:sz="4" w:space="0"/>
                    <w:right w:val="single" w:color="auto" w:sz="4" w:space="0"/>
                  </w:tcBorders>
                  <w:shd w:val="clear" w:color="auto" w:fill="auto"/>
                  <w:vAlign w:val="center"/>
                </w:tcPr>
                <w:p w14:paraId="4DFBD1B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0.004L</w:t>
                  </w:r>
                </w:p>
              </w:tc>
              <w:tc>
                <w:tcPr>
                  <w:tcW w:w="1574" w:type="pct"/>
                  <w:tcBorders>
                    <w:left w:val="single" w:color="auto" w:sz="4" w:space="0"/>
                    <w:bottom w:val="single" w:color="auto" w:sz="4" w:space="0"/>
                  </w:tcBorders>
                  <w:shd w:val="clear" w:color="auto" w:fill="auto"/>
                  <w:vAlign w:val="center"/>
                </w:tcPr>
                <w:p w14:paraId="4ADAECD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2A61DA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057825D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挥发酚</w:t>
                  </w:r>
                </w:p>
              </w:tc>
              <w:tc>
                <w:tcPr>
                  <w:tcW w:w="2338" w:type="pct"/>
                  <w:tcBorders>
                    <w:left w:val="single" w:color="auto" w:sz="4" w:space="0"/>
                    <w:bottom w:val="single" w:color="auto" w:sz="4" w:space="0"/>
                    <w:right w:val="single" w:color="auto" w:sz="4" w:space="0"/>
                  </w:tcBorders>
                  <w:shd w:val="clear" w:color="auto" w:fill="auto"/>
                  <w:vAlign w:val="center"/>
                </w:tcPr>
                <w:p w14:paraId="6EAE47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0.0003L</w:t>
                  </w:r>
                </w:p>
              </w:tc>
              <w:tc>
                <w:tcPr>
                  <w:tcW w:w="1574" w:type="pct"/>
                  <w:tcBorders>
                    <w:left w:val="single" w:color="auto" w:sz="4" w:space="0"/>
                    <w:bottom w:val="single" w:color="auto" w:sz="4" w:space="0"/>
                  </w:tcBorders>
                  <w:shd w:val="clear" w:color="auto" w:fill="auto"/>
                  <w:vAlign w:val="center"/>
                </w:tcPr>
                <w:p w14:paraId="5E5C21E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96F49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161AA55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硒</w:t>
                  </w:r>
                </w:p>
              </w:tc>
              <w:tc>
                <w:tcPr>
                  <w:tcW w:w="2338" w:type="pct"/>
                  <w:tcBorders>
                    <w:left w:val="single" w:color="auto" w:sz="4" w:space="0"/>
                    <w:bottom w:val="single" w:color="auto" w:sz="4" w:space="0"/>
                    <w:right w:val="single" w:color="auto" w:sz="4" w:space="0"/>
                  </w:tcBorders>
                  <w:shd w:val="clear" w:color="auto" w:fill="auto"/>
                  <w:vAlign w:val="center"/>
                </w:tcPr>
                <w:p w14:paraId="1C64EF0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0.0004L</w:t>
                  </w:r>
                </w:p>
              </w:tc>
              <w:tc>
                <w:tcPr>
                  <w:tcW w:w="1574" w:type="pct"/>
                  <w:tcBorders>
                    <w:left w:val="single" w:color="auto" w:sz="4" w:space="0"/>
                    <w:bottom w:val="single" w:color="auto" w:sz="4" w:space="0"/>
                  </w:tcBorders>
                  <w:shd w:val="clear" w:color="auto" w:fill="auto"/>
                  <w:vAlign w:val="center"/>
                </w:tcPr>
                <w:p w14:paraId="5B251BE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89C0C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019265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砷</w:t>
                  </w:r>
                </w:p>
              </w:tc>
              <w:tc>
                <w:tcPr>
                  <w:tcW w:w="2338" w:type="pct"/>
                  <w:tcBorders>
                    <w:left w:val="single" w:color="auto" w:sz="4" w:space="0"/>
                    <w:bottom w:val="single" w:color="auto" w:sz="4" w:space="0"/>
                    <w:right w:val="single" w:color="auto" w:sz="4" w:space="0"/>
                  </w:tcBorders>
                  <w:shd w:val="clear" w:color="auto" w:fill="auto"/>
                  <w:vAlign w:val="center"/>
                </w:tcPr>
                <w:p w14:paraId="0C881A9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color w:val="auto"/>
                      <w:spacing w:val="0"/>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0.0003L</w:t>
                  </w:r>
                </w:p>
              </w:tc>
              <w:tc>
                <w:tcPr>
                  <w:tcW w:w="1574" w:type="pct"/>
                  <w:tcBorders>
                    <w:left w:val="single" w:color="auto" w:sz="4" w:space="0"/>
                    <w:bottom w:val="single" w:color="auto" w:sz="4" w:space="0"/>
                  </w:tcBorders>
                  <w:shd w:val="clear" w:color="auto" w:fill="auto"/>
                  <w:vAlign w:val="center"/>
                </w:tcPr>
                <w:p w14:paraId="3665E44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DF8E6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0D9A7E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汞</w:t>
                  </w:r>
                </w:p>
              </w:tc>
              <w:tc>
                <w:tcPr>
                  <w:tcW w:w="2338" w:type="pct"/>
                  <w:tcBorders>
                    <w:left w:val="single" w:color="auto" w:sz="4" w:space="0"/>
                    <w:bottom w:val="single" w:color="auto" w:sz="4" w:space="0"/>
                    <w:right w:val="single" w:color="auto" w:sz="4" w:space="0"/>
                  </w:tcBorders>
                  <w:shd w:val="clear" w:color="auto" w:fill="auto"/>
                  <w:vAlign w:val="center"/>
                </w:tcPr>
                <w:p w14:paraId="7CA0D84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0.00004L</w:t>
                  </w:r>
                </w:p>
              </w:tc>
              <w:tc>
                <w:tcPr>
                  <w:tcW w:w="1574" w:type="pct"/>
                  <w:tcBorders>
                    <w:left w:val="single" w:color="auto" w:sz="4" w:space="0"/>
                    <w:bottom w:val="single" w:color="auto" w:sz="4" w:space="0"/>
                  </w:tcBorders>
                  <w:shd w:val="clear" w:color="auto" w:fill="auto"/>
                  <w:vAlign w:val="center"/>
                </w:tcPr>
                <w:p w14:paraId="7091F8D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F5F2B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7E6EE41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镉</w:t>
                  </w:r>
                </w:p>
              </w:tc>
              <w:tc>
                <w:tcPr>
                  <w:tcW w:w="2338" w:type="pct"/>
                  <w:tcBorders>
                    <w:left w:val="single" w:color="auto" w:sz="4" w:space="0"/>
                    <w:bottom w:val="single" w:color="auto" w:sz="4" w:space="0"/>
                    <w:right w:val="single" w:color="auto" w:sz="4" w:space="0"/>
                  </w:tcBorders>
                  <w:shd w:val="clear" w:color="auto" w:fill="auto"/>
                  <w:vAlign w:val="center"/>
                </w:tcPr>
                <w:p w14:paraId="66A2620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0.001L</w:t>
                  </w:r>
                </w:p>
              </w:tc>
              <w:tc>
                <w:tcPr>
                  <w:tcW w:w="1574" w:type="pct"/>
                  <w:tcBorders>
                    <w:left w:val="single" w:color="auto" w:sz="4" w:space="0"/>
                    <w:bottom w:val="single" w:color="auto" w:sz="4" w:space="0"/>
                  </w:tcBorders>
                  <w:shd w:val="clear" w:color="auto" w:fill="auto"/>
                  <w:vAlign w:val="center"/>
                </w:tcPr>
                <w:p w14:paraId="535FC8B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0711D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583941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六价铬</w:t>
                  </w:r>
                </w:p>
              </w:tc>
              <w:tc>
                <w:tcPr>
                  <w:tcW w:w="2338" w:type="pct"/>
                  <w:tcBorders>
                    <w:left w:val="single" w:color="auto" w:sz="4" w:space="0"/>
                    <w:bottom w:val="single" w:color="auto" w:sz="4" w:space="0"/>
                    <w:right w:val="single" w:color="auto" w:sz="4" w:space="0"/>
                  </w:tcBorders>
                  <w:shd w:val="clear" w:color="auto" w:fill="auto"/>
                  <w:vAlign w:val="center"/>
                </w:tcPr>
                <w:p w14:paraId="3B1E938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0.004L</w:t>
                  </w:r>
                </w:p>
              </w:tc>
              <w:tc>
                <w:tcPr>
                  <w:tcW w:w="1574" w:type="pct"/>
                  <w:tcBorders>
                    <w:left w:val="single" w:color="auto" w:sz="4" w:space="0"/>
                    <w:bottom w:val="single" w:color="auto" w:sz="4" w:space="0"/>
                  </w:tcBorders>
                  <w:shd w:val="clear" w:color="auto" w:fill="auto"/>
                  <w:vAlign w:val="center"/>
                </w:tcPr>
                <w:p w14:paraId="68645B3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CE84D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7C75F2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铅</w:t>
                  </w:r>
                </w:p>
              </w:tc>
              <w:tc>
                <w:tcPr>
                  <w:tcW w:w="2338" w:type="pct"/>
                  <w:tcBorders>
                    <w:left w:val="single" w:color="auto" w:sz="4" w:space="0"/>
                    <w:bottom w:val="single" w:color="auto" w:sz="4" w:space="0"/>
                    <w:right w:val="single" w:color="auto" w:sz="4" w:space="0"/>
                  </w:tcBorders>
                  <w:shd w:val="clear" w:color="auto" w:fill="auto"/>
                  <w:vAlign w:val="center"/>
                </w:tcPr>
                <w:p w14:paraId="16F1647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0.01L</w:t>
                  </w:r>
                </w:p>
              </w:tc>
              <w:tc>
                <w:tcPr>
                  <w:tcW w:w="1574" w:type="pct"/>
                  <w:tcBorders>
                    <w:left w:val="single" w:color="auto" w:sz="4" w:space="0"/>
                    <w:bottom w:val="single" w:color="auto" w:sz="4" w:space="0"/>
                  </w:tcBorders>
                  <w:shd w:val="clear" w:color="auto" w:fill="auto"/>
                  <w:vAlign w:val="center"/>
                </w:tcPr>
                <w:p w14:paraId="07ECF5E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C45E8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3C19F73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石油类</w:t>
                  </w:r>
                </w:p>
              </w:tc>
              <w:tc>
                <w:tcPr>
                  <w:tcW w:w="2338" w:type="pct"/>
                  <w:tcBorders>
                    <w:left w:val="single" w:color="auto" w:sz="4" w:space="0"/>
                    <w:bottom w:val="single" w:color="auto" w:sz="4" w:space="0"/>
                    <w:right w:val="single" w:color="auto" w:sz="4" w:space="0"/>
                  </w:tcBorders>
                  <w:shd w:val="clear" w:color="auto" w:fill="auto"/>
                  <w:vAlign w:val="center"/>
                </w:tcPr>
                <w:p w14:paraId="66AE1ED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0.01L</w:t>
                  </w:r>
                </w:p>
              </w:tc>
              <w:tc>
                <w:tcPr>
                  <w:tcW w:w="1574" w:type="pct"/>
                  <w:tcBorders>
                    <w:left w:val="single" w:color="auto" w:sz="4" w:space="0"/>
                    <w:bottom w:val="single" w:color="auto" w:sz="4" w:space="0"/>
                  </w:tcBorders>
                  <w:shd w:val="clear" w:color="auto" w:fill="auto"/>
                  <w:vAlign w:val="center"/>
                </w:tcPr>
                <w:p w14:paraId="629C3B9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D5CBC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49C54C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硫化物</w:t>
                  </w:r>
                </w:p>
              </w:tc>
              <w:tc>
                <w:tcPr>
                  <w:tcW w:w="2338" w:type="pct"/>
                  <w:tcBorders>
                    <w:left w:val="single" w:color="auto" w:sz="4" w:space="0"/>
                    <w:bottom w:val="single" w:color="auto" w:sz="4" w:space="0"/>
                    <w:right w:val="single" w:color="auto" w:sz="4" w:space="0"/>
                  </w:tcBorders>
                  <w:shd w:val="clear" w:color="auto" w:fill="auto"/>
                  <w:vAlign w:val="center"/>
                </w:tcPr>
                <w:p w14:paraId="1BDA76E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0.01L</w:t>
                  </w:r>
                </w:p>
              </w:tc>
              <w:tc>
                <w:tcPr>
                  <w:tcW w:w="1574" w:type="pct"/>
                  <w:tcBorders>
                    <w:left w:val="single" w:color="auto" w:sz="4" w:space="0"/>
                    <w:bottom w:val="single" w:color="auto" w:sz="4" w:space="0"/>
                  </w:tcBorders>
                  <w:shd w:val="clear" w:color="auto" w:fill="auto"/>
                  <w:vAlign w:val="center"/>
                </w:tcPr>
                <w:p w14:paraId="7651D44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3C7EC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673D181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阴离子表面活性剂</w:t>
                  </w:r>
                </w:p>
              </w:tc>
              <w:tc>
                <w:tcPr>
                  <w:tcW w:w="2338" w:type="pct"/>
                  <w:tcBorders>
                    <w:left w:val="single" w:color="auto" w:sz="4" w:space="0"/>
                    <w:bottom w:val="single" w:color="auto" w:sz="4" w:space="0"/>
                    <w:right w:val="single" w:color="auto" w:sz="4" w:space="0"/>
                  </w:tcBorders>
                  <w:shd w:val="clear" w:color="auto" w:fill="auto"/>
                  <w:vAlign w:val="center"/>
                </w:tcPr>
                <w:p w14:paraId="36A4ACD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0.05L</w:t>
                  </w:r>
                </w:p>
              </w:tc>
              <w:tc>
                <w:tcPr>
                  <w:tcW w:w="1574" w:type="pct"/>
                  <w:tcBorders>
                    <w:left w:val="single" w:color="auto" w:sz="4" w:space="0"/>
                    <w:bottom w:val="single" w:color="auto" w:sz="4" w:space="0"/>
                  </w:tcBorders>
                  <w:shd w:val="clear" w:color="auto" w:fill="auto"/>
                  <w:vAlign w:val="center"/>
                </w:tcPr>
                <w:p w14:paraId="59CEEF8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DD5B0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7691E9B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粪大肠菌群</w:t>
                  </w:r>
                </w:p>
              </w:tc>
              <w:tc>
                <w:tcPr>
                  <w:tcW w:w="2338" w:type="pct"/>
                  <w:tcBorders>
                    <w:left w:val="single" w:color="auto" w:sz="4" w:space="0"/>
                    <w:bottom w:val="single" w:color="auto" w:sz="4" w:space="0"/>
                    <w:right w:val="single" w:color="auto" w:sz="4" w:space="0"/>
                  </w:tcBorders>
                  <w:shd w:val="clear" w:color="auto" w:fill="auto"/>
                  <w:vAlign w:val="center"/>
                </w:tcPr>
                <w:p w14:paraId="3371FF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1100</w:t>
                  </w:r>
                </w:p>
              </w:tc>
              <w:tc>
                <w:tcPr>
                  <w:tcW w:w="1574" w:type="pct"/>
                  <w:tcBorders>
                    <w:left w:val="single" w:color="auto" w:sz="4" w:space="0"/>
                    <w:bottom w:val="single" w:color="auto" w:sz="4" w:space="0"/>
                  </w:tcBorders>
                  <w:shd w:val="clear" w:color="auto" w:fill="auto"/>
                  <w:vAlign w:val="center"/>
                </w:tcPr>
                <w:p w14:paraId="6EC0921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MPN/L</w:t>
                  </w:r>
                </w:p>
              </w:tc>
            </w:tr>
            <w:tr w14:paraId="0ECF5A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3DA4EAF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cs="Times New Roman"/>
                      <w:color w:val="auto"/>
                      <w:sz w:val="18"/>
                      <w:szCs w:val="18"/>
                      <w:highlight w:val="none"/>
                      <w:lang w:val="en-US" w:eastAsia="zh-CN"/>
                    </w:rPr>
                    <w:t>叶绿素a</w:t>
                  </w:r>
                </w:p>
              </w:tc>
              <w:tc>
                <w:tcPr>
                  <w:tcW w:w="2338" w:type="pct"/>
                  <w:tcBorders>
                    <w:left w:val="single" w:color="auto" w:sz="4" w:space="0"/>
                    <w:bottom w:val="single" w:color="auto" w:sz="4" w:space="0"/>
                    <w:right w:val="single" w:color="auto" w:sz="4" w:space="0"/>
                  </w:tcBorders>
                  <w:shd w:val="clear" w:color="auto" w:fill="auto"/>
                  <w:vAlign w:val="center"/>
                </w:tcPr>
                <w:p w14:paraId="59FA63B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0.002L</w:t>
                  </w:r>
                </w:p>
              </w:tc>
              <w:tc>
                <w:tcPr>
                  <w:tcW w:w="1574" w:type="pct"/>
                  <w:tcBorders>
                    <w:left w:val="single" w:color="auto" w:sz="4" w:space="0"/>
                    <w:bottom w:val="single" w:color="auto" w:sz="4" w:space="0"/>
                  </w:tcBorders>
                  <w:shd w:val="clear" w:color="auto" w:fill="auto"/>
                  <w:vAlign w:val="center"/>
                </w:tcPr>
                <w:p w14:paraId="402F886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69F90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tcBorders>
                    <w:bottom w:val="single" w:color="auto" w:sz="4" w:space="0"/>
                    <w:right w:val="single" w:color="auto" w:sz="4" w:space="0"/>
                  </w:tcBorders>
                  <w:shd w:val="clear" w:color="auto" w:fill="auto"/>
                  <w:vAlign w:val="center"/>
                </w:tcPr>
                <w:p w14:paraId="7C488D5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透明度</w:t>
                  </w:r>
                </w:p>
              </w:tc>
              <w:tc>
                <w:tcPr>
                  <w:tcW w:w="2338" w:type="pct"/>
                  <w:tcBorders>
                    <w:left w:val="single" w:color="auto" w:sz="4" w:space="0"/>
                    <w:bottom w:val="single" w:color="auto" w:sz="4" w:space="0"/>
                    <w:right w:val="single" w:color="auto" w:sz="4" w:space="0"/>
                  </w:tcBorders>
                  <w:shd w:val="clear" w:color="auto" w:fill="auto"/>
                  <w:vAlign w:val="center"/>
                </w:tcPr>
                <w:p w14:paraId="6FEA5BB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81</w:t>
                  </w:r>
                </w:p>
              </w:tc>
              <w:tc>
                <w:tcPr>
                  <w:tcW w:w="1574" w:type="pct"/>
                  <w:tcBorders>
                    <w:left w:val="single" w:color="auto" w:sz="4" w:space="0"/>
                    <w:bottom w:val="single" w:color="auto" w:sz="4" w:space="0"/>
                  </w:tcBorders>
                  <w:shd w:val="clear" w:color="auto" w:fill="auto"/>
                  <w:vAlign w:val="center"/>
                </w:tcPr>
                <w:p w14:paraId="05803E2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cm</w:t>
                  </w:r>
                </w:p>
              </w:tc>
            </w:tr>
            <w:tr w14:paraId="11C67E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restart"/>
                  <w:vAlign w:val="center"/>
                </w:tcPr>
                <w:p w14:paraId="443F83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检测项目</w:t>
                  </w:r>
                </w:p>
              </w:tc>
              <w:tc>
                <w:tcPr>
                  <w:tcW w:w="2338" w:type="pct"/>
                  <w:vAlign w:val="center"/>
                </w:tcPr>
                <w:p w14:paraId="5015446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样品编号及点位</w:t>
                  </w:r>
                </w:p>
              </w:tc>
              <w:tc>
                <w:tcPr>
                  <w:tcW w:w="1574" w:type="pct"/>
                  <w:vMerge w:val="restart"/>
                  <w:vAlign w:val="center"/>
                </w:tcPr>
                <w:p w14:paraId="1BCDBA7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单位</w:t>
                  </w:r>
                </w:p>
              </w:tc>
            </w:tr>
            <w:tr w14:paraId="37B170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continue"/>
                  <w:vAlign w:val="center"/>
                </w:tcPr>
                <w:p w14:paraId="6AC27B2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2338" w:type="pct"/>
                  <w:vAlign w:val="center"/>
                </w:tcPr>
                <w:p w14:paraId="242849E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eastAsia="宋体" w:cs="Times New Roman"/>
                      <w:color w:val="auto"/>
                      <w:sz w:val="18"/>
                      <w:szCs w:val="18"/>
                      <w:highlight w:val="none"/>
                      <w:lang w:val="en-US" w:eastAsia="zh-CN"/>
                    </w:rPr>
                    <w:t>水库</w:t>
                  </w:r>
                  <w:r>
                    <w:rPr>
                      <w:rFonts w:hint="default" w:ascii="Times New Roman" w:hAnsi="Times New Roman" w:cs="Times New Roman"/>
                      <w:color w:val="auto"/>
                      <w:sz w:val="18"/>
                      <w:szCs w:val="18"/>
                      <w:highlight w:val="none"/>
                      <w:lang w:val="en-US" w:eastAsia="zh-CN"/>
                    </w:rPr>
                    <w:t>下</w:t>
                  </w:r>
                  <w:r>
                    <w:rPr>
                      <w:rFonts w:hint="default" w:ascii="Times New Roman" w:hAnsi="Times New Roman" w:eastAsia="宋体" w:cs="Times New Roman"/>
                      <w:color w:val="auto"/>
                      <w:sz w:val="18"/>
                      <w:szCs w:val="18"/>
                      <w:highlight w:val="none"/>
                      <w:lang w:val="en-US" w:eastAsia="zh-CN"/>
                    </w:rPr>
                    <w:t>游汇入锅盔河处</w:t>
                  </w:r>
                  <w:r>
                    <w:rPr>
                      <w:rFonts w:hint="default" w:ascii="Times New Roman" w:hAnsi="Times New Roman" w:cs="Times New Roman" w:eastAsiaTheme="minorEastAsia"/>
                      <w:color w:val="auto"/>
                      <w:sz w:val="18"/>
                      <w:szCs w:val="18"/>
                      <w:highlight w:val="none"/>
                    </w:rPr>
                    <w:t>2#</w:t>
                  </w:r>
                </w:p>
              </w:tc>
              <w:tc>
                <w:tcPr>
                  <w:tcW w:w="1574" w:type="pct"/>
                  <w:vMerge w:val="continue"/>
                  <w:vAlign w:val="center"/>
                </w:tcPr>
                <w:p w14:paraId="176BA42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416B71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continue"/>
                  <w:vAlign w:val="center"/>
                </w:tcPr>
                <w:p w14:paraId="79E5A00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2338" w:type="pct"/>
                  <w:shd w:val="clear" w:color="auto" w:fill="auto"/>
                  <w:vAlign w:val="center"/>
                </w:tcPr>
                <w:p w14:paraId="3824B9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val="0"/>
                      <w:bCs/>
                      <w:color w:val="auto"/>
                      <w:spacing w:val="0"/>
                      <w:sz w:val="18"/>
                      <w:szCs w:val="18"/>
                      <w:highlight w:val="none"/>
                      <w:lang w:val="en-US" w:eastAsia="zh-CN"/>
                    </w:rPr>
                    <w:t>检测结果</w:t>
                  </w:r>
                </w:p>
              </w:tc>
              <w:tc>
                <w:tcPr>
                  <w:tcW w:w="1574" w:type="pct"/>
                  <w:vMerge w:val="continue"/>
                  <w:vAlign w:val="center"/>
                </w:tcPr>
                <w:p w14:paraId="6FFE9C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616698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3B3A50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PH值</w:t>
                  </w:r>
                </w:p>
              </w:tc>
              <w:tc>
                <w:tcPr>
                  <w:tcW w:w="2338" w:type="pct"/>
                  <w:shd w:val="clear" w:color="auto" w:fill="auto"/>
                  <w:vAlign w:val="center"/>
                </w:tcPr>
                <w:p w14:paraId="667E9EA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7.2</w:t>
                  </w:r>
                </w:p>
              </w:tc>
              <w:tc>
                <w:tcPr>
                  <w:tcW w:w="1574" w:type="pct"/>
                  <w:shd w:val="clear" w:color="auto" w:fill="auto"/>
                  <w:vAlign w:val="center"/>
                </w:tcPr>
                <w:p w14:paraId="39B993B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cs="Times New Roman"/>
                      <w:color w:val="auto"/>
                      <w:kern w:val="0"/>
                      <w:sz w:val="18"/>
                      <w:szCs w:val="18"/>
                      <w:highlight w:val="none"/>
                    </w:rPr>
                    <w:t>无量纲</w:t>
                  </w:r>
                </w:p>
              </w:tc>
            </w:tr>
            <w:tr w14:paraId="5F5612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1FE2C8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溶解氧</w:t>
                  </w:r>
                </w:p>
              </w:tc>
              <w:tc>
                <w:tcPr>
                  <w:tcW w:w="2338" w:type="pct"/>
                  <w:shd w:val="clear" w:color="auto" w:fill="auto"/>
                  <w:vAlign w:val="center"/>
                </w:tcPr>
                <w:p w14:paraId="2A04540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8.63</w:t>
                  </w:r>
                </w:p>
              </w:tc>
              <w:tc>
                <w:tcPr>
                  <w:tcW w:w="1574" w:type="pct"/>
                  <w:shd w:val="clear" w:color="auto" w:fill="auto"/>
                  <w:vAlign w:val="center"/>
                </w:tcPr>
                <w:p w14:paraId="0B4A581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2F6277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4AB0AC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氨氮</w:t>
                  </w:r>
                </w:p>
              </w:tc>
              <w:tc>
                <w:tcPr>
                  <w:tcW w:w="2338" w:type="pct"/>
                  <w:shd w:val="clear" w:color="auto" w:fill="auto"/>
                  <w:vAlign w:val="center"/>
                </w:tcPr>
                <w:p w14:paraId="7EA8CC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0.139</w:t>
                  </w:r>
                </w:p>
              </w:tc>
              <w:tc>
                <w:tcPr>
                  <w:tcW w:w="1574" w:type="pct"/>
                  <w:shd w:val="clear" w:color="auto" w:fill="auto"/>
                  <w:vAlign w:val="center"/>
                </w:tcPr>
                <w:p w14:paraId="4299D75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6181C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876B5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高锰酸盐指数</w:t>
                  </w:r>
                </w:p>
              </w:tc>
              <w:tc>
                <w:tcPr>
                  <w:tcW w:w="2338" w:type="pct"/>
                  <w:shd w:val="clear" w:color="auto" w:fill="auto"/>
                  <w:vAlign w:val="center"/>
                </w:tcPr>
                <w:p w14:paraId="3B61A9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3.8</w:t>
                  </w:r>
                </w:p>
              </w:tc>
              <w:tc>
                <w:tcPr>
                  <w:tcW w:w="1574" w:type="pct"/>
                  <w:shd w:val="clear" w:color="auto" w:fill="auto"/>
                  <w:vAlign w:val="center"/>
                </w:tcPr>
                <w:p w14:paraId="3210B55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2675D7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6888B4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化学需氧量</w:t>
                  </w:r>
                </w:p>
              </w:tc>
              <w:tc>
                <w:tcPr>
                  <w:tcW w:w="2338" w:type="pct"/>
                  <w:shd w:val="clear" w:color="auto" w:fill="auto"/>
                  <w:vAlign w:val="center"/>
                </w:tcPr>
                <w:p w14:paraId="1F8455A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14</w:t>
                  </w:r>
                </w:p>
              </w:tc>
              <w:tc>
                <w:tcPr>
                  <w:tcW w:w="1574" w:type="pct"/>
                  <w:shd w:val="clear" w:color="auto" w:fill="auto"/>
                  <w:vAlign w:val="center"/>
                </w:tcPr>
                <w:p w14:paraId="5B3B402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E5171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5D0BDE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五日生化需氧量</w:t>
                  </w:r>
                </w:p>
              </w:tc>
              <w:tc>
                <w:tcPr>
                  <w:tcW w:w="2338" w:type="pct"/>
                  <w:shd w:val="clear" w:color="auto" w:fill="auto"/>
                  <w:vAlign w:val="center"/>
                </w:tcPr>
                <w:p w14:paraId="18AF92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2.8</w:t>
                  </w:r>
                </w:p>
              </w:tc>
              <w:tc>
                <w:tcPr>
                  <w:tcW w:w="1574" w:type="pct"/>
                  <w:shd w:val="clear" w:color="auto" w:fill="auto"/>
                  <w:vAlign w:val="center"/>
                </w:tcPr>
                <w:p w14:paraId="1603FFF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13C56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623D21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总磷</w:t>
                  </w:r>
                </w:p>
              </w:tc>
              <w:tc>
                <w:tcPr>
                  <w:tcW w:w="2338" w:type="pct"/>
                  <w:shd w:val="clear" w:color="auto" w:fill="auto"/>
                  <w:vAlign w:val="center"/>
                </w:tcPr>
                <w:p w14:paraId="52AEBF6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0.08</w:t>
                  </w:r>
                </w:p>
              </w:tc>
              <w:tc>
                <w:tcPr>
                  <w:tcW w:w="1574" w:type="pct"/>
                  <w:shd w:val="clear" w:color="auto" w:fill="auto"/>
                  <w:vAlign w:val="center"/>
                </w:tcPr>
                <w:p w14:paraId="50082AE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3CA23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5C2BE55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总氮</w:t>
                  </w:r>
                </w:p>
              </w:tc>
              <w:tc>
                <w:tcPr>
                  <w:tcW w:w="2338" w:type="pct"/>
                  <w:shd w:val="clear" w:color="auto" w:fill="auto"/>
                  <w:vAlign w:val="center"/>
                </w:tcPr>
                <w:p w14:paraId="14888E6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0.74</w:t>
                  </w:r>
                </w:p>
              </w:tc>
              <w:tc>
                <w:tcPr>
                  <w:tcW w:w="1574" w:type="pct"/>
                  <w:shd w:val="clear" w:color="auto" w:fill="auto"/>
                  <w:vAlign w:val="center"/>
                </w:tcPr>
                <w:p w14:paraId="526D874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799EB7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FB47D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铜</w:t>
                  </w:r>
                </w:p>
              </w:tc>
              <w:tc>
                <w:tcPr>
                  <w:tcW w:w="2338" w:type="pct"/>
                  <w:shd w:val="clear" w:color="auto" w:fill="auto"/>
                  <w:vAlign w:val="center"/>
                </w:tcPr>
                <w:p w14:paraId="16D109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574" w:type="pct"/>
                  <w:shd w:val="clear" w:color="auto" w:fill="auto"/>
                  <w:vAlign w:val="center"/>
                </w:tcPr>
                <w:p w14:paraId="70494B0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3EDEF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1F8675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锌</w:t>
                  </w:r>
                </w:p>
              </w:tc>
              <w:tc>
                <w:tcPr>
                  <w:tcW w:w="2338" w:type="pct"/>
                  <w:shd w:val="clear" w:color="auto" w:fill="auto"/>
                  <w:vAlign w:val="center"/>
                </w:tcPr>
                <w:p w14:paraId="2A5169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574" w:type="pct"/>
                  <w:shd w:val="clear" w:color="auto" w:fill="auto"/>
                  <w:vAlign w:val="center"/>
                </w:tcPr>
                <w:p w14:paraId="13AEF38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42A15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5B967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氟化物</w:t>
                  </w:r>
                </w:p>
              </w:tc>
              <w:tc>
                <w:tcPr>
                  <w:tcW w:w="2338" w:type="pct"/>
                  <w:shd w:val="clear" w:color="auto" w:fill="auto"/>
                  <w:vAlign w:val="center"/>
                </w:tcPr>
                <w:p w14:paraId="34230E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0.006L</w:t>
                  </w:r>
                </w:p>
              </w:tc>
              <w:tc>
                <w:tcPr>
                  <w:tcW w:w="1574" w:type="pct"/>
                  <w:shd w:val="clear" w:color="auto" w:fill="auto"/>
                  <w:vAlign w:val="center"/>
                </w:tcPr>
                <w:p w14:paraId="0117B30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78CC1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54A6E04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氰化物</w:t>
                  </w:r>
                </w:p>
              </w:tc>
              <w:tc>
                <w:tcPr>
                  <w:tcW w:w="2338" w:type="pct"/>
                  <w:shd w:val="clear" w:color="auto" w:fill="auto"/>
                  <w:vAlign w:val="center"/>
                </w:tcPr>
                <w:p w14:paraId="39D3A3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0.004L</w:t>
                  </w:r>
                </w:p>
              </w:tc>
              <w:tc>
                <w:tcPr>
                  <w:tcW w:w="1574" w:type="pct"/>
                  <w:shd w:val="clear" w:color="auto" w:fill="auto"/>
                  <w:vAlign w:val="center"/>
                </w:tcPr>
                <w:p w14:paraId="29F2245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734B7B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6B44BC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挥发酚</w:t>
                  </w:r>
                </w:p>
              </w:tc>
              <w:tc>
                <w:tcPr>
                  <w:tcW w:w="2338" w:type="pct"/>
                  <w:shd w:val="clear" w:color="auto" w:fill="auto"/>
                  <w:vAlign w:val="center"/>
                </w:tcPr>
                <w:p w14:paraId="0270F4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0.0003L</w:t>
                  </w:r>
                </w:p>
              </w:tc>
              <w:tc>
                <w:tcPr>
                  <w:tcW w:w="1574" w:type="pct"/>
                  <w:shd w:val="clear" w:color="auto" w:fill="auto"/>
                  <w:vAlign w:val="center"/>
                </w:tcPr>
                <w:p w14:paraId="14D8DA6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70A30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5E68C45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硒</w:t>
                  </w:r>
                </w:p>
              </w:tc>
              <w:tc>
                <w:tcPr>
                  <w:tcW w:w="2338" w:type="pct"/>
                  <w:shd w:val="clear" w:color="auto" w:fill="auto"/>
                  <w:vAlign w:val="center"/>
                </w:tcPr>
                <w:p w14:paraId="69F5304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0.0004L</w:t>
                  </w:r>
                </w:p>
              </w:tc>
              <w:tc>
                <w:tcPr>
                  <w:tcW w:w="1574" w:type="pct"/>
                  <w:shd w:val="clear" w:color="auto" w:fill="auto"/>
                  <w:vAlign w:val="center"/>
                </w:tcPr>
                <w:p w14:paraId="04EF77D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CE8C8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4F0D20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砷</w:t>
                  </w:r>
                </w:p>
              </w:tc>
              <w:tc>
                <w:tcPr>
                  <w:tcW w:w="2338" w:type="pct"/>
                  <w:shd w:val="clear" w:color="auto" w:fill="auto"/>
                  <w:vAlign w:val="center"/>
                </w:tcPr>
                <w:p w14:paraId="794B16C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color w:val="auto"/>
                      <w:spacing w:val="0"/>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0.0003L</w:t>
                  </w:r>
                </w:p>
              </w:tc>
              <w:tc>
                <w:tcPr>
                  <w:tcW w:w="1574" w:type="pct"/>
                  <w:shd w:val="clear" w:color="auto" w:fill="auto"/>
                  <w:vAlign w:val="center"/>
                </w:tcPr>
                <w:p w14:paraId="1E0B13E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922BA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9F7519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汞</w:t>
                  </w:r>
                </w:p>
              </w:tc>
              <w:tc>
                <w:tcPr>
                  <w:tcW w:w="2338" w:type="pct"/>
                  <w:shd w:val="clear" w:color="auto" w:fill="auto"/>
                  <w:vAlign w:val="center"/>
                </w:tcPr>
                <w:p w14:paraId="0FA721F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0.00004L</w:t>
                  </w:r>
                </w:p>
              </w:tc>
              <w:tc>
                <w:tcPr>
                  <w:tcW w:w="1574" w:type="pct"/>
                  <w:shd w:val="clear" w:color="auto" w:fill="auto"/>
                  <w:vAlign w:val="center"/>
                </w:tcPr>
                <w:p w14:paraId="78E526A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2C6915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4E47ABB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镉</w:t>
                  </w:r>
                </w:p>
              </w:tc>
              <w:tc>
                <w:tcPr>
                  <w:tcW w:w="2338" w:type="pct"/>
                  <w:shd w:val="clear" w:color="auto" w:fill="auto"/>
                  <w:vAlign w:val="center"/>
                </w:tcPr>
                <w:p w14:paraId="76E1973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sz w:val="18"/>
                      <w:szCs w:val="18"/>
                      <w:highlight w:val="none"/>
                      <w:vertAlign w:val="baseline"/>
                      <w:lang w:val="en-US" w:eastAsia="zh-CN"/>
                    </w:rPr>
                    <w:t>0.001L</w:t>
                  </w:r>
                </w:p>
              </w:tc>
              <w:tc>
                <w:tcPr>
                  <w:tcW w:w="1574" w:type="pct"/>
                  <w:shd w:val="clear" w:color="auto" w:fill="auto"/>
                  <w:vAlign w:val="center"/>
                </w:tcPr>
                <w:p w14:paraId="3D1B6E2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27B84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747D1D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六价铬</w:t>
                  </w:r>
                </w:p>
              </w:tc>
              <w:tc>
                <w:tcPr>
                  <w:tcW w:w="2338" w:type="pct"/>
                  <w:shd w:val="clear" w:color="auto" w:fill="auto"/>
                  <w:vAlign w:val="center"/>
                </w:tcPr>
                <w:p w14:paraId="5ABA032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sz w:val="18"/>
                      <w:szCs w:val="18"/>
                      <w:highlight w:val="none"/>
                      <w:vertAlign w:val="baseline"/>
                      <w:lang w:val="en-US" w:eastAsia="zh-CN"/>
                    </w:rPr>
                    <w:t>0.004L</w:t>
                  </w:r>
                </w:p>
              </w:tc>
              <w:tc>
                <w:tcPr>
                  <w:tcW w:w="1574" w:type="pct"/>
                  <w:shd w:val="clear" w:color="auto" w:fill="auto"/>
                  <w:vAlign w:val="center"/>
                </w:tcPr>
                <w:p w14:paraId="374EFCD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717994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760BC7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铅</w:t>
                  </w:r>
                </w:p>
              </w:tc>
              <w:tc>
                <w:tcPr>
                  <w:tcW w:w="2338" w:type="pct"/>
                  <w:shd w:val="clear" w:color="auto" w:fill="auto"/>
                  <w:vAlign w:val="center"/>
                </w:tcPr>
                <w:p w14:paraId="1EA7823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sz w:val="18"/>
                      <w:szCs w:val="18"/>
                      <w:highlight w:val="none"/>
                      <w:vertAlign w:val="baseline"/>
                      <w:lang w:val="en-US" w:eastAsia="zh-CN"/>
                    </w:rPr>
                    <w:t>0.01L</w:t>
                  </w:r>
                </w:p>
              </w:tc>
              <w:tc>
                <w:tcPr>
                  <w:tcW w:w="1574" w:type="pct"/>
                  <w:shd w:val="clear" w:color="auto" w:fill="auto"/>
                  <w:vAlign w:val="center"/>
                </w:tcPr>
                <w:p w14:paraId="5333C4E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334E9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E4113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石油类</w:t>
                  </w:r>
                </w:p>
              </w:tc>
              <w:tc>
                <w:tcPr>
                  <w:tcW w:w="2338" w:type="pct"/>
                  <w:shd w:val="clear" w:color="auto" w:fill="auto"/>
                  <w:vAlign w:val="center"/>
                </w:tcPr>
                <w:p w14:paraId="07CEA6C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0.01L</w:t>
                  </w:r>
                </w:p>
              </w:tc>
              <w:tc>
                <w:tcPr>
                  <w:tcW w:w="1574" w:type="pct"/>
                  <w:shd w:val="clear" w:color="auto" w:fill="auto"/>
                  <w:vAlign w:val="center"/>
                </w:tcPr>
                <w:p w14:paraId="410933B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18007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828964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硫化物</w:t>
                  </w:r>
                </w:p>
              </w:tc>
              <w:tc>
                <w:tcPr>
                  <w:tcW w:w="2338" w:type="pct"/>
                  <w:shd w:val="clear" w:color="auto" w:fill="auto"/>
                  <w:vAlign w:val="center"/>
                </w:tcPr>
                <w:p w14:paraId="2057DBA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0.01L</w:t>
                  </w:r>
                </w:p>
              </w:tc>
              <w:tc>
                <w:tcPr>
                  <w:tcW w:w="1574" w:type="pct"/>
                  <w:shd w:val="clear" w:color="auto" w:fill="auto"/>
                  <w:vAlign w:val="center"/>
                </w:tcPr>
                <w:p w14:paraId="6E8F275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71B5C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8A4DAA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阴离子表面活性剂</w:t>
                  </w:r>
                </w:p>
              </w:tc>
              <w:tc>
                <w:tcPr>
                  <w:tcW w:w="2338" w:type="pct"/>
                  <w:shd w:val="clear" w:color="auto" w:fill="auto"/>
                  <w:vAlign w:val="center"/>
                </w:tcPr>
                <w:p w14:paraId="642019A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0.05L</w:t>
                  </w:r>
                </w:p>
              </w:tc>
              <w:tc>
                <w:tcPr>
                  <w:tcW w:w="1574" w:type="pct"/>
                  <w:shd w:val="clear" w:color="auto" w:fill="auto"/>
                  <w:vAlign w:val="center"/>
                </w:tcPr>
                <w:p w14:paraId="6871873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76D2B1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6EE3E18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粪大肠菌群</w:t>
                  </w:r>
                </w:p>
              </w:tc>
              <w:tc>
                <w:tcPr>
                  <w:tcW w:w="2338" w:type="pct"/>
                  <w:shd w:val="clear" w:color="auto" w:fill="auto"/>
                  <w:vAlign w:val="center"/>
                </w:tcPr>
                <w:p w14:paraId="42C6DFF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1100</w:t>
                  </w:r>
                </w:p>
              </w:tc>
              <w:tc>
                <w:tcPr>
                  <w:tcW w:w="1574" w:type="pct"/>
                  <w:shd w:val="clear" w:color="auto" w:fill="auto"/>
                  <w:vAlign w:val="center"/>
                </w:tcPr>
                <w:p w14:paraId="2DA7276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MPN/L</w:t>
                  </w:r>
                </w:p>
              </w:tc>
            </w:tr>
            <w:tr w14:paraId="7130C8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restart"/>
                  <w:shd w:val="clear" w:color="auto" w:fill="auto"/>
                  <w:vAlign w:val="center"/>
                </w:tcPr>
                <w:p w14:paraId="36D8CCF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cs="Times New Roman" w:eastAsiaTheme="minorEastAsia"/>
                      <w:color w:val="auto"/>
                      <w:sz w:val="18"/>
                      <w:szCs w:val="18"/>
                      <w:highlight w:val="none"/>
                    </w:rPr>
                    <w:t>检测项目</w:t>
                  </w:r>
                </w:p>
              </w:tc>
              <w:tc>
                <w:tcPr>
                  <w:tcW w:w="2338" w:type="pct"/>
                  <w:shd w:val="clear" w:color="auto" w:fill="auto"/>
                  <w:vAlign w:val="center"/>
                </w:tcPr>
                <w:p w14:paraId="189BDED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样品编号及点位</w:t>
                  </w:r>
                </w:p>
              </w:tc>
              <w:tc>
                <w:tcPr>
                  <w:tcW w:w="1574" w:type="pct"/>
                  <w:vMerge w:val="restart"/>
                  <w:shd w:val="clear" w:color="auto" w:fill="auto"/>
                  <w:vAlign w:val="center"/>
                </w:tcPr>
                <w:p w14:paraId="15898B9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单位</w:t>
                  </w:r>
                </w:p>
              </w:tc>
            </w:tr>
            <w:tr w14:paraId="7F5B0F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continue"/>
                  <w:shd w:val="clear" w:color="auto" w:fill="auto"/>
                  <w:vAlign w:val="center"/>
                </w:tcPr>
                <w:p w14:paraId="477950B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p>
              </w:tc>
              <w:tc>
                <w:tcPr>
                  <w:tcW w:w="2338" w:type="pct"/>
                  <w:shd w:val="clear" w:color="auto" w:fill="auto"/>
                  <w:vAlign w:val="center"/>
                </w:tcPr>
                <w:p w14:paraId="32E1E4A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锅盔河汇入穆棱河处3</w:t>
                  </w:r>
                  <w:r>
                    <w:rPr>
                      <w:rFonts w:hint="default" w:ascii="Times New Roman" w:hAnsi="Times New Roman" w:cs="Times New Roman" w:eastAsiaTheme="minorEastAsia"/>
                      <w:color w:val="auto"/>
                      <w:sz w:val="18"/>
                      <w:szCs w:val="18"/>
                      <w:highlight w:val="none"/>
                    </w:rPr>
                    <w:t>#</w:t>
                  </w:r>
                </w:p>
              </w:tc>
              <w:tc>
                <w:tcPr>
                  <w:tcW w:w="1574" w:type="pct"/>
                  <w:vMerge w:val="continue"/>
                  <w:shd w:val="clear" w:color="auto" w:fill="auto"/>
                  <w:vAlign w:val="center"/>
                </w:tcPr>
                <w:p w14:paraId="3A64CB0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p>
              </w:tc>
            </w:tr>
            <w:tr w14:paraId="1ACED4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vMerge w:val="continue"/>
                  <w:shd w:val="clear" w:color="auto" w:fill="auto"/>
                  <w:vAlign w:val="center"/>
                </w:tcPr>
                <w:p w14:paraId="2B0A22F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p>
              </w:tc>
              <w:tc>
                <w:tcPr>
                  <w:tcW w:w="2338" w:type="pct"/>
                  <w:shd w:val="clear" w:color="auto" w:fill="auto"/>
                  <w:vAlign w:val="center"/>
                </w:tcPr>
                <w:p w14:paraId="7CF8B7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color w:val="auto"/>
                      <w:spacing w:val="0"/>
                      <w:sz w:val="18"/>
                      <w:szCs w:val="18"/>
                      <w:highlight w:val="none"/>
                      <w:lang w:val="en-US" w:eastAsia="zh-CN"/>
                    </w:rPr>
                    <w:t>检测结果</w:t>
                  </w:r>
                </w:p>
              </w:tc>
              <w:tc>
                <w:tcPr>
                  <w:tcW w:w="1574" w:type="pct"/>
                  <w:vMerge w:val="continue"/>
                  <w:shd w:val="clear" w:color="auto" w:fill="auto"/>
                  <w:vAlign w:val="center"/>
                </w:tcPr>
                <w:p w14:paraId="7F73BDE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p>
              </w:tc>
            </w:tr>
            <w:tr w14:paraId="1B77A5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CDFD7A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PH值</w:t>
                  </w:r>
                </w:p>
              </w:tc>
              <w:tc>
                <w:tcPr>
                  <w:tcW w:w="2338" w:type="pct"/>
                  <w:shd w:val="clear" w:color="auto" w:fill="auto"/>
                  <w:vAlign w:val="center"/>
                </w:tcPr>
                <w:p w14:paraId="2453E9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7.2</w:t>
                  </w:r>
                </w:p>
              </w:tc>
              <w:tc>
                <w:tcPr>
                  <w:tcW w:w="1574" w:type="pct"/>
                  <w:shd w:val="clear" w:color="auto" w:fill="auto"/>
                  <w:vAlign w:val="center"/>
                </w:tcPr>
                <w:p w14:paraId="6E1E8F9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rPr>
                    <w:t>无量纲</w:t>
                  </w:r>
                </w:p>
              </w:tc>
            </w:tr>
            <w:tr w14:paraId="5BC388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0F7D65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溶解氧</w:t>
                  </w:r>
                </w:p>
              </w:tc>
              <w:tc>
                <w:tcPr>
                  <w:tcW w:w="2338" w:type="pct"/>
                  <w:shd w:val="clear" w:color="auto" w:fill="auto"/>
                  <w:vAlign w:val="center"/>
                </w:tcPr>
                <w:p w14:paraId="320494E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8.71</w:t>
                  </w:r>
                </w:p>
              </w:tc>
              <w:tc>
                <w:tcPr>
                  <w:tcW w:w="1574" w:type="pct"/>
                  <w:shd w:val="clear" w:color="auto" w:fill="auto"/>
                  <w:vAlign w:val="center"/>
                </w:tcPr>
                <w:p w14:paraId="4E27449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436ED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D85413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氨氮</w:t>
                  </w:r>
                </w:p>
              </w:tc>
              <w:tc>
                <w:tcPr>
                  <w:tcW w:w="2338" w:type="pct"/>
                  <w:shd w:val="clear" w:color="auto" w:fill="auto"/>
                  <w:vAlign w:val="center"/>
                </w:tcPr>
                <w:p w14:paraId="1843C99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0.157</w:t>
                  </w:r>
                </w:p>
              </w:tc>
              <w:tc>
                <w:tcPr>
                  <w:tcW w:w="1574" w:type="pct"/>
                  <w:shd w:val="clear" w:color="auto" w:fill="auto"/>
                  <w:vAlign w:val="center"/>
                </w:tcPr>
                <w:p w14:paraId="186C0D1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9A654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8B7571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
                    </w:rPr>
                    <w:t>高锰酸盐指数</w:t>
                  </w:r>
                </w:p>
              </w:tc>
              <w:tc>
                <w:tcPr>
                  <w:tcW w:w="2338" w:type="pct"/>
                  <w:shd w:val="clear" w:color="auto" w:fill="auto"/>
                  <w:vAlign w:val="center"/>
                </w:tcPr>
                <w:p w14:paraId="2FB714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4.2</w:t>
                  </w:r>
                </w:p>
              </w:tc>
              <w:tc>
                <w:tcPr>
                  <w:tcW w:w="1574" w:type="pct"/>
                  <w:shd w:val="clear" w:color="auto" w:fill="auto"/>
                  <w:vAlign w:val="center"/>
                </w:tcPr>
                <w:p w14:paraId="041AF00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E5906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DE3148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SA"/>
                    </w:rPr>
                    <w:t>化学需氧量</w:t>
                  </w:r>
                </w:p>
              </w:tc>
              <w:tc>
                <w:tcPr>
                  <w:tcW w:w="2338" w:type="pct"/>
                  <w:shd w:val="clear" w:color="auto" w:fill="auto"/>
                  <w:vAlign w:val="center"/>
                </w:tcPr>
                <w:p w14:paraId="1243B1F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16</w:t>
                  </w:r>
                </w:p>
              </w:tc>
              <w:tc>
                <w:tcPr>
                  <w:tcW w:w="1574" w:type="pct"/>
                  <w:shd w:val="clear" w:color="auto" w:fill="auto"/>
                  <w:vAlign w:val="center"/>
                </w:tcPr>
                <w:p w14:paraId="7ADCB63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E31D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A6427C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SA"/>
                    </w:rPr>
                    <w:t>五日生化需氧量</w:t>
                  </w:r>
                </w:p>
              </w:tc>
              <w:tc>
                <w:tcPr>
                  <w:tcW w:w="2338" w:type="pct"/>
                  <w:shd w:val="clear" w:color="auto" w:fill="auto"/>
                  <w:vAlign w:val="center"/>
                </w:tcPr>
                <w:p w14:paraId="43940FC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3.0</w:t>
                  </w:r>
                </w:p>
              </w:tc>
              <w:tc>
                <w:tcPr>
                  <w:tcW w:w="1574" w:type="pct"/>
                  <w:shd w:val="clear" w:color="auto" w:fill="auto"/>
                  <w:vAlign w:val="center"/>
                </w:tcPr>
                <w:p w14:paraId="0D676C2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94178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918DC0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总磷</w:t>
                  </w:r>
                </w:p>
              </w:tc>
              <w:tc>
                <w:tcPr>
                  <w:tcW w:w="2338" w:type="pct"/>
                  <w:shd w:val="clear" w:color="auto" w:fill="auto"/>
                  <w:vAlign w:val="center"/>
                </w:tcPr>
                <w:p w14:paraId="1F5D21E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0.12</w:t>
                  </w:r>
                </w:p>
              </w:tc>
              <w:tc>
                <w:tcPr>
                  <w:tcW w:w="1574" w:type="pct"/>
                  <w:shd w:val="clear" w:color="auto" w:fill="auto"/>
                  <w:vAlign w:val="center"/>
                </w:tcPr>
                <w:p w14:paraId="664F7C8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709ACB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1EC1A4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总氮</w:t>
                  </w:r>
                </w:p>
              </w:tc>
              <w:tc>
                <w:tcPr>
                  <w:tcW w:w="2338" w:type="pct"/>
                  <w:shd w:val="clear" w:color="auto" w:fill="auto"/>
                  <w:vAlign w:val="center"/>
                </w:tcPr>
                <w:p w14:paraId="57F733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0.90</w:t>
                  </w:r>
                </w:p>
              </w:tc>
              <w:tc>
                <w:tcPr>
                  <w:tcW w:w="1574" w:type="pct"/>
                  <w:shd w:val="clear" w:color="auto" w:fill="auto"/>
                  <w:vAlign w:val="center"/>
                </w:tcPr>
                <w:p w14:paraId="7636B0C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1B392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72CAB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铜</w:t>
                  </w:r>
                </w:p>
              </w:tc>
              <w:tc>
                <w:tcPr>
                  <w:tcW w:w="2338" w:type="pct"/>
                  <w:shd w:val="clear" w:color="auto" w:fill="auto"/>
                  <w:vAlign w:val="center"/>
                </w:tcPr>
                <w:p w14:paraId="7901E6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574" w:type="pct"/>
                  <w:shd w:val="clear" w:color="auto" w:fill="auto"/>
                  <w:vAlign w:val="center"/>
                </w:tcPr>
                <w:p w14:paraId="41E1086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F0911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56523B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锌</w:t>
                  </w:r>
                </w:p>
              </w:tc>
              <w:tc>
                <w:tcPr>
                  <w:tcW w:w="2338" w:type="pct"/>
                  <w:shd w:val="clear" w:color="auto" w:fill="auto"/>
                  <w:vAlign w:val="center"/>
                </w:tcPr>
                <w:p w14:paraId="45A6E73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574" w:type="pct"/>
                  <w:shd w:val="clear" w:color="auto" w:fill="auto"/>
                  <w:vAlign w:val="center"/>
                </w:tcPr>
                <w:p w14:paraId="73101A2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A1B7D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04C9AA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氟化物</w:t>
                  </w:r>
                </w:p>
              </w:tc>
              <w:tc>
                <w:tcPr>
                  <w:tcW w:w="2338" w:type="pct"/>
                  <w:shd w:val="clear" w:color="auto" w:fill="auto"/>
                  <w:vAlign w:val="center"/>
                </w:tcPr>
                <w:p w14:paraId="40125D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0.006L</w:t>
                  </w:r>
                </w:p>
              </w:tc>
              <w:tc>
                <w:tcPr>
                  <w:tcW w:w="1574" w:type="pct"/>
                  <w:shd w:val="clear" w:color="auto" w:fill="auto"/>
                  <w:vAlign w:val="center"/>
                </w:tcPr>
                <w:p w14:paraId="7962BF9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9B530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932678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氰化物</w:t>
                  </w:r>
                </w:p>
              </w:tc>
              <w:tc>
                <w:tcPr>
                  <w:tcW w:w="2338" w:type="pct"/>
                  <w:shd w:val="clear" w:color="auto" w:fill="auto"/>
                  <w:vAlign w:val="center"/>
                </w:tcPr>
                <w:p w14:paraId="39D561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0.004L</w:t>
                  </w:r>
                </w:p>
              </w:tc>
              <w:tc>
                <w:tcPr>
                  <w:tcW w:w="1574" w:type="pct"/>
                  <w:shd w:val="clear" w:color="auto" w:fill="auto"/>
                  <w:vAlign w:val="center"/>
                </w:tcPr>
                <w:p w14:paraId="661900D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26234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FF161B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挥发酚</w:t>
                  </w:r>
                </w:p>
              </w:tc>
              <w:tc>
                <w:tcPr>
                  <w:tcW w:w="2338" w:type="pct"/>
                  <w:shd w:val="clear" w:color="auto" w:fill="auto"/>
                  <w:vAlign w:val="center"/>
                </w:tcPr>
                <w:p w14:paraId="332A67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0.0003L</w:t>
                  </w:r>
                </w:p>
              </w:tc>
              <w:tc>
                <w:tcPr>
                  <w:tcW w:w="1574" w:type="pct"/>
                  <w:shd w:val="clear" w:color="auto" w:fill="auto"/>
                  <w:vAlign w:val="center"/>
                </w:tcPr>
                <w:p w14:paraId="45356A6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AB923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BB597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硒</w:t>
                  </w:r>
                </w:p>
              </w:tc>
              <w:tc>
                <w:tcPr>
                  <w:tcW w:w="2338" w:type="pct"/>
                  <w:shd w:val="clear" w:color="auto" w:fill="auto"/>
                  <w:vAlign w:val="center"/>
                </w:tcPr>
                <w:p w14:paraId="612668C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0.0004L</w:t>
                  </w:r>
                </w:p>
              </w:tc>
              <w:tc>
                <w:tcPr>
                  <w:tcW w:w="1574" w:type="pct"/>
                  <w:shd w:val="clear" w:color="auto" w:fill="auto"/>
                  <w:vAlign w:val="center"/>
                </w:tcPr>
                <w:p w14:paraId="5A03BF7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522844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FF748B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砷</w:t>
                  </w:r>
                </w:p>
              </w:tc>
              <w:tc>
                <w:tcPr>
                  <w:tcW w:w="2338" w:type="pct"/>
                  <w:shd w:val="clear" w:color="auto" w:fill="auto"/>
                  <w:vAlign w:val="center"/>
                </w:tcPr>
                <w:p w14:paraId="6E84E13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0.0003L</w:t>
                  </w:r>
                </w:p>
              </w:tc>
              <w:tc>
                <w:tcPr>
                  <w:tcW w:w="1574" w:type="pct"/>
                  <w:shd w:val="clear" w:color="auto" w:fill="auto"/>
                  <w:vAlign w:val="center"/>
                </w:tcPr>
                <w:p w14:paraId="41F82AB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2EB09A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ED1F2E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汞</w:t>
                  </w:r>
                </w:p>
              </w:tc>
              <w:tc>
                <w:tcPr>
                  <w:tcW w:w="2338" w:type="pct"/>
                  <w:shd w:val="clear" w:color="auto" w:fill="auto"/>
                  <w:vAlign w:val="center"/>
                </w:tcPr>
                <w:p w14:paraId="5157A67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0.00004L</w:t>
                  </w:r>
                </w:p>
              </w:tc>
              <w:tc>
                <w:tcPr>
                  <w:tcW w:w="1574" w:type="pct"/>
                  <w:shd w:val="clear" w:color="auto" w:fill="auto"/>
                  <w:vAlign w:val="center"/>
                </w:tcPr>
                <w:p w14:paraId="41AB50E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E1070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2B7AB3F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镉</w:t>
                  </w:r>
                </w:p>
              </w:tc>
              <w:tc>
                <w:tcPr>
                  <w:tcW w:w="2338" w:type="pct"/>
                  <w:shd w:val="clear" w:color="auto" w:fill="auto"/>
                  <w:vAlign w:val="center"/>
                </w:tcPr>
                <w:p w14:paraId="704BD6C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0.001L</w:t>
                  </w:r>
                </w:p>
              </w:tc>
              <w:tc>
                <w:tcPr>
                  <w:tcW w:w="1574" w:type="pct"/>
                  <w:shd w:val="clear" w:color="auto" w:fill="auto"/>
                  <w:vAlign w:val="center"/>
                </w:tcPr>
                <w:p w14:paraId="2E1388D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3E9BC5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556736F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六价铬</w:t>
                  </w:r>
                </w:p>
              </w:tc>
              <w:tc>
                <w:tcPr>
                  <w:tcW w:w="2338" w:type="pct"/>
                  <w:shd w:val="clear" w:color="auto" w:fill="auto"/>
                  <w:vAlign w:val="center"/>
                </w:tcPr>
                <w:p w14:paraId="79CB9B7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0.004L</w:t>
                  </w:r>
                </w:p>
              </w:tc>
              <w:tc>
                <w:tcPr>
                  <w:tcW w:w="1574" w:type="pct"/>
                  <w:shd w:val="clear" w:color="auto" w:fill="auto"/>
                  <w:vAlign w:val="center"/>
                </w:tcPr>
                <w:p w14:paraId="0A61E6C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47AB6E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1814931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铅</w:t>
                  </w:r>
                </w:p>
              </w:tc>
              <w:tc>
                <w:tcPr>
                  <w:tcW w:w="2338" w:type="pct"/>
                  <w:shd w:val="clear" w:color="auto" w:fill="auto"/>
                  <w:vAlign w:val="center"/>
                </w:tcPr>
                <w:p w14:paraId="3650747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0.01L</w:t>
                  </w:r>
                </w:p>
              </w:tc>
              <w:tc>
                <w:tcPr>
                  <w:tcW w:w="1574" w:type="pct"/>
                  <w:shd w:val="clear" w:color="auto" w:fill="auto"/>
                  <w:vAlign w:val="center"/>
                </w:tcPr>
                <w:p w14:paraId="5A62C36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78D04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52EFE2F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石油类</w:t>
                  </w:r>
                </w:p>
              </w:tc>
              <w:tc>
                <w:tcPr>
                  <w:tcW w:w="2338" w:type="pct"/>
                  <w:shd w:val="clear" w:color="auto" w:fill="auto"/>
                  <w:vAlign w:val="center"/>
                </w:tcPr>
                <w:p w14:paraId="08679C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0.01L</w:t>
                  </w:r>
                </w:p>
              </w:tc>
              <w:tc>
                <w:tcPr>
                  <w:tcW w:w="1574" w:type="pct"/>
                  <w:shd w:val="clear" w:color="auto" w:fill="auto"/>
                  <w:vAlign w:val="center"/>
                </w:tcPr>
                <w:p w14:paraId="33EBF28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192BD7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73BFE37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硫化物</w:t>
                  </w:r>
                </w:p>
              </w:tc>
              <w:tc>
                <w:tcPr>
                  <w:tcW w:w="2338" w:type="pct"/>
                  <w:shd w:val="clear" w:color="auto" w:fill="auto"/>
                  <w:vAlign w:val="center"/>
                </w:tcPr>
                <w:p w14:paraId="0F12AF8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0.01L</w:t>
                  </w:r>
                </w:p>
              </w:tc>
              <w:tc>
                <w:tcPr>
                  <w:tcW w:w="1574" w:type="pct"/>
                  <w:shd w:val="clear" w:color="auto" w:fill="auto"/>
                  <w:vAlign w:val="center"/>
                </w:tcPr>
                <w:p w14:paraId="3BAEB24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6CCBF9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3405CAD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阴离子表面活性剂</w:t>
                  </w:r>
                </w:p>
              </w:tc>
              <w:tc>
                <w:tcPr>
                  <w:tcW w:w="2338" w:type="pct"/>
                  <w:shd w:val="clear" w:color="auto" w:fill="auto"/>
                  <w:vAlign w:val="center"/>
                </w:tcPr>
                <w:p w14:paraId="53F05A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0.05L</w:t>
                  </w:r>
                </w:p>
              </w:tc>
              <w:tc>
                <w:tcPr>
                  <w:tcW w:w="1574" w:type="pct"/>
                  <w:shd w:val="clear" w:color="auto" w:fill="auto"/>
                  <w:vAlign w:val="center"/>
                </w:tcPr>
                <w:p w14:paraId="192558F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r>
            <w:tr w14:paraId="041AA7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087" w:type="pct"/>
                  <w:shd w:val="clear" w:color="auto" w:fill="auto"/>
                  <w:vAlign w:val="center"/>
                </w:tcPr>
                <w:p w14:paraId="035CBE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
                    </w:rPr>
                    <w:t>粪大肠菌群</w:t>
                  </w:r>
                </w:p>
              </w:tc>
              <w:tc>
                <w:tcPr>
                  <w:tcW w:w="2338" w:type="pct"/>
                  <w:shd w:val="clear" w:color="auto" w:fill="auto"/>
                  <w:vAlign w:val="center"/>
                </w:tcPr>
                <w:p w14:paraId="6A3D5D1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1100</w:t>
                  </w:r>
                </w:p>
              </w:tc>
              <w:tc>
                <w:tcPr>
                  <w:tcW w:w="1574" w:type="pct"/>
                  <w:shd w:val="clear" w:color="auto" w:fill="auto"/>
                  <w:vAlign w:val="center"/>
                </w:tcPr>
                <w:p w14:paraId="1CE6A2C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MPN/L</w:t>
                  </w:r>
                </w:p>
              </w:tc>
            </w:tr>
          </w:tbl>
          <w:p w14:paraId="3A546506">
            <w:pPr>
              <w:spacing w:line="360" w:lineRule="auto"/>
              <w:jc w:val="left"/>
              <w:rPr>
                <w:rFonts w:hint="eastAsia" w:ascii="Times New Roman" w:hAnsi="Times New Roman" w:eastAsia="宋体" w:cs="Times New Roman"/>
                <w:b w:val="0"/>
                <w:bCs/>
                <w:color w:val="auto"/>
                <w:kern w:val="44"/>
                <w:sz w:val="21"/>
                <w:szCs w:val="21"/>
                <w:highlight w:val="none"/>
                <w:lang w:val="en-US" w:eastAsia="zh-CN" w:bidi="ar-SA"/>
              </w:rPr>
            </w:pPr>
            <w:r>
              <w:rPr>
                <w:rFonts w:hint="eastAsia" w:ascii="Times New Roman" w:hAnsi="Times New Roman" w:eastAsia="宋体" w:cs="Times New Roman"/>
                <w:b w:val="0"/>
                <w:bCs/>
                <w:color w:val="auto"/>
                <w:kern w:val="44"/>
                <w:sz w:val="21"/>
                <w:szCs w:val="21"/>
                <w:highlight w:val="none"/>
                <w:lang w:val="en-US" w:eastAsia="zh-CN" w:bidi="ar-SA"/>
              </w:rPr>
              <w:t>注：L代表低于检出限浓度。</w:t>
            </w:r>
          </w:p>
          <w:p w14:paraId="638275B7">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color w:val="auto"/>
                <w:highlight w:val="none"/>
                <w:lang w:val="en-US" w:eastAsia="zh-CN"/>
              </w:rPr>
            </w:pPr>
            <w:r>
              <w:rPr>
                <w:rFonts w:hint="default" w:ascii="Times New Roman" w:hAnsi="Times New Roman" w:eastAsia="宋体" w:cs="Times New Roman"/>
                <w:color w:val="auto"/>
                <w:sz w:val="21"/>
                <w:highlight w:val="none"/>
                <w:lang w:eastAsia="zh-CN"/>
              </w:rPr>
              <w:t>由上表可知，</w:t>
            </w:r>
            <w:r>
              <w:rPr>
                <w:rFonts w:hint="eastAsia" w:cs="Times New Roman" w:eastAsiaTheme="minorEastAsia"/>
                <w:color w:val="auto"/>
                <w:spacing w:val="0"/>
                <w:sz w:val="21"/>
                <w:szCs w:val="21"/>
                <w:highlight w:val="none"/>
                <w:lang w:val="en-US" w:eastAsia="zh-CN"/>
              </w:rPr>
              <w:t>庆先</w:t>
            </w:r>
            <w:r>
              <w:rPr>
                <w:rFonts w:hint="default" w:ascii="Times New Roman" w:hAnsi="Times New Roman" w:cs="Times New Roman" w:eastAsiaTheme="minorEastAsia"/>
                <w:color w:val="auto"/>
                <w:spacing w:val="0"/>
                <w:sz w:val="21"/>
                <w:szCs w:val="21"/>
                <w:highlight w:val="none"/>
              </w:rPr>
              <w:t>水库</w:t>
            </w:r>
            <w:r>
              <w:rPr>
                <w:rFonts w:hint="eastAsia" w:cs="Times New Roman" w:eastAsiaTheme="minorEastAsia"/>
                <w:color w:val="auto"/>
                <w:spacing w:val="0"/>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水库</w:t>
            </w:r>
            <w:r>
              <w:rPr>
                <w:rFonts w:hint="default" w:ascii="Times New Roman" w:hAnsi="Times New Roman"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lang w:val="en-US" w:eastAsia="zh-CN"/>
              </w:rPr>
              <w:t>游汇入锅盔河处</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锅盔河汇入穆棱河处</w:t>
            </w:r>
            <w:r>
              <w:rPr>
                <w:rFonts w:hint="default" w:ascii="Times New Roman" w:hAnsi="Times New Roman" w:cs="Times New Roman" w:eastAsiaTheme="minorEastAsia"/>
                <w:color w:val="auto"/>
                <w:spacing w:val="0"/>
                <w:sz w:val="21"/>
                <w:szCs w:val="21"/>
                <w:highlight w:val="none"/>
              </w:rPr>
              <w:t>现状水质</w:t>
            </w:r>
            <w:r>
              <w:rPr>
                <w:rFonts w:hint="eastAsia" w:cs="Times New Roman" w:eastAsiaTheme="minorEastAsia"/>
                <w:color w:val="auto"/>
                <w:spacing w:val="0"/>
                <w:sz w:val="21"/>
                <w:szCs w:val="21"/>
                <w:highlight w:val="none"/>
                <w:lang w:val="en-US" w:eastAsia="zh-CN"/>
              </w:rPr>
              <w:t>均</w:t>
            </w:r>
            <w:r>
              <w:rPr>
                <w:rFonts w:hint="default" w:ascii="Times New Roman" w:hAnsi="Times New Roman" w:eastAsia="宋体" w:cs="Times New Roman"/>
                <w:color w:val="auto"/>
                <w:sz w:val="21"/>
                <w:highlight w:val="none"/>
                <w:lang w:eastAsia="zh-CN"/>
              </w:rPr>
              <w:t>满足《地表水环境质量标准》（GB3838-2002）Ⅲ类标准要求</w:t>
            </w:r>
            <w:r>
              <w:rPr>
                <w:rFonts w:hint="eastAsia" w:cs="Times New Roman"/>
                <w:color w:val="auto"/>
                <w:sz w:val="21"/>
                <w:highlight w:val="none"/>
                <w:lang w:eastAsia="zh-CN"/>
              </w:rPr>
              <w:t>，区域水环境质量良好，水库富营养化状况分析见地表水专项评价</w:t>
            </w:r>
            <w:r>
              <w:rPr>
                <w:rFonts w:hint="default" w:ascii="Times New Roman" w:hAnsi="Times New Roman" w:eastAsia="宋体" w:cs="Times New Roman"/>
                <w:color w:val="auto"/>
                <w:sz w:val="21"/>
                <w:highlight w:val="none"/>
                <w:lang w:eastAsia="zh-CN"/>
              </w:rPr>
              <w:t>。</w:t>
            </w:r>
          </w:p>
        </w:tc>
      </w:tr>
      <w:tr w14:paraId="4A6486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6" w:hRule="atLeast"/>
          <w:jc w:val="center"/>
        </w:trPr>
        <w:tc>
          <w:tcPr>
            <w:tcW w:w="850" w:type="dxa"/>
            <w:vAlign w:val="center"/>
          </w:tcPr>
          <w:p w14:paraId="7BD72F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4"/>
                <w:szCs w:val="24"/>
                <w:highlight w:val="none"/>
              </w:rPr>
            </w:pPr>
            <w:r>
              <w:rPr>
                <w:rFonts w:hint="default" w:ascii="Times New Roman" w:hAnsi="Times New Roman" w:cs="Times New Roman" w:eastAsiaTheme="minorEastAsia"/>
                <w:bCs/>
                <w:color w:val="auto"/>
                <w:sz w:val="21"/>
                <w:szCs w:val="21"/>
                <w:highlight w:val="none"/>
              </w:rPr>
              <w:t>与项目有关的原有环境污染和生态破坏问题</w:t>
            </w:r>
          </w:p>
        </w:tc>
        <w:tc>
          <w:tcPr>
            <w:tcW w:w="8210" w:type="dxa"/>
            <w:vAlign w:val="center"/>
          </w:tcPr>
          <w:p w14:paraId="3418CF13">
            <w:pPr>
              <w:pStyle w:val="22"/>
              <w:keepNext w:val="0"/>
              <w:keepLines w:val="0"/>
              <w:pageBreakBefore w:val="0"/>
              <w:widowControl w:val="0"/>
              <w:kinsoku/>
              <w:wordWrap/>
              <w:overflowPunct/>
              <w:topLinePunct w:val="0"/>
              <w:autoSpaceDE/>
              <w:autoSpaceDN/>
              <w:bidi w:val="0"/>
              <w:adjustRightInd/>
              <w:snapToGrid/>
              <w:spacing w:after="0" w:afterLines="0" w:line="360" w:lineRule="auto"/>
              <w:ind w:left="0" w:leftChars="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bCs/>
                <w:color w:val="auto"/>
                <w:sz w:val="21"/>
                <w:szCs w:val="21"/>
                <w:highlight w:val="none"/>
                <w:lang w:val="en-US" w:eastAsia="zh-CN"/>
              </w:rPr>
              <w:t>水库基本情况：</w:t>
            </w:r>
          </w:p>
          <w:p w14:paraId="0B67B16D">
            <w:pPr>
              <w:pStyle w:val="22"/>
              <w:keepNext w:val="0"/>
              <w:keepLines w:val="0"/>
              <w:pageBreakBefore w:val="0"/>
              <w:kinsoku/>
              <w:wordWrap/>
              <w:overflowPunct/>
              <w:topLinePunct w:val="0"/>
              <w:autoSpaceDE/>
              <w:autoSpaceDN/>
              <w:bidi w:val="0"/>
              <w:adjustRightInd/>
              <w:snapToGrid/>
              <w:spacing w:after="0" w:afterLines="0" w:line="360" w:lineRule="auto"/>
              <w:ind w:left="0" w:left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庆先水库是以灌溉、防洪为主，结合养鱼等综合利用的小（I）型水库。2008年除险加固后水库总库容254.00×10</w:t>
            </w:r>
            <w:r>
              <w:rPr>
                <w:rFonts w:hint="default" w:ascii="Times New Roman" w:hAnsi="Times New Roman" w:cs="Times New Roman"/>
                <w:color w:val="auto"/>
                <w:sz w:val="21"/>
                <w:szCs w:val="21"/>
                <w:vertAlign w:val="superscript"/>
                <w:lang w:val="en-US" w:eastAsia="zh-CN"/>
              </w:rPr>
              <w:t>4</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，兴利库容140.00×10</w:t>
            </w:r>
            <w:r>
              <w:rPr>
                <w:rFonts w:hint="default" w:ascii="Times New Roman" w:hAnsi="Times New Roman" w:cs="Times New Roman"/>
                <w:color w:val="auto"/>
                <w:sz w:val="21"/>
                <w:szCs w:val="21"/>
                <w:vertAlign w:val="superscript"/>
                <w:lang w:val="en-US" w:eastAsia="zh-CN"/>
              </w:rPr>
              <w:t>4</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水库设计灌溉水田1993亩，防洪保护耕地3.0万亩，保护黑台镇及庆先、黑台、复兴等七个村屯，人口2.5万，保护方虎公路、鸡密铁路大桥各一座。水库是一座以灌为主兼顾防洪、养鱼等综合利用的小（I）型水库。庆先水库主要任务为农田灌溉供水，根据规范要求和灌区实际情况，农业灌溉设计保证率采用P=75%，</w:t>
            </w:r>
            <w:r>
              <w:rPr>
                <w:rFonts w:hint="default" w:ascii="Times New Roman" w:hAnsi="Times New Roman" w:eastAsia="宋体" w:cs="Times New Roman"/>
                <w:color w:val="auto"/>
                <w:sz w:val="21"/>
                <w:szCs w:val="21"/>
                <w:highlight w:val="none"/>
              </w:rPr>
              <w:t>灌溉定额</w:t>
            </w:r>
            <w:r>
              <w:rPr>
                <w:rFonts w:hint="default" w:ascii="Times New Roman" w:hAnsi="Times New Roman" w:eastAsia="宋体" w:cs="Times New Roman"/>
                <w:color w:val="auto"/>
                <w:sz w:val="21"/>
                <w:szCs w:val="21"/>
                <w:highlight w:val="none"/>
                <w:lang w:eastAsia="zh-CN"/>
              </w:rPr>
              <w:t>为</w:t>
            </w:r>
            <w:r>
              <w:rPr>
                <w:rFonts w:hint="default" w:ascii="Times New Roman" w:hAnsi="Times New Roman" w:eastAsia="Calibri" w:cs="Times New Roman"/>
                <w:color w:val="auto"/>
                <w:sz w:val="21"/>
                <w:szCs w:val="21"/>
                <w:highlight w:val="none"/>
              </w:rPr>
              <w:t>615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lang w:val="en-US" w:eastAsia="zh-CN"/>
              </w:rPr>
              <w:t>亩，设计供水量为123</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lang w:val="en-US" w:eastAsia="zh-CN"/>
              </w:rPr>
              <w:t>。</w:t>
            </w:r>
          </w:p>
          <w:p w14:paraId="6B83074D">
            <w:pPr>
              <w:pStyle w:val="22"/>
              <w:keepNext w:val="0"/>
              <w:keepLines w:val="0"/>
              <w:pageBreakBefore w:val="0"/>
              <w:widowControl w:val="0"/>
              <w:kinsoku/>
              <w:wordWrap/>
              <w:overflowPunct/>
              <w:topLinePunct w:val="0"/>
              <w:autoSpaceDE/>
              <w:autoSpaceDN/>
              <w:bidi w:val="0"/>
              <w:adjustRightInd/>
              <w:snapToGrid/>
              <w:spacing w:after="0" w:afterLines="0" w:line="360" w:lineRule="auto"/>
              <w:ind w:left="0" w:left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庆先水库于1975年竣工，2008年除险加固。溢洪道、输水洞于2012年除险加固，溢洪道位于土坝左侧，为无闸开敞式，为WES堰型，堰顶高程为165.70m，堰顶净宽15m；消能为底流消能，消力池长15m，池深1.6m，底板顶高程为159.9m；海漫长28m，干砌石结构，末端设深度2.5m防冲槽。输水洞位于大坝右侧，为坝下埋管。进口为塔式进水口，闸门为1.0×1.0m钢闸门，5t螺杆启闭机。闸室段长3.1m，洞身长23.3m，为D=1.0m水泥管；出口采用底流消能，钢筋砼U型槽结构，长10m，深0.5m，宽度由1m渐变至2m，池底高程为161.35m；海漫采用干砌石结构，长10m。</w:t>
            </w:r>
          </w:p>
          <w:p w14:paraId="332AA003">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b/>
                <w:bCs/>
                <w:color w:val="auto"/>
                <w:sz w:val="21"/>
                <w:szCs w:val="21"/>
                <w:lang w:val="en-US" w:eastAsia="zh-CN"/>
              </w:rPr>
            </w:pPr>
            <w:r>
              <w:rPr>
                <w:rFonts w:hint="eastAsia"/>
                <w:b/>
                <w:bCs/>
                <w:color w:val="auto"/>
                <w:sz w:val="21"/>
                <w:szCs w:val="21"/>
                <w:lang w:val="en-US" w:eastAsia="zh-CN"/>
              </w:rPr>
              <w:t>水库现有调度：</w:t>
            </w:r>
          </w:p>
          <w:p w14:paraId="37F8E00B">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（1）正常来水或丰水年份的调度原则及调度方式</w:t>
            </w:r>
          </w:p>
          <w:p w14:paraId="6F6F9A2E">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水库坝址多年平均来水量为</w:t>
            </w:r>
            <w:r>
              <w:rPr>
                <w:rFonts w:hint="default" w:ascii="Times New Roman" w:hAnsi="Times New Roman" w:eastAsia="宋体" w:cs="Times New Roman"/>
                <w:color w:val="auto"/>
                <w:sz w:val="21"/>
                <w:szCs w:val="21"/>
                <w:highlight w:val="none"/>
                <w:lang w:val="zh-CN" w:eastAsia="zh-CN"/>
              </w:rPr>
              <w:t>297</w:t>
            </w:r>
            <w:r>
              <w:rPr>
                <w:rFonts w:hint="eastAsia"/>
                <w:color w:val="auto"/>
                <w:sz w:val="21"/>
                <w:szCs w:val="21"/>
                <w:highlight w:val="none"/>
                <w:lang w:val="en-US" w:eastAsia="zh-CN"/>
              </w:rPr>
              <w:t>万m</w:t>
            </w:r>
            <w:r>
              <w:rPr>
                <w:rFonts w:hint="eastAsia"/>
                <w:color w:val="auto"/>
                <w:sz w:val="21"/>
                <w:szCs w:val="21"/>
                <w:highlight w:val="none"/>
                <w:vertAlign w:val="superscript"/>
                <w:lang w:val="en-US" w:eastAsia="zh-CN"/>
              </w:rPr>
              <w:t>3</w:t>
            </w:r>
            <w:r>
              <w:rPr>
                <w:rFonts w:hint="eastAsia"/>
                <w:color w:val="auto"/>
                <w:sz w:val="21"/>
                <w:szCs w:val="21"/>
                <w:lang w:val="en-US" w:eastAsia="zh-CN"/>
              </w:rPr>
              <w:t>，所以正常来水或丰水年份，水库水量较为丰沛，能够在规定时间内使水库水位维持在要求的范围内，水库可以满足灌溉用水要求。</w:t>
            </w:r>
          </w:p>
          <w:p w14:paraId="377450D0">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（2）枯水年份的调度原则及调度方式</w:t>
            </w:r>
          </w:p>
          <w:p w14:paraId="7C4063C4">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当遇河川径流量小于或显著小于多年平均径流量的枯水年份，水库的综合调度应按照区分主次、保证重点、兼顾其他、减少损失的原则进行。要严格按照“一线两区”调度原则综合调度。</w:t>
            </w:r>
          </w:p>
          <w:p w14:paraId="3BB80F1F">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b/>
                <w:bCs/>
                <w:color w:val="auto"/>
                <w:sz w:val="21"/>
                <w:szCs w:val="21"/>
                <w:lang w:val="en-US" w:eastAsia="zh-CN"/>
              </w:rPr>
            </w:pPr>
            <w:r>
              <w:rPr>
                <w:rFonts w:hint="eastAsia"/>
                <w:b/>
                <w:bCs/>
                <w:color w:val="auto"/>
                <w:sz w:val="21"/>
                <w:szCs w:val="21"/>
                <w:lang w:val="en-US" w:eastAsia="zh-CN"/>
              </w:rPr>
              <w:t>水库现有运行方案：</w:t>
            </w:r>
          </w:p>
          <w:p w14:paraId="32929BDE">
            <w:pPr>
              <w:spacing w:line="360" w:lineRule="auto"/>
              <w:ind w:firstLine="420" w:firstLineChars="200"/>
              <w:rPr>
                <w:rFonts w:hint="eastAsia" w:ascii="宋体" w:hAnsi="宋体" w:eastAsia="宋体" w:cs="宋体"/>
                <w:color w:val="auto"/>
                <w:lang w:eastAsia="zh-CN"/>
              </w:rPr>
            </w:pPr>
            <w:r>
              <w:rPr>
                <w:rFonts w:hint="eastAsia" w:ascii="宋体" w:hAnsi="宋体" w:eastAsia="宋体" w:cs="宋体"/>
                <w:color w:val="auto"/>
                <w:sz w:val="21"/>
                <w:szCs w:val="21"/>
                <w:highlight w:val="none"/>
                <w:lang w:val="zh-CN" w:eastAsia="zh-CN"/>
              </w:rPr>
              <w:t>庆先</w:t>
            </w:r>
            <w:r>
              <w:rPr>
                <w:rFonts w:hint="eastAsia" w:ascii="宋体" w:hAnsi="宋体" w:eastAsia="宋体" w:cs="宋体"/>
                <w:color w:val="auto"/>
                <w:lang w:eastAsia="zh-CN"/>
              </w:rPr>
              <w:t>水库灌</w:t>
            </w:r>
            <w:r>
              <w:rPr>
                <w:rFonts w:hint="default" w:ascii="Times New Roman" w:hAnsi="Times New Roman" w:eastAsia="宋体" w:cs="Times New Roman"/>
                <w:color w:val="auto"/>
                <w:lang w:eastAsia="zh-CN"/>
              </w:rPr>
              <w:t>溉调度为全年调度，75%保证率灌溉用水量为</w:t>
            </w:r>
            <w:r>
              <w:rPr>
                <w:rFonts w:hint="default" w:ascii="Times New Roman" w:hAnsi="Times New Roman" w:eastAsia="宋体" w:cs="Times New Roman"/>
                <w:color w:val="auto"/>
                <w:sz w:val="21"/>
                <w:szCs w:val="21"/>
                <w:highlight w:val="none"/>
                <w:lang w:val="en-US" w:eastAsia="zh-CN"/>
              </w:rPr>
              <w:t>123</w:t>
            </w:r>
            <w:r>
              <w:rPr>
                <w:rFonts w:hint="default" w:ascii="Times New Roman" w:hAnsi="Times New Roman" w:eastAsia="宋体" w:cs="Times New Roman"/>
                <w:color w:val="auto"/>
                <w:lang w:eastAsia="zh-CN"/>
              </w:rPr>
              <w:t>万m</w:t>
            </w:r>
            <w:r>
              <w:rPr>
                <w:rFonts w:hint="default" w:ascii="Times New Roman" w:hAnsi="Times New Roman" w:eastAsia="宋体" w:cs="Times New Roman"/>
                <w:color w:val="auto"/>
                <w:vertAlign w:val="superscript"/>
                <w:lang w:eastAsia="zh-CN"/>
              </w:rPr>
              <w:t>3</w:t>
            </w:r>
            <w:r>
              <w:rPr>
                <w:rFonts w:hint="default" w:ascii="Times New Roman" w:hAnsi="Times New Roman" w:eastAsia="宋体" w:cs="Times New Roman"/>
                <w:color w:val="auto"/>
                <w:lang w:eastAsia="zh-CN"/>
              </w:rPr>
              <w:t>，取水水位在死水位以上。当入库流量小于溢洪道泄洪能力，控制泄量等于入库流量，使库水位维持在正常蓄水位</w:t>
            </w:r>
            <w:r>
              <w:rPr>
                <w:rFonts w:hint="default" w:ascii="Times New Roman" w:hAnsi="Times New Roman" w:eastAsia="宋体" w:cs="Times New Roman"/>
                <w:color w:val="auto"/>
                <w:sz w:val="21"/>
                <w:szCs w:val="21"/>
                <w:highlight w:val="none"/>
                <w:lang w:val="en-US" w:eastAsia="zh-CN"/>
              </w:rPr>
              <w:t>165.70</w:t>
            </w:r>
            <w:r>
              <w:rPr>
                <w:rFonts w:hint="default" w:ascii="Times New Roman" w:hAnsi="Times New Roman" w:eastAsia="宋体" w:cs="Times New Roman"/>
                <w:color w:val="auto"/>
                <w:highlight w:val="none"/>
                <w:lang w:eastAsia="zh-CN"/>
              </w:rPr>
              <w:t>m</w:t>
            </w:r>
            <w:r>
              <w:rPr>
                <w:rFonts w:hint="default" w:ascii="Times New Roman" w:hAnsi="Times New Roman" w:eastAsia="宋体" w:cs="Times New Roman"/>
                <w:color w:val="auto"/>
                <w:lang w:eastAsia="zh-CN"/>
              </w:rPr>
              <w:t>，</w:t>
            </w:r>
            <w:r>
              <w:rPr>
                <w:rFonts w:hint="eastAsia" w:ascii="宋体" w:hAnsi="宋体" w:eastAsia="宋体" w:cs="宋体"/>
                <w:color w:val="auto"/>
                <w:lang w:eastAsia="zh-CN"/>
              </w:rPr>
              <w:t>当入库流量大于溢洪道泄洪能力，水位持续升高则打开闸门，溢洪道自由出流。灌溉调度属于兴利调度，设一条灌溉供水控制线，将调度区域划分为两个区，即水库调度采用“一线两区”调度，两区为正常供水区和灌溉供水削减区。当水库水位在灌溉供水控制线以上时，即在正常供水区内时，水库正常供水；当水库水位在灌溉供水控制线以下时，即在灌溉供水削减区内时，水库削减灌溉供水量。</w:t>
            </w:r>
          </w:p>
          <w:p w14:paraId="7A032F6C">
            <w:pPr>
              <w:pStyle w:val="55"/>
              <w:spacing w:line="360" w:lineRule="auto"/>
              <w:ind w:firstLine="422" w:firstLineChars="200"/>
              <w:jc w:val="both"/>
              <w:rPr>
                <w:rFonts w:hint="eastAsia"/>
                <w:b/>
                <w:bCs/>
                <w:color w:val="auto"/>
                <w:lang w:val="zh-CN" w:eastAsia="zh-CN"/>
              </w:rPr>
            </w:pPr>
            <w:r>
              <w:rPr>
                <w:rFonts w:hint="eastAsia"/>
                <w:b/>
                <w:bCs/>
                <w:color w:val="auto"/>
                <w:sz w:val="21"/>
                <w:szCs w:val="21"/>
                <w:lang w:val="en-US" w:eastAsia="zh-CN"/>
              </w:rPr>
              <w:t>水库现有</w:t>
            </w:r>
            <w:r>
              <w:rPr>
                <w:rFonts w:hint="default"/>
                <w:b/>
                <w:bCs/>
                <w:color w:val="auto"/>
                <w:lang w:val="zh-CN" w:eastAsia="zh-CN"/>
              </w:rPr>
              <w:t>水文情势</w:t>
            </w:r>
            <w:r>
              <w:rPr>
                <w:rFonts w:hint="eastAsia"/>
                <w:b/>
                <w:bCs/>
                <w:color w:val="auto"/>
                <w:lang w:val="zh-CN" w:eastAsia="zh-CN"/>
              </w:rPr>
              <w:t>：</w:t>
            </w:r>
          </w:p>
          <w:p w14:paraId="30747D43">
            <w:pPr>
              <w:spacing w:line="360" w:lineRule="auto"/>
              <w:ind w:firstLine="420" w:firstLineChars="20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highlight w:val="none"/>
              </w:rPr>
              <w:t>按照《水利水电工程等级划分及洪水标准》（SL252-2017），水库工程规模为</w:t>
            </w:r>
            <w:r>
              <w:rPr>
                <w:rFonts w:hint="default" w:ascii="Times New Roman" w:hAnsi="Times New Roman" w:cs="Times New Roman"/>
                <w:color w:val="auto"/>
                <w:highlight w:val="none"/>
                <w:lang w:eastAsia="zh-CN"/>
              </w:rPr>
              <w:t>小（I）</w:t>
            </w:r>
            <w:r>
              <w:rPr>
                <w:rFonts w:hint="default" w:ascii="Times New Roman" w:hAnsi="Times New Roman" w:cs="Times New Roman"/>
                <w:color w:val="auto"/>
                <w:szCs w:val="24"/>
                <w:highlight w:val="none"/>
              </w:rPr>
              <w:t>型，工程等别为</w:t>
            </w:r>
            <w:r>
              <w:rPr>
                <w:rFonts w:hint="default" w:ascii="Times New Roman" w:hAnsi="Times New Roman" w:cs="Times New Roman"/>
                <w:color w:val="auto"/>
                <w:highlight w:val="none"/>
                <w:lang w:eastAsia="zh-CN"/>
              </w:rPr>
              <w:t>Ⅳ</w:t>
            </w:r>
            <w:r>
              <w:rPr>
                <w:rFonts w:hint="default" w:ascii="Times New Roman" w:hAnsi="Times New Roman" w:cs="Times New Roman"/>
                <w:color w:val="auto"/>
                <w:szCs w:val="24"/>
                <w:highlight w:val="none"/>
              </w:rPr>
              <w:t>等，主要建筑物级别为</w:t>
            </w:r>
            <w:r>
              <w:rPr>
                <w:rFonts w:hint="eastAsia" w:cs="Times New Roman"/>
                <w:color w:val="auto"/>
                <w:szCs w:val="24"/>
                <w:highlight w:val="none"/>
                <w:lang w:val="en-US" w:eastAsia="zh-CN"/>
              </w:rPr>
              <w:t>4</w:t>
            </w:r>
            <w:r>
              <w:rPr>
                <w:rFonts w:hint="default" w:ascii="Times New Roman" w:hAnsi="Times New Roman" w:cs="Times New Roman"/>
                <w:color w:val="auto"/>
                <w:szCs w:val="24"/>
                <w:highlight w:val="none"/>
              </w:rPr>
              <w:t>级，设计洪水标准采用</w:t>
            </w:r>
            <w:r>
              <w:rPr>
                <w:rFonts w:hint="eastAsia" w:cs="Times New Roman"/>
                <w:color w:val="auto"/>
                <w:szCs w:val="24"/>
                <w:highlight w:val="none"/>
                <w:lang w:val="en-US" w:eastAsia="zh-CN"/>
              </w:rPr>
              <w:t>2</w:t>
            </w:r>
            <w:r>
              <w:rPr>
                <w:rFonts w:hint="default" w:ascii="Times New Roman" w:hAnsi="Times New Roman" w:cs="Times New Roman"/>
                <w:color w:val="auto"/>
                <w:szCs w:val="24"/>
                <w:highlight w:val="none"/>
              </w:rPr>
              <w:t>0年一遇、校核洪水标准采用</w:t>
            </w:r>
            <w:r>
              <w:rPr>
                <w:rFonts w:hint="eastAsia" w:cs="Times New Roman"/>
                <w:color w:val="auto"/>
                <w:szCs w:val="24"/>
                <w:highlight w:val="none"/>
                <w:lang w:val="en-US" w:eastAsia="zh-CN"/>
              </w:rPr>
              <w:t>1</w:t>
            </w:r>
            <w:r>
              <w:rPr>
                <w:rFonts w:hint="default" w:ascii="Times New Roman" w:hAnsi="Times New Roman" w:cs="Times New Roman"/>
                <w:color w:val="auto"/>
                <w:szCs w:val="24"/>
                <w:highlight w:val="none"/>
              </w:rPr>
              <w:t>00年一遇。水库正常蓄水位</w:t>
            </w:r>
            <w:r>
              <w:rPr>
                <w:rFonts w:hint="default" w:ascii="Times New Roman" w:hAnsi="Times New Roman" w:cs="Times New Roman"/>
                <w:color w:val="auto"/>
                <w:highlight w:val="none"/>
                <w:lang w:val="en-US" w:eastAsia="zh-CN"/>
              </w:rPr>
              <w:t>165.70m</w:t>
            </w:r>
            <w:r>
              <w:rPr>
                <w:rFonts w:hint="default" w:ascii="Times New Roman" w:hAnsi="Times New Roman" w:cs="Times New Roman"/>
                <w:color w:val="auto"/>
                <w:szCs w:val="24"/>
                <w:highlight w:val="none"/>
              </w:rPr>
              <w:t>，相应库容</w:t>
            </w:r>
            <w:r>
              <w:rPr>
                <w:rFonts w:hint="eastAsia" w:cs="Times New Roman"/>
                <w:color w:val="auto"/>
                <w:szCs w:val="24"/>
                <w:highlight w:val="none"/>
                <w:lang w:val="en-US" w:eastAsia="zh-CN"/>
              </w:rPr>
              <w:t>109.93</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3</w:t>
            </w:r>
            <w:r>
              <w:rPr>
                <w:rFonts w:hint="default" w:ascii="Times New Roman" w:hAnsi="Times New Roman" w:cs="Times New Roman"/>
                <w:color w:val="auto"/>
                <w:szCs w:val="24"/>
                <w:highlight w:val="none"/>
              </w:rPr>
              <w:t>；死水位1</w:t>
            </w:r>
            <w:r>
              <w:rPr>
                <w:rFonts w:hint="eastAsia" w:cs="Times New Roman"/>
                <w:color w:val="auto"/>
                <w:szCs w:val="24"/>
                <w:highlight w:val="none"/>
                <w:lang w:val="en-US" w:eastAsia="zh-CN"/>
              </w:rPr>
              <w:t>63.</w:t>
            </w:r>
            <w:r>
              <w:rPr>
                <w:rFonts w:hint="default" w:ascii="Times New Roman" w:hAnsi="Times New Roman" w:cs="Times New Roman"/>
                <w:color w:val="auto"/>
                <w:szCs w:val="24"/>
                <w:highlight w:val="none"/>
              </w:rPr>
              <w:t>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szCs w:val="24"/>
                <w:highlight w:val="none"/>
              </w:rPr>
              <w:t>，相应库容</w:t>
            </w:r>
            <w:r>
              <w:rPr>
                <w:rFonts w:hint="eastAsia" w:cs="Times New Roman"/>
                <w:color w:val="auto"/>
                <w:szCs w:val="24"/>
                <w:highlight w:val="none"/>
                <w:lang w:val="en-US" w:eastAsia="zh-CN"/>
              </w:rPr>
              <w:t>11.06</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3</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2</w:t>
            </w:r>
            <w:r>
              <w:rPr>
                <w:rFonts w:hint="default" w:ascii="Times New Roman" w:hAnsi="Times New Roman" w:cs="Times New Roman"/>
                <w:color w:val="auto"/>
                <w:szCs w:val="24"/>
                <w:highlight w:val="none"/>
              </w:rPr>
              <w:t>0年一遇洪水标准设计，设计洪水位</w:t>
            </w:r>
            <w:r>
              <w:rPr>
                <w:rFonts w:hint="default" w:ascii="Times New Roman" w:hAnsi="Times New Roman" w:cs="Times New Roman"/>
                <w:color w:val="auto"/>
                <w:highlight w:val="none"/>
                <w:lang w:val="en-US"/>
              </w:rPr>
              <w:t>167.23</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szCs w:val="24"/>
                <w:highlight w:val="none"/>
              </w:rPr>
              <w:t>，相应库容</w:t>
            </w:r>
            <w:r>
              <w:rPr>
                <w:rFonts w:hint="default" w:ascii="Times New Roman" w:hAnsi="Times New Roman" w:cs="Times New Roman"/>
                <w:color w:val="auto"/>
                <w:highlight w:val="none"/>
                <w:lang w:val="en-US"/>
              </w:rPr>
              <w:t>169.76</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eastAsia" w:cs="Times New Roman"/>
                <w:color w:val="auto"/>
                <w:szCs w:val="24"/>
                <w:highlight w:val="none"/>
                <w:lang w:eastAsia="zh-CN"/>
              </w:rPr>
              <w:t>，</w:t>
            </w:r>
            <w:r>
              <w:rPr>
                <w:rFonts w:hint="default" w:ascii="Times New Roman" w:hAnsi="Times New Roman" w:cs="Times New Roman"/>
                <w:color w:val="auto"/>
                <w:highlight w:val="none"/>
              </w:rPr>
              <w:t>相应最大泄量为</w:t>
            </w:r>
            <w:r>
              <w:rPr>
                <w:rFonts w:hint="default" w:ascii="Times New Roman" w:hAnsi="Times New Roman" w:cs="Times New Roman"/>
                <w:color w:val="auto"/>
                <w:highlight w:val="none"/>
                <w:lang w:val="en-US"/>
              </w:rPr>
              <w:t>27.52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1</w:t>
            </w:r>
            <w:r>
              <w:rPr>
                <w:rFonts w:hint="default" w:ascii="Times New Roman" w:hAnsi="Times New Roman" w:cs="Times New Roman"/>
                <w:color w:val="auto"/>
                <w:szCs w:val="24"/>
                <w:highlight w:val="none"/>
              </w:rPr>
              <w:t>00年一遇洪水标准校核，校核洪水位</w:t>
            </w:r>
            <w:r>
              <w:rPr>
                <w:rFonts w:hint="default" w:ascii="Times New Roman" w:hAnsi="Times New Roman" w:cs="Times New Roman"/>
                <w:color w:val="auto"/>
                <w:highlight w:val="none"/>
              </w:rPr>
              <w:t>167.88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szCs w:val="24"/>
                <w:highlight w:val="none"/>
              </w:rPr>
              <w:t>，校核总库容</w:t>
            </w:r>
            <w:r>
              <w:rPr>
                <w:rFonts w:hint="eastAsia" w:cs="Times New Roman"/>
                <w:color w:val="auto"/>
                <w:highlight w:val="none"/>
                <w:lang w:val="en-US" w:eastAsia="zh-CN"/>
              </w:rPr>
              <w:t>207.00</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eastAsia" w:ascii="Times New Roman" w:hAnsi="Times New Roman" w:eastAsia="宋体" w:cs="Times New Roman"/>
                <w:color w:val="auto"/>
                <w:szCs w:val="24"/>
                <w:highlight w:val="none"/>
                <w:lang w:eastAsia="zh-CN"/>
              </w:rPr>
              <w:t>，</w:t>
            </w:r>
            <w:r>
              <w:rPr>
                <w:rFonts w:hint="default" w:ascii="Times New Roman" w:hAnsi="Times New Roman" w:cs="Times New Roman"/>
                <w:color w:val="auto"/>
                <w:highlight w:val="none"/>
              </w:rPr>
              <w:t>相应最大泄量为</w:t>
            </w:r>
            <w:r>
              <w:rPr>
                <w:rFonts w:hint="default" w:ascii="Times New Roman" w:hAnsi="Times New Roman" w:cs="Times New Roman"/>
                <w:color w:val="auto"/>
                <w:highlight w:val="none"/>
                <w:lang w:val="en-US"/>
              </w:rPr>
              <w:t>59.43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eastAsia" w:ascii="Times New Roman" w:hAnsi="Times New Roman" w:eastAsia="宋体" w:cs="Times New Roman"/>
                <w:color w:val="auto"/>
                <w:szCs w:val="24"/>
                <w:highlight w:val="none"/>
                <w:lang w:val="en-US" w:eastAsia="zh-CN"/>
              </w:rPr>
              <w:t>。水库自建设以来</w:t>
            </w:r>
            <w:r>
              <w:rPr>
                <w:rFonts w:hint="eastAsia" w:cs="Times New Roman"/>
                <w:color w:val="auto"/>
                <w:szCs w:val="24"/>
                <w:highlight w:val="none"/>
                <w:lang w:val="en-US" w:eastAsia="zh-CN"/>
              </w:rPr>
              <w:t>未</w:t>
            </w:r>
            <w:r>
              <w:rPr>
                <w:rFonts w:hint="eastAsia" w:ascii="Times New Roman" w:hAnsi="Times New Roman" w:eastAsia="宋体" w:cs="Times New Roman"/>
                <w:color w:val="auto"/>
                <w:szCs w:val="24"/>
                <w:highlight w:val="none"/>
                <w:lang w:val="en-US" w:eastAsia="zh-CN"/>
              </w:rPr>
              <w:t>改变</w:t>
            </w:r>
            <w:r>
              <w:rPr>
                <w:rFonts w:hint="eastAsia" w:cs="Times New Roman"/>
                <w:color w:val="auto"/>
                <w:szCs w:val="24"/>
                <w:highlight w:val="none"/>
                <w:lang w:val="en-US" w:eastAsia="zh-CN"/>
              </w:rPr>
              <w:t>水库</w:t>
            </w:r>
            <w:r>
              <w:rPr>
                <w:rFonts w:hint="eastAsia" w:ascii="Times New Roman" w:hAnsi="Times New Roman" w:eastAsia="宋体" w:cs="Times New Roman"/>
                <w:color w:val="auto"/>
                <w:szCs w:val="24"/>
                <w:highlight w:val="none"/>
                <w:lang w:val="en-US" w:eastAsia="zh-CN"/>
              </w:rPr>
              <w:t>下游水文情势，</w:t>
            </w:r>
            <w:r>
              <w:rPr>
                <w:rFonts w:hint="eastAsia" w:cs="Times New Roman"/>
                <w:color w:val="auto"/>
                <w:szCs w:val="24"/>
                <w:highlight w:val="none"/>
                <w:lang w:val="en-US" w:eastAsia="zh-CN"/>
              </w:rPr>
              <w:t>未</w:t>
            </w:r>
            <w:r>
              <w:rPr>
                <w:rFonts w:hint="eastAsia" w:ascii="Times New Roman" w:hAnsi="Times New Roman" w:eastAsia="宋体" w:cs="Times New Roman"/>
                <w:color w:val="auto"/>
                <w:szCs w:val="24"/>
                <w:highlight w:val="none"/>
                <w:lang w:val="en-US" w:eastAsia="zh-CN"/>
              </w:rPr>
              <w:t>造成不利生态环境影响</w:t>
            </w:r>
            <w:r>
              <w:rPr>
                <w:rFonts w:hint="eastAsia" w:cs="Times New Roman"/>
                <w:color w:val="auto"/>
                <w:szCs w:val="24"/>
                <w:highlight w:val="none"/>
                <w:lang w:val="en-US" w:eastAsia="zh-CN"/>
              </w:rPr>
              <w:t>。</w:t>
            </w:r>
          </w:p>
          <w:p w14:paraId="0E0E7985">
            <w:pPr>
              <w:pStyle w:val="56"/>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b/>
                <w:bCs/>
                <w:color w:val="auto"/>
                <w:sz w:val="21"/>
                <w:szCs w:val="21"/>
                <w:highlight w:val="none"/>
                <w:lang w:val="en-US" w:eastAsia="zh-CN"/>
              </w:rPr>
              <w:t>水库</w:t>
            </w:r>
            <w:r>
              <w:rPr>
                <w:rFonts w:hint="default" w:ascii="Times New Roman" w:hAnsi="Times New Roman" w:eastAsia="宋体" w:cs="Times New Roman"/>
                <w:b/>
                <w:bCs/>
                <w:color w:val="auto"/>
                <w:sz w:val="21"/>
                <w:szCs w:val="21"/>
                <w:highlight w:val="none"/>
              </w:rPr>
              <w:t>生态流量</w:t>
            </w:r>
            <w:r>
              <w:rPr>
                <w:rFonts w:hint="default" w:ascii="Times New Roman" w:hAnsi="Times New Roman" w:eastAsia="宋体" w:cs="Times New Roman"/>
                <w:b/>
                <w:bCs/>
                <w:color w:val="auto"/>
                <w:sz w:val="21"/>
                <w:szCs w:val="21"/>
                <w:highlight w:val="none"/>
                <w:lang w:eastAsia="zh-CN"/>
              </w:rPr>
              <w:t>：</w:t>
            </w:r>
          </w:p>
          <w:p w14:paraId="3F7E529D">
            <w:pPr>
              <w:pStyle w:val="56"/>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庆先水库在</w:t>
            </w:r>
            <w:r>
              <w:rPr>
                <w:rFonts w:hint="default" w:ascii="Times New Roman" w:hAnsi="Times New Roman" w:eastAsia="宋体" w:cs="Times New Roman"/>
                <w:color w:val="auto"/>
                <w:sz w:val="21"/>
                <w:szCs w:val="21"/>
                <w:highlight w:val="none"/>
              </w:rPr>
              <w:t>正常水位情况下165.70m，现状输水洞过流能力为Q=4.82m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/s，丰水期生态流量为0.455m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/s，枯水期生态流量为0.275m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kern w:val="0"/>
                <w:sz w:val="21"/>
                <w:szCs w:val="21"/>
                <w:highlight w:val="none"/>
                <w:lang w:val="en-US" w:eastAsia="zh-CN"/>
              </w:rPr>
              <w:t>多年平均</w:t>
            </w:r>
            <w:r>
              <w:rPr>
                <w:rFonts w:hint="default" w:ascii="Times New Roman" w:hAnsi="Times New Roman" w:eastAsia="宋体" w:cs="Times New Roman"/>
                <w:color w:val="auto"/>
                <w:sz w:val="21"/>
                <w:szCs w:val="21"/>
                <w:highlight w:val="none"/>
                <w:lang w:val="zh-CN" w:eastAsia="zh-CN"/>
              </w:rPr>
              <w:t>径流</w:t>
            </w:r>
            <w:r>
              <w:rPr>
                <w:rFonts w:hint="default" w:ascii="Times New Roman" w:hAnsi="Times New Roman" w:eastAsia="宋体" w:cs="Times New Roman"/>
                <w:color w:val="auto"/>
                <w:kern w:val="0"/>
                <w:sz w:val="21"/>
                <w:szCs w:val="21"/>
                <w:highlight w:val="none"/>
                <w:lang w:val="en-US" w:eastAsia="zh-CN"/>
              </w:rPr>
              <w:t>量为0.75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sz w:val="21"/>
                <w:szCs w:val="21"/>
                <w:highlight w:val="none"/>
                <w:lang w:val="zh-CN" w:eastAsia="zh-CN"/>
              </w:rPr>
              <w:t>现状下泄水量能够满足最小生态流量要求，未造成水库下游生态环境破坏。</w:t>
            </w:r>
          </w:p>
          <w:p w14:paraId="130D83C3">
            <w:pPr>
              <w:pStyle w:val="55"/>
              <w:spacing w:line="360" w:lineRule="auto"/>
              <w:ind w:firstLine="422" w:firstLineChars="200"/>
              <w:jc w:val="both"/>
              <w:rPr>
                <w:rFonts w:hint="eastAsia"/>
                <w:b/>
                <w:bCs/>
                <w:color w:val="auto"/>
                <w:sz w:val="21"/>
                <w:szCs w:val="21"/>
                <w:highlight w:val="none"/>
                <w:lang w:val="en-US" w:eastAsia="zh-CN"/>
              </w:rPr>
            </w:pPr>
            <w:r>
              <w:rPr>
                <w:rFonts w:hint="eastAsia"/>
                <w:b/>
                <w:bCs/>
                <w:color w:val="auto"/>
                <w:sz w:val="21"/>
                <w:szCs w:val="21"/>
                <w:highlight w:val="none"/>
                <w:lang w:val="en-US" w:eastAsia="zh-CN"/>
              </w:rPr>
              <w:t>原有工程环保手续履行情况：</w:t>
            </w:r>
          </w:p>
          <w:p w14:paraId="7C07D15D">
            <w:pPr>
              <w:pStyle w:val="64"/>
              <w:keepNext w:val="0"/>
              <w:keepLines w:val="0"/>
              <w:pageBreakBefore w:val="0"/>
              <w:widowControl/>
              <w:kinsoku/>
              <w:wordWrap/>
              <w:overflowPunct/>
              <w:topLinePunct w:val="0"/>
              <w:autoSpaceDE/>
              <w:autoSpaceDN/>
              <w:bidi w:val="0"/>
              <w:adjustRightInd/>
              <w:snapToGrid/>
              <w:ind w:firstLine="480"/>
              <w:textAlignment w:val="auto"/>
              <w:rPr>
                <w:color w:val="auto"/>
                <w:kern w:val="0"/>
                <w:sz w:val="21"/>
                <w:szCs w:val="21"/>
                <w:highlight w:val="none"/>
              </w:rPr>
            </w:pPr>
            <w:r>
              <w:rPr>
                <w:color w:val="auto"/>
                <w:kern w:val="0"/>
                <w:sz w:val="21"/>
                <w:szCs w:val="21"/>
                <w:highlight w:val="none"/>
              </w:rPr>
              <w:t>由于</w:t>
            </w:r>
            <w:r>
              <w:rPr>
                <w:rFonts w:hint="default" w:ascii="Times New Roman" w:hAnsi="Times New Roman" w:eastAsia="宋体" w:cs="Times New Roman"/>
                <w:color w:val="auto"/>
                <w:sz w:val="21"/>
                <w:szCs w:val="21"/>
                <w:highlight w:val="none"/>
                <w:lang w:val="zh-CN" w:eastAsia="zh-CN"/>
              </w:rPr>
              <w:t>庆先</w:t>
            </w:r>
            <w:r>
              <w:rPr>
                <w:color w:val="auto"/>
                <w:kern w:val="0"/>
                <w:sz w:val="21"/>
                <w:szCs w:val="21"/>
                <w:highlight w:val="none"/>
              </w:rPr>
              <w:t>水库建设早于《中华人民共和国环境保护法》的实施时间，未进行环境影响评价，未单独履行竣工环保验收手续。</w:t>
            </w:r>
          </w:p>
          <w:p w14:paraId="6215748F">
            <w:pPr>
              <w:pStyle w:val="64"/>
              <w:keepNext w:val="0"/>
              <w:keepLines w:val="0"/>
              <w:pageBreakBefore w:val="0"/>
              <w:widowControl/>
              <w:kinsoku/>
              <w:wordWrap/>
              <w:overflowPunct/>
              <w:topLinePunct w:val="0"/>
              <w:autoSpaceDE/>
              <w:autoSpaceDN/>
              <w:bidi w:val="0"/>
              <w:adjustRightInd/>
              <w:snapToGrid/>
              <w:ind w:firstLine="480"/>
              <w:textAlignment w:val="auto"/>
              <w:rPr>
                <w:color w:val="auto"/>
                <w:kern w:val="0"/>
                <w:sz w:val="21"/>
                <w:szCs w:val="21"/>
                <w:highlight w:val="none"/>
              </w:rPr>
            </w:pPr>
            <w:r>
              <w:rPr>
                <w:rFonts w:hint="eastAsia"/>
                <w:b/>
                <w:bCs/>
                <w:color w:val="auto"/>
                <w:sz w:val="21"/>
                <w:szCs w:val="21"/>
                <w:highlight w:val="none"/>
                <w:lang w:val="en-US" w:eastAsia="zh-CN"/>
              </w:rPr>
              <w:t>原有工程现状及主要问题：</w:t>
            </w:r>
          </w:p>
          <w:p w14:paraId="7D4E3C6B">
            <w:pPr>
              <w:pStyle w:val="64"/>
              <w:keepNext w:val="0"/>
              <w:keepLines w:val="0"/>
              <w:pageBreakBefore w:val="0"/>
              <w:widowControl/>
              <w:kinsoku/>
              <w:wordWrap/>
              <w:overflowPunct/>
              <w:topLinePunct w:val="0"/>
              <w:autoSpaceDE/>
              <w:autoSpaceDN/>
              <w:bidi w:val="0"/>
              <w:adjustRightInd/>
              <w:snapToGrid/>
              <w:ind w:firstLine="480"/>
              <w:textAlignment w:val="auto"/>
              <w:rPr>
                <w:color w:val="auto"/>
                <w:kern w:val="0"/>
                <w:sz w:val="21"/>
                <w:szCs w:val="21"/>
                <w:highlight w:val="none"/>
              </w:rPr>
            </w:pPr>
            <w:r>
              <w:rPr>
                <w:color w:val="auto"/>
                <w:kern w:val="0"/>
                <w:sz w:val="21"/>
                <w:szCs w:val="21"/>
                <w:highlight w:val="none"/>
              </w:rPr>
              <w:t>根据现场调查和收集到的资料，水库所在地区为农村地区，库区及坝址上游汇水范围内无工业污染源、畜禽养殖污染源、集中式污水处理厂尾水污染源等，在水库运行过程中无噪声产生，</w:t>
            </w:r>
            <w:r>
              <w:rPr>
                <w:rFonts w:hint="eastAsia"/>
                <w:color w:val="auto"/>
                <w:kern w:val="0"/>
                <w:sz w:val="21"/>
                <w:szCs w:val="21"/>
                <w:highlight w:val="none"/>
              </w:rPr>
              <w:t>管理站房不设置供热锅炉，不设置食堂，不涉及相关污染源。</w:t>
            </w:r>
            <w:r>
              <w:rPr>
                <w:color w:val="auto"/>
                <w:kern w:val="0"/>
                <w:sz w:val="21"/>
                <w:szCs w:val="21"/>
                <w:highlight w:val="none"/>
              </w:rPr>
              <w:t>水库现状营运期生活垃圾交环卫部门处理，生活污水</w:t>
            </w:r>
            <w:r>
              <w:rPr>
                <w:rFonts w:hint="default" w:ascii="Times New Roman" w:hAnsi="Times New Roman" w:cs="Times New Roman" w:eastAsiaTheme="minorEastAsia"/>
                <w:color w:val="auto"/>
                <w:kern w:val="0"/>
                <w:sz w:val="21"/>
                <w:szCs w:val="21"/>
                <w:highlight w:val="none"/>
                <w:lang w:eastAsia="zh-CN"/>
              </w:rPr>
              <w:t>排入防渗旱厕</w:t>
            </w:r>
            <w:r>
              <w:rPr>
                <w:rFonts w:hint="default" w:ascii="Times New Roman" w:hAnsi="Times New Roman" w:cs="Times New Roman" w:eastAsiaTheme="minorEastAsia"/>
                <w:color w:val="auto"/>
                <w:kern w:val="0"/>
                <w:sz w:val="21"/>
                <w:szCs w:val="21"/>
                <w:highlight w:val="none"/>
                <w:lang w:val="en-US" w:eastAsia="zh-CN"/>
              </w:rPr>
              <w:t>，</w:t>
            </w:r>
            <w:r>
              <w:rPr>
                <w:rFonts w:hint="default" w:ascii="Times New Roman" w:hAnsi="Times New Roman" w:cs="Times New Roman" w:eastAsiaTheme="minorEastAsia"/>
                <w:color w:val="auto"/>
                <w:kern w:val="0"/>
                <w:sz w:val="21"/>
                <w:szCs w:val="21"/>
                <w:highlight w:val="none"/>
              </w:rPr>
              <w:t>定期清掏外运做农肥</w:t>
            </w:r>
            <w:r>
              <w:rPr>
                <w:color w:val="auto"/>
                <w:kern w:val="0"/>
                <w:sz w:val="21"/>
                <w:szCs w:val="21"/>
                <w:highlight w:val="none"/>
              </w:rPr>
              <w:t>。</w:t>
            </w:r>
            <w:r>
              <w:rPr>
                <w:rFonts w:hint="eastAsia"/>
                <w:color w:val="auto"/>
                <w:kern w:val="0"/>
                <w:sz w:val="21"/>
                <w:szCs w:val="21"/>
                <w:highlight w:val="none"/>
              </w:rPr>
              <w:t>本</w:t>
            </w:r>
            <w:r>
              <w:rPr>
                <w:rFonts w:hint="eastAsia"/>
                <w:color w:val="auto"/>
                <w:kern w:val="0"/>
                <w:sz w:val="21"/>
                <w:szCs w:val="21"/>
                <w:highlight w:val="none"/>
                <w:lang w:val="en-US" w:eastAsia="zh-CN"/>
              </w:rPr>
              <w:t>次工程不建设</w:t>
            </w:r>
            <w:r>
              <w:rPr>
                <w:rFonts w:hint="eastAsia"/>
                <w:color w:val="auto"/>
                <w:kern w:val="0"/>
                <w:sz w:val="21"/>
                <w:szCs w:val="21"/>
                <w:highlight w:val="none"/>
              </w:rPr>
              <w:t>相关基础设施，不涉及</w:t>
            </w:r>
            <w:r>
              <w:rPr>
                <w:rFonts w:hint="eastAsia"/>
                <w:color w:val="auto"/>
                <w:kern w:val="0"/>
                <w:sz w:val="21"/>
                <w:szCs w:val="21"/>
                <w:highlight w:val="none"/>
                <w:lang w:eastAsia="zh-CN"/>
              </w:rPr>
              <w:t>“</w:t>
            </w:r>
            <w:r>
              <w:rPr>
                <w:rFonts w:hint="eastAsia"/>
                <w:color w:val="auto"/>
                <w:kern w:val="0"/>
                <w:sz w:val="21"/>
                <w:szCs w:val="21"/>
                <w:highlight w:val="none"/>
              </w:rPr>
              <w:t>以新带老</w:t>
            </w:r>
            <w:r>
              <w:rPr>
                <w:rFonts w:hint="eastAsia"/>
                <w:color w:val="auto"/>
                <w:kern w:val="0"/>
                <w:sz w:val="21"/>
                <w:szCs w:val="21"/>
                <w:highlight w:val="none"/>
                <w:lang w:eastAsia="zh-CN"/>
              </w:rPr>
              <w:t>”</w:t>
            </w:r>
            <w:r>
              <w:rPr>
                <w:rFonts w:hint="eastAsia"/>
                <w:color w:val="auto"/>
                <w:kern w:val="0"/>
                <w:sz w:val="21"/>
                <w:szCs w:val="21"/>
                <w:highlight w:val="none"/>
              </w:rPr>
              <w:t>相关内容。</w:t>
            </w:r>
          </w:p>
          <w:p w14:paraId="7AB7E4B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目前水库周边生态环境良好，无生态破坏现象。根据环境质量数据，地表水环境质量现状良好，无水质污染现象。不存在与项目有关的原有环境污染和生态破坏问题</w:t>
            </w:r>
            <w:r>
              <w:rPr>
                <w:rFonts w:hint="eastAsia" w:cs="Times New Roman"/>
                <w:color w:val="auto"/>
                <w:kern w:val="0"/>
                <w:sz w:val="21"/>
                <w:szCs w:val="21"/>
                <w:highlight w:val="none"/>
                <w:lang w:val="en-US" w:eastAsia="zh-CN"/>
              </w:rPr>
              <w:t>。</w:t>
            </w:r>
          </w:p>
          <w:p w14:paraId="09632E08">
            <w:pPr>
              <w:pStyle w:val="64"/>
              <w:keepNext w:val="0"/>
              <w:keepLines w:val="0"/>
              <w:pageBreakBefore w:val="0"/>
              <w:widowControl/>
              <w:numPr>
                <w:ilvl w:val="0"/>
                <w:numId w:val="0"/>
              </w:numPr>
              <w:kinsoku/>
              <w:wordWrap/>
              <w:overflowPunct/>
              <w:topLinePunct w:val="0"/>
              <w:autoSpaceDE/>
              <w:autoSpaceDN/>
              <w:bidi w:val="0"/>
              <w:adjustRightInd/>
              <w:snapToGrid/>
              <w:ind w:firstLine="420" w:firstLineChars="200"/>
              <w:textAlignment w:val="auto"/>
              <w:rPr>
                <w:rFonts w:hint="eastAsia"/>
                <w:color w:val="auto"/>
                <w:kern w:val="0"/>
                <w:sz w:val="21"/>
                <w:szCs w:val="21"/>
                <w:highlight w:val="none"/>
                <w:lang w:eastAsia="zh-CN"/>
              </w:rPr>
            </w:pPr>
            <w:r>
              <w:rPr>
                <w:rFonts w:hint="default" w:ascii="Times New Roman" w:hAnsi="Times New Roman" w:eastAsia="宋体" w:cs="Times New Roman"/>
                <w:b w:val="0"/>
                <w:bCs w:val="0"/>
                <w:color w:val="auto"/>
                <w:spacing w:val="0"/>
                <w:kern w:val="0"/>
                <w:sz w:val="21"/>
                <w:szCs w:val="21"/>
                <w:highlight w:val="none"/>
              </w:rPr>
              <w:t>目前存在的主要问题有大坝防洪能力不足</w:t>
            </w:r>
            <w:r>
              <w:rPr>
                <w:rFonts w:hint="default" w:ascii="Times New Roman" w:hAnsi="Times New Roman" w:cs="Times New Roman"/>
                <w:color w:val="auto"/>
                <w:kern w:val="0"/>
                <w:sz w:val="21"/>
                <w:szCs w:val="21"/>
                <w:highlight w:val="none"/>
                <w:lang w:val="en-US" w:eastAsia="zh-CN"/>
              </w:rPr>
              <w:t>，大坝下游排水系统不完善，下游护坡存在雨冲沟</w:t>
            </w:r>
            <w:r>
              <w:rPr>
                <w:rFonts w:hint="eastAsia" w:cs="Times New Roman"/>
                <w:color w:val="auto"/>
                <w:kern w:val="0"/>
                <w:sz w:val="21"/>
                <w:szCs w:val="21"/>
                <w:highlight w:val="none"/>
                <w:lang w:val="en-US" w:eastAsia="zh-CN"/>
              </w:rPr>
              <w:t>；溢洪道堰体露筋、剥蚀；</w:t>
            </w:r>
            <w:r>
              <w:rPr>
                <w:rFonts w:hint="default" w:ascii="Times New Roman" w:hAnsi="Times New Roman" w:cs="Times New Roman"/>
                <w:color w:val="auto"/>
                <w:kern w:val="0"/>
                <w:sz w:val="21"/>
                <w:szCs w:val="21"/>
                <w:highlight w:val="none"/>
                <w:lang w:val="en-US" w:eastAsia="zh-CN"/>
              </w:rPr>
              <w:t>输水洞进水塔倾斜严重，启闭螺杆弯曲变形，闸门及启闭机等局部变形、锈蚀</w:t>
            </w:r>
            <w:r>
              <w:rPr>
                <w:rFonts w:hint="eastAsia" w:cs="Times New Roman"/>
                <w:color w:val="auto"/>
                <w:kern w:val="0"/>
                <w:sz w:val="21"/>
                <w:szCs w:val="21"/>
                <w:highlight w:val="none"/>
                <w:lang w:val="en-US" w:eastAsia="zh-CN"/>
              </w:rPr>
              <w:t>；坝顶未硬化</w:t>
            </w:r>
            <w:r>
              <w:rPr>
                <w:rFonts w:hint="default"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庆先</w:t>
            </w:r>
            <w:r>
              <w:rPr>
                <w:rFonts w:hint="default" w:ascii="Times New Roman" w:hAnsi="Times New Roman" w:cs="Times New Roman"/>
                <w:color w:val="auto"/>
                <w:kern w:val="0"/>
                <w:sz w:val="21"/>
                <w:szCs w:val="21"/>
                <w:highlight w:val="none"/>
                <w:lang w:val="en-US" w:eastAsia="zh-CN"/>
              </w:rPr>
              <w:t>水库大坝安全分类为“三类坝”，应开展除险加固消除险情和安全隐患。</w:t>
            </w:r>
            <w:r>
              <w:rPr>
                <w:rFonts w:hint="eastAsia" w:ascii="Times New Roman" w:hAnsi="Times New Roman" w:cs="Times New Roman"/>
                <w:color w:val="auto"/>
                <w:kern w:val="0"/>
                <w:sz w:val="21"/>
                <w:szCs w:val="21"/>
                <w:highlight w:val="none"/>
                <w:lang w:val="en-US" w:eastAsia="zh-CN"/>
              </w:rPr>
              <w:t>本</w:t>
            </w:r>
            <w:r>
              <w:rPr>
                <w:color w:val="auto"/>
                <w:kern w:val="0"/>
                <w:sz w:val="21"/>
                <w:szCs w:val="21"/>
                <w:highlight w:val="none"/>
              </w:rPr>
              <w:t>项目水库除险加固工程的实施可消除各种工程隐患，确保现状水库的安全运行及下游人民生命财产的安全，并使其发挥正常的防洪、灌溉等效益，对区域环境产生的正面效益显著</w:t>
            </w:r>
            <w:r>
              <w:rPr>
                <w:rFonts w:hint="eastAsia"/>
                <w:color w:val="auto"/>
                <w:kern w:val="0"/>
                <w:sz w:val="21"/>
                <w:szCs w:val="21"/>
                <w:highlight w:val="none"/>
                <w:lang w:eastAsia="zh-CN"/>
              </w:rPr>
              <w:t>。</w:t>
            </w:r>
          </w:p>
        </w:tc>
      </w:tr>
      <w:tr w14:paraId="4A44EE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dxa"/>
            <w:vAlign w:val="center"/>
          </w:tcPr>
          <w:p w14:paraId="0FA1D8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color w:val="auto"/>
                <w:kern w:val="0"/>
                <w:sz w:val="21"/>
                <w:szCs w:val="21"/>
                <w:highlight w:val="none"/>
              </w:rPr>
              <w:t>生态环境保护目标</w:t>
            </w:r>
          </w:p>
        </w:tc>
        <w:tc>
          <w:tcPr>
            <w:tcW w:w="8210" w:type="dxa"/>
          </w:tcPr>
          <w:p w14:paraId="16A9524E">
            <w:pPr>
              <w:keepNext w:val="0"/>
              <w:keepLines w:val="0"/>
              <w:pageBreakBefore w:val="0"/>
              <w:widowControl/>
              <w:kinsoku/>
              <w:wordWrap/>
              <w:overflowPunct/>
              <w:topLinePunct w:val="0"/>
              <w:autoSpaceDE/>
              <w:autoSpaceDN/>
              <w:bidi w:val="0"/>
              <w:adjustRightInd/>
              <w:snapToGrid/>
              <w:spacing w:line="360" w:lineRule="auto"/>
              <w:ind w:left="0" w:firstLine="422" w:firstLineChars="200"/>
              <w:textAlignment w:val="auto"/>
              <w:rPr>
                <w:rFonts w:hint="default" w:ascii="Times New Roman" w:hAnsi="Times New Roman" w:cs="Times New Roman" w:eastAsiaTheme="minorEastAsia"/>
                <w:b/>
                <w:color w:val="auto"/>
                <w:sz w:val="21"/>
                <w:szCs w:val="21"/>
                <w:highlight w:val="none"/>
              </w:rPr>
            </w:pPr>
            <w:r>
              <w:rPr>
                <w:rFonts w:hint="default" w:ascii="Times New Roman" w:hAnsi="Times New Roman" w:cs="Times New Roman" w:eastAsiaTheme="minorEastAsia"/>
                <w:b/>
                <w:color w:val="auto"/>
                <w:sz w:val="21"/>
                <w:szCs w:val="21"/>
                <w:highlight w:val="none"/>
              </w:rPr>
              <w:t>环境保护目标</w:t>
            </w:r>
          </w:p>
          <w:p w14:paraId="4FFC06B6">
            <w:pPr>
              <w:keepNext w:val="0"/>
              <w:keepLines w:val="0"/>
              <w:pageBreakBefore w:val="0"/>
              <w:widowControl/>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根据《环境影响评价技术导则 大气环境》（HJ2.2-2018）</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大气环境不设置评价范围，</w:t>
            </w:r>
            <w:r>
              <w:rPr>
                <w:rFonts w:hint="default" w:ascii="Times New Roman" w:hAnsi="Times New Roman" w:eastAsia="宋体" w:cs="Times New Roman"/>
                <w:color w:val="auto"/>
                <w:sz w:val="21"/>
                <w:szCs w:val="21"/>
              </w:rPr>
              <w:t>项目周边500米范围内</w:t>
            </w:r>
            <w:r>
              <w:rPr>
                <w:rFonts w:hint="eastAsia" w:ascii="Times New Roman" w:hAnsi="Times New Roman" w:eastAsia="宋体" w:cs="Times New Roman"/>
                <w:color w:val="auto"/>
                <w:sz w:val="21"/>
                <w:szCs w:val="21"/>
                <w:lang w:eastAsia="zh-CN"/>
              </w:rPr>
              <w:t>无</w:t>
            </w:r>
            <w:r>
              <w:rPr>
                <w:rFonts w:hint="default" w:ascii="Times New Roman" w:hAnsi="Times New Roman" w:eastAsia="宋体" w:cs="Times New Roman"/>
                <w:color w:val="auto"/>
                <w:sz w:val="21"/>
                <w:szCs w:val="21"/>
              </w:rPr>
              <w:t>自然保护区、风景名胜区、居住区、文化区和农村地区中人群较集中的区域等大气环境保护目标</w:t>
            </w:r>
            <w:r>
              <w:rPr>
                <w:rFonts w:hint="eastAsia" w:ascii="Times New Roman" w:hAnsi="Times New Roman" w:eastAsia="宋体" w:cs="Times New Roman"/>
                <w:color w:val="auto"/>
                <w:sz w:val="21"/>
                <w:szCs w:val="21"/>
                <w:highlight w:val="none"/>
                <w:lang w:val="en-US" w:eastAsia="zh-CN"/>
              </w:rPr>
              <w:t>。</w:t>
            </w:r>
          </w:p>
          <w:p w14:paraId="750987C3">
            <w:pPr>
              <w:keepNext w:val="0"/>
              <w:keepLines w:val="0"/>
              <w:pageBreakBefore w:val="0"/>
              <w:widowControl/>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根据《环境影响评价技术导则 声环境》（HJ2.4-2021），</w:t>
            </w:r>
            <w:r>
              <w:rPr>
                <w:rFonts w:hint="default" w:ascii="Times New Roman" w:hAnsi="Times New Roman" w:eastAsia="宋体" w:cs="Times New Roman"/>
                <w:color w:val="auto"/>
                <w:sz w:val="21"/>
                <w:szCs w:val="21"/>
              </w:rPr>
              <w:t>项目</w:t>
            </w:r>
            <w:r>
              <w:rPr>
                <w:rFonts w:hint="default" w:ascii="Times New Roman" w:hAnsi="Times New Roman" w:eastAsia="宋体" w:cs="Times New Roman"/>
                <w:color w:val="auto"/>
                <w:sz w:val="21"/>
                <w:szCs w:val="21"/>
                <w:highlight w:val="none"/>
              </w:rPr>
              <w:t>主体工程区、临时工程区边界外</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0m范围内</w:t>
            </w:r>
            <w:r>
              <w:rPr>
                <w:rFonts w:hint="default" w:ascii="Times New Roman" w:hAnsi="Times New Roman" w:eastAsia="宋体" w:cs="Times New Roman"/>
                <w:color w:val="auto"/>
                <w:sz w:val="21"/>
                <w:szCs w:val="21"/>
                <w:highlight w:val="none"/>
                <w:lang w:val="en-US" w:eastAsia="zh-CN"/>
              </w:rPr>
              <w:t>无声环境保护目标</w:t>
            </w:r>
            <w:r>
              <w:rPr>
                <w:rFonts w:hint="eastAsia" w:ascii="Times New Roman" w:hAnsi="Times New Roman" w:eastAsia="宋体" w:cs="Times New Roman"/>
                <w:color w:val="auto"/>
                <w:sz w:val="21"/>
                <w:szCs w:val="21"/>
                <w:highlight w:val="none"/>
                <w:lang w:val="en-US" w:eastAsia="zh-CN"/>
              </w:rPr>
              <w:t>。</w:t>
            </w:r>
          </w:p>
          <w:p w14:paraId="333B59BF">
            <w:pPr>
              <w:keepNext w:val="0"/>
              <w:keepLines w:val="0"/>
              <w:pageBreakBefore w:val="0"/>
              <w:widowControl/>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根据《环境影响评价技术导则 生态影响》（HJ19-2022），本次生态环境评价以主体工程区、临时工程区边界外300m作为评价范围，评价范围内无珍稀濒危野生动物集中分布，生态环境保护目标为300m范围内的陆生生态</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水生生态</w:t>
            </w:r>
            <w:r>
              <w:rPr>
                <w:rFonts w:hint="eastAsia" w:ascii="Times New Roman" w:hAnsi="Times New Roman" w:eastAsia="宋体" w:cs="Times New Roman"/>
                <w:color w:val="auto"/>
                <w:sz w:val="21"/>
                <w:szCs w:val="21"/>
                <w:highlight w:val="none"/>
                <w:lang w:eastAsia="zh-CN"/>
              </w:rPr>
              <w:t>及鱼类</w:t>
            </w:r>
            <w:r>
              <w:rPr>
                <w:rFonts w:hint="default" w:ascii="Times New Roman" w:hAnsi="Times New Roman" w:eastAsia="宋体" w:cs="Times New Roman"/>
                <w:color w:val="auto"/>
                <w:sz w:val="21"/>
                <w:szCs w:val="21"/>
                <w:highlight w:val="none"/>
              </w:rPr>
              <w:t>。</w:t>
            </w:r>
          </w:p>
          <w:p w14:paraId="4C35A6FF">
            <w:pPr>
              <w:keepNext w:val="0"/>
              <w:keepLines w:val="0"/>
              <w:pageBreakBefore w:val="0"/>
              <w:widowControl/>
              <w:kinsoku/>
              <w:wordWrap/>
              <w:overflowPunct/>
              <w:topLinePunct w:val="0"/>
              <w:autoSpaceDE/>
              <w:autoSpaceDN/>
              <w:bidi w:val="0"/>
              <w:adjustRightInd/>
              <w:snapToGrid/>
              <w:spacing w:line="360" w:lineRule="auto"/>
              <w:ind w:left="0" w:firstLine="420" w:firstLineChars="200"/>
              <w:jc w:val="both"/>
              <w:textAlignment w:val="auto"/>
              <w:rPr>
                <w:rFonts w:hint="eastAsia" w:ascii="Times New Roman" w:hAnsi="Times New Roman" w:eastAsia="宋体" w:cs="Times New Roman"/>
                <w:color w:val="auto"/>
                <w:szCs w:val="22"/>
                <w:lang w:eastAsia="zh-CN"/>
              </w:rPr>
            </w:pPr>
            <w:r>
              <w:rPr>
                <w:rFonts w:hint="default" w:ascii="Times New Roman" w:hAnsi="Times New Roman" w:cs="Times New Roman"/>
                <w:color w:val="auto"/>
                <w:lang w:eastAsia="zh-CN"/>
              </w:rPr>
              <w:t>根据</w:t>
            </w:r>
            <w:r>
              <w:rPr>
                <w:rFonts w:hint="default" w:ascii="Times New Roman" w:hAnsi="Times New Roman" w:cs="Times New Roman"/>
                <w:color w:val="auto"/>
                <w:szCs w:val="22"/>
              </w:rPr>
              <w:t>《环境影响评价技术导则</w:t>
            </w:r>
            <w:r>
              <w:rPr>
                <w:rFonts w:hint="eastAsia" w:ascii="Times New Roman" w:hAnsi="Times New Roman" w:cs="Times New Roman"/>
                <w:color w:val="auto"/>
                <w:szCs w:val="22"/>
                <w:lang w:val="en-US" w:eastAsia="zh-CN"/>
              </w:rPr>
              <w:t xml:space="preserve"> </w:t>
            </w:r>
            <w:r>
              <w:rPr>
                <w:rFonts w:hint="default" w:ascii="Times New Roman" w:hAnsi="Times New Roman" w:cs="Times New Roman"/>
                <w:color w:val="auto"/>
                <w:szCs w:val="22"/>
              </w:rPr>
              <w:t>地表水环境》（HJ2.3-2018）</w:t>
            </w:r>
            <w:r>
              <w:rPr>
                <w:rFonts w:hint="default" w:ascii="Times New Roman" w:hAnsi="Times New Roman" w:cs="Times New Roman"/>
                <w:color w:val="auto"/>
                <w:szCs w:val="22"/>
                <w:lang w:eastAsia="zh-CN"/>
              </w:rPr>
              <w:t>，</w:t>
            </w:r>
            <w:r>
              <w:rPr>
                <w:rFonts w:hint="default" w:ascii="Times New Roman" w:hAnsi="Times New Roman" w:eastAsia="宋体" w:cs="Times New Roman"/>
                <w:color w:val="auto"/>
                <w:sz w:val="21"/>
                <w:szCs w:val="21"/>
                <w:highlight w:val="none"/>
              </w:rPr>
              <w:t>本项目涉及的地表水</w:t>
            </w:r>
            <w:r>
              <w:rPr>
                <w:rFonts w:hint="eastAsia" w:ascii="Times New Roman" w:hAnsi="Times New Roman" w:eastAsia="宋体" w:cs="Times New Roman"/>
                <w:color w:val="auto"/>
                <w:sz w:val="21"/>
                <w:szCs w:val="21"/>
                <w:highlight w:val="none"/>
                <w:lang w:eastAsia="zh-CN"/>
              </w:rPr>
              <w:t>保护目标</w:t>
            </w:r>
            <w:r>
              <w:rPr>
                <w:rFonts w:hint="default" w:ascii="Times New Roman" w:hAnsi="Times New Roman" w:eastAsia="宋体" w:cs="Times New Roman"/>
                <w:color w:val="auto"/>
                <w:sz w:val="21"/>
                <w:szCs w:val="21"/>
                <w:highlight w:val="none"/>
              </w:rPr>
              <w:t>为</w:t>
            </w:r>
            <w:r>
              <w:rPr>
                <w:rFonts w:hint="default" w:ascii="Times New Roman" w:hAnsi="Times New Roman" w:eastAsia="宋体" w:cs="Times New Roman"/>
                <w:color w:val="auto"/>
                <w:sz w:val="21"/>
                <w:szCs w:val="21"/>
                <w:highlight w:val="none"/>
                <w:lang w:val="en-US" w:eastAsia="zh-CN"/>
              </w:rPr>
              <w:t>庆先水库</w:t>
            </w:r>
            <w:r>
              <w:rPr>
                <w:rFonts w:hint="eastAsia" w:ascii="Times New Roman" w:hAnsi="Times New Roman" w:eastAsia="宋体" w:cs="Times New Roman"/>
                <w:color w:val="auto"/>
                <w:sz w:val="21"/>
                <w:szCs w:val="21"/>
                <w:highlight w:val="none"/>
                <w:lang w:val="en-US" w:eastAsia="zh-CN"/>
              </w:rPr>
              <w:t>、庆先水库下游锅盔河</w:t>
            </w:r>
            <w:r>
              <w:rPr>
                <w:rFonts w:hint="eastAsia" w:ascii="Times New Roman" w:hAnsi="Times New Roman" w:eastAsia="宋体" w:cs="Times New Roman"/>
                <w:color w:val="auto"/>
                <w:sz w:val="21"/>
                <w:szCs w:val="21"/>
                <w:highlight w:val="none"/>
                <w:lang w:eastAsia="zh-CN"/>
              </w:rPr>
              <w:t>。</w:t>
            </w:r>
          </w:p>
          <w:p w14:paraId="2819956E">
            <w:pPr>
              <w:keepNext w:val="0"/>
              <w:keepLines w:val="0"/>
              <w:pageBreakBefore w:val="0"/>
              <w:widowControl/>
              <w:kinsoku/>
              <w:wordWrap/>
              <w:overflowPunct/>
              <w:topLinePunct w:val="0"/>
              <w:autoSpaceDE/>
              <w:autoSpaceDN/>
              <w:bidi w:val="0"/>
              <w:adjustRightInd/>
              <w:snapToGrid/>
              <w:spacing w:line="360" w:lineRule="auto"/>
              <w:ind w:left="0" w:firstLine="420" w:firstLineChars="200"/>
              <w:jc w:val="left"/>
              <w:textAlignment w:val="auto"/>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1"/>
                <w:szCs w:val="21"/>
                <w:highlight w:val="none"/>
              </w:rPr>
              <w:t>主要</w:t>
            </w:r>
            <w:r>
              <w:rPr>
                <w:rFonts w:hint="default" w:ascii="Times New Roman" w:hAnsi="Times New Roman" w:cs="Times New Roman"/>
                <w:color w:val="auto"/>
                <w:szCs w:val="22"/>
              </w:rPr>
              <w:t>环境</w:t>
            </w:r>
            <w:r>
              <w:rPr>
                <w:rFonts w:hint="default" w:ascii="Times New Roman" w:hAnsi="Times New Roman" w:cs="Times New Roman" w:eastAsiaTheme="minorEastAsia"/>
                <w:color w:val="auto"/>
                <w:sz w:val="21"/>
                <w:szCs w:val="21"/>
                <w:highlight w:val="none"/>
              </w:rPr>
              <w:t>保护目标见表</w:t>
            </w:r>
            <w:r>
              <w:rPr>
                <w:rFonts w:hint="default" w:ascii="Times New Roman" w:hAnsi="Times New Roman" w:cs="Times New Roman" w:eastAsiaTheme="minorEastAsia"/>
                <w:color w:val="auto"/>
                <w:sz w:val="21"/>
                <w:szCs w:val="21"/>
                <w:highlight w:val="none"/>
                <w:lang w:val="en-US" w:eastAsia="zh-CN"/>
              </w:rPr>
              <w:t>3-</w:t>
            </w:r>
            <w:r>
              <w:rPr>
                <w:rFonts w:hint="eastAsia"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rPr>
              <w:t>。</w:t>
            </w:r>
          </w:p>
          <w:p w14:paraId="4E44A2C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3-</w:t>
            </w: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rPr>
              <w:t>工程环境保护目标一览表</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616"/>
              <w:gridCol w:w="1663"/>
              <w:gridCol w:w="1844"/>
              <w:gridCol w:w="2182"/>
            </w:tblGrid>
            <w:tr w14:paraId="7D50BF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9" w:type="dxa"/>
                  <w:noWrap w:val="0"/>
                  <w:vAlign w:val="center"/>
                </w:tcPr>
                <w:p w14:paraId="3F366F1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环境因子</w:t>
                  </w:r>
                </w:p>
              </w:tc>
              <w:tc>
                <w:tcPr>
                  <w:tcW w:w="1616" w:type="dxa"/>
                  <w:noWrap w:val="0"/>
                  <w:vAlign w:val="center"/>
                </w:tcPr>
                <w:p w14:paraId="127F80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敏感点名称</w:t>
                  </w:r>
                </w:p>
              </w:tc>
              <w:tc>
                <w:tcPr>
                  <w:tcW w:w="1663" w:type="dxa"/>
                  <w:noWrap w:val="0"/>
                  <w:vAlign w:val="center"/>
                </w:tcPr>
                <w:p w14:paraId="5BE60F5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保护内容</w:t>
                  </w:r>
                </w:p>
              </w:tc>
              <w:tc>
                <w:tcPr>
                  <w:tcW w:w="1844" w:type="dxa"/>
                  <w:noWrap w:val="0"/>
                  <w:vAlign w:val="center"/>
                </w:tcPr>
                <w:p w14:paraId="3CF2815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与工程的位置及距离</w:t>
                  </w:r>
                </w:p>
              </w:tc>
              <w:tc>
                <w:tcPr>
                  <w:tcW w:w="2182" w:type="dxa"/>
                  <w:noWrap w:val="0"/>
                  <w:vAlign w:val="center"/>
                </w:tcPr>
                <w:p w14:paraId="305D3B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保护目标</w:t>
                  </w:r>
                </w:p>
              </w:tc>
            </w:tr>
            <w:tr w14:paraId="705CB0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9" w:type="dxa"/>
                  <w:vMerge w:val="restart"/>
                  <w:noWrap w:val="0"/>
                  <w:vAlign w:val="center"/>
                </w:tcPr>
                <w:p w14:paraId="5C5990B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地表水环境</w:t>
                  </w:r>
                </w:p>
              </w:tc>
              <w:tc>
                <w:tcPr>
                  <w:tcW w:w="1616" w:type="dxa"/>
                  <w:shd w:val="clear" w:color="auto" w:fill="auto"/>
                  <w:noWrap w:val="0"/>
                  <w:vAlign w:val="center"/>
                </w:tcPr>
                <w:p w14:paraId="3CFC047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庆先</w:t>
                  </w:r>
                  <w:r>
                    <w:rPr>
                      <w:rFonts w:hint="default" w:ascii="Times New Roman" w:hAnsi="Times New Roman" w:eastAsia="宋体" w:cs="Times New Roman"/>
                      <w:b w:val="0"/>
                      <w:bCs/>
                      <w:color w:val="auto"/>
                      <w:sz w:val="18"/>
                      <w:szCs w:val="18"/>
                      <w:highlight w:val="none"/>
                      <w:lang w:val="en-US" w:eastAsia="zh-CN"/>
                    </w:rPr>
                    <w:t>水库下游锅盔河</w:t>
                  </w:r>
                </w:p>
              </w:tc>
              <w:tc>
                <w:tcPr>
                  <w:tcW w:w="1663" w:type="dxa"/>
                  <w:shd w:val="clear" w:color="auto" w:fill="auto"/>
                  <w:noWrap w:val="0"/>
                  <w:vAlign w:val="center"/>
                </w:tcPr>
                <w:p w14:paraId="2E1D02C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水质</w:t>
                  </w:r>
                </w:p>
              </w:tc>
              <w:tc>
                <w:tcPr>
                  <w:tcW w:w="1844" w:type="dxa"/>
                  <w:shd w:val="clear" w:color="auto" w:fill="auto"/>
                  <w:noWrap w:val="0"/>
                  <w:vAlign w:val="center"/>
                </w:tcPr>
                <w:p w14:paraId="5F61DA0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lang w:eastAsia="zh-CN"/>
                    </w:rPr>
                    <w:t>下游</w:t>
                  </w:r>
                </w:p>
              </w:tc>
              <w:tc>
                <w:tcPr>
                  <w:tcW w:w="2182" w:type="dxa"/>
                  <w:vMerge w:val="restart"/>
                  <w:noWrap w:val="0"/>
                  <w:vAlign w:val="center"/>
                </w:tcPr>
                <w:p w14:paraId="7663C7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《地表水环境质量》（GB3838-2002）中Ⅲ类</w:t>
                  </w:r>
                </w:p>
              </w:tc>
            </w:tr>
            <w:tr w14:paraId="1BF07E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9" w:type="dxa"/>
                  <w:vMerge w:val="continue"/>
                  <w:noWrap w:val="0"/>
                  <w:vAlign w:val="center"/>
                </w:tcPr>
                <w:p w14:paraId="6F787A1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p>
              </w:tc>
              <w:tc>
                <w:tcPr>
                  <w:tcW w:w="1616" w:type="dxa"/>
                  <w:shd w:val="clear" w:color="auto" w:fill="auto"/>
                  <w:noWrap w:val="0"/>
                  <w:vAlign w:val="center"/>
                </w:tcPr>
                <w:p w14:paraId="1DF67B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庆先</w:t>
                  </w:r>
                  <w:r>
                    <w:rPr>
                      <w:rFonts w:hint="default" w:ascii="Times New Roman" w:hAnsi="Times New Roman" w:eastAsia="宋体" w:cs="Times New Roman"/>
                      <w:b w:val="0"/>
                      <w:bCs/>
                      <w:color w:val="auto"/>
                      <w:sz w:val="18"/>
                      <w:szCs w:val="18"/>
                      <w:highlight w:val="none"/>
                      <w:lang w:val="en-US" w:eastAsia="zh-CN"/>
                    </w:rPr>
                    <w:t>水库</w:t>
                  </w:r>
                </w:p>
              </w:tc>
              <w:tc>
                <w:tcPr>
                  <w:tcW w:w="1663" w:type="dxa"/>
                  <w:shd w:val="clear" w:color="auto" w:fill="auto"/>
                  <w:noWrap w:val="0"/>
                  <w:vAlign w:val="center"/>
                </w:tcPr>
                <w:p w14:paraId="4C6A709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水质</w:t>
                  </w:r>
                </w:p>
              </w:tc>
              <w:tc>
                <w:tcPr>
                  <w:tcW w:w="1844" w:type="dxa"/>
                  <w:shd w:val="clear" w:color="auto" w:fill="auto"/>
                  <w:noWrap w:val="0"/>
                  <w:vAlign w:val="center"/>
                </w:tcPr>
                <w:p w14:paraId="2FE50AD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在其中或近邻</w:t>
                  </w:r>
                </w:p>
              </w:tc>
              <w:tc>
                <w:tcPr>
                  <w:tcW w:w="2182" w:type="dxa"/>
                  <w:vMerge w:val="continue"/>
                  <w:noWrap w:val="0"/>
                  <w:vAlign w:val="center"/>
                </w:tcPr>
                <w:p w14:paraId="1666858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p>
              </w:tc>
            </w:tr>
            <w:tr w14:paraId="76E212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9" w:type="dxa"/>
                  <w:noWrap w:val="0"/>
                  <w:vAlign w:val="center"/>
                </w:tcPr>
                <w:p w14:paraId="5A9C9C7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生态环境</w:t>
                  </w:r>
                </w:p>
              </w:tc>
              <w:tc>
                <w:tcPr>
                  <w:tcW w:w="1616" w:type="dxa"/>
                  <w:noWrap w:val="0"/>
                  <w:vAlign w:val="center"/>
                </w:tcPr>
                <w:p w14:paraId="2335EE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陆生动植物、水生生物、鱼类资源</w:t>
                  </w:r>
                </w:p>
              </w:tc>
              <w:tc>
                <w:tcPr>
                  <w:tcW w:w="1663" w:type="dxa"/>
                  <w:noWrap w:val="0"/>
                  <w:vAlign w:val="center"/>
                </w:tcPr>
                <w:p w14:paraId="7B7C37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保护陆生生态和水生生态的完整性</w:t>
                  </w:r>
                </w:p>
              </w:tc>
              <w:tc>
                <w:tcPr>
                  <w:tcW w:w="1844" w:type="dxa"/>
                  <w:noWrap w:val="0"/>
                  <w:vAlign w:val="center"/>
                </w:tcPr>
                <w:p w14:paraId="0260C7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eastAsia="zh-CN"/>
                    </w:rPr>
                  </w:pPr>
                  <w:r>
                    <w:rPr>
                      <w:rFonts w:hint="default" w:ascii="Times New Roman" w:hAnsi="Times New Roman" w:eastAsia="宋体" w:cs="Times New Roman"/>
                      <w:b w:val="0"/>
                      <w:bCs/>
                      <w:color w:val="auto"/>
                      <w:sz w:val="18"/>
                      <w:szCs w:val="18"/>
                      <w:highlight w:val="none"/>
                    </w:rPr>
                    <w:t>施工影响</w:t>
                  </w:r>
                  <w:r>
                    <w:rPr>
                      <w:rFonts w:hint="default" w:ascii="Times New Roman" w:hAnsi="Times New Roman" w:eastAsia="宋体" w:cs="Times New Roman"/>
                      <w:b w:val="0"/>
                      <w:bCs/>
                      <w:color w:val="auto"/>
                      <w:sz w:val="18"/>
                      <w:szCs w:val="18"/>
                      <w:highlight w:val="none"/>
                      <w:lang w:eastAsia="zh-CN"/>
                    </w:rPr>
                    <w:t>区域</w:t>
                  </w:r>
                </w:p>
              </w:tc>
              <w:tc>
                <w:tcPr>
                  <w:tcW w:w="2182" w:type="dxa"/>
                  <w:noWrap w:val="0"/>
                  <w:vAlign w:val="center"/>
                </w:tcPr>
                <w:p w14:paraId="6E805E6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保护物种多样性、生境，维持生态系统的完整性与稳定性</w:t>
                  </w:r>
                </w:p>
              </w:tc>
            </w:tr>
          </w:tbl>
          <w:p w14:paraId="7D1EC135">
            <w:pPr>
              <w:pStyle w:val="21"/>
              <w:spacing w:before="0" w:after="0" w:line="260" w:lineRule="auto"/>
              <w:ind w:firstLine="0" w:firstLineChars="0"/>
              <w:rPr>
                <w:rFonts w:hint="default" w:ascii="Times New Roman" w:hAnsi="Times New Roman" w:cs="Times New Roman"/>
                <w:color w:val="auto"/>
                <w:highlight w:val="none"/>
              </w:rPr>
            </w:pPr>
          </w:p>
        </w:tc>
      </w:tr>
      <w:tr w14:paraId="7F4E9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dxa"/>
            <w:vAlign w:val="center"/>
          </w:tcPr>
          <w:p w14:paraId="112DA09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评价</w:t>
            </w:r>
          </w:p>
          <w:p w14:paraId="2B9A9E2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 w:val="21"/>
                <w:szCs w:val="21"/>
                <w:highlight w:val="none"/>
              </w:rPr>
              <w:t>标准</w:t>
            </w:r>
          </w:p>
        </w:tc>
        <w:tc>
          <w:tcPr>
            <w:tcW w:w="8210" w:type="dxa"/>
            <w:vAlign w:val="center"/>
          </w:tcPr>
          <w:p w14:paraId="0ECABEC0">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bookmarkStart w:id="19" w:name="_Hlk36714510"/>
            <w:r>
              <w:rPr>
                <w:rFonts w:hint="default" w:ascii="Times New Roman" w:hAnsi="Times New Roman" w:eastAsia="宋体" w:cs="Times New Roman"/>
                <w:color w:val="auto"/>
                <w:sz w:val="21"/>
                <w:highlight w:val="none"/>
                <w:lang w:eastAsia="zh-CN"/>
              </w:rPr>
              <w:t>1、环境质量标准</w:t>
            </w:r>
          </w:p>
          <w:p w14:paraId="3FA434BE">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（1）大气环境质量标准</w:t>
            </w:r>
          </w:p>
          <w:p w14:paraId="37BDF08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highlight w:val="none"/>
                <w:lang w:eastAsia="zh-CN"/>
              </w:rPr>
              <w:t>本项目所在区域环境空气执行</w:t>
            </w:r>
            <w:r>
              <w:rPr>
                <w:rFonts w:hint="eastAsia" w:ascii="Times New Roman" w:hAnsi="Times New Roman" w:eastAsia="宋体" w:cs="Times New Roman"/>
                <w:color w:val="auto"/>
                <w:sz w:val="21"/>
                <w:highlight w:val="none"/>
                <w:lang w:eastAsia="zh-CN"/>
              </w:rPr>
              <w:t>《环境空气质量标准》（GB3095-2026）中</w:t>
            </w:r>
            <w:r>
              <w:rPr>
                <w:rFonts w:hint="eastAsia" w:ascii="Times New Roman" w:hAnsi="Times New Roman" w:eastAsia="宋体" w:cs="Times New Roman"/>
                <w:color w:val="auto"/>
                <w:spacing w:val="0"/>
                <w:sz w:val="21"/>
                <w:highlight w:val="none"/>
                <w:lang w:val="en-US" w:eastAsia="zh-CN"/>
              </w:rPr>
              <w:t>过渡</w:t>
            </w:r>
            <w:r>
              <w:rPr>
                <w:rFonts w:hint="eastAsia" w:cs="Times New Roman"/>
                <w:color w:val="auto"/>
                <w:spacing w:val="0"/>
                <w:sz w:val="21"/>
                <w:highlight w:val="none"/>
                <w:lang w:val="en-US" w:eastAsia="zh-CN"/>
              </w:rPr>
              <w:t>阶段</w:t>
            </w:r>
            <w:r>
              <w:rPr>
                <w:rFonts w:hint="eastAsia" w:ascii="Times New Roman" w:hAnsi="Times New Roman" w:eastAsia="宋体" w:cs="Times New Roman"/>
                <w:color w:val="auto"/>
                <w:sz w:val="21"/>
                <w:highlight w:val="none"/>
                <w:lang w:eastAsia="zh-CN"/>
              </w:rPr>
              <w:t>二级标准要求</w:t>
            </w:r>
            <w:r>
              <w:rPr>
                <w:rFonts w:hint="default" w:ascii="Times New Roman" w:hAnsi="Times New Roman" w:eastAsia="宋体" w:cs="Times New Roman"/>
                <w:color w:val="auto"/>
                <w:sz w:val="21"/>
                <w:highlight w:val="none"/>
                <w:lang w:eastAsia="zh-CN"/>
              </w:rPr>
              <w:t>。</w:t>
            </w:r>
          </w:p>
          <w:p w14:paraId="1E2AD51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p>
          <w:p w14:paraId="1C1F228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p>
          <w:p w14:paraId="3E3E3A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w:t>
            </w:r>
            <w:r>
              <w:rPr>
                <w:rFonts w:hint="default" w:ascii="Times New Roman" w:hAnsi="Times New Roman" w:eastAsia="宋体" w:cs="Times New Roman"/>
                <w:b/>
                <w:bCs/>
                <w:color w:val="auto"/>
                <w:highlight w:val="none"/>
                <w:lang w:eastAsia="zh-CN"/>
              </w:rPr>
              <w:t>-</w:t>
            </w: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rPr>
              <w:t>环境空气质量标准</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1"/>
              <w:gridCol w:w="1991"/>
              <w:gridCol w:w="1856"/>
              <w:gridCol w:w="1010"/>
              <w:gridCol w:w="1706"/>
            </w:tblGrid>
            <w:tr w14:paraId="7C7306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894" w:type="pct"/>
                  <w:tcBorders>
                    <w:tl2br w:val="nil"/>
                    <w:tr2bl w:val="nil"/>
                  </w:tcBorders>
                  <w:vAlign w:val="center"/>
                </w:tcPr>
                <w:p w14:paraId="40F6E1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污染物名称</w:t>
                  </w:r>
                </w:p>
              </w:tc>
              <w:tc>
                <w:tcPr>
                  <w:tcW w:w="1245" w:type="pct"/>
                  <w:tcBorders>
                    <w:tl2br w:val="nil"/>
                    <w:tr2bl w:val="nil"/>
                  </w:tcBorders>
                  <w:vAlign w:val="center"/>
                </w:tcPr>
                <w:p w14:paraId="6FADC2D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取值时间</w:t>
                  </w:r>
                </w:p>
              </w:tc>
              <w:tc>
                <w:tcPr>
                  <w:tcW w:w="1161" w:type="pct"/>
                  <w:tcBorders>
                    <w:tl2br w:val="nil"/>
                    <w:tr2bl w:val="nil"/>
                  </w:tcBorders>
                  <w:vAlign w:val="center"/>
                </w:tcPr>
                <w:p w14:paraId="194C881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二级浓度限值</w:t>
                  </w:r>
                </w:p>
              </w:tc>
              <w:tc>
                <w:tcPr>
                  <w:tcW w:w="632" w:type="pct"/>
                  <w:tcBorders>
                    <w:tl2br w:val="nil"/>
                    <w:tr2bl w:val="nil"/>
                  </w:tcBorders>
                  <w:vAlign w:val="center"/>
                </w:tcPr>
                <w:p w14:paraId="5141B6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单位</w:t>
                  </w:r>
                </w:p>
              </w:tc>
              <w:tc>
                <w:tcPr>
                  <w:tcW w:w="1067" w:type="pct"/>
                  <w:tcBorders>
                    <w:tl2br w:val="nil"/>
                    <w:tr2bl w:val="nil"/>
                  </w:tcBorders>
                  <w:vAlign w:val="center"/>
                </w:tcPr>
                <w:p w14:paraId="73EF663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标准来源</w:t>
                  </w:r>
                </w:p>
              </w:tc>
            </w:tr>
            <w:tr w14:paraId="2F8A85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78C5EF3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p>
              </w:tc>
              <w:tc>
                <w:tcPr>
                  <w:tcW w:w="1245" w:type="pct"/>
                  <w:tcBorders>
                    <w:tl2br w:val="nil"/>
                    <w:tr2bl w:val="nil"/>
                  </w:tcBorders>
                  <w:vAlign w:val="center"/>
                </w:tcPr>
                <w:p w14:paraId="4186310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w:t>
                  </w:r>
                </w:p>
              </w:tc>
              <w:tc>
                <w:tcPr>
                  <w:tcW w:w="1161" w:type="pct"/>
                  <w:tcBorders>
                    <w:tl2br w:val="nil"/>
                    <w:tr2bl w:val="nil"/>
                  </w:tcBorders>
                  <w:vAlign w:val="center"/>
                </w:tcPr>
                <w:p w14:paraId="03D7CCF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w:t>
                  </w:r>
                </w:p>
              </w:tc>
              <w:tc>
                <w:tcPr>
                  <w:tcW w:w="632" w:type="pct"/>
                  <w:vMerge w:val="restart"/>
                  <w:tcBorders>
                    <w:tl2br w:val="nil"/>
                    <w:tr2bl w:val="nil"/>
                  </w:tcBorders>
                  <w:vAlign w:val="center"/>
                </w:tcPr>
                <w:p w14:paraId="1DC658B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μg/m</w:t>
                  </w:r>
                  <w:r>
                    <w:rPr>
                      <w:rFonts w:hint="default" w:ascii="Times New Roman" w:hAnsi="Times New Roman" w:eastAsia="宋体" w:cs="Times New Roman"/>
                      <w:color w:val="auto"/>
                      <w:sz w:val="18"/>
                      <w:szCs w:val="18"/>
                      <w:highlight w:val="none"/>
                      <w:vertAlign w:val="superscript"/>
                    </w:rPr>
                    <w:t>3</w:t>
                  </w:r>
                </w:p>
              </w:tc>
              <w:tc>
                <w:tcPr>
                  <w:tcW w:w="1067" w:type="pct"/>
                  <w:vMerge w:val="restart"/>
                  <w:tcBorders>
                    <w:tl2br w:val="nil"/>
                    <w:tr2bl w:val="nil"/>
                  </w:tcBorders>
                  <w:vAlign w:val="center"/>
                </w:tcPr>
                <w:p w14:paraId="1749EB5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《环境空气质量标准》（GB3095-2026）中</w:t>
                  </w:r>
                  <w:r>
                    <w:rPr>
                      <w:rFonts w:hint="eastAsia" w:ascii="Times New Roman" w:hAnsi="Times New Roman" w:eastAsia="宋体" w:cs="Times New Roman"/>
                      <w:color w:val="auto"/>
                      <w:spacing w:val="0"/>
                      <w:sz w:val="18"/>
                      <w:szCs w:val="18"/>
                      <w:highlight w:val="none"/>
                      <w:lang w:val="en-US" w:eastAsia="zh-CN"/>
                    </w:rPr>
                    <w:t>过渡阶段</w:t>
                  </w:r>
                  <w:r>
                    <w:rPr>
                      <w:rFonts w:hint="eastAsia" w:ascii="Times New Roman" w:hAnsi="Times New Roman" w:eastAsia="宋体" w:cs="Times New Roman"/>
                      <w:color w:val="auto"/>
                      <w:sz w:val="18"/>
                      <w:szCs w:val="18"/>
                      <w:highlight w:val="none"/>
                      <w:lang w:eastAsia="zh-CN"/>
                    </w:rPr>
                    <w:t>二级标准</w:t>
                  </w:r>
                </w:p>
              </w:tc>
            </w:tr>
            <w:tr w14:paraId="6505A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6EF617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c>
                <w:tcPr>
                  <w:tcW w:w="1245" w:type="pct"/>
                  <w:tcBorders>
                    <w:tl2br w:val="nil"/>
                    <w:tr2bl w:val="nil"/>
                  </w:tcBorders>
                  <w:vAlign w:val="center"/>
                </w:tcPr>
                <w:p w14:paraId="22C54C3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7900B92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r>
                    <w:rPr>
                      <w:rFonts w:hint="eastAsia" w:ascii="Times New Roman" w:hAnsi="Times New Roman" w:eastAsia="宋体"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rPr>
                    <w:t>0</w:t>
                  </w:r>
                </w:p>
              </w:tc>
              <w:tc>
                <w:tcPr>
                  <w:tcW w:w="632" w:type="pct"/>
                  <w:vMerge w:val="continue"/>
                  <w:tcBorders>
                    <w:tl2br w:val="nil"/>
                    <w:tr2bl w:val="nil"/>
                  </w:tcBorders>
                  <w:vAlign w:val="center"/>
                </w:tcPr>
                <w:p w14:paraId="11EC6A3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4F2566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04EF04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72A4458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418D46D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1小时平均</w:t>
                  </w:r>
                </w:p>
              </w:tc>
              <w:tc>
                <w:tcPr>
                  <w:tcW w:w="1161" w:type="pct"/>
                  <w:tcBorders>
                    <w:tl2br w:val="nil"/>
                    <w:tr2bl w:val="nil"/>
                  </w:tcBorders>
                  <w:vAlign w:val="center"/>
                </w:tcPr>
                <w:p w14:paraId="426E459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500</w:t>
                  </w:r>
                </w:p>
              </w:tc>
              <w:tc>
                <w:tcPr>
                  <w:tcW w:w="632" w:type="pct"/>
                  <w:vMerge w:val="continue"/>
                  <w:tcBorders>
                    <w:tl2br w:val="nil"/>
                    <w:tr2bl w:val="nil"/>
                  </w:tcBorders>
                  <w:vAlign w:val="center"/>
                </w:tcPr>
                <w:p w14:paraId="7A6C1E9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3F21119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3881AF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373A4BF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O</w:t>
                  </w:r>
                  <w:r>
                    <w:rPr>
                      <w:rFonts w:hint="default" w:ascii="Times New Roman" w:hAnsi="Times New Roman" w:eastAsia="宋体" w:cs="Times New Roman"/>
                      <w:color w:val="auto"/>
                      <w:sz w:val="18"/>
                      <w:szCs w:val="18"/>
                      <w:highlight w:val="none"/>
                      <w:vertAlign w:val="subscript"/>
                    </w:rPr>
                    <w:t>3</w:t>
                  </w:r>
                </w:p>
              </w:tc>
              <w:tc>
                <w:tcPr>
                  <w:tcW w:w="1245" w:type="pct"/>
                  <w:tcBorders>
                    <w:tl2br w:val="nil"/>
                    <w:tr2bl w:val="nil"/>
                  </w:tcBorders>
                  <w:vAlign w:val="center"/>
                </w:tcPr>
                <w:p w14:paraId="2BF0BC8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日最大8小时平均</w:t>
                  </w:r>
                </w:p>
              </w:tc>
              <w:tc>
                <w:tcPr>
                  <w:tcW w:w="1161" w:type="pct"/>
                  <w:tcBorders>
                    <w:tl2br w:val="nil"/>
                    <w:tr2bl w:val="nil"/>
                  </w:tcBorders>
                  <w:vAlign w:val="center"/>
                </w:tcPr>
                <w:p w14:paraId="78A8357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160</w:t>
                  </w:r>
                </w:p>
              </w:tc>
              <w:tc>
                <w:tcPr>
                  <w:tcW w:w="632" w:type="pct"/>
                  <w:vMerge w:val="continue"/>
                  <w:tcBorders>
                    <w:tl2br w:val="nil"/>
                    <w:tr2bl w:val="nil"/>
                  </w:tcBorders>
                  <w:vAlign w:val="center"/>
                </w:tcPr>
                <w:p w14:paraId="458A129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128A9EF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6657E6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32FEA9A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502A2D2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1小时平均</w:t>
                  </w:r>
                </w:p>
              </w:tc>
              <w:tc>
                <w:tcPr>
                  <w:tcW w:w="1161" w:type="pct"/>
                  <w:tcBorders>
                    <w:tl2br w:val="nil"/>
                    <w:tr2bl w:val="nil"/>
                  </w:tcBorders>
                  <w:vAlign w:val="center"/>
                </w:tcPr>
                <w:p w14:paraId="10EDCA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200</w:t>
                  </w:r>
                </w:p>
              </w:tc>
              <w:tc>
                <w:tcPr>
                  <w:tcW w:w="632" w:type="pct"/>
                  <w:vMerge w:val="continue"/>
                  <w:tcBorders>
                    <w:tl2br w:val="nil"/>
                    <w:tr2bl w:val="nil"/>
                  </w:tcBorders>
                  <w:vAlign w:val="center"/>
                </w:tcPr>
                <w:p w14:paraId="6915AEA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0F4090A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56F9AD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59094D5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p>
              </w:tc>
              <w:tc>
                <w:tcPr>
                  <w:tcW w:w="1245" w:type="pct"/>
                  <w:tcBorders>
                    <w:tl2br w:val="nil"/>
                    <w:tr2bl w:val="nil"/>
                  </w:tcBorders>
                  <w:vAlign w:val="center"/>
                </w:tcPr>
                <w:p w14:paraId="2AC596F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w:t>
                  </w:r>
                </w:p>
              </w:tc>
              <w:tc>
                <w:tcPr>
                  <w:tcW w:w="1161" w:type="pct"/>
                  <w:tcBorders>
                    <w:tl2br w:val="nil"/>
                    <w:tr2bl w:val="nil"/>
                  </w:tcBorders>
                  <w:vAlign w:val="center"/>
                </w:tcPr>
                <w:p w14:paraId="5127E11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632" w:type="pct"/>
                  <w:vMerge w:val="continue"/>
                  <w:tcBorders>
                    <w:tl2br w:val="nil"/>
                    <w:tr2bl w:val="nil"/>
                  </w:tcBorders>
                  <w:vAlign w:val="center"/>
                </w:tcPr>
                <w:p w14:paraId="3C6F00D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3D875C6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3B48E6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7795BCB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1D78E26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18569D7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80</w:t>
                  </w:r>
                </w:p>
              </w:tc>
              <w:tc>
                <w:tcPr>
                  <w:tcW w:w="632" w:type="pct"/>
                  <w:vMerge w:val="continue"/>
                  <w:tcBorders>
                    <w:tl2br w:val="nil"/>
                    <w:tr2bl w:val="nil"/>
                  </w:tcBorders>
                  <w:vAlign w:val="center"/>
                </w:tcPr>
                <w:p w14:paraId="2193444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54E42D5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059468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042923D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148E872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1小时平均</w:t>
                  </w:r>
                </w:p>
              </w:tc>
              <w:tc>
                <w:tcPr>
                  <w:tcW w:w="1161" w:type="pct"/>
                  <w:tcBorders>
                    <w:tl2br w:val="nil"/>
                    <w:tr2bl w:val="nil"/>
                  </w:tcBorders>
                  <w:vAlign w:val="center"/>
                </w:tcPr>
                <w:p w14:paraId="38C603E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200</w:t>
                  </w:r>
                </w:p>
              </w:tc>
              <w:tc>
                <w:tcPr>
                  <w:tcW w:w="632" w:type="pct"/>
                  <w:vMerge w:val="continue"/>
                  <w:tcBorders>
                    <w:tl2br w:val="nil"/>
                    <w:tr2bl w:val="nil"/>
                  </w:tcBorders>
                  <w:vAlign w:val="center"/>
                </w:tcPr>
                <w:p w14:paraId="0416D20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155A8EC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760503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05B7B42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X</w:t>
                  </w:r>
                </w:p>
              </w:tc>
              <w:tc>
                <w:tcPr>
                  <w:tcW w:w="1245" w:type="pct"/>
                  <w:tcBorders>
                    <w:tl2br w:val="nil"/>
                    <w:tr2bl w:val="nil"/>
                  </w:tcBorders>
                  <w:vAlign w:val="center"/>
                </w:tcPr>
                <w:p w14:paraId="717A116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w:t>
                  </w:r>
                </w:p>
              </w:tc>
              <w:tc>
                <w:tcPr>
                  <w:tcW w:w="1161" w:type="pct"/>
                  <w:tcBorders>
                    <w:tl2br w:val="nil"/>
                    <w:tr2bl w:val="nil"/>
                  </w:tcBorders>
                  <w:vAlign w:val="center"/>
                </w:tcPr>
                <w:p w14:paraId="0364590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50</w:t>
                  </w:r>
                </w:p>
              </w:tc>
              <w:tc>
                <w:tcPr>
                  <w:tcW w:w="632" w:type="pct"/>
                  <w:vMerge w:val="continue"/>
                  <w:tcBorders>
                    <w:tl2br w:val="nil"/>
                    <w:tr2bl w:val="nil"/>
                  </w:tcBorders>
                  <w:vAlign w:val="center"/>
                </w:tcPr>
                <w:p w14:paraId="46E58AD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21F10B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10C9E0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7836333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637FA64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2D3CAAD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100</w:t>
                  </w:r>
                </w:p>
              </w:tc>
              <w:tc>
                <w:tcPr>
                  <w:tcW w:w="632" w:type="pct"/>
                  <w:vMerge w:val="continue"/>
                  <w:tcBorders>
                    <w:tl2br w:val="nil"/>
                    <w:tr2bl w:val="nil"/>
                  </w:tcBorders>
                  <w:vAlign w:val="center"/>
                </w:tcPr>
                <w:p w14:paraId="05E976A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1BDA8C2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2DAFBD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74B6050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0382209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1小时平均</w:t>
                  </w:r>
                </w:p>
              </w:tc>
              <w:tc>
                <w:tcPr>
                  <w:tcW w:w="1161" w:type="pct"/>
                  <w:tcBorders>
                    <w:tl2br w:val="nil"/>
                    <w:tr2bl w:val="nil"/>
                  </w:tcBorders>
                  <w:vAlign w:val="center"/>
                </w:tcPr>
                <w:p w14:paraId="7D33B2F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250</w:t>
                  </w:r>
                </w:p>
              </w:tc>
              <w:tc>
                <w:tcPr>
                  <w:tcW w:w="632" w:type="pct"/>
                  <w:vMerge w:val="continue"/>
                  <w:tcBorders>
                    <w:tl2br w:val="nil"/>
                    <w:tr2bl w:val="nil"/>
                  </w:tcBorders>
                  <w:vAlign w:val="center"/>
                </w:tcPr>
                <w:p w14:paraId="158534A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50D378D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04EE4F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141D2A7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p>
              </w:tc>
              <w:tc>
                <w:tcPr>
                  <w:tcW w:w="1245" w:type="pct"/>
                  <w:tcBorders>
                    <w:tl2br w:val="nil"/>
                    <w:tr2bl w:val="nil"/>
                  </w:tcBorders>
                  <w:vAlign w:val="center"/>
                </w:tcPr>
                <w:p w14:paraId="5506CA8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w:t>
                  </w:r>
                </w:p>
              </w:tc>
              <w:tc>
                <w:tcPr>
                  <w:tcW w:w="1161" w:type="pct"/>
                  <w:tcBorders>
                    <w:tl2br w:val="nil"/>
                    <w:tr2bl w:val="nil"/>
                  </w:tcBorders>
                  <w:vAlign w:val="center"/>
                </w:tcPr>
                <w:p w14:paraId="26214B8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w:t>
                  </w:r>
                </w:p>
              </w:tc>
              <w:tc>
                <w:tcPr>
                  <w:tcW w:w="632" w:type="pct"/>
                  <w:vMerge w:val="continue"/>
                  <w:tcBorders>
                    <w:tl2br w:val="nil"/>
                    <w:tr2bl w:val="nil"/>
                  </w:tcBorders>
                  <w:vAlign w:val="center"/>
                </w:tcPr>
                <w:p w14:paraId="161BFDE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0231BDA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6FBD45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694723C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3527D86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2E2AB3C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12</w:t>
                  </w:r>
                  <w:r>
                    <w:rPr>
                      <w:rFonts w:hint="default" w:ascii="Times New Roman" w:hAnsi="Times New Roman" w:eastAsia="宋体" w:cs="Times New Roman"/>
                      <w:color w:val="auto"/>
                      <w:sz w:val="18"/>
                      <w:szCs w:val="18"/>
                      <w:highlight w:val="none"/>
                    </w:rPr>
                    <w:t>0</w:t>
                  </w:r>
                </w:p>
              </w:tc>
              <w:tc>
                <w:tcPr>
                  <w:tcW w:w="632" w:type="pct"/>
                  <w:vMerge w:val="continue"/>
                  <w:tcBorders>
                    <w:tl2br w:val="nil"/>
                    <w:tr2bl w:val="nil"/>
                  </w:tcBorders>
                  <w:vAlign w:val="center"/>
                </w:tcPr>
                <w:p w14:paraId="28B793F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5D153DE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4C6B45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064CBA8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p>
              </w:tc>
              <w:tc>
                <w:tcPr>
                  <w:tcW w:w="1245" w:type="pct"/>
                  <w:tcBorders>
                    <w:tl2br w:val="nil"/>
                    <w:tr2bl w:val="nil"/>
                  </w:tcBorders>
                  <w:vAlign w:val="center"/>
                </w:tcPr>
                <w:p w14:paraId="6B12C8D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w:t>
                  </w:r>
                </w:p>
              </w:tc>
              <w:tc>
                <w:tcPr>
                  <w:tcW w:w="1161" w:type="pct"/>
                  <w:tcBorders>
                    <w:tl2br w:val="nil"/>
                    <w:tr2bl w:val="nil"/>
                  </w:tcBorders>
                  <w:vAlign w:val="center"/>
                </w:tcPr>
                <w:p w14:paraId="0D67E09B">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3</w:t>
                  </w:r>
                  <w:r>
                    <w:rPr>
                      <w:rFonts w:hint="eastAsia" w:ascii="Times New Roman" w:hAnsi="Times New Roman" w:eastAsia="宋体" w:cs="Times New Roman"/>
                      <w:color w:val="auto"/>
                      <w:sz w:val="18"/>
                      <w:szCs w:val="18"/>
                      <w:highlight w:val="none"/>
                      <w:lang w:val="en-US" w:eastAsia="zh-CN"/>
                    </w:rPr>
                    <w:t>0</w:t>
                  </w:r>
                </w:p>
              </w:tc>
              <w:tc>
                <w:tcPr>
                  <w:tcW w:w="632" w:type="pct"/>
                  <w:vMerge w:val="continue"/>
                  <w:tcBorders>
                    <w:tl2br w:val="nil"/>
                    <w:tr2bl w:val="nil"/>
                  </w:tcBorders>
                  <w:vAlign w:val="center"/>
                </w:tcPr>
                <w:p w14:paraId="55FD600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011A2AF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75C7F9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60120DC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1B2624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20F56E9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w:t>
                  </w:r>
                </w:p>
              </w:tc>
              <w:tc>
                <w:tcPr>
                  <w:tcW w:w="632" w:type="pct"/>
                  <w:vMerge w:val="continue"/>
                  <w:tcBorders>
                    <w:tl2br w:val="nil"/>
                    <w:tr2bl w:val="nil"/>
                  </w:tcBorders>
                  <w:vAlign w:val="center"/>
                </w:tcPr>
                <w:p w14:paraId="02F06FB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1F85E2B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5BE80D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475AFE2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w:t>
                  </w:r>
                </w:p>
              </w:tc>
              <w:tc>
                <w:tcPr>
                  <w:tcW w:w="1245" w:type="pct"/>
                  <w:tcBorders>
                    <w:tl2br w:val="nil"/>
                    <w:tr2bl w:val="nil"/>
                  </w:tcBorders>
                  <w:vAlign w:val="center"/>
                </w:tcPr>
                <w:p w14:paraId="1EAE7C8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4E7D7A7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w:t>
                  </w:r>
                </w:p>
              </w:tc>
              <w:tc>
                <w:tcPr>
                  <w:tcW w:w="632" w:type="pct"/>
                  <w:vMerge w:val="restart"/>
                  <w:tcBorders>
                    <w:tl2br w:val="nil"/>
                    <w:tr2bl w:val="nil"/>
                  </w:tcBorders>
                  <w:vAlign w:val="center"/>
                </w:tcPr>
                <w:p w14:paraId="201E6B5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p>
              </w:tc>
              <w:tc>
                <w:tcPr>
                  <w:tcW w:w="1067" w:type="pct"/>
                  <w:vMerge w:val="continue"/>
                  <w:tcBorders>
                    <w:tl2br w:val="nil"/>
                    <w:tr2bl w:val="nil"/>
                  </w:tcBorders>
                  <w:vAlign w:val="center"/>
                </w:tcPr>
                <w:p w14:paraId="6B820B3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064704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1404621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245" w:type="pct"/>
                  <w:tcBorders>
                    <w:tl2br w:val="nil"/>
                    <w:tr2bl w:val="nil"/>
                  </w:tcBorders>
                  <w:vAlign w:val="center"/>
                </w:tcPr>
                <w:p w14:paraId="3808E78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1小时平均</w:t>
                  </w:r>
                </w:p>
              </w:tc>
              <w:tc>
                <w:tcPr>
                  <w:tcW w:w="1161" w:type="pct"/>
                  <w:tcBorders>
                    <w:tl2br w:val="nil"/>
                    <w:tr2bl w:val="nil"/>
                  </w:tcBorders>
                  <w:vAlign w:val="center"/>
                </w:tcPr>
                <w:p w14:paraId="7041168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10</w:t>
                  </w:r>
                </w:p>
              </w:tc>
              <w:tc>
                <w:tcPr>
                  <w:tcW w:w="632" w:type="pct"/>
                  <w:vMerge w:val="continue"/>
                  <w:tcBorders>
                    <w:tl2br w:val="nil"/>
                    <w:tr2bl w:val="nil"/>
                  </w:tcBorders>
                  <w:vAlign w:val="center"/>
                </w:tcPr>
                <w:p w14:paraId="36E1AE7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060C9AD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1C5B19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tcBorders>
                    <w:tl2br w:val="nil"/>
                    <w:tr2bl w:val="nil"/>
                  </w:tcBorders>
                  <w:vAlign w:val="center"/>
                </w:tcPr>
                <w:p w14:paraId="6689313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TSP</w:t>
                  </w:r>
                </w:p>
              </w:tc>
              <w:tc>
                <w:tcPr>
                  <w:tcW w:w="1245" w:type="pct"/>
                  <w:tcBorders>
                    <w:tl2br w:val="nil"/>
                    <w:tr2bl w:val="nil"/>
                  </w:tcBorders>
                  <w:vAlign w:val="center"/>
                </w:tcPr>
                <w:p w14:paraId="6FDE81E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sz w:val="18"/>
                      <w:szCs w:val="18"/>
                      <w:highlight w:val="none"/>
                    </w:rPr>
                    <w:t>年平均</w:t>
                  </w:r>
                </w:p>
              </w:tc>
              <w:tc>
                <w:tcPr>
                  <w:tcW w:w="1161" w:type="pct"/>
                  <w:tcBorders>
                    <w:tl2br w:val="nil"/>
                    <w:tr2bl w:val="nil"/>
                  </w:tcBorders>
                  <w:vAlign w:val="center"/>
                </w:tcPr>
                <w:p w14:paraId="33B7641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200</w:t>
                  </w:r>
                </w:p>
              </w:tc>
              <w:tc>
                <w:tcPr>
                  <w:tcW w:w="632" w:type="pct"/>
                  <w:vMerge w:val="restart"/>
                  <w:tcBorders>
                    <w:tl2br w:val="nil"/>
                    <w:tr2bl w:val="nil"/>
                  </w:tcBorders>
                  <w:vAlign w:val="center"/>
                </w:tcPr>
                <w:p w14:paraId="203DA68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μg/m</w:t>
                  </w:r>
                  <w:r>
                    <w:rPr>
                      <w:rFonts w:hint="default" w:ascii="Times New Roman" w:hAnsi="Times New Roman" w:eastAsia="宋体" w:cs="Times New Roman"/>
                      <w:color w:val="auto"/>
                      <w:sz w:val="18"/>
                      <w:szCs w:val="18"/>
                      <w:highlight w:val="none"/>
                      <w:vertAlign w:val="superscript"/>
                    </w:rPr>
                    <w:t>3</w:t>
                  </w:r>
                </w:p>
              </w:tc>
              <w:tc>
                <w:tcPr>
                  <w:tcW w:w="1067" w:type="pct"/>
                  <w:vMerge w:val="continue"/>
                  <w:tcBorders>
                    <w:tl2br w:val="nil"/>
                    <w:tr2bl w:val="nil"/>
                  </w:tcBorders>
                  <w:vAlign w:val="center"/>
                </w:tcPr>
                <w:p w14:paraId="56BCD45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0F5C53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tcBorders>
                    <w:tl2br w:val="nil"/>
                    <w:tr2bl w:val="nil"/>
                  </w:tcBorders>
                  <w:vAlign w:val="center"/>
                </w:tcPr>
                <w:p w14:paraId="683B902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c>
                <w:tcPr>
                  <w:tcW w:w="1245" w:type="pct"/>
                  <w:tcBorders>
                    <w:tl2br w:val="nil"/>
                    <w:tr2bl w:val="nil"/>
                  </w:tcBorders>
                  <w:vAlign w:val="center"/>
                </w:tcPr>
                <w:p w14:paraId="37DA4BD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sz w:val="18"/>
                      <w:szCs w:val="18"/>
                      <w:highlight w:val="none"/>
                    </w:rPr>
                    <w:t>24小时平均</w:t>
                  </w:r>
                </w:p>
              </w:tc>
              <w:tc>
                <w:tcPr>
                  <w:tcW w:w="1161" w:type="pct"/>
                  <w:tcBorders>
                    <w:tl2br w:val="nil"/>
                    <w:tr2bl w:val="nil"/>
                  </w:tcBorders>
                  <w:vAlign w:val="center"/>
                </w:tcPr>
                <w:p w14:paraId="72864ED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300</w:t>
                  </w:r>
                </w:p>
              </w:tc>
              <w:tc>
                <w:tcPr>
                  <w:tcW w:w="632" w:type="pct"/>
                  <w:vMerge w:val="continue"/>
                  <w:tcBorders>
                    <w:tl2br w:val="nil"/>
                    <w:tr2bl w:val="nil"/>
                  </w:tcBorders>
                  <w:vAlign w:val="center"/>
                </w:tcPr>
                <w:p w14:paraId="1912321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067" w:type="pct"/>
                  <w:vMerge w:val="continue"/>
                  <w:tcBorders>
                    <w:tl2br w:val="nil"/>
                    <w:tr2bl w:val="nil"/>
                  </w:tcBorders>
                  <w:vAlign w:val="center"/>
                </w:tcPr>
                <w:p w14:paraId="68DC693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bl>
          <w:p w14:paraId="1AAB8C4D">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2</w:t>
            </w:r>
            <w:r>
              <w:rPr>
                <w:rFonts w:hint="eastAsia" w:cs="Times New Roman"/>
                <w:color w:val="auto"/>
                <w:highlight w:val="none"/>
                <w:lang w:eastAsia="zh-CN"/>
              </w:rPr>
              <w:t>）</w:t>
            </w:r>
            <w:r>
              <w:rPr>
                <w:rFonts w:hint="default" w:ascii="Times New Roman" w:hAnsi="Times New Roman" w:eastAsia="宋体" w:cs="Times New Roman"/>
                <w:color w:val="auto"/>
                <w:highlight w:val="none"/>
              </w:rPr>
              <w:t>地表水</w:t>
            </w:r>
          </w:p>
          <w:p w14:paraId="5E792F37">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项目所在区域地表水执行《地表水环境质量标准》（GB3838-2002）中Ⅲ类标准。</w:t>
            </w:r>
          </w:p>
          <w:p w14:paraId="41F93A6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1"/>
                <w:highlight w:val="none"/>
              </w:rPr>
              <w:t>表3-</w:t>
            </w:r>
            <w:r>
              <w:rPr>
                <w:rFonts w:hint="eastAsia" w:cs="Times New Roman"/>
                <w:b/>
                <w:bCs/>
                <w:color w:val="auto"/>
                <w:sz w:val="21"/>
                <w:highlight w:val="none"/>
                <w:lang w:val="en-US" w:eastAsia="zh-CN"/>
              </w:rPr>
              <w:t>7</w:t>
            </w:r>
            <w:r>
              <w:rPr>
                <w:rFonts w:hint="default" w:ascii="Times New Roman" w:hAnsi="Times New Roman" w:eastAsia="宋体" w:cs="Times New Roman"/>
                <w:b/>
                <w:bCs/>
                <w:color w:val="auto"/>
                <w:sz w:val="21"/>
                <w:highlight w:val="none"/>
              </w:rPr>
              <w:t>地</w:t>
            </w:r>
            <w:r>
              <w:rPr>
                <w:rFonts w:hint="default" w:ascii="Times New Roman" w:hAnsi="Times New Roman" w:eastAsia="宋体" w:cs="Times New Roman"/>
                <w:b/>
                <w:bCs/>
                <w:color w:val="auto"/>
                <w:highlight w:val="none"/>
              </w:rPr>
              <w:t>表水环境质量标准</w:t>
            </w:r>
          </w:p>
          <w:tbl>
            <w:tblPr>
              <w:tblStyle w:val="2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95"/>
              <w:gridCol w:w="1264"/>
              <w:gridCol w:w="1641"/>
              <w:gridCol w:w="2391"/>
            </w:tblGrid>
            <w:tr w14:paraId="317236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65F5FE3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w:t>
                  </w:r>
                </w:p>
              </w:tc>
              <w:tc>
                <w:tcPr>
                  <w:tcW w:w="790" w:type="pct"/>
                  <w:tcBorders>
                    <w:tl2br w:val="nil"/>
                    <w:tr2bl w:val="nil"/>
                  </w:tcBorders>
                  <w:vAlign w:val="center"/>
                </w:tcPr>
                <w:p w14:paraId="1ADB8F8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单位</w:t>
                  </w:r>
                </w:p>
              </w:tc>
              <w:tc>
                <w:tcPr>
                  <w:tcW w:w="1026" w:type="pct"/>
                  <w:tcBorders>
                    <w:tl2br w:val="nil"/>
                    <w:tr2bl w:val="nil"/>
                  </w:tcBorders>
                  <w:vAlign w:val="center"/>
                </w:tcPr>
                <w:p w14:paraId="6829655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fldChar w:fldCharType="begin"/>
                  </w:r>
                  <w:r>
                    <w:rPr>
                      <w:rFonts w:hint="default" w:ascii="Times New Roman" w:hAnsi="Times New Roman" w:eastAsia="宋体" w:cs="Times New Roman"/>
                      <w:color w:val="auto"/>
                      <w:sz w:val="18"/>
                      <w:szCs w:val="18"/>
                      <w:highlight w:val="none"/>
                    </w:rPr>
                    <w:instrText xml:space="preserve"> = 3 \* ROMAN </w:instrText>
                  </w:r>
                  <w:r>
                    <w:rPr>
                      <w:rFonts w:hint="default" w:ascii="Times New Roman" w:hAnsi="Times New Roman" w:eastAsia="宋体" w:cs="Times New Roman"/>
                      <w:color w:val="auto"/>
                      <w:sz w:val="18"/>
                      <w:szCs w:val="18"/>
                      <w:highlight w:val="none"/>
                    </w:rPr>
                    <w:fldChar w:fldCharType="separate"/>
                  </w:r>
                  <w:r>
                    <w:rPr>
                      <w:rFonts w:hint="default" w:ascii="Times New Roman" w:hAnsi="Times New Roman" w:eastAsia="宋体" w:cs="Times New Roman"/>
                      <w:color w:val="auto"/>
                      <w:sz w:val="18"/>
                      <w:szCs w:val="18"/>
                      <w:highlight w:val="none"/>
                    </w:rPr>
                    <w:t>Ⅲ</w:t>
                  </w:r>
                  <w:r>
                    <w:rPr>
                      <w:rFonts w:hint="default" w:ascii="Times New Roman" w:hAnsi="Times New Roman" w:eastAsia="宋体" w:cs="Times New Roman"/>
                      <w:color w:val="auto"/>
                      <w:sz w:val="18"/>
                      <w:szCs w:val="18"/>
                      <w:highlight w:val="none"/>
                    </w:rPr>
                    <w:fldChar w:fldCharType="end"/>
                  </w:r>
                  <w:r>
                    <w:rPr>
                      <w:rFonts w:hint="default" w:ascii="Times New Roman" w:hAnsi="Times New Roman" w:eastAsia="宋体" w:cs="Times New Roman"/>
                      <w:color w:val="auto"/>
                      <w:sz w:val="18"/>
                      <w:szCs w:val="18"/>
                      <w:highlight w:val="none"/>
                    </w:rPr>
                    <w:t>类标准</w:t>
                  </w:r>
                </w:p>
              </w:tc>
              <w:tc>
                <w:tcPr>
                  <w:tcW w:w="1496" w:type="pct"/>
                  <w:tcBorders>
                    <w:tl2br w:val="nil"/>
                    <w:tr2bl w:val="nil"/>
                  </w:tcBorders>
                  <w:vAlign w:val="center"/>
                </w:tcPr>
                <w:p w14:paraId="1EE672A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标</w:t>
                  </w:r>
                  <w:r>
                    <w:rPr>
                      <w:rFonts w:hint="default" w:ascii="Times New Roman" w:hAnsi="Times New Roman" w:eastAsia="宋体" w:cs="Times New Roman"/>
                      <w:color w:val="auto"/>
                      <w:sz w:val="18"/>
                      <w:szCs w:val="18"/>
                      <w:highlight w:val="none"/>
                    </w:rPr>
                    <w:t>准来源</w:t>
                  </w:r>
                </w:p>
              </w:tc>
            </w:tr>
            <w:tr w14:paraId="282F5D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75DEFFC3">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pH值</w:t>
                  </w:r>
                </w:p>
              </w:tc>
              <w:tc>
                <w:tcPr>
                  <w:tcW w:w="790" w:type="pct"/>
                  <w:tcBorders>
                    <w:tl2br w:val="nil"/>
                    <w:tr2bl w:val="nil"/>
                  </w:tcBorders>
                  <w:vAlign w:val="center"/>
                </w:tcPr>
                <w:p w14:paraId="3673E8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无量纲</w:t>
                  </w:r>
                </w:p>
              </w:tc>
              <w:tc>
                <w:tcPr>
                  <w:tcW w:w="1026" w:type="pct"/>
                  <w:tcBorders>
                    <w:tl2br w:val="nil"/>
                    <w:tr2bl w:val="nil"/>
                  </w:tcBorders>
                  <w:vAlign w:val="center"/>
                </w:tcPr>
                <w:p w14:paraId="6EA9458C">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6~9</w:t>
                  </w:r>
                </w:p>
              </w:tc>
              <w:tc>
                <w:tcPr>
                  <w:tcW w:w="1496" w:type="pct"/>
                  <w:vMerge w:val="restart"/>
                  <w:tcBorders>
                    <w:tl2br w:val="nil"/>
                    <w:tr2bl w:val="nil"/>
                  </w:tcBorders>
                  <w:vAlign w:val="center"/>
                </w:tcPr>
                <w:p w14:paraId="342B85A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《地表水环境质量标准》</w:t>
                  </w:r>
                </w:p>
                <w:p w14:paraId="780712C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（GB3838-2002）</w:t>
                  </w:r>
                </w:p>
              </w:tc>
            </w:tr>
            <w:tr w14:paraId="38234C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769543CE">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溶解氧</w:t>
                  </w:r>
                </w:p>
              </w:tc>
              <w:tc>
                <w:tcPr>
                  <w:tcW w:w="790" w:type="pct"/>
                  <w:tcBorders>
                    <w:tl2br w:val="nil"/>
                    <w:tr2bl w:val="nil"/>
                  </w:tcBorders>
                  <w:vAlign w:val="center"/>
                </w:tcPr>
                <w:p w14:paraId="58413EF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mg/L</w:t>
                  </w:r>
                </w:p>
              </w:tc>
              <w:tc>
                <w:tcPr>
                  <w:tcW w:w="1026" w:type="pct"/>
                  <w:tcBorders>
                    <w:tl2br w:val="nil"/>
                    <w:tr2bl w:val="nil"/>
                  </w:tcBorders>
                  <w:vAlign w:val="center"/>
                </w:tcPr>
                <w:p w14:paraId="3A2193DE">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≥5</w:t>
                  </w:r>
                </w:p>
              </w:tc>
              <w:tc>
                <w:tcPr>
                  <w:tcW w:w="1496" w:type="pct"/>
                  <w:vMerge w:val="continue"/>
                  <w:tcBorders>
                    <w:tl2br w:val="nil"/>
                    <w:tr2bl w:val="nil"/>
                  </w:tcBorders>
                  <w:vAlign w:val="center"/>
                </w:tcPr>
                <w:p w14:paraId="0862B64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7C861E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3A04C4B5">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高锰酸盐指数</w:t>
                  </w:r>
                </w:p>
              </w:tc>
              <w:tc>
                <w:tcPr>
                  <w:tcW w:w="790" w:type="pct"/>
                  <w:tcBorders>
                    <w:tl2br w:val="nil"/>
                    <w:tr2bl w:val="nil"/>
                  </w:tcBorders>
                  <w:vAlign w:val="center"/>
                </w:tcPr>
                <w:p w14:paraId="1827C4D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mg/L</w:t>
                  </w:r>
                </w:p>
              </w:tc>
              <w:tc>
                <w:tcPr>
                  <w:tcW w:w="1026" w:type="pct"/>
                  <w:tcBorders>
                    <w:tl2br w:val="nil"/>
                    <w:tr2bl w:val="nil"/>
                  </w:tcBorders>
                  <w:vAlign w:val="center"/>
                </w:tcPr>
                <w:p w14:paraId="47881372">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≤6</w:t>
                  </w:r>
                </w:p>
              </w:tc>
              <w:tc>
                <w:tcPr>
                  <w:tcW w:w="1496" w:type="pct"/>
                  <w:vMerge w:val="continue"/>
                  <w:tcBorders>
                    <w:tl2br w:val="nil"/>
                    <w:tr2bl w:val="nil"/>
                  </w:tcBorders>
                  <w:vAlign w:val="center"/>
                </w:tcPr>
                <w:p w14:paraId="604F10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0E47C9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5E2D789D">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COD</w:t>
                  </w:r>
                </w:p>
              </w:tc>
              <w:tc>
                <w:tcPr>
                  <w:tcW w:w="790" w:type="pct"/>
                  <w:tcBorders>
                    <w:tl2br w:val="nil"/>
                    <w:tr2bl w:val="nil"/>
                  </w:tcBorders>
                  <w:vAlign w:val="center"/>
                </w:tcPr>
                <w:p w14:paraId="196A4BD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mg/L</w:t>
                  </w:r>
                </w:p>
              </w:tc>
              <w:tc>
                <w:tcPr>
                  <w:tcW w:w="1026" w:type="pct"/>
                  <w:tcBorders>
                    <w:tl2br w:val="nil"/>
                    <w:tr2bl w:val="nil"/>
                  </w:tcBorders>
                  <w:vAlign w:val="center"/>
                </w:tcPr>
                <w:p w14:paraId="37A08CE1">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≤20</w:t>
                  </w:r>
                </w:p>
              </w:tc>
              <w:tc>
                <w:tcPr>
                  <w:tcW w:w="1496" w:type="pct"/>
                  <w:vMerge w:val="continue"/>
                  <w:tcBorders>
                    <w:tl2br w:val="nil"/>
                    <w:tr2bl w:val="nil"/>
                  </w:tcBorders>
                  <w:vAlign w:val="center"/>
                </w:tcPr>
                <w:p w14:paraId="4504256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54FD47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7E032631">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790" w:type="pct"/>
                  <w:tcBorders>
                    <w:tl2br w:val="nil"/>
                    <w:tr2bl w:val="nil"/>
                  </w:tcBorders>
                  <w:vAlign w:val="center"/>
                </w:tcPr>
                <w:p w14:paraId="21B5A85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mg/L</w:t>
                  </w:r>
                </w:p>
              </w:tc>
              <w:tc>
                <w:tcPr>
                  <w:tcW w:w="1026" w:type="pct"/>
                  <w:tcBorders>
                    <w:tl2br w:val="nil"/>
                    <w:tr2bl w:val="nil"/>
                  </w:tcBorders>
                  <w:vAlign w:val="center"/>
                </w:tcPr>
                <w:p w14:paraId="0D268B89">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≤4</w:t>
                  </w:r>
                </w:p>
              </w:tc>
              <w:tc>
                <w:tcPr>
                  <w:tcW w:w="1496" w:type="pct"/>
                  <w:vMerge w:val="continue"/>
                  <w:tcBorders>
                    <w:tl2br w:val="nil"/>
                    <w:tr2bl w:val="nil"/>
                  </w:tcBorders>
                  <w:vAlign w:val="center"/>
                </w:tcPr>
                <w:p w14:paraId="1CD2212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00B00A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vAlign w:val="center"/>
                </w:tcPr>
                <w:p w14:paraId="0172989C">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氨氮</w:t>
                  </w:r>
                </w:p>
              </w:tc>
              <w:tc>
                <w:tcPr>
                  <w:tcW w:w="790" w:type="pct"/>
                  <w:tcBorders>
                    <w:tl2br w:val="nil"/>
                    <w:tr2bl w:val="nil"/>
                  </w:tcBorders>
                  <w:vAlign w:val="center"/>
                </w:tcPr>
                <w:p w14:paraId="11E7FC2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mg/L</w:t>
                  </w:r>
                </w:p>
              </w:tc>
              <w:tc>
                <w:tcPr>
                  <w:tcW w:w="1026" w:type="pct"/>
                  <w:tcBorders>
                    <w:tl2br w:val="nil"/>
                    <w:tr2bl w:val="nil"/>
                  </w:tcBorders>
                  <w:vAlign w:val="center"/>
                </w:tcPr>
                <w:p w14:paraId="6B24ABD3">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≤1.0</w:t>
                  </w:r>
                </w:p>
              </w:tc>
              <w:tc>
                <w:tcPr>
                  <w:tcW w:w="1496" w:type="pct"/>
                  <w:vMerge w:val="continue"/>
                  <w:tcBorders>
                    <w:tl2br w:val="nil"/>
                    <w:tr2bl w:val="nil"/>
                  </w:tcBorders>
                  <w:vAlign w:val="center"/>
                </w:tcPr>
                <w:p w14:paraId="76B27B2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6E808E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4AD7A7C5">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总磷</w:t>
                  </w:r>
                </w:p>
              </w:tc>
              <w:tc>
                <w:tcPr>
                  <w:tcW w:w="790" w:type="pct"/>
                  <w:tcBorders>
                    <w:tl2br w:val="nil"/>
                    <w:tr2bl w:val="nil"/>
                  </w:tcBorders>
                  <w:shd w:val="clear" w:color="auto" w:fill="auto"/>
                  <w:vAlign w:val="center"/>
                </w:tcPr>
                <w:p w14:paraId="2E15CF1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mg/L</w:t>
                  </w:r>
                </w:p>
              </w:tc>
              <w:tc>
                <w:tcPr>
                  <w:tcW w:w="1026" w:type="pct"/>
                  <w:tcBorders>
                    <w:tl2br w:val="nil"/>
                    <w:tr2bl w:val="nil"/>
                  </w:tcBorders>
                  <w:shd w:val="clear" w:color="auto" w:fill="auto"/>
                  <w:vAlign w:val="center"/>
                </w:tcPr>
                <w:p w14:paraId="1A42718F">
                  <w:pPr>
                    <w:pStyle w:val="61"/>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≤0.2</w:t>
                  </w:r>
                </w:p>
              </w:tc>
              <w:tc>
                <w:tcPr>
                  <w:tcW w:w="1496" w:type="pct"/>
                  <w:vMerge w:val="continue"/>
                  <w:tcBorders>
                    <w:tl2br w:val="nil"/>
                    <w:tr2bl w:val="nil"/>
                  </w:tcBorders>
                  <w:vAlign w:val="center"/>
                </w:tcPr>
                <w:p w14:paraId="020EC23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0E9335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6BD6E72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总氮</w:t>
                  </w:r>
                </w:p>
              </w:tc>
              <w:tc>
                <w:tcPr>
                  <w:tcW w:w="790" w:type="pct"/>
                  <w:tcBorders>
                    <w:tl2br w:val="nil"/>
                    <w:tr2bl w:val="nil"/>
                  </w:tcBorders>
                  <w:shd w:val="clear" w:color="auto" w:fill="auto"/>
                  <w:vAlign w:val="center"/>
                </w:tcPr>
                <w:p w14:paraId="7226721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24D19810">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1.0</w:t>
                  </w:r>
                </w:p>
              </w:tc>
              <w:tc>
                <w:tcPr>
                  <w:tcW w:w="1496" w:type="pct"/>
                  <w:vMerge w:val="continue"/>
                  <w:tcBorders>
                    <w:tl2br w:val="nil"/>
                    <w:tr2bl w:val="nil"/>
                  </w:tcBorders>
                  <w:vAlign w:val="center"/>
                </w:tcPr>
                <w:p w14:paraId="306D9F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3C9485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1062B10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铜</w:t>
                  </w:r>
                </w:p>
              </w:tc>
              <w:tc>
                <w:tcPr>
                  <w:tcW w:w="790" w:type="pct"/>
                  <w:tcBorders>
                    <w:tl2br w:val="nil"/>
                    <w:tr2bl w:val="nil"/>
                  </w:tcBorders>
                  <w:shd w:val="clear" w:color="auto" w:fill="auto"/>
                  <w:vAlign w:val="center"/>
                </w:tcPr>
                <w:p w14:paraId="31836029">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31D86F0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1</w:t>
                  </w:r>
                </w:p>
              </w:tc>
              <w:tc>
                <w:tcPr>
                  <w:tcW w:w="1496" w:type="pct"/>
                  <w:vMerge w:val="continue"/>
                  <w:tcBorders>
                    <w:tl2br w:val="nil"/>
                    <w:tr2bl w:val="nil"/>
                  </w:tcBorders>
                  <w:vAlign w:val="center"/>
                </w:tcPr>
                <w:p w14:paraId="73C2EB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6E82B6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02FD8DA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锌</w:t>
                  </w:r>
                </w:p>
              </w:tc>
              <w:tc>
                <w:tcPr>
                  <w:tcW w:w="790" w:type="pct"/>
                  <w:tcBorders>
                    <w:tl2br w:val="nil"/>
                    <w:tr2bl w:val="nil"/>
                  </w:tcBorders>
                  <w:shd w:val="clear" w:color="auto" w:fill="auto"/>
                  <w:vAlign w:val="center"/>
                </w:tcPr>
                <w:p w14:paraId="4E5565A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7EB69EA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1</w:t>
                  </w:r>
                </w:p>
              </w:tc>
              <w:tc>
                <w:tcPr>
                  <w:tcW w:w="1496" w:type="pct"/>
                  <w:vMerge w:val="continue"/>
                  <w:tcBorders>
                    <w:tl2br w:val="nil"/>
                    <w:tr2bl w:val="nil"/>
                  </w:tcBorders>
                  <w:vAlign w:val="center"/>
                </w:tcPr>
                <w:p w14:paraId="3358D8E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47452E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54ECC96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铅</w:t>
                  </w:r>
                </w:p>
              </w:tc>
              <w:tc>
                <w:tcPr>
                  <w:tcW w:w="790" w:type="pct"/>
                  <w:tcBorders>
                    <w:tl2br w:val="nil"/>
                    <w:tr2bl w:val="nil"/>
                  </w:tcBorders>
                  <w:shd w:val="clear" w:color="auto" w:fill="auto"/>
                  <w:vAlign w:val="center"/>
                </w:tcPr>
                <w:p w14:paraId="3BE7608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4227525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0.05</w:t>
                  </w:r>
                </w:p>
              </w:tc>
              <w:tc>
                <w:tcPr>
                  <w:tcW w:w="1496" w:type="pct"/>
                  <w:vMerge w:val="continue"/>
                  <w:tcBorders>
                    <w:tl2br w:val="nil"/>
                    <w:tr2bl w:val="nil"/>
                  </w:tcBorders>
                  <w:vAlign w:val="center"/>
                </w:tcPr>
                <w:p w14:paraId="529CB5F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7C46BE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64C0FFB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镉</w:t>
                  </w:r>
                </w:p>
              </w:tc>
              <w:tc>
                <w:tcPr>
                  <w:tcW w:w="790" w:type="pct"/>
                  <w:tcBorders>
                    <w:tl2br w:val="nil"/>
                    <w:tr2bl w:val="nil"/>
                  </w:tcBorders>
                  <w:shd w:val="clear" w:color="auto" w:fill="auto"/>
                  <w:vAlign w:val="center"/>
                </w:tcPr>
                <w:p w14:paraId="18CAEEC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620F471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0.005</w:t>
                  </w:r>
                </w:p>
              </w:tc>
              <w:tc>
                <w:tcPr>
                  <w:tcW w:w="1496" w:type="pct"/>
                  <w:vMerge w:val="continue"/>
                  <w:tcBorders>
                    <w:tl2br w:val="nil"/>
                    <w:tr2bl w:val="nil"/>
                  </w:tcBorders>
                  <w:vAlign w:val="center"/>
                </w:tcPr>
                <w:p w14:paraId="1DB156F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3CF42D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4DDCD9A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氟化物</w:t>
                  </w:r>
                </w:p>
              </w:tc>
              <w:tc>
                <w:tcPr>
                  <w:tcW w:w="790" w:type="pct"/>
                  <w:tcBorders>
                    <w:tl2br w:val="nil"/>
                    <w:tr2bl w:val="nil"/>
                  </w:tcBorders>
                  <w:shd w:val="clear" w:color="auto" w:fill="auto"/>
                  <w:vAlign w:val="center"/>
                </w:tcPr>
                <w:p w14:paraId="44C4DD8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35F851A6">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1</w:t>
                  </w:r>
                </w:p>
              </w:tc>
              <w:tc>
                <w:tcPr>
                  <w:tcW w:w="1496" w:type="pct"/>
                  <w:vMerge w:val="continue"/>
                  <w:tcBorders>
                    <w:tl2br w:val="nil"/>
                    <w:tr2bl w:val="nil"/>
                  </w:tcBorders>
                  <w:vAlign w:val="center"/>
                </w:tcPr>
                <w:p w14:paraId="1E1A546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7E0DC3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1101D846">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汞</w:t>
                  </w:r>
                </w:p>
              </w:tc>
              <w:tc>
                <w:tcPr>
                  <w:tcW w:w="790" w:type="pct"/>
                  <w:tcBorders>
                    <w:tl2br w:val="nil"/>
                    <w:tr2bl w:val="nil"/>
                  </w:tcBorders>
                  <w:shd w:val="clear" w:color="auto" w:fill="auto"/>
                  <w:vAlign w:val="center"/>
                </w:tcPr>
                <w:p w14:paraId="673EB01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4DDE6A03">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0.0001</w:t>
                  </w:r>
                </w:p>
              </w:tc>
              <w:tc>
                <w:tcPr>
                  <w:tcW w:w="1496" w:type="pct"/>
                  <w:vMerge w:val="continue"/>
                  <w:tcBorders>
                    <w:tl2br w:val="nil"/>
                    <w:tr2bl w:val="nil"/>
                  </w:tcBorders>
                  <w:vAlign w:val="center"/>
                </w:tcPr>
                <w:p w14:paraId="0A3482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0156CE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3F29D1E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砷</w:t>
                  </w:r>
                </w:p>
              </w:tc>
              <w:tc>
                <w:tcPr>
                  <w:tcW w:w="790" w:type="pct"/>
                  <w:tcBorders>
                    <w:tl2br w:val="nil"/>
                    <w:tr2bl w:val="nil"/>
                  </w:tcBorders>
                  <w:shd w:val="clear" w:color="auto" w:fill="auto"/>
                  <w:vAlign w:val="center"/>
                </w:tcPr>
                <w:p w14:paraId="190CC14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382D0A74">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0.05</w:t>
                  </w:r>
                </w:p>
              </w:tc>
              <w:tc>
                <w:tcPr>
                  <w:tcW w:w="1496" w:type="pct"/>
                  <w:vMerge w:val="continue"/>
                  <w:tcBorders>
                    <w:tl2br w:val="nil"/>
                    <w:tr2bl w:val="nil"/>
                  </w:tcBorders>
                  <w:vAlign w:val="center"/>
                </w:tcPr>
                <w:p w14:paraId="2413385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68EFAA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4BA6B8E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硒</w:t>
                  </w:r>
                </w:p>
              </w:tc>
              <w:tc>
                <w:tcPr>
                  <w:tcW w:w="790" w:type="pct"/>
                  <w:tcBorders>
                    <w:tl2br w:val="nil"/>
                    <w:tr2bl w:val="nil"/>
                  </w:tcBorders>
                  <w:shd w:val="clear" w:color="auto" w:fill="auto"/>
                  <w:vAlign w:val="center"/>
                </w:tcPr>
                <w:p w14:paraId="429A286A">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61280C5F">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0.01</w:t>
                  </w:r>
                </w:p>
              </w:tc>
              <w:tc>
                <w:tcPr>
                  <w:tcW w:w="1496" w:type="pct"/>
                  <w:vMerge w:val="continue"/>
                  <w:tcBorders>
                    <w:tl2br w:val="nil"/>
                    <w:tr2bl w:val="nil"/>
                  </w:tcBorders>
                  <w:vAlign w:val="center"/>
                </w:tcPr>
                <w:p w14:paraId="78622B0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2DA0D6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10145959">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六价铬</w:t>
                  </w:r>
                </w:p>
              </w:tc>
              <w:tc>
                <w:tcPr>
                  <w:tcW w:w="790" w:type="pct"/>
                  <w:tcBorders>
                    <w:tl2br w:val="nil"/>
                    <w:tr2bl w:val="nil"/>
                  </w:tcBorders>
                  <w:shd w:val="clear" w:color="auto" w:fill="auto"/>
                  <w:vAlign w:val="center"/>
                </w:tcPr>
                <w:p w14:paraId="1CFDCD60">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1CD3512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0.05</w:t>
                  </w:r>
                </w:p>
              </w:tc>
              <w:tc>
                <w:tcPr>
                  <w:tcW w:w="1496" w:type="pct"/>
                  <w:vMerge w:val="continue"/>
                  <w:tcBorders>
                    <w:tl2br w:val="nil"/>
                    <w:tr2bl w:val="nil"/>
                  </w:tcBorders>
                  <w:vAlign w:val="center"/>
                </w:tcPr>
                <w:p w14:paraId="27B056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12B979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58BC470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氰化物</w:t>
                  </w:r>
                </w:p>
              </w:tc>
              <w:tc>
                <w:tcPr>
                  <w:tcW w:w="790" w:type="pct"/>
                  <w:tcBorders>
                    <w:tl2br w:val="nil"/>
                    <w:tr2bl w:val="nil"/>
                  </w:tcBorders>
                  <w:shd w:val="clear" w:color="auto" w:fill="auto"/>
                  <w:vAlign w:val="center"/>
                </w:tcPr>
                <w:p w14:paraId="0FF0977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13A5D87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0.2</w:t>
                  </w:r>
                </w:p>
              </w:tc>
              <w:tc>
                <w:tcPr>
                  <w:tcW w:w="1496" w:type="pct"/>
                  <w:vMerge w:val="continue"/>
                  <w:tcBorders>
                    <w:tl2br w:val="nil"/>
                    <w:tr2bl w:val="nil"/>
                  </w:tcBorders>
                  <w:vAlign w:val="center"/>
                </w:tcPr>
                <w:p w14:paraId="7DBCB25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3BF3DA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5F54FF4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挥发酚</w:t>
                  </w:r>
                </w:p>
              </w:tc>
              <w:tc>
                <w:tcPr>
                  <w:tcW w:w="790" w:type="pct"/>
                  <w:tcBorders>
                    <w:tl2br w:val="nil"/>
                    <w:tr2bl w:val="nil"/>
                  </w:tcBorders>
                  <w:shd w:val="clear" w:color="auto" w:fill="auto"/>
                  <w:vAlign w:val="center"/>
                </w:tcPr>
                <w:p w14:paraId="2753D04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4DE69C2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0.005</w:t>
                  </w:r>
                </w:p>
              </w:tc>
              <w:tc>
                <w:tcPr>
                  <w:tcW w:w="1496" w:type="pct"/>
                  <w:vMerge w:val="continue"/>
                  <w:tcBorders>
                    <w:tl2br w:val="nil"/>
                    <w:tr2bl w:val="nil"/>
                  </w:tcBorders>
                  <w:vAlign w:val="center"/>
                </w:tcPr>
                <w:p w14:paraId="506DC74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1F17A6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2B4D406A">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石油类</w:t>
                  </w:r>
                </w:p>
              </w:tc>
              <w:tc>
                <w:tcPr>
                  <w:tcW w:w="790" w:type="pct"/>
                  <w:tcBorders>
                    <w:tl2br w:val="nil"/>
                    <w:tr2bl w:val="nil"/>
                  </w:tcBorders>
                  <w:shd w:val="clear" w:color="auto" w:fill="auto"/>
                  <w:vAlign w:val="center"/>
                </w:tcPr>
                <w:p w14:paraId="4BD5688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76FAAFC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0.05</w:t>
                  </w:r>
                </w:p>
              </w:tc>
              <w:tc>
                <w:tcPr>
                  <w:tcW w:w="1496" w:type="pct"/>
                  <w:vMerge w:val="continue"/>
                  <w:tcBorders>
                    <w:tl2br w:val="nil"/>
                    <w:tr2bl w:val="nil"/>
                  </w:tcBorders>
                  <w:vAlign w:val="center"/>
                </w:tcPr>
                <w:p w14:paraId="2F9CF5B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196516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49BBE8E3">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阴离子表面活性剂</w:t>
                  </w:r>
                </w:p>
              </w:tc>
              <w:tc>
                <w:tcPr>
                  <w:tcW w:w="790" w:type="pct"/>
                  <w:tcBorders>
                    <w:tl2br w:val="nil"/>
                    <w:tr2bl w:val="nil"/>
                  </w:tcBorders>
                  <w:shd w:val="clear" w:color="auto" w:fill="auto"/>
                  <w:vAlign w:val="center"/>
                </w:tcPr>
                <w:p w14:paraId="65173BA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34EC6C1A">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0.2</w:t>
                  </w:r>
                </w:p>
              </w:tc>
              <w:tc>
                <w:tcPr>
                  <w:tcW w:w="1496" w:type="pct"/>
                  <w:vMerge w:val="continue"/>
                  <w:tcBorders>
                    <w:tl2br w:val="nil"/>
                    <w:tr2bl w:val="nil"/>
                  </w:tcBorders>
                  <w:vAlign w:val="center"/>
                </w:tcPr>
                <w:p w14:paraId="3C98661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7C300E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251BACC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硫化物</w:t>
                  </w:r>
                </w:p>
              </w:tc>
              <w:tc>
                <w:tcPr>
                  <w:tcW w:w="790" w:type="pct"/>
                  <w:tcBorders>
                    <w:tl2br w:val="nil"/>
                    <w:tr2bl w:val="nil"/>
                  </w:tcBorders>
                  <w:shd w:val="clear" w:color="auto" w:fill="auto"/>
                  <w:vAlign w:val="center"/>
                </w:tcPr>
                <w:p w14:paraId="5BA2F82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mg/L</w:t>
                  </w:r>
                </w:p>
              </w:tc>
              <w:tc>
                <w:tcPr>
                  <w:tcW w:w="1026" w:type="pct"/>
                  <w:tcBorders>
                    <w:tl2br w:val="nil"/>
                    <w:tr2bl w:val="nil"/>
                  </w:tcBorders>
                  <w:shd w:val="clear" w:color="auto" w:fill="auto"/>
                  <w:vAlign w:val="center"/>
                </w:tcPr>
                <w:p w14:paraId="0E854D1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0.2</w:t>
                  </w:r>
                </w:p>
              </w:tc>
              <w:tc>
                <w:tcPr>
                  <w:tcW w:w="1496" w:type="pct"/>
                  <w:vMerge w:val="continue"/>
                  <w:tcBorders>
                    <w:tl2br w:val="nil"/>
                    <w:tr2bl w:val="nil"/>
                  </w:tcBorders>
                  <w:vAlign w:val="center"/>
                </w:tcPr>
                <w:p w14:paraId="270C8A4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r w14:paraId="6C120F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6" w:type="pct"/>
                  <w:tcBorders>
                    <w:tl2br w:val="nil"/>
                    <w:tr2bl w:val="nil"/>
                  </w:tcBorders>
                  <w:shd w:val="clear" w:color="auto" w:fill="auto"/>
                  <w:vAlign w:val="center"/>
                </w:tcPr>
                <w:p w14:paraId="31B1217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粪大肠菌群</w:t>
                  </w:r>
                </w:p>
              </w:tc>
              <w:tc>
                <w:tcPr>
                  <w:tcW w:w="790" w:type="pct"/>
                  <w:tcBorders>
                    <w:tl2br w:val="nil"/>
                    <w:tr2bl w:val="nil"/>
                  </w:tcBorders>
                  <w:shd w:val="clear" w:color="auto" w:fill="auto"/>
                  <w:vAlign w:val="center"/>
                </w:tcPr>
                <w:p w14:paraId="22ED4D0F">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个/L</w:t>
                  </w:r>
                </w:p>
              </w:tc>
              <w:tc>
                <w:tcPr>
                  <w:tcW w:w="1026" w:type="pct"/>
                  <w:tcBorders>
                    <w:tl2br w:val="nil"/>
                    <w:tr2bl w:val="nil"/>
                  </w:tcBorders>
                  <w:shd w:val="clear" w:color="auto" w:fill="auto"/>
                  <w:vAlign w:val="center"/>
                </w:tcPr>
                <w:p w14:paraId="6024380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rPr>
                    <w:t>10000</w:t>
                  </w:r>
                </w:p>
              </w:tc>
              <w:tc>
                <w:tcPr>
                  <w:tcW w:w="1496" w:type="pct"/>
                  <w:vMerge w:val="continue"/>
                  <w:tcBorders>
                    <w:tl2br w:val="nil"/>
                    <w:tr2bl w:val="nil"/>
                  </w:tcBorders>
                  <w:vAlign w:val="center"/>
                </w:tcPr>
                <w:p w14:paraId="05DA1B3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bl>
          <w:p w14:paraId="3BFD439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eastAsia" w:cs="Times New Roman"/>
                <w:color w:val="auto"/>
                <w:sz w:val="21"/>
                <w:highlight w:val="none"/>
                <w:lang w:eastAsia="zh-CN"/>
              </w:rPr>
              <w:t>（</w:t>
            </w:r>
            <w:r>
              <w:rPr>
                <w:rFonts w:hint="eastAsia" w:cs="Times New Roman"/>
                <w:color w:val="auto"/>
                <w:sz w:val="21"/>
                <w:highlight w:val="none"/>
                <w:lang w:val="en-US" w:eastAsia="zh-CN"/>
              </w:rPr>
              <w:t>3</w:t>
            </w:r>
            <w:r>
              <w:rPr>
                <w:rFonts w:hint="eastAsia" w:cs="Times New Roman"/>
                <w:color w:val="auto"/>
                <w:sz w:val="21"/>
                <w:highlight w:val="none"/>
                <w:lang w:eastAsia="zh-CN"/>
              </w:rPr>
              <w:t>）</w:t>
            </w:r>
            <w:r>
              <w:rPr>
                <w:rFonts w:hint="default" w:ascii="Times New Roman" w:hAnsi="Times New Roman" w:eastAsia="宋体" w:cs="Times New Roman"/>
                <w:color w:val="auto"/>
                <w:sz w:val="21"/>
                <w:highlight w:val="none"/>
                <w:lang w:eastAsia="zh-CN"/>
              </w:rPr>
              <w:t>声环境</w:t>
            </w:r>
          </w:p>
          <w:p w14:paraId="73CD3921">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根据《声环境质量标准》（GB3096-2008），本项目所在地区以农村地区为主，执行1类标准。</w:t>
            </w:r>
          </w:p>
          <w:p w14:paraId="7F4E0DE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w:t>
            </w:r>
            <w:r>
              <w:rPr>
                <w:rFonts w:hint="eastAsia" w:cs="Times New Roman"/>
                <w:b/>
                <w:bCs/>
                <w:color w:val="auto"/>
                <w:highlight w:val="none"/>
                <w:lang w:val="en-US" w:eastAsia="zh-CN"/>
              </w:rPr>
              <w:t>8</w:t>
            </w:r>
            <w:r>
              <w:rPr>
                <w:rFonts w:hint="default" w:ascii="Times New Roman" w:hAnsi="Times New Roman" w:eastAsia="宋体" w:cs="Times New Roman"/>
                <w:b/>
                <w:bCs/>
                <w:color w:val="auto"/>
                <w:highlight w:val="none"/>
              </w:rPr>
              <w:t>声环境质</w:t>
            </w:r>
            <w:r>
              <w:rPr>
                <w:rFonts w:hint="default" w:ascii="Times New Roman" w:hAnsi="Times New Roman" w:eastAsia="宋体" w:cs="Times New Roman"/>
                <w:b/>
                <w:bCs/>
                <w:color w:val="auto"/>
                <w:sz w:val="21"/>
                <w:highlight w:val="none"/>
              </w:rPr>
              <w:t>量标准</w:t>
            </w:r>
          </w:p>
          <w:tbl>
            <w:tblPr>
              <w:tblStyle w:val="41"/>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50"/>
              <w:gridCol w:w="1350"/>
              <w:gridCol w:w="1350"/>
              <w:gridCol w:w="3944"/>
            </w:tblGrid>
            <w:tr w14:paraId="59D1D25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0" w:type="dxa"/>
                  <w:vMerge w:val="restart"/>
                  <w:tcBorders>
                    <w:tl2br w:val="nil"/>
                    <w:tr2bl w:val="nil"/>
                  </w:tcBorders>
                  <w:vAlign w:val="center"/>
                </w:tcPr>
                <w:p w14:paraId="505C39A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类别</w:t>
                  </w:r>
                </w:p>
              </w:tc>
              <w:tc>
                <w:tcPr>
                  <w:tcW w:w="2700" w:type="dxa"/>
                  <w:gridSpan w:val="2"/>
                  <w:tcBorders>
                    <w:tl2br w:val="nil"/>
                    <w:tr2bl w:val="nil"/>
                  </w:tcBorders>
                  <w:vAlign w:val="center"/>
                </w:tcPr>
                <w:p w14:paraId="6E2CE9D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环境噪声标准值dB(A)</w:t>
                  </w:r>
                </w:p>
              </w:tc>
              <w:tc>
                <w:tcPr>
                  <w:tcW w:w="3944" w:type="dxa"/>
                  <w:vMerge w:val="restart"/>
                  <w:tcBorders>
                    <w:tl2br w:val="nil"/>
                    <w:tr2bl w:val="nil"/>
                  </w:tcBorders>
                  <w:vAlign w:val="center"/>
                </w:tcPr>
                <w:p w14:paraId="0827927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标准来源</w:t>
                  </w:r>
                </w:p>
              </w:tc>
            </w:tr>
            <w:tr w14:paraId="7C55834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0" w:type="dxa"/>
                  <w:vMerge w:val="continue"/>
                  <w:tcBorders>
                    <w:tl2br w:val="nil"/>
                    <w:tr2bl w:val="nil"/>
                  </w:tcBorders>
                  <w:vAlign w:val="center"/>
                </w:tcPr>
                <w:p w14:paraId="3C97C23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1350" w:type="dxa"/>
                  <w:tcBorders>
                    <w:tl2br w:val="nil"/>
                    <w:tr2bl w:val="nil"/>
                  </w:tcBorders>
                  <w:vAlign w:val="center"/>
                </w:tcPr>
                <w:p w14:paraId="43EFAE6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昼间</w:t>
                  </w:r>
                </w:p>
              </w:tc>
              <w:tc>
                <w:tcPr>
                  <w:tcW w:w="1350" w:type="dxa"/>
                  <w:tcBorders>
                    <w:tl2br w:val="nil"/>
                    <w:tr2bl w:val="nil"/>
                  </w:tcBorders>
                  <w:vAlign w:val="center"/>
                </w:tcPr>
                <w:p w14:paraId="6817EF1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夜间</w:t>
                  </w:r>
                </w:p>
              </w:tc>
              <w:tc>
                <w:tcPr>
                  <w:tcW w:w="3944" w:type="dxa"/>
                  <w:vMerge w:val="continue"/>
                  <w:tcBorders>
                    <w:tl2br w:val="nil"/>
                    <w:tr2bl w:val="nil"/>
                  </w:tcBorders>
                  <w:vAlign w:val="center"/>
                </w:tcPr>
                <w:p w14:paraId="32E693C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r>
            <w:tr w14:paraId="790DF0D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0" w:type="dxa"/>
                  <w:tcBorders>
                    <w:tl2br w:val="nil"/>
                    <w:tr2bl w:val="nil"/>
                  </w:tcBorders>
                  <w:vAlign w:val="center"/>
                </w:tcPr>
                <w:p w14:paraId="2695CBD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1类</w:t>
                  </w:r>
                </w:p>
              </w:tc>
              <w:tc>
                <w:tcPr>
                  <w:tcW w:w="1350" w:type="dxa"/>
                  <w:tcBorders>
                    <w:tl2br w:val="nil"/>
                    <w:tr2bl w:val="nil"/>
                  </w:tcBorders>
                  <w:vAlign w:val="center"/>
                </w:tcPr>
                <w:p w14:paraId="0CB9FD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55</w:t>
                  </w:r>
                </w:p>
              </w:tc>
              <w:tc>
                <w:tcPr>
                  <w:tcW w:w="1350" w:type="dxa"/>
                  <w:tcBorders>
                    <w:tl2br w:val="nil"/>
                    <w:tr2bl w:val="nil"/>
                  </w:tcBorders>
                  <w:vAlign w:val="center"/>
                </w:tcPr>
                <w:p w14:paraId="7008CF6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45</w:t>
                  </w:r>
                </w:p>
              </w:tc>
              <w:tc>
                <w:tcPr>
                  <w:tcW w:w="3944" w:type="dxa"/>
                  <w:tcBorders>
                    <w:tl2br w:val="nil"/>
                    <w:tr2bl w:val="nil"/>
                  </w:tcBorders>
                  <w:vAlign w:val="center"/>
                </w:tcPr>
                <w:p w14:paraId="2D435EF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《声环境质量标准》（GB3096-2008）</w:t>
                  </w:r>
                </w:p>
              </w:tc>
            </w:tr>
            <w:bookmarkEnd w:id="19"/>
          </w:tbl>
          <w:p w14:paraId="5489D704">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eastAsia" w:ascii="Times New Roman" w:hAnsi="Times New Roman" w:eastAsia="宋体" w:cs="Times New Roman"/>
                <w:color w:val="auto"/>
                <w:sz w:val="21"/>
                <w:highlight w:val="none"/>
                <w:lang w:val="en-US" w:eastAsia="zh-CN"/>
              </w:rPr>
              <w:t>2、</w:t>
            </w:r>
            <w:r>
              <w:rPr>
                <w:rFonts w:hint="default" w:ascii="Times New Roman" w:hAnsi="Times New Roman" w:eastAsia="宋体" w:cs="Times New Roman"/>
                <w:color w:val="auto"/>
                <w:sz w:val="21"/>
                <w:highlight w:val="none"/>
                <w:lang w:eastAsia="zh-CN"/>
              </w:rPr>
              <w:t>污染物排放标准</w:t>
            </w:r>
          </w:p>
          <w:p w14:paraId="470A9F00">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（1）废气</w:t>
            </w:r>
          </w:p>
          <w:p w14:paraId="7D82A813">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highlight w:val="none"/>
                <w:lang w:eastAsia="zh-CN"/>
              </w:rPr>
              <w:t>施工期的颗粒物执行《大气污染物综合排放标准》（GB16297-1996）表2无组织排放监控浓度限值；施工期柴油发电机产生的废气执行《非道路移动机械用柴油机排气污染物排放限值及测量方法（中国</w:t>
            </w:r>
            <w:r>
              <w:rPr>
                <w:rFonts w:hint="default" w:ascii="Times New Roman" w:hAnsi="Times New Roman" w:eastAsia="宋体" w:cs="Times New Roman"/>
                <w:color w:val="auto"/>
                <w:sz w:val="21"/>
                <w:highlight w:val="none"/>
                <w:lang w:val="en-US" w:eastAsia="zh-CN"/>
              </w:rPr>
              <w:t>第</w:t>
            </w:r>
            <w:r>
              <w:rPr>
                <w:rFonts w:hint="default" w:ascii="Times New Roman" w:hAnsi="Times New Roman" w:eastAsia="宋体" w:cs="Times New Roman"/>
                <w:color w:val="auto"/>
                <w:sz w:val="21"/>
                <w:highlight w:val="none"/>
                <w:lang w:eastAsia="zh-CN"/>
              </w:rPr>
              <w:t>三、四阶段）》（GB20891-2014）中第四阶段（</w:t>
            </w:r>
            <w:r>
              <w:rPr>
                <w:rFonts w:hint="eastAsia" w:ascii="Times New Roman" w:hAnsi="Times New Roman" w:eastAsia="宋体" w:cs="Times New Roman"/>
                <w:color w:val="auto"/>
                <w:sz w:val="21"/>
                <w:highlight w:val="none"/>
                <w:lang w:val="en-US" w:eastAsia="zh-CN"/>
              </w:rPr>
              <w:t>56</w:t>
            </w:r>
            <w:r>
              <w:rPr>
                <w:rFonts w:hint="default" w:ascii="Times New Roman" w:hAnsi="Times New Roman" w:eastAsia="宋体" w:cs="Times New Roman"/>
                <w:color w:val="auto"/>
                <w:sz w:val="21"/>
                <w:highlight w:val="none"/>
                <w:lang w:eastAsia="zh-CN"/>
              </w:rPr>
              <w:t>＜额定功率＜</w:t>
            </w:r>
            <w:r>
              <w:rPr>
                <w:rFonts w:hint="eastAsia" w:ascii="Times New Roman" w:hAnsi="Times New Roman" w:eastAsia="宋体" w:cs="Times New Roman"/>
                <w:color w:val="auto"/>
                <w:sz w:val="21"/>
                <w:highlight w:val="none"/>
                <w:lang w:val="en-US" w:eastAsia="zh-CN"/>
              </w:rPr>
              <w:t>75</w:t>
            </w:r>
            <w:r>
              <w:rPr>
                <w:rFonts w:hint="default" w:ascii="Times New Roman" w:hAnsi="Times New Roman" w:eastAsia="宋体" w:cs="Times New Roman"/>
                <w:color w:val="auto"/>
                <w:sz w:val="21"/>
                <w:highlight w:val="none"/>
                <w:lang w:eastAsia="zh-CN"/>
              </w:rPr>
              <w:t>kW）。</w:t>
            </w:r>
          </w:p>
          <w:p w14:paraId="1876E2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w:t>
            </w:r>
            <w:r>
              <w:rPr>
                <w:rFonts w:hint="eastAsia" w:cs="Times New Roman"/>
                <w:b/>
                <w:bCs/>
                <w:color w:val="auto"/>
                <w:highlight w:val="none"/>
                <w:lang w:val="en-US" w:eastAsia="zh-CN"/>
              </w:rPr>
              <w:t>9</w:t>
            </w:r>
            <w:r>
              <w:rPr>
                <w:rFonts w:hint="default" w:ascii="Times New Roman" w:hAnsi="Times New Roman" w:eastAsia="宋体" w:cs="Times New Roman"/>
                <w:b/>
                <w:bCs/>
                <w:color w:val="auto"/>
                <w:highlight w:val="none"/>
              </w:rPr>
              <w:t>大气污染物排放标准</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6"/>
              <w:gridCol w:w="878"/>
              <w:gridCol w:w="1067"/>
              <w:gridCol w:w="4323"/>
            </w:tblGrid>
            <w:tr w14:paraId="7ADEA0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9" w:type="pct"/>
                  <w:tcBorders>
                    <w:tl2br w:val="nil"/>
                    <w:tr2bl w:val="nil"/>
                  </w:tcBorders>
                  <w:vAlign w:val="center"/>
                </w:tcPr>
                <w:p w14:paraId="23D7784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环境空气功能区</w:t>
                  </w:r>
                </w:p>
              </w:tc>
              <w:tc>
                <w:tcPr>
                  <w:tcW w:w="549" w:type="pct"/>
                  <w:tcBorders>
                    <w:tl2br w:val="nil"/>
                    <w:tr2bl w:val="nil"/>
                  </w:tcBorders>
                  <w:vAlign w:val="center"/>
                </w:tcPr>
                <w:p w14:paraId="1C2E423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w:t>
                  </w:r>
                </w:p>
              </w:tc>
              <w:tc>
                <w:tcPr>
                  <w:tcW w:w="667" w:type="pct"/>
                  <w:tcBorders>
                    <w:tl2br w:val="nil"/>
                    <w:tr2bl w:val="nil"/>
                  </w:tcBorders>
                  <w:vAlign w:val="center"/>
                </w:tcPr>
                <w:p w14:paraId="35AF0C9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标准值</w:t>
                  </w:r>
                </w:p>
              </w:tc>
              <w:tc>
                <w:tcPr>
                  <w:tcW w:w="2703" w:type="pct"/>
                  <w:tcBorders>
                    <w:tl2br w:val="nil"/>
                    <w:tr2bl w:val="nil"/>
                  </w:tcBorders>
                  <w:vAlign w:val="center"/>
                </w:tcPr>
                <w:p w14:paraId="1782400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标准来源</w:t>
                  </w:r>
                </w:p>
              </w:tc>
            </w:tr>
            <w:tr w14:paraId="531BC9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9" w:type="pct"/>
                  <w:tcBorders>
                    <w:tl2br w:val="nil"/>
                    <w:tr2bl w:val="nil"/>
                  </w:tcBorders>
                  <w:vAlign w:val="center"/>
                </w:tcPr>
                <w:p w14:paraId="49BCB68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二类</w:t>
                  </w:r>
                </w:p>
              </w:tc>
              <w:tc>
                <w:tcPr>
                  <w:tcW w:w="549" w:type="pct"/>
                  <w:tcBorders>
                    <w:tl2br w:val="nil"/>
                    <w:tr2bl w:val="nil"/>
                  </w:tcBorders>
                  <w:vAlign w:val="center"/>
                </w:tcPr>
                <w:p w14:paraId="67B2757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颗粒物</w:t>
                  </w:r>
                </w:p>
              </w:tc>
              <w:tc>
                <w:tcPr>
                  <w:tcW w:w="667" w:type="pct"/>
                  <w:tcBorders>
                    <w:tl2br w:val="nil"/>
                    <w:tr2bl w:val="nil"/>
                  </w:tcBorders>
                  <w:vAlign w:val="center"/>
                </w:tcPr>
                <w:p w14:paraId="445120B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1.0mg/m</w:t>
                  </w:r>
                  <w:r>
                    <w:rPr>
                      <w:rFonts w:hint="default" w:ascii="Times New Roman" w:hAnsi="Times New Roman" w:eastAsia="宋体" w:cs="Times New Roman"/>
                      <w:color w:val="auto"/>
                      <w:sz w:val="18"/>
                      <w:szCs w:val="18"/>
                      <w:highlight w:val="none"/>
                      <w:vertAlign w:val="superscript"/>
                    </w:rPr>
                    <w:t>3</w:t>
                  </w:r>
                </w:p>
              </w:tc>
              <w:tc>
                <w:tcPr>
                  <w:tcW w:w="2703" w:type="pct"/>
                  <w:tcBorders>
                    <w:tl2br w:val="nil"/>
                    <w:tr2bl w:val="nil"/>
                  </w:tcBorders>
                  <w:vAlign w:val="center"/>
                </w:tcPr>
                <w:p w14:paraId="7760AEB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《大气污染物综合排放标准》（GB16297-1996）表2无组织排放监控浓度限值</w:t>
                  </w:r>
                </w:p>
              </w:tc>
            </w:tr>
          </w:tbl>
          <w:p w14:paraId="6C0B0262">
            <w:pPr>
              <w:pStyle w:val="62"/>
              <w:keepNext w:val="0"/>
              <w:keepLines w:val="0"/>
              <w:pageBreakBefore w:val="0"/>
              <w:widowControl/>
              <w:numPr>
                <w:ilvl w:val="0"/>
                <w:numId w:val="0"/>
              </w:numPr>
              <w:tabs>
                <w:tab w:val="clear" w:pos="3289"/>
              </w:tabs>
              <w:kinsoku/>
              <w:wordWrap/>
              <w:overflowPunct/>
              <w:topLinePunct w:val="0"/>
              <w:autoSpaceDE/>
              <w:autoSpaceDN/>
              <w:bidi w:val="0"/>
              <w:adjustRightInd/>
              <w:snapToGrid/>
              <w:textAlignment w:val="auto"/>
              <w:rPr>
                <w:rFonts w:hint="default" w:ascii="Times New Roman" w:hAnsi="Times New Roman" w:eastAsia="宋体" w:cs="Times New Roman"/>
                <w:bCs/>
                <w:color w:val="auto"/>
                <w:highlight w:val="none"/>
                <w:lang w:val="zh-CN" w:eastAsia="zh-CN"/>
              </w:rPr>
            </w:pPr>
            <w:r>
              <w:rPr>
                <w:rFonts w:hint="default" w:ascii="Times New Roman" w:hAnsi="Times New Roman" w:eastAsia="宋体" w:cs="Times New Roman"/>
                <w:color w:val="auto"/>
                <w:highlight w:val="none"/>
                <w:lang w:val="zh-CN" w:eastAsia="zh-CN"/>
              </w:rPr>
              <w:t>表</w:t>
            </w:r>
            <w:r>
              <w:rPr>
                <w:rFonts w:hint="default" w:ascii="Times New Roman" w:hAnsi="Times New Roman" w:eastAsia="宋体" w:cs="Times New Roman"/>
                <w:color w:val="auto"/>
                <w:highlight w:val="none"/>
                <w:lang w:eastAsia="zh-CN"/>
              </w:rPr>
              <w:t>3-1</w:t>
            </w:r>
            <w:r>
              <w:rPr>
                <w:rFonts w:hint="eastAsia" w:cs="Times New Roman"/>
                <w:color w:val="auto"/>
                <w:highlight w:val="none"/>
                <w:lang w:val="en-US" w:eastAsia="zh-CN"/>
              </w:rPr>
              <w:t>0</w:t>
            </w:r>
            <w:r>
              <w:rPr>
                <w:rFonts w:hint="default" w:ascii="Times New Roman" w:hAnsi="Times New Roman" w:eastAsia="宋体" w:cs="Times New Roman"/>
                <w:color w:val="auto"/>
                <w:highlight w:val="none"/>
                <w:lang w:val="zh-CN" w:eastAsia="zh-CN"/>
              </w:rPr>
              <w:t>施工期柴油发电机大气污染物排放标准</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3"/>
              <w:gridCol w:w="1009"/>
              <w:gridCol w:w="1082"/>
              <w:gridCol w:w="770"/>
              <w:gridCol w:w="1081"/>
              <w:gridCol w:w="926"/>
              <w:gridCol w:w="2323"/>
            </w:tblGrid>
            <w:tr w14:paraId="3A45EE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3" w:hRule="atLeast"/>
                <w:jc w:val="center"/>
              </w:trPr>
              <w:tc>
                <w:tcPr>
                  <w:tcW w:w="827" w:type="dxa"/>
                  <w:tcBorders>
                    <w:tl2br w:val="nil"/>
                    <w:tr2bl w:val="nil"/>
                  </w:tcBorders>
                  <w:vAlign w:val="center"/>
                </w:tcPr>
                <w:p w14:paraId="7D6754B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污染源</w:t>
                  </w:r>
                </w:p>
              </w:tc>
              <w:tc>
                <w:tcPr>
                  <w:tcW w:w="1041" w:type="dxa"/>
                  <w:tcBorders>
                    <w:tl2br w:val="nil"/>
                    <w:tr2bl w:val="nil"/>
                  </w:tcBorders>
                  <w:vAlign w:val="center"/>
                </w:tcPr>
                <w:p w14:paraId="10913A2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标准级别</w:t>
                  </w:r>
                </w:p>
              </w:tc>
              <w:tc>
                <w:tcPr>
                  <w:tcW w:w="3980" w:type="dxa"/>
                  <w:gridSpan w:val="4"/>
                  <w:tcBorders>
                    <w:tl2br w:val="nil"/>
                    <w:tr2bl w:val="nil"/>
                  </w:tcBorders>
                  <w:vAlign w:val="center"/>
                </w:tcPr>
                <w:p w14:paraId="2E70E74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标准限值</w:t>
                  </w:r>
                </w:p>
              </w:tc>
              <w:tc>
                <w:tcPr>
                  <w:tcW w:w="2408" w:type="dxa"/>
                  <w:tcBorders>
                    <w:tl2br w:val="nil"/>
                    <w:tr2bl w:val="nil"/>
                  </w:tcBorders>
                  <w:vAlign w:val="center"/>
                </w:tcPr>
                <w:p w14:paraId="3C6643D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标准来源</w:t>
                  </w:r>
                </w:p>
              </w:tc>
            </w:tr>
            <w:tr w14:paraId="092CC2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868" w:type="dxa"/>
                  <w:gridSpan w:val="2"/>
                  <w:vMerge w:val="restart"/>
                  <w:tcBorders>
                    <w:tl2br w:val="nil"/>
                    <w:tr2bl w:val="nil"/>
                  </w:tcBorders>
                  <w:vAlign w:val="center"/>
                </w:tcPr>
                <w:p w14:paraId="17EECC6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柴油发电机废气</w:t>
                  </w:r>
                </w:p>
                <w:p w14:paraId="27CEB7A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56</w:t>
                  </w:r>
                  <w:r>
                    <w:rPr>
                      <w:rFonts w:hint="default" w:ascii="Times New Roman" w:hAnsi="Times New Roman" w:eastAsia="宋体" w:cs="Times New Roman"/>
                      <w:color w:val="auto"/>
                      <w:sz w:val="18"/>
                      <w:szCs w:val="18"/>
                      <w:highlight w:val="none"/>
                      <w:lang w:eastAsia="zh-CN"/>
                    </w:rPr>
                    <w:t>＜Pmax＜</w:t>
                  </w:r>
                  <w:r>
                    <w:rPr>
                      <w:rFonts w:hint="eastAsia" w:ascii="Times New Roman" w:hAnsi="Times New Roman" w:eastAsia="宋体" w:cs="Times New Roman"/>
                      <w:color w:val="auto"/>
                      <w:sz w:val="18"/>
                      <w:szCs w:val="18"/>
                      <w:highlight w:val="none"/>
                      <w:lang w:val="en-US" w:eastAsia="zh-CN"/>
                    </w:rPr>
                    <w:t>75</w:t>
                  </w:r>
                  <w:r>
                    <w:rPr>
                      <w:rFonts w:hint="default" w:ascii="Times New Roman" w:hAnsi="Times New Roman" w:eastAsia="宋体" w:cs="Times New Roman"/>
                      <w:color w:val="auto"/>
                      <w:sz w:val="18"/>
                      <w:szCs w:val="18"/>
                      <w:highlight w:val="none"/>
                      <w:lang w:eastAsia="zh-CN"/>
                    </w:rPr>
                    <w:t>kW）</w:t>
                  </w:r>
                </w:p>
              </w:tc>
              <w:tc>
                <w:tcPr>
                  <w:tcW w:w="1117" w:type="dxa"/>
                  <w:tcBorders>
                    <w:tl2br w:val="nil"/>
                    <w:tr2bl w:val="nil"/>
                  </w:tcBorders>
                  <w:vAlign w:val="center"/>
                </w:tcPr>
                <w:p w14:paraId="40680E7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污染物</w:t>
                  </w:r>
                </w:p>
              </w:tc>
              <w:tc>
                <w:tcPr>
                  <w:tcW w:w="792" w:type="dxa"/>
                  <w:tcBorders>
                    <w:tl2br w:val="nil"/>
                    <w:tr2bl w:val="nil"/>
                  </w:tcBorders>
                  <w:vAlign w:val="center"/>
                </w:tcPr>
                <w:p w14:paraId="730060D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CO</w:t>
                  </w:r>
                </w:p>
              </w:tc>
              <w:tc>
                <w:tcPr>
                  <w:tcW w:w="1116" w:type="dxa"/>
                  <w:tcBorders>
                    <w:tl2br w:val="nil"/>
                    <w:tr2bl w:val="nil"/>
                  </w:tcBorders>
                  <w:vAlign w:val="center"/>
                </w:tcPr>
                <w:p w14:paraId="709028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HC+NO</w:t>
                  </w:r>
                  <w:r>
                    <w:rPr>
                      <w:rFonts w:hint="default" w:ascii="Times New Roman" w:hAnsi="Times New Roman" w:eastAsia="宋体" w:cs="Times New Roman"/>
                      <w:color w:val="auto"/>
                      <w:sz w:val="18"/>
                      <w:szCs w:val="18"/>
                      <w:highlight w:val="none"/>
                      <w:vertAlign w:val="subscript"/>
                      <w:lang w:eastAsia="zh-CN"/>
                    </w:rPr>
                    <w:t>x</w:t>
                  </w:r>
                </w:p>
              </w:tc>
              <w:tc>
                <w:tcPr>
                  <w:tcW w:w="955" w:type="dxa"/>
                  <w:tcBorders>
                    <w:tl2br w:val="nil"/>
                    <w:tr2bl w:val="nil"/>
                  </w:tcBorders>
                  <w:vAlign w:val="center"/>
                </w:tcPr>
                <w:p w14:paraId="656884C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PM</w:t>
                  </w:r>
                </w:p>
              </w:tc>
              <w:tc>
                <w:tcPr>
                  <w:tcW w:w="2408" w:type="dxa"/>
                  <w:vMerge w:val="restart"/>
                  <w:tcBorders>
                    <w:tl2br w:val="nil"/>
                    <w:tr2bl w:val="nil"/>
                  </w:tcBorders>
                  <w:vAlign w:val="center"/>
                </w:tcPr>
                <w:p w14:paraId="75BA5A7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《非道路移动机械用柴油机排气污染物排放限值及测量方法（中国</w:t>
                  </w:r>
                  <w:r>
                    <w:rPr>
                      <w:rFonts w:hint="eastAsia" w:ascii="Times New Roman" w:hAnsi="Times New Roman" w:eastAsia="宋体" w:cs="Times New Roman"/>
                      <w:color w:val="auto"/>
                      <w:sz w:val="18"/>
                      <w:szCs w:val="18"/>
                      <w:highlight w:val="none"/>
                      <w:lang w:val="en-US" w:eastAsia="zh-CN"/>
                    </w:rPr>
                    <w:t>第</w:t>
                  </w:r>
                  <w:r>
                    <w:rPr>
                      <w:rFonts w:hint="default" w:ascii="Times New Roman" w:hAnsi="Times New Roman" w:eastAsia="宋体" w:cs="Times New Roman"/>
                      <w:color w:val="auto"/>
                      <w:sz w:val="18"/>
                      <w:szCs w:val="18"/>
                      <w:highlight w:val="none"/>
                      <w:lang w:eastAsia="zh-CN"/>
                    </w:rPr>
                    <w:t>三、四阶段）》（GB20891-2014）中第四阶段（56＜额定功率＜75kW）</w:t>
                  </w:r>
                </w:p>
              </w:tc>
            </w:tr>
            <w:tr w14:paraId="37DD59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868" w:type="dxa"/>
                  <w:gridSpan w:val="2"/>
                  <w:vMerge w:val="continue"/>
                  <w:tcBorders>
                    <w:tl2br w:val="nil"/>
                    <w:tr2bl w:val="nil"/>
                  </w:tcBorders>
                  <w:vAlign w:val="center"/>
                </w:tcPr>
                <w:p w14:paraId="1526B34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c>
                <w:tcPr>
                  <w:tcW w:w="1117" w:type="dxa"/>
                  <w:tcBorders>
                    <w:tl2br w:val="nil"/>
                    <w:tr2bl w:val="nil"/>
                  </w:tcBorders>
                  <w:vAlign w:val="center"/>
                </w:tcPr>
                <w:p w14:paraId="08B78FB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排放浓度（g/kWh）</w:t>
                  </w:r>
                </w:p>
              </w:tc>
              <w:tc>
                <w:tcPr>
                  <w:tcW w:w="792" w:type="dxa"/>
                  <w:tcBorders>
                    <w:tl2br w:val="nil"/>
                    <w:tr2bl w:val="nil"/>
                  </w:tcBorders>
                  <w:vAlign w:val="center"/>
                </w:tcPr>
                <w:p w14:paraId="0510534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5.0</w:t>
                  </w:r>
                </w:p>
              </w:tc>
              <w:tc>
                <w:tcPr>
                  <w:tcW w:w="1116" w:type="dxa"/>
                  <w:tcBorders>
                    <w:tl2br w:val="nil"/>
                    <w:tr2bl w:val="nil"/>
                  </w:tcBorders>
                  <w:vAlign w:val="center"/>
                </w:tcPr>
                <w:p w14:paraId="5E581D7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955" w:type="dxa"/>
                  <w:tcBorders>
                    <w:tl2br w:val="nil"/>
                    <w:tr2bl w:val="nil"/>
                  </w:tcBorders>
                  <w:vAlign w:val="center"/>
                </w:tcPr>
                <w:p w14:paraId="75703BE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0.025</w:t>
                  </w:r>
                </w:p>
              </w:tc>
              <w:tc>
                <w:tcPr>
                  <w:tcW w:w="2408" w:type="dxa"/>
                  <w:vMerge w:val="continue"/>
                  <w:tcBorders>
                    <w:tl2br w:val="nil"/>
                    <w:tr2bl w:val="nil"/>
                  </w:tcBorders>
                  <w:vAlign w:val="center"/>
                </w:tcPr>
                <w:p w14:paraId="6DB79BB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lang w:eastAsia="zh-CN"/>
                    </w:rPr>
                  </w:pPr>
                </w:p>
              </w:tc>
            </w:tr>
          </w:tbl>
          <w:p w14:paraId="41D1A2F6">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（2）噪声</w:t>
            </w:r>
          </w:p>
          <w:p w14:paraId="22659AB9">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施工期噪声执行《建筑施工噪声排放标准》（GB12523-20</w:t>
            </w:r>
            <w:r>
              <w:rPr>
                <w:rFonts w:hint="default" w:ascii="Times New Roman" w:hAnsi="Times New Roman" w:eastAsia="宋体" w:cs="Times New Roman"/>
                <w:color w:val="auto"/>
                <w:sz w:val="21"/>
                <w:highlight w:val="none"/>
                <w:lang w:val="en-US" w:eastAsia="zh-CN"/>
              </w:rPr>
              <w:t>25</w:t>
            </w:r>
            <w:r>
              <w:rPr>
                <w:rFonts w:hint="default" w:ascii="Times New Roman" w:hAnsi="Times New Roman" w:eastAsia="宋体" w:cs="Times New Roman"/>
                <w:color w:val="auto"/>
                <w:sz w:val="21"/>
                <w:highlight w:val="none"/>
                <w:lang w:eastAsia="zh-CN"/>
              </w:rPr>
              <w:t>）中表1标准。</w:t>
            </w:r>
          </w:p>
          <w:p w14:paraId="2EED7F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表3-1</w:t>
            </w:r>
            <w:r>
              <w:rPr>
                <w:rFonts w:hint="eastAsia" w:cs="Times New Roman"/>
                <w:b/>
                <w:bCs/>
                <w:color w:val="auto"/>
                <w:highlight w:val="none"/>
                <w:lang w:val="en-US" w:eastAsia="zh-CN"/>
              </w:rPr>
              <w:t>1</w:t>
            </w:r>
            <w:r>
              <w:rPr>
                <w:rFonts w:hint="default" w:ascii="Times New Roman" w:hAnsi="Times New Roman" w:eastAsia="宋体" w:cs="Times New Roman"/>
                <w:b/>
                <w:bCs/>
                <w:color w:val="auto"/>
                <w:highlight w:val="none"/>
              </w:rPr>
              <w:t>噪声排放标准</w:t>
            </w:r>
          </w:p>
          <w:tbl>
            <w:tblPr>
              <w:tblStyle w:val="41"/>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39"/>
              <w:gridCol w:w="926"/>
              <w:gridCol w:w="1016"/>
              <w:gridCol w:w="918"/>
              <w:gridCol w:w="4095"/>
            </w:tblGrid>
            <w:tr w14:paraId="585B3AF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3" w:type="dxa"/>
                  <w:tcBorders>
                    <w:tl2br w:val="nil"/>
                    <w:tr2bl w:val="nil"/>
                  </w:tcBorders>
                  <w:vAlign w:val="center"/>
                </w:tcPr>
                <w:p w14:paraId="68413899">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时段</w:t>
                  </w:r>
                </w:p>
              </w:tc>
              <w:tc>
                <w:tcPr>
                  <w:tcW w:w="858" w:type="dxa"/>
                  <w:tcBorders>
                    <w:tl2br w:val="nil"/>
                    <w:tr2bl w:val="nil"/>
                  </w:tcBorders>
                  <w:vAlign w:val="center"/>
                </w:tcPr>
                <w:p w14:paraId="29254363">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单位</w:t>
                  </w:r>
                </w:p>
              </w:tc>
              <w:tc>
                <w:tcPr>
                  <w:tcW w:w="942" w:type="dxa"/>
                  <w:tcBorders>
                    <w:tl2br w:val="nil"/>
                    <w:tr2bl w:val="nil"/>
                  </w:tcBorders>
                  <w:vAlign w:val="center"/>
                </w:tcPr>
                <w:p w14:paraId="159705D5">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昼间</w:t>
                  </w:r>
                </w:p>
              </w:tc>
              <w:tc>
                <w:tcPr>
                  <w:tcW w:w="851" w:type="dxa"/>
                  <w:tcBorders>
                    <w:tl2br w:val="nil"/>
                    <w:tr2bl w:val="nil"/>
                  </w:tcBorders>
                  <w:vAlign w:val="center"/>
                </w:tcPr>
                <w:p w14:paraId="5DC78030">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夜间</w:t>
                  </w:r>
                </w:p>
              </w:tc>
              <w:tc>
                <w:tcPr>
                  <w:tcW w:w="3795" w:type="dxa"/>
                  <w:tcBorders>
                    <w:tl2br w:val="nil"/>
                    <w:tr2bl w:val="nil"/>
                  </w:tcBorders>
                  <w:vAlign w:val="center"/>
                </w:tcPr>
                <w:p w14:paraId="498D9A0A">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标准来源</w:t>
                  </w:r>
                </w:p>
              </w:tc>
            </w:tr>
            <w:tr w14:paraId="561A74F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63" w:type="dxa"/>
                  <w:tcBorders>
                    <w:tl2br w:val="nil"/>
                    <w:tr2bl w:val="nil"/>
                  </w:tcBorders>
                  <w:vAlign w:val="center"/>
                </w:tcPr>
                <w:p w14:paraId="3EF2CF15">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施工期</w:t>
                  </w:r>
                </w:p>
              </w:tc>
              <w:tc>
                <w:tcPr>
                  <w:tcW w:w="858" w:type="dxa"/>
                  <w:tcBorders>
                    <w:tl2br w:val="nil"/>
                    <w:tr2bl w:val="nil"/>
                  </w:tcBorders>
                  <w:vAlign w:val="center"/>
                </w:tcPr>
                <w:p w14:paraId="03FF23F0">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dB(A)</w:t>
                  </w:r>
                </w:p>
              </w:tc>
              <w:tc>
                <w:tcPr>
                  <w:tcW w:w="942" w:type="dxa"/>
                  <w:tcBorders>
                    <w:tl2br w:val="nil"/>
                    <w:tr2bl w:val="nil"/>
                  </w:tcBorders>
                  <w:vAlign w:val="center"/>
                </w:tcPr>
                <w:p w14:paraId="6E12505A">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70</w:t>
                  </w:r>
                </w:p>
              </w:tc>
              <w:tc>
                <w:tcPr>
                  <w:tcW w:w="851" w:type="dxa"/>
                  <w:tcBorders>
                    <w:tl2br w:val="nil"/>
                    <w:tr2bl w:val="nil"/>
                  </w:tcBorders>
                  <w:vAlign w:val="center"/>
                </w:tcPr>
                <w:p w14:paraId="4FA1864E">
                  <w:pPr>
                    <w:kinsoku/>
                    <w:autoSpaceDE/>
                    <w:autoSpaceDN/>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55</w:t>
                  </w:r>
                </w:p>
              </w:tc>
              <w:tc>
                <w:tcPr>
                  <w:tcW w:w="3795" w:type="dxa"/>
                  <w:tcBorders>
                    <w:tl2br w:val="nil"/>
                    <w:tr2bl w:val="nil"/>
                  </w:tcBorders>
                  <w:vAlign w:val="center"/>
                </w:tcPr>
                <w:p w14:paraId="02AA30B0">
                  <w:pPr>
                    <w:kinsoku/>
                    <w:autoSpaceDE/>
                    <w:autoSpaceDN/>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《建筑施工噪声排放标准》（GB12523-2025）表1</w:t>
                  </w:r>
                </w:p>
              </w:tc>
            </w:tr>
          </w:tbl>
          <w:p w14:paraId="50058424">
            <w:pPr>
              <w:kinsoku/>
              <w:autoSpaceDE/>
              <w:autoSpaceDN/>
              <w:spacing w:line="360" w:lineRule="auto"/>
              <w:ind w:firstLine="420" w:firstLineChars="20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（3）固废</w:t>
            </w:r>
          </w:p>
          <w:p w14:paraId="73366FA6">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eastAsia="zh-CN"/>
              </w:rPr>
              <w:t>一般固体废物执行《一般工业固体废物贮存和填埋污染控制标准》</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GB18599-2020</w:t>
            </w:r>
            <w:r>
              <w:rPr>
                <w:rFonts w:hint="eastAsia" w:ascii="Times New Roman" w:hAnsi="Times New Roman" w:eastAsia="宋体" w:cs="Times New Roman"/>
                <w:color w:val="auto"/>
                <w:highlight w:val="none"/>
                <w:lang w:eastAsia="zh-CN"/>
              </w:rPr>
              <w:t>）</w:t>
            </w:r>
            <w:r>
              <w:rPr>
                <w:rFonts w:hint="default" w:ascii="Times New Roman" w:hAnsi="Times New Roman" w:cs="Times New Roman" w:eastAsiaTheme="minorEastAsia"/>
                <w:color w:val="auto"/>
                <w:sz w:val="24"/>
                <w:highlight w:val="none"/>
              </w:rPr>
              <w:t>。</w:t>
            </w:r>
          </w:p>
        </w:tc>
      </w:tr>
      <w:tr w14:paraId="1C2C9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850" w:type="dxa"/>
            <w:vAlign w:val="center"/>
          </w:tcPr>
          <w:p w14:paraId="63705F3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4"/>
                <w:highlight w:val="none"/>
              </w:rPr>
            </w:pPr>
            <w:r>
              <w:rPr>
                <w:rFonts w:hint="default" w:ascii="Times New Roman" w:hAnsi="Times New Roman" w:cs="Times New Roman" w:eastAsiaTheme="minorEastAsia"/>
                <w:color w:val="auto"/>
                <w:kern w:val="0"/>
                <w:sz w:val="21"/>
                <w:szCs w:val="21"/>
                <w:highlight w:val="none"/>
              </w:rPr>
              <w:t>其他</w:t>
            </w:r>
          </w:p>
        </w:tc>
        <w:tc>
          <w:tcPr>
            <w:tcW w:w="8210" w:type="dxa"/>
            <w:vAlign w:val="center"/>
          </w:tcPr>
          <w:p w14:paraId="3932A05F">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本项目为非工业生产型项目，无需申请总量。</w:t>
            </w:r>
          </w:p>
        </w:tc>
      </w:tr>
    </w:tbl>
    <w:p w14:paraId="1E6E0E30">
      <w:pPr>
        <w:pStyle w:val="20"/>
        <w:jc w:val="center"/>
        <w:outlineLvl w:val="0"/>
        <w:rPr>
          <w:rFonts w:hint="default" w:ascii="Times New Roman" w:hAnsi="Times New Roman" w:eastAsia="黑体" w:cs="Times New Roman"/>
          <w:snapToGrid w:val="0"/>
          <w:color w:val="auto"/>
          <w:sz w:val="30"/>
          <w:szCs w:val="3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20" w:name="_Toc9176"/>
    </w:p>
    <w:p w14:paraId="08DC7096">
      <w:pPr>
        <w:pStyle w:val="20"/>
        <w:jc w:val="center"/>
        <w:outlineLvl w:val="0"/>
        <w:rPr>
          <w:rFonts w:hint="default" w:ascii="Times New Roman" w:hAnsi="Times New Roman" w:eastAsia="黑体" w:cs="Times New Roman"/>
          <w:snapToGrid w:val="0"/>
          <w:color w:val="auto"/>
          <w:sz w:val="30"/>
          <w:szCs w:val="30"/>
          <w:highlight w:val="none"/>
        </w:rPr>
      </w:pPr>
      <w:bookmarkStart w:id="21" w:name="_Toc12393"/>
      <w:bookmarkStart w:id="22" w:name="_Toc24903"/>
      <w:bookmarkStart w:id="23" w:name="_Toc32396"/>
      <w:r>
        <w:rPr>
          <w:rFonts w:hint="default" w:ascii="Times New Roman" w:hAnsi="Times New Roman" w:eastAsia="黑体" w:cs="Times New Roman"/>
          <w:snapToGrid w:val="0"/>
          <w:color w:val="auto"/>
          <w:sz w:val="30"/>
          <w:szCs w:val="30"/>
          <w:highlight w:val="none"/>
        </w:rPr>
        <w:t>四、生态环境影响分析</w:t>
      </w:r>
      <w:bookmarkEnd w:id="20"/>
      <w:bookmarkEnd w:id="21"/>
      <w:bookmarkEnd w:id="22"/>
      <w:bookmarkEnd w:id="23"/>
    </w:p>
    <w:tbl>
      <w:tblPr>
        <w:tblStyle w:val="24"/>
        <w:tblW w:w="90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0"/>
        <w:gridCol w:w="8209"/>
      </w:tblGrid>
      <w:tr w14:paraId="00EBA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dxa"/>
            <w:tcMar>
              <w:left w:w="28" w:type="dxa"/>
              <w:right w:w="28" w:type="dxa"/>
            </w:tcMar>
            <w:vAlign w:val="center"/>
          </w:tcPr>
          <w:p w14:paraId="794E1235">
            <w:pPr>
              <w:pStyle w:val="2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Times New Roman" w:eastAsiaTheme="minorEastAsia"/>
                <w:bCs/>
                <w:color w:val="auto"/>
                <w:kern w:val="2"/>
                <w:sz w:val="21"/>
                <w:szCs w:val="21"/>
                <w:highlight w:val="none"/>
              </w:rPr>
            </w:pPr>
            <w:bookmarkStart w:id="24" w:name="_Hlk49796138"/>
            <w:bookmarkStart w:id="25" w:name="_Toc11885"/>
            <w:r>
              <w:rPr>
                <w:rFonts w:hint="default" w:ascii="Times New Roman" w:hAnsi="Times New Roman" w:cs="Times New Roman" w:eastAsiaTheme="minorEastAsia"/>
                <w:bCs/>
                <w:color w:val="auto"/>
                <w:spacing w:val="0"/>
                <w:kern w:val="2"/>
                <w:sz w:val="21"/>
                <w:szCs w:val="21"/>
                <w:highlight w:val="none"/>
              </w:rPr>
              <w:t>施工期生态环境影响分析</w:t>
            </w:r>
            <w:bookmarkEnd w:id="24"/>
            <w:bookmarkEnd w:id="25"/>
          </w:p>
        </w:tc>
        <w:tc>
          <w:tcPr>
            <w:tcW w:w="8209" w:type="dxa"/>
          </w:tcPr>
          <w:p w14:paraId="053AAA58">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bookmarkStart w:id="26" w:name="OLE_LINK10"/>
            <w:bookmarkStart w:id="27" w:name="OLE_LINK9"/>
            <w:r>
              <w:rPr>
                <w:rFonts w:hint="default" w:ascii="Times New Roman" w:hAnsi="Times New Roman" w:cs="Times New Roman" w:eastAsiaTheme="minorEastAsia"/>
                <w:b w:val="0"/>
                <w:bCs w:val="0"/>
                <w:color w:val="auto"/>
                <w:sz w:val="21"/>
                <w:szCs w:val="21"/>
                <w:highlight w:val="none"/>
                <w:lang w:val="en-US" w:eastAsia="zh-CN"/>
              </w:rPr>
              <w:t>1、生态环境影响分析</w:t>
            </w:r>
          </w:p>
          <w:p w14:paraId="5D3496AE">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b w:val="0"/>
                <w:bCs w:val="0"/>
                <w:color w:val="auto"/>
                <w:sz w:val="21"/>
                <w:szCs w:val="21"/>
                <w:highlight w:val="none"/>
              </w:rPr>
              <w:t>工程占地的影响</w:t>
            </w:r>
          </w:p>
          <w:p w14:paraId="5E1C879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本项目总占地面积为</w:t>
            </w:r>
            <w:r>
              <w:rPr>
                <w:rFonts w:hint="default" w:ascii="Times New Roman" w:hAnsi="Times New Roman" w:eastAsia="宋体" w:cs="Times New Roman"/>
                <w:color w:val="auto"/>
                <w:kern w:val="0"/>
                <w:sz w:val="21"/>
                <w:szCs w:val="21"/>
                <w:highlight w:val="none"/>
                <w:lang w:val="en-US" w:eastAsia="zh-CN"/>
              </w:rPr>
              <w:t>2.23</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，其中永久占地</w:t>
            </w:r>
            <w:r>
              <w:rPr>
                <w:rFonts w:hint="default" w:ascii="Times New Roman" w:hAnsi="Times New Roman" w:eastAsia="宋体" w:cs="Times New Roman"/>
                <w:color w:val="auto"/>
                <w:kern w:val="0"/>
                <w:sz w:val="21"/>
                <w:szCs w:val="21"/>
                <w:highlight w:val="none"/>
                <w:lang w:val="en-US" w:eastAsia="zh-CN"/>
              </w:rPr>
              <w:t>1.86</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，临时占地0.</w:t>
            </w:r>
            <w:r>
              <w:rPr>
                <w:rFonts w:hint="default" w:ascii="Times New Roman" w:hAnsi="Times New Roman" w:eastAsia="宋体" w:cs="Times New Roman"/>
                <w:color w:val="auto"/>
                <w:kern w:val="0"/>
                <w:sz w:val="21"/>
                <w:szCs w:val="21"/>
                <w:highlight w:val="none"/>
                <w:lang w:val="en-US" w:eastAsia="zh-CN"/>
              </w:rPr>
              <w:t>37</w:t>
            </w:r>
            <w:r>
              <w:rPr>
                <w:rFonts w:hint="default" w:ascii="Times New Roman" w:hAnsi="Times New Roman" w:eastAsia="宋体" w:cs="Times New Roman"/>
                <w:color w:val="auto"/>
                <w:kern w:val="0"/>
                <w:sz w:val="21"/>
                <w:szCs w:val="21"/>
                <w:highlight w:val="none"/>
              </w:rPr>
              <w:t>hm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，占地类型为水域及水利设施用地。</w:t>
            </w:r>
            <w:r>
              <w:rPr>
                <w:rFonts w:hint="default" w:ascii="Times New Roman" w:hAnsi="Times New Roman" w:eastAsia="宋体" w:cs="Times New Roman"/>
                <w:color w:val="auto"/>
                <w:kern w:val="0"/>
                <w:sz w:val="21"/>
                <w:szCs w:val="21"/>
                <w:highlight w:val="none"/>
                <w:lang w:val="en-US" w:eastAsia="zh-CN"/>
              </w:rPr>
              <w:t>永久占地为水库大坝、溢洪道、输水洞原有占地，临时占地为施工生产区及填塘工程区。</w:t>
            </w:r>
            <w:r>
              <w:rPr>
                <w:rFonts w:hint="eastAsia"/>
                <w:color w:val="auto"/>
                <w:sz w:val="21"/>
                <w:szCs w:val="21"/>
                <w:highlight w:val="none"/>
              </w:rPr>
              <w:t>生活区</w:t>
            </w:r>
            <w:r>
              <w:rPr>
                <w:rFonts w:hint="eastAsia"/>
                <w:color w:val="auto"/>
                <w:sz w:val="21"/>
                <w:szCs w:val="21"/>
                <w:highlight w:val="none"/>
                <w:lang w:val="en-US" w:eastAsia="zh-CN"/>
              </w:rPr>
              <w:t>利</w:t>
            </w:r>
            <w:r>
              <w:rPr>
                <w:rFonts w:hint="eastAsia"/>
                <w:color w:val="auto"/>
                <w:sz w:val="21"/>
                <w:szCs w:val="21"/>
                <w:highlight w:val="none"/>
              </w:rPr>
              <w:t>用当地居民区内，不计占地</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cs="Times New Roman"/>
                <w:b w:val="0"/>
                <w:bCs w:val="0"/>
                <w:color w:val="auto"/>
                <w:sz w:val="21"/>
                <w:szCs w:val="21"/>
                <w:highlight w:val="none"/>
              </w:rPr>
              <w:t>工程临时占地对整个区域的土地资源影响较小，且其影响是暂时的，施工结束后通过采取平整</w:t>
            </w:r>
            <w:r>
              <w:rPr>
                <w:rFonts w:hint="default" w:ascii="Times New Roman" w:hAnsi="Times New Roman" w:cs="Times New Roman"/>
                <w:b w:val="0"/>
                <w:bCs w:val="0"/>
                <w:color w:val="auto"/>
                <w:sz w:val="21"/>
                <w:szCs w:val="21"/>
                <w:highlight w:val="none"/>
                <w:lang w:eastAsia="zh-CN"/>
              </w:rPr>
              <w:t>等措施恢复原有</w:t>
            </w:r>
            <w:r>
              <w:rPr>
                <w:rFonts w:hint="eastAsia" w:cs="Times New Roman"/>
                <w:b w:val="0"/>
                <w:bCs w:val="0"/>
                <w:color w:val="auto"/>
                <w:kern w:val="0"/>
                <w:sz w:val="21"/>
                <w:szCs w:val="21"/>
                <w:highlight w:val="none"/>
                <w:lang w:val="en-US" w:eastAsia="zh-CN"/>
              </w:rPr>
              <w:t>地类</w:t>
            </w:r>
            <w:r>
              <w:rPr>
                <w:rFonts w:hint="default" w:ascii="Times New Roman" w:hAnsi="Times New Roman" w:eastAsia="宋体" w:cs="Times New Roman"/>
                <w:b w:val="0"/>
                <w:bCs w:val="0"/>
                <w:color w:val="auto"/>
                <w:kern w:val="0"/>
                <w:sz w:val="21"/>
                <w:szCs w:val="21"/>
                <w:highlight w:val="none"/>
                <w:lang w:val="en-US" w:eastAsia="zh-CN"/>
              </w:rPr>
              <w:t>。</w:t>
            </w:r>
            <w:r>
              <w:rPr>
                <w:rFonts w:hint="eastAsia" w:cs="Times New Roman"/>
                <w:b w:val="0"/>
                <w:bCs w:val="0"/>
                <w:color w:val="auto"/>
                <w:kern w:val="0"/>
                <w:sz w:val="21"/>
                <w:szCs w:val="21"/>
                <w:highlight w:val="none"/>
                <w:lang w:val="en-US" w:eastAsia="zh-CN"/>
              </w:rPr>
              <w:t>本项目水库坝长较短，产生挖填方量较小，可实现土方平衡。</w:t>
            </w:r>
          </w:p>
          <w:p w14:paraId="2E66EDB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对生物多样性的影响</w:t>
            </w:r>
          </w:p>
          <w:p w14:paraId="369A96C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eastAsia="宋体" w:cs="Times New Roman"/>
                <w:color w:val="auto"/>
                <w:highlight w:val="none"/>
                <w:lang w:eastAsia="zh-CN"/>
              </w:rPr>
              <w:t>生物多样性是生态自然发展的结果，生物多样性保护是生态环境保护的基本要求和目的。项目施工会对植被造成损害，进而影响动物觅食、栖息，导致区域动、植物资源减少，使区域生物多样性遭受威胁，此外，项目施工过程中运输、机械的运行噪声等将影响项目所在区域动物的栖息，甚至导致动物迁移，影响施工区域的生物多样性。项目施工期</w:t>
            </w:r>
            <w:r>
              <w:rPr>
                <w:rFonts w:hint="default" w:ascii="Times New Roman" w:hAnsi="Times New Roman" w:cs="Times New Roman"/>
                <w:color w:val="auto"/>
                <w:sz w:val="21"/>
                <w:szCs w:val="24"/>
                <w:highlight w:val="none"/>
              </w:rPr>
              <w:t>较</w:t>
            </w:r>
            <w:r>
              <w:rPr>
                <w:rFonts w:hint="default" w:ascii="Times New Roman" w:hAnsi="Times New Roman" w:eastAsia="宋体" w:cs="Times New Roman"/>
                <w:color w:val="auto"/>
                <w:highlight w:val="none"/>
                <w:lang w:eastAsia="zh-CN"/>
              </w:rPr>
              <w:t>短，因此，项目的建设施工对区域生物多样性的影响有限</w:t>
            </w:r>
            <w:r>
              <w:rPr>
                <w:rFonts w:hint="default" w:ascii="Times New Roman" w:hAnsi="Times New Roman" w:eastAsia="宋体" w:cs="Times New Roman"/>
                <w:color w:val="auto"/>
                <w:sz w:val="21"/>
                <w:szCs w:val="21"/>
                <w:highlight w:val="none"/>
                <w:lang w:val="en-US" w:eastAsia="zh-CN"/>
              </w:rPr>
              <w:t>。</w:t>
            </w:r>
          </w:p>
          <w:p w14:paraId="39CE0EA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（3）</w:t>
            </w:r>
            <w:r>
              <w:rPr>
                <w:rFonts w:hint="default" w:ascii="Times New Roman" w:hAnsi="Times New Roman" w:cs="Times New Roman"/>
                <w:b w:val="0"/>
                <w:color w:val="auto"/>
                <w:sz w:val="21"/>
                <w:szCs w:val="21"/>
                <w:highlight w:val="none"/>
                <w:lang w:val="en-US" w:eastAsia="zh-CN"/>
              </w:rPr>
              <w:t>对陆生生态的影响</w:t>
            </w:r>
          </w:p>
          <w:p w14:paraId="5F00B0D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lang w:eastAsia="zh-CN"/>
              </w:rPr>
              <w:t>）</w:t>
            </w:r>
            <w:r>
              <w:rPr>
                <w:rFonts w:hint="default" w:ascii="Times New Roman" w:hAnsi="Times New Roman" w:cs="Times New Roman"/>
                <w:b w:val="0"/>
                <w:color w:val="auto"/>
                <w:sz w:val="21"/>
                <w:szCs w:val="21"/>
                <w:highlight w:val="none"/>
              </w:rPr>
              <w:t>对植被的影响分析</w:t>
            </w:r>
          </w:p>
          <w:p w14:paraId="2D84320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caps w:val="0"/>
                <w:color w:val="auto"/>
                <w:highlight w:val="none"/>
              </w:rPr>
              <w:t>本次工程周边的现状土地利用类型以耕地为主</w:t>
            </w:r>
            <w:r>
              <w:rPr>
                <w:rFonts w:hint="default" w:ascii="Times New Roman" w:hAnsi="Times New Roman" w:cs="Times New Roman"/>
                <w:color w:val="auto"/>
                <w:sz w:val="21"/>
                <w:szCs w:val="21"/>
                <w:highlight w:val="none"/>
              </w:rPr>
              <w:t>。从受影响的植物群系地理分布来看，以</w:t>
            </w:r>
            <w:r>
              <w:rPr>
                <w:rFonts w:hint="default" w:ascii="Times New Roman" w:hAnsi="Times New Roman" w:cs="Times New Roman"/>
                <w:color w:val="auto"/>
                <w:sz w:val="21"/>
                <w:szCs w:val="21"/>
                <w:highlight w:val="none"/>
                <w:lang w:val="en-US" w:eastAsia="zh-CN"/>
              </w:rPr>
              <w:t>农田栽培植被为主，农田植被中以水田（水稻）为主，其次为旱地，以种植玉米和大豆为主；</w:t>
            </w:r>
            <w:r>
              <w:rPr>
                <w:rFonts w:hint="eastAsia" w:ascii="Times New Roman" w:hAnsi="Times New Roman" w:eastAsia="宋体" w:cs="Times New Roman"/>
                <w:color w:val="auto"/>
                <w:highlight w:val="none"/>
              </w:rPr>
              <w:t>项目所在区域</w:t>
            </w:r>
            <w:r>
              <w:rPr>
                <w:rFonts w:hint="default" w:ascii="Times New Roman" w:hAnsi="Times New Roman" w:cs="Times New Roman"/>
                <w:color w:val="auto"/>
                <w:kern w:val="0"/>
                <w:sz w:val="21"/>
                <w:szCs w:val="21"/>
                <w:highlight w:val="none"/>
                <w:lang w:eastAsia="zh-CN"/>
              </w:rPr>
              <w:t>植被类型主要为</w:t>
            </w:r>
            <w:r>
              <w:rPr>
                <w:rFonts w:hint="default" w:ascii="Times New Roman" w:hAnsi="Times New Roman" w:cs="Times New Roman"/>
                <w:color w:val="auto"/>
                <w:kern w:val="0"/>
                <w:sz w:val="21"/>
                <w:szCs w:val="21"/>
                <w:highlight w:val="none"/>
              </w:rPr>
              <w:t>落叶松</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樟子松</w:t>
            </w:r>
            <w:r>
              <w:rPr>
                <w:rFonts w:hint="default" w:ascii="Times New Roman" w:hAnsi="Times New Roman" w:cs="Times New Roman"/>
                <w:color w:val="auto"/>
                <w:kern w:val="0"/>
                <w:sz w:val="21"/>
                <w:szCs w:val="21"/>
                <w:highlight w:val="none"/>
                <w:lang w:eastAsia="zh-CN"/>
              </w:rPr>
              <w:t>、杨树</w:t>
            </w:r>
            <w:r>
              <w:rPr>
                <w:rFonts w:hint="default" w:ascii="Times New Roman" w:hAnsi="Times New Roman" w:cs="Times New Roman"/>
                <w:color w:val="auto"/>
                <w:sz w:val="21"/>
                <w:szCs w:val="21"/>
                <w:highlight w:val="none"/>
              </w:rPr>
              <w:t>。施工期对植物的影响主要是占地、施工活动等</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占地主要有对植被生境的占用、占压、碾压等破坏性影响。</w:t>
            </w:r>
            <w:r>
              <w:rPr>
                <w:rFonts w:hint="default" w:ascii="Times New Roman" w:hAnsi="Times New Roman" w:cs="Times New Roman"/>
                <w:color w:val="auto"/>
                <w:sz w:val="21"/>
                <w:szCs w:val="21"/>
                <w:highlight w:val="none"/>
                <w:lang w:val="en-US" w:eastAsia="zh-CN"/>
              </w:rPr>
              <w:t>工程建设</w:t>
            </w:r>
            <w:r>
              <w:rPr>
                <w:rFonts w:hint="default" w:ascii="Times New Roman" w:hAnsi="Times New Roman" w:cs="Times New Roman"/>
                <w:color w:val="auto"/>
                <w:kern w:val="0"/>
                <w:sz w:val="21"/>
                <w:szCs w:val="21"/>
                <w:highlight w:val="none"/>
              </w:rPr>
              <w:t>对植物区系、植被类型及经济资源植物的直接影响不大，未破坏该地区陆生植物生态系统的完整性，不至于引起任何种类和植被类型的消失灭绝。</w:t>
            </w:r>
            <w:r>
              <w:rPr>
                <w:rFonts w:hint="default" w:ascii="Times New Roman" w:hAnsi="Times New Roman" w:cs="Times New Roman"/>
                <w:color w:val="auto"/>
                <w:sz w:val="21"/>
                <w:szCs w:val="21"/>
                <w:highlight w:val="none"/>
              </w:rPr>
              <w:t>因此，工程实施不会导致该区域植物种类的减少以及物种多样性的降低。</w:t>
            </w:r>
          </w:p>
          <w:p w14:paraId="408325A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2）对动物的影响分析</w:t>
            </w:r>
          </w:p>
          <w:p w14:paraId="12A06DD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color w:val="auto"/>
                <w:kern w:val="0"/>
                <w:sz w:val="21"/>
                <w:szCs w:val="21"/>
                <w:highlight w:val="none"/>
              </w:rPr>
              <w:t>工程评价区</w:t>
            </w:r>
            <w:r>
              <w:rPr>
                <w:rFonts w:hint="default" w:ascii="Times New Roman" w:hAnsi="Times New Roman" w:cs="Times New Roman"/>
                <w:color w:val="auto"/>
                <w:sz w:val="21"/>
                <w:szCs w:val="21"/>
                <w:highlight w:val="none"/>
              </w:rPr>
              <w:t>位于我国的东北部，生态环境保存良好，野生动物资源丰富，保护动物种类较多。工程的修建，对陆生野生动物的影响主要表现在以下几个方面，工程施工开挖、填埋、交通运输、施工机械、建筑材料使用等产生的粉尘和噪声降低了施工区环境质量，对野生动物安静的生活产生扰动，迫使它们迁离；工程机械的运行及施工人员的活动，均会对野生动物造成惊扰，使其远离施工点；外来施工人员的野生动物的保护意识参差不齐，在管理不到位的情况下，施工期间，有发生违法盗猎野生动物的风险。</w:t>
            </w:r>
          </w:p>
          <w:p w14:paraId="472EF51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但上述影响大多可以减缓或消除</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施工区域面积有限，不会对施工区域的野生动物造成难以规避的破坏性影响，受到施工扰动的野生动物，会规避危险而移居</w:t>
            </w:r>
            <w:r>
              <w:rPr>
                <w:rFonts w:hint="eastAsia" w:cs="Times New Roman"/>
                <w:color w:val="auto"/>
                <w:sz w:val="21"/>
                <w:szCs w:val="21"/>
                <w:highlight w:val="none"/>
                <w:lang w:eastAsia="zh-CN"/>
              </w:rPr>
              <w:t>他</w:t>
            </w:r>
            <w:r>
              <w:rPr>
                <w:rFonts w:hint="default" w:ascii="Times New Roman" w:hAnsi="Times New Roman" w:cs="Times New Roman"/>
                <w:color w:val="auto"/>
                <w:sz w:val="21"/>
                <w:szCs w:val="21"/>
                <w:highlight w:val="none"/>
              </w:rPr>
              <w:t>处，施工本身不会对野生动物造成直接伤害，且待施工结束部分原</w:t>
            </w:r>
            <w:r>
              <w:rPr>
                <w:rFonts w:hint="eastAsia" w:cs="Times New Roman"/>
                <w:color w:val="auto"/>
                <w:sz w:val="21"/>
                <w:szCs w:val="21"/>
                <w:highlight w:val="none"/>
                <w:lang w:eastAsia="zh-CN"/>
              </w:rPr>
              <w:t>住</w:t>
            </w:r>
            <w:r>
              <w:rPr>
                <w:rFonts w:hint="default" w:ascii="Times New Roman" w:hAnsi="Times New Roman" w:cs="Times New Roman"/>
                <w:color w:val="auto"/>
                <w:sz w:val="21"/>
                <w:szCs w:val="21"/>
                <w:highlight w:val="none"/>
              </w:rPr>
              <w:t>野生动物还可以重返</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施工期间可能发生的诸如盗猎等对野生动物的人为扰动，通过加强施工管理及人为活动控制，影响可以减缓到可接受的水平。</w:t>
            </w:r>
            <w:r>
              <w:rPr>
                <w:rFonts w:hint="default" w:ascii="Times New Roman" w:hAnsi="Times New Roman" w:eastAsia="宋体" w:cs="Times New Roman"/>
                <w:color w:val="auto"/>
                <w:sz w:val="21"/>
                <w:szCs w:val="21"/>
                <w:highlight w:val="none"/>
                <w:lang w:val="en-US" w:eastAsia="zh-CN"/>
              </w:rPr>
              <w:t>施工过程中</w:t>
            </w:r>
            <w:r>
              <w:rPr>
                <w:rFonts w:hint="eastAsia" w:ascii="Times New Roman" w:hAnsi="Times New Roman" w:eastAsia="宋体" w:cs="Times New Roman"/>
                <w:color w:val="auto"/>
                <w:sz w:val="21"/>
                <w:szCs w:val="21"/>
                <w:highlight w:val="none"/>
                <w:lang w:val="en-US" w:eastAsia="zh-CN"/>
              </w:rPr>
              <w:t>选用低噪声设备，合理安排施工时间，禁止夜间施工及运输等措施后，随着</w:t>
            </w:r>
            <w:r>
              <w:rPr>
                <w:rFonts w:hint="default" w:ascii="Times New Roman" w:hAnsi="Times New Roman" w:eastAsia="宋体" w:cs="Times New Roman"/>
                <w:color w:val="auto"/>
                <w:sz w:val="21"/>
                <w:szCs w:val="21"/>
                <w:highlight w:val="none"/>
                <w:lang w:val="en-US" w:eastAsia="zh-CN"/>
              </w:rPr>
              <w:t>施工结束停止，因此，</w:t>
            </w:r>
            <w:r>
              <w:rPr>
                <w:rFonts w:hint="eastAsia" w:ascii="Times New Roman" w:hAnsi="Times New Roman" w:eastAsia="宋体" w:cs="Times New Roman"/>
                <w:color w:val="auto"/>
                <w:sz w:val="21"/>
                <w:szCs w:val="21"/>
                <w:highlight w:val="none"/>
                <w:lang w:val="en-US" w:eastAsia="zh-CN"/>
              </w:rPr>
              <w:t>施工</w:t>
            </w:r>
            <w:r>
              <w:rPr>
                <w:rFonts w:hint="default" w:ascii="Times New Roman" w:hAnsi="Times New Roman" w:eastAsia="宋体" w:cs="Times New Roman"/>
                <w:color w:val="auto"/>
                <w:sz w:val="21"/>
                <w:szCs w:val="21"/>
                <w:highlight w:val="none"/>
                <w:lang w:val="en-US" w:eastAsia="zh-CN"/>
              </w:rPr>
              <w:t>噪声对</w:t>
            </w:r>
            <w:r>
              <w:rPr>
                <w:rFonts w:hint="eastAsia" w:ascii="Times New Roman" w:hAnsi="Times New Roman" w:eastAsia="宋体" w:cs="Times New Roman"/>
                <w:color w:val="auto"/>
                <w:sz w:val="21"/>
                <w:szCs w:val="21"/>
                <w:highlight w:val="none"/>
                <w:lang w:val="en-US" w:eastAsia="zh-CN"/>
              </w:rPr>
              <w:t>动物</w:t>
            </w:r>
            <w:r>
              <w:rPr>
                <w:rFonts w:hint="default" w:ascii="Times New Roman" w:hAnsi="Times New Roman" w:eastAsia="宋体" w:cs="Times New Roman"/>
                <w:color w:val="auto"/>
                <w:sz w:val="21"/>
                <w:szCs w:val="21"/>
                <w:highlight w:val="none"/>
                <w:lang w:val="en-US" w:eastAsia="zh-CN"/>
              </w:rPr>
              <w:t>的影响较小。</w:t>
            </w:r>
          </w:p>
          <w:p w14:paraId="546DAD4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对两栖类的影响</w:t>
            </w:r>
          </w:p>
          <w:p w14:paraId="53C9D5F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1"/>
                <w:szCs w:val="21"/>
                <w:highlight w:val="none"/>
                <w:lang w:val="en-US" w:eastAsia="zh-CN"/>
              </w:rPr>
              <w:t>工程占地、土方开挖及施工人员活动等将对两栖类动物产生直接影响，尤其是生活在施工范围内的两栖类动物，影响对象主要包括</w:t>
            </w:r>
            <w:r>
              <w:rPr>
                <w:rFonts w:hint="default" w:ascii="Times New Roman" w:hAnsi="Times New Roman" w:eastAsia="宋体" w:cs="Times New Roman"/>
                <w:color w:val="auto"/>
                <w:sz w:val="21"/>
                <w:szCs w:val="21"/>
                <w:highlight w:val="none"/>
              </w:rPr>
              <w:t>蟾蜍</w:t>
            </w:r>
            <w:r>
              <w:rPr>
                <w:rFonts w:hint="eastAsia" w:ascii="Times New Roman" w:hAnsi="Times New Roman" w:eastAsia="宋体" w:cs="Times New Roman"/>
                <w:color w:val="auto"/>
                <w:sz w:val="21"/>
                <w:szCs w:val="21"/>
                <w:highlight w:val="none"/>
                <w:lang w:eastAsia="zh-CN"/>
              </w:rPr>
              <w:t>与</w:t>
            </w:r>
            <w:r>
              <w:rPr>
                <w:rFonts w:hint="default" w:ascii="Times New Roman" w:hAnsi="Times New Roman" w:eastAsia="宋体" w:cs="Times New Roman"/>
                <w:color w:val="auto"/>
                <w:sz w:val="21"/>
                <w:szCs w:val="21"/>
                <w:highlight w:val="none"/>
                <w:lang w:eastAsia="zh-CN"/>
              </w:rPr>
              <w:t>蛙</w:t>
            </w:r>
            <w:r>
              <w:rPr>
                <w:rFonts w:hint="eastAsia" w:ascii="Times New Roman" w:hAnsi="Times New Roman" w:eastAsia="宋体" w:cs="Times New Roman"/>
                <w:color w:val="auto"/>
                <w:sz w:val="21"/>
                <w:szCs w:val="21"/>
                <w:highlight w:val="none"/>
                <w:lang w:eastAsia="zh-CN"/>
              </w:rPr>
              <w:t>类</w:t>
            </w:r>
            <w:r>
              <w:rPr>
                <w:rFonts w:hint="default" w:ascii="Times New Roman" w:hAnsi="Times New Roman" w:eastAsia="宋体" w:cs="Times New Roman"/>
                <w:color w:val="auto"/>
                <w:sz w:val="21"/>
                <w:szCs w:val="21"/>
                <w:highlight w:val="none"/>
                <w:lang w:val="en-US" w:eastAsia="zh-CN"/>
              </w:rPr>
              <w:t>由于两栖类动物对工程施工活动具有一定的主动回避能力，且项目占地较小，施工期较短，因此工程施工的影响主要是短暂和小范围的，不会对其种群数量构成威胁。频繁的施工交通作业，增加了两栖爬行类动物被碾压的几率，但工程所在区域还存在大片相似生境，该影响有限，施工活动结束后，两栖类动物的生存环境将会逐步得到恢复。</w:t>
            </w:r>
          </w:p>
          <w:p w14:paraId="2437E45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4）对爬行类的影响</w:t>
            </w:r>
          </w:p>
          <w:p w14:paraId="78AA92C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占地、土方开挖及施工人员活动等将对爬行类动物产生影响，影响对象多为灌丛石隙型和林栖傍水型种类，施工期其部分生境会被占用，个体也会被噪声驱赶，在工程评价区受影响以外的区域寻找相似生境。水库工程评价区周围相似生境丰富，因此，生境破坏及噪声驱赶对其影响较小。</w:t>
            </w:r>
          </w:p>
          <w:p w14:paraId="07D5C66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5）对鸟类的影响</w:t>
            </w:r>
          </w:p>
          <w:p w14:paraId="4228E0F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据现场调查，项目建设地周围活动着多种鸟类，但主要为常见的几种鸟类，如麻雀、家燕等。工程施工对鸟类的影响主要表现为施工人员活动和施工机械噪声会对鸟类造成惊吓，在繁殖季节，噪声可影响鸟类的孵化率，重者可造成鸟类弃巢，但工程占地面积相对于评价区总面积较小，且周围相似生境较多，施工过程中的噪声在施工结束后停止，因此，占地及噪声对鸟类的影响也较小。</w:t>
            </w:r>
          </w:p>
          <w:p w14:paraId="169E34C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bCs/>
                <w:color w:val="auto"/>
                <w:sz w:val="21"/>
                <w:szCs w:val="21"/>
                <w:highlight w:val="none"/>
              </w:rPr>
              <w:t>对水生生态的影响</w:t>
            </w:r>
          </w:p>
          <w:p w14:paraId="17CFCCC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w:t>
            </w:r>
            <w:r>
              <w:rPr>
                <w:rFonts w:hint="eastAsia" w:cs="Times New Roman"/>
                <w:color w:val="auto"/>
                <w:sz w:val="21"/>
                <w:szCs w:val="21"/>
                <w:highlight w:val="none"/>
                <w:lang w:val="en-US" w:eastAsia="zh-CN"/>
              </w:rPr>
              <w:t>工程</w:t>
            </w:r>
            <w:r>
              <w:rPr>
                <w:rFonts w:hint="default" w:ascii="Times New Roman" w:hAnsi="Times New Roman" w:cs="Times New Roman"/>
                <w:color w:val="auto"/>
                <w:sz w:val="21"/>
                <w:szCs w:val="21"/>
                <w:highlight w:val="none"/>
                <w:lang w:val="en-US" w:eastAsia="zh-CN"/>
              </w:rPr>
              <w:t>施工</w:t>
            </w:r>
            <w:r>
              <w:rPr>
                <w:rFonts w:hint="default" w:ascii="Times New Roman" w:hAnsi="Times New Roman" w:eastAsia="宋体" w:cs="Times New Roman"/>
                <w:color w:val="auto"/>
                <w:sz w:val="21"/>
                <w:szCs w:val="21"/>
                <w:highlight w:val="none"/>
                <w:lang w:eastAsia="zh-CN"/>
              </w:rPr>
              <w:t>汛期不进行涉水</w:t>
            </w:r>
            <w:r>
              <w:rPr>
                <w:rFonts w:hint="default" w:ascii="Times New Roman" w:hAnsi="Times New Roman" w:eastAsia="宋体" w:cs="Times New Roman"/>
                <w:color w:val="auto"/>
                <w:sz w:val="21"/>
                <w:szCs w:val="21"/>
                <w:highlight w:val="none"/>
                <w:lang w:val="en-US" w:eastAsia="zh-CN"/>
              </w:rPr>
              <w:t>/临水</w:t>
            </w:r>
            <w:r>
              <w:rPr>
                <w:rFonts w:hint="default" w:ascii="Times New Roman" w:hAnsi="Times New Roman" w:eastAsia="宋体" w:cs="Times New Roman"/>
                <w:color w:val="auto"/>
                <w:sz w:val="21"/>
                <w:szCs w:val="21"/>
                <w:highlight w:val="none"/>
                <w:lang w:eastAsia="zh-CN"/>
              </w:rPr>
              <w:t>施工</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涉水及临水施工内容</w:t>
            </w:r>
            <w:r>
              <w:rPr>
                <w:rFonts w:hint="eastAsia" w:ascii="Times New Roman" w:hAnsi="Times New Roman" w:eastAsia="宋体" w:cs="Times New Roman"/>
                <w:color w:val="auto"/>
                <w:sz w:val="21"/>
                <w:szCs w:val="21"/>
                <w:highlight w:val="none"/>
                <w:lang w:eastAsia="zh-CN"/>
              </w:rPr>
              <w:t>安排在枯水期；工程</w:t>
            </w:r>
            <w:r>
              <w:rPr>
                <w:rFonts w:hint="default" w:ascii="Times New Roman" w:hAnsi="Times New Roman" w:cs="Times New Roman"/>
                <w:color w:val="auto"/>
                <w:sz w:val="21"/>
                <w:szCs w:val="21"/>
                <w:highlight w:val="none"/>
                <w:lang w:val="en-US" w:eastAsia="zh-CN"/>
              </w:rPr>
              <w:t>施工时会造成一定程度的水体扰动及噪声，本工程输水洞闸室段拆除重建在枯水期施工，为避免工程扰动水体，施工时于基坑外侧设置临时施工围堰，围堰采用土围堰型式，围堰施工造成工程区局部悬浮物浓度增加，水体透明度下降，底栖生物损失，鱼类栖息、浮游生物活动受干扰等影响，本工程围堰施工位于岸边基坑外侧，围堰施工期、拆除期较短，对水体扰动时间短，围堰施工结束，水体将恢复原有状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且本项目施工期为枯水期，对水体产生的扰动较小，这些影响都是暂时的，随着施工结束而逐渐恢复。</w:t>
            </w:r>
          </w:p>
          <w:p w14:paraId="295E99A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水库除险加固工程的施工，会对水库的环境造成一定的影响</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本工程是非污染型项目，工程运营期不产生污染，工程建设后不改变水库原功能</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正常蓄水位，实际运行时库区内库容、水深</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较工程实施前基本没有变化，水生生境基本维持原状。因此本次除险加固工程实施后对水生生态影响较小。</w:t>
            </w:r>
          </w:p>
          <w:p w14:paraId="290DC6BB">
            <w:pPr>
              <w:pStyle w:val="72"/>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rFonts w:hint="eastAsia"/>
                <w:color w:val="auto"/>
                <w:sz w:val="21"/>
                <w:szCs w:val="21"/>
                <w:highlight w:val="none"/>
              </w:rPr>
              <w:t>（</w:t>
            </w:r>
            <w:r>
              <w:rPr>
                <w:rFonts w:hint="eastAsia"/>
                <w:color w:val="auto"/>
                <w:sz w:val="21"/>
                <w:szCs w:val="21"/>
                <w:highlight w:val="none"/>
                <w:lang w:val="en-US" w:eastAsia="zh-CN"/>
              </w:rPr>
              <w:t>5</w:t>
            </w:r>
            <w:r>
              <w:rPr>
                <w:rFonts w:hint="eastAsia"/>
                <w:color w:val="auto"/>
                <w:sz w:val="21"/>
                <w:szCs w:val="21"/>
                <w:highlight w:val="none"/>
              </w:rPr>
              <w:t>）</w:t>
            </w:r>
            <w:r>
              <w:rPr>
                <w:color w:val="auto"/>
                <w:sz w:val="21"/>
                <w:szCs w:val="21"/>
                <w:highlight w:val="none"/>
              </w:rPr>
              <w:t>水土流失影响</w:t>
            </w:r>
          </w:p>
          <w:p w14:paraId="0CBF8BF3">
            <w:pPr>
              <w:pStyle w:val="68"/>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cs="Times New Roman"/>
                <w:color w:val="auto"/>
                <w:sz w:val="21"/>
                <w:szCs w:val="21"/>
                <w:highlight w:val="none"/>
                <w:lang w:val="en-US" w:eastAsia="zh-CN"/>
              </w:rPr>
            </w:pPr>
            <w:r>
              <w:rPr>
                <w:color w:val="auto"/>
                <w:sz w:val="21"/>
                <w:szCs w:val="21"/>
                <w:highlight w:val="none"/>
              </w:rPr>
              <w:t>本工程建设水土流失将主要集中在施工期</w:t>
            </w:r>
            <w:r>
              <w:rPr>
                <w:rFonts w:hint="eastAsia"/>
                <w:color w:val="auto"/>
                <w:sz w:val="21"/>
                <w:szCs w:val="21"/>
                <w:highlight w:val="none"/>
                <w:lang w:eastAsia="zh-CN"/>
              </w:rPr>
              <w:t>，</w:t>
            </w:r>
            <w:r>
              <w:rPr>
                <w:color w:val="auto"/>
                <w:sz w:val="21"/>
                <w:szCs w:val="21"/>
                <w:highlight w:val="none"/>
              </w:rPr>
              <w:t>施工期剧烈扰动、破坏原地貌，使工程用地范围内原地貌植被所具有的保水保土功能迅速降低或者丧失，大量松散堆积物易被冲刷造成流失。</w:t>
            </w:r>
            <w:r>
              <w:rPr>
                <w:rFonts w:hint="eastAsia"/>
                <w:color w:val="auto"/>
                <w:sz w:val="21"/>
                <w:szCs w:val="21"/>
                <w:highlight w:val="none"/>
                <w:lang w:val="en-US" w:eastAsia="zh-CN"/>
              </w:rPr>
              <w:t>项目建成后</w:t>
            </w:r>
            <w:r>
              <w:rPr>
                <w:color w:val="auto"/>
                <w:sz w:val="21"/>
                <w:szCs w:val="21"/>
                <w:highlight w:val="none"/>
              </w:rPr>
              <w:t>随着各项措施实施到位，水土流失程度明显降低，但由于植被恢复是一个缓慢的过程，水土流失程度仍高于工程未建造前的水平。在施工过程中，项目区新增水土流失主要来源于土方开挖，</w:t>
            </w:r>
            <w:r>
              <w:rPr>
                <w:rFonts w:hint="eastAsia" w:ascii="Times New Roman" w:hAnsi="Times New Roman" w:eastAsia="宋体"/>
                <w:color w:val="auto"/>
                <w:sz w:val="21"/>
                <w:szCs w:val="21"/>
                <w:highlight w:val="none"/>
              </w:rPr>
              <w:t>若堆放不合理，且无防护措施，在暴雨下可能产生水力侵蚀；在大风天气下，松散的</w:t>
            </w:r>
            <w:r>
              <w:rPr>
                <w:rFonts w:hint="eastAsia" w:ascii="Times New Roman" w:hAnsi="Times New Roman" w:eastAsia="宋体"/>
                <w:color w:val="auto"/>
                <w:sz w:val="21"/>
                <w:szCs w:val="21"/>
                <w:highlight w:val="none"/>
                <w:lang w:eastAsia="zh-CN"/>
              </w:rPr>
              <w:t>土方</w:t>
            </w:r>
            <w:r>
              <w:rPr>
                <w:rFonts w:hint="eastAsia" w:ascii="Times New Roman" w:hAnsi="Times New Roman" w:eastAsia="宋体"/>
                <w:color w:val="auto"/>
                <w:sz w:val="21"/>
                <w:szCs w:val="21"/>
                <w:highlight w:val="none"/>
              </w:rPr>
              <w:t>也为风蚀提供了物质来源。施工期间施工区</w:t>
            </w:r>
            <w:r>
              <w:rPr>
                <w:color w:val="auto"/>
                <w:spacing w:val="2"/>
                <w:sz w:val="21"/>
                <w:szCs w:val="21"/>
                <w:highlight w:val="none"/>
              </w:rPr>
              <w:t>均为裸露面</w:t>
            </w:r>
            <w:r>
              <w:rPr>
                <w:rFonts w:hint="eastAsia" w:ascii="Times New Roman" w:hAnsi="Times New Roman" w:eastAsia="宋体"/>
                <w:color w:val="auto"/>
                <w:sz w:val="21"/>
                <w:szCs w:val="21"/>
                <w:highlight w:val="none"/>
              </w:rPr>
              <w:t>，将产生一定量的水土</w:t>
            </w:r>
            <w:r>
              <w:rPr>
                <w:rFonts w:hint="eastAsia" w:ascii="Times New Roman" w:hAnsi="Times New Roman" w:eastAsia="宋体"/>
                <w:color w:val="auto"/>
                <w:sz w:val="21"/>
                <w:szCs w:val="21"/>
                <w:highlight w:val="none"/>
                <w:lang w:val="en-US" w:eastAsia="zh-CN"/>
              </w:rPr>
              <w:t>流失</w:t>
            </w:r>
            <w:r>
              <w:rPr>
                <w:rFonts w:ascii="Times New Roman" w:hAnsi="Times New Roman" w:eastAsia="宋体"/>
                <w:snapToGrid w:val="0"/>
                <w:color w:val="auto"/>
                <w:sz w:val="21"/>
                <w:szCs w:val="21"/>
                <w:highlight w:val="none"/>
              </w:rPr>
              <w:t>。施工时采取修建临时挡土墙、排水沟、</w:t>
            </w:r>
            <w:r>
              <w:rPr>
                <w:rFonts w:hint="default" w:ascii="Times New Roman" w:hAnsi="Times New Roman" w:cs="Times New Roman"/>
                <w:color w:val="auto"/>
                <w:sz w:val="21"/>
                <w:szCs w:val="21"/>
                <w:highlight w:val="none"/>
              </w:rPr>
              <w:t>苫盖</w:t>
            </w:r>
            <w:r>
              <w:rPr>
                <w:rFonts w:ascii="Times New Roman" w:hAnsi="Times New Roman" w:eastAsia="宋体"/>
                <w:snapToGrid w:val="0"/>
                <w:color w:val="auto"/>
                <w:sz w:val="21"/>
                <w:szCs w:val="21"/>
                <w:highlight w:val="none"/>
              </w:rPr>
              <w:t>等措施，可有效防止水土流失。施工结束后</w:t>
            </w:r>
            <w:r>
              <w:rPr>
                <w:rFonts w:hint="eastAsia" w:ascii="Times New Roman" w:hAnsi="Times New Roman" w:eastAsia="宋体"/>
                <w:snapToGrid w:val="0"/>
                <w:color w:val="auto"/>
                <w:sz w:val="21"/>
                <w:szCs w:val="21"/>
                <w:highlight w:val="none"/>
                <w:lang w:val="en-US" w:eastAsia="zh-CN"/>
              </w:rPr>
              <w:t>进行生态</w:t>
            </w:r>
            <w:r>
              <w:rPr>
                <w:rFonts w:ascii="Times New Roman" w:hAnsi="Times New Roman" w:eastAsia="宋体"/>
                <w:snapToGrid w:val="0"/>
                <w:color w:val="auto"/>
                <w:sz w:val="21"/>
                <w:szCs w:val="21"/>
                <w:highlight w:val="none"/>
              </w:rPr>
              <w:t>恢复</w:t>
            </w:r>
            <w:r>
              <w:rPr>
                <w:color w:val="auto"/>
                <w:sz w:val="21"/>
                <w:szCs w:val="21"/>
                <w:highlight w:val="none"/>
              </w:rPr>
              <w:t>措施</w:t>
            </w:r>
            <w:r>
              <w:rPr>
                <w:rFonts w:ascii="Times New Roman" w:hAnsi="Times New Roman" w:eastAsia="宋体"/>
                <w:snapToGrid w:val="0"/>
                <w:color w:val="auto"/>
                <w:sz w:val="21"/>
                <w:szCs w:val="21"/>
                <w:highlight w:val="none"/>
              </w:rPr>
              <w:t>，</w:t>
            </w:r>
            <w:r>
              <w:rPr>
                <w:rFonts w:hint="default" w:ascii="Times New Roman" w:hAnsi="Times New Roman" w:cs="Times New Roman"/>
                <w:color w:val="auto"/>
                <w:sz w:val="21"/>
                <w:szCs w:val="21"/>
                <w:highlight w:val="none"/>
              </w:rPr>
              <w:t>不会造成显著的水土流失现象</w:t>
            </w:r>
            <w:r>
              <w:rPr>
                <w:color w:val="auto"/>
                <w:sz w:val="21"/>
                <w:szCs w:val="21"/>
                <w:highlight w:val="none"/>
              </w:rPr>
              <w:t>。</w:t>
            </w:r>
          </w:p>
          <w:p w14:paraId="678D989F">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bCs/>
                <w:color w:val="auto"/>
                <w:sz w:val="21"/>
                <w:szCs w:val="21"/>
                <w:highlight w:val="none"/>
                <w:lang w:val="en-US" w:eastAsia="zh-CN"/>
              </w:rPr>
              <w:t>2、</w:t>
            </w:r>
            <w:r>
              <w:rPr>
                <w:rFonts w:hint="default" w:ascii="Times New Roman" w:hAnsi="Times New Roman" w:cs="Times New Roman" w:eastAsiaTheme="minorEastAsia"/>
                <w:b/>
                <w:bCs/>
                <w:color w:val="auto"/>
                <w:sz w:val="21"/>
                <w:szCs w:val="21"/>
                <w:highlight w:val="none"/>
              </w:rPr>
              <w:t>施工期水环境影响分析</w:t>
            </w:r>
          </w:p>
          <w:bookmarkEnd w:id="26"/>
          <w:bookmarkEnd w:id="27"/>
          <w:p w14:paraId="57CA416B">
            <w:pPr>
              <w:keepNext w:val="0"/>
              <w:keepLines w:val="0"/>
              <w:pageBreakBefore w:val="0"/>
              <w:widowControl/>
              <w:kinsoku/>
              <w:wordWrap/>
              <w:overflowPunct/>
              <w:topLinePunct w:val="0"/>
              <w:autoSpaceDE/>
              <w:autoSpaceDN/>
              <w:bidi w:val="0"/>
              <w:adjustRightInd/>
              <w:snapToGrid/>
              <w:spacing w:line="360" w:lineRule="auto"/>
              <w:ind w:left="0" w:firstLine="420" w:firstLineChars="200"/>
              <w:textAlignment w:val="auto"/>
              <w:rPr>
                <w:rFonts w:hint="default" w:ascii="Times New Roman" w:hAnsi="Times New Roman" w:cs="Times New Roman" w:eastAsiaTheme="minorEastAsia"/>
                <w:snapToGrid w:val="0"/>
                <w:color w:val="auto"/>
                <w:spacing w:val="0"/>
                <w:position w:val="0"/>
                <w:sz w:val="21"/>
                <w:szCs w:val="21"/>
                <w:highlight w:val="none"/>
              </w:rPr>
            </w:pPr>
            <w:r>
              <w:rPr>
                <w:rFonts w:hint="default" w:ascii="Times New Roman" w:hAnsi="Times New Roman" w:cs="Times New Roman"/>
                <w:color w:val="auto"/>
                <w:sz w:val="21"/>
                <w:szCs w:val="21"/>
                <w:highlight w:val="none"/>
                <w:lang w:val="en-US" w:eastAsia="zh-CN"/>
              </w:rPr>
              <w:t>工程</w:t>
            </w:r>
            <w:r>
              <w:rPr>
                <w:rFonts w:hint="default" w:ascii="Times New Roman" w:hAnsi="Times New Roman" w:cs="Times New Roman"/>
                <w:color w:val="auto"/>
                <w:sz w:val="21"/>
                <w:szCs w:val="21"/>
                <w:highlight w:val="none"/>
              </w:rPr>
              <w:t>施工过程中水污染源主要包括</w:t>
            </w:r>
            <w:r>
              <w:rPr>
                <w:rFonts w:hint="default" w:ascii="Times New Roman" w:hAnsi="Times New Roman" w:eastAsia="宋体" w:cs="Times New Roman"/>
                <w:color w:val="auto"/>
                <w:kern w:val="0"/>
                <w:sz w:val="21"/>
                <w:szCs w:val="21"/>
                <w:highlight w:val="none"/>
              </w:rPr>
              <w:t>施工机械轮胎冲洗废水</w:t>
            </w:r>
            <w:r>
              <w:rPr>
                <w:rFonts w:hint="default" w:ascii="Times New Roman" w:hAnsi="Times New Roman" w:cs="Times New Roman"/>
                <w:color w:val="auto"/>
                <w:sz w:val="21"/>
                <w:szCs w:val="21"/>
                <w:highlight w:val="none"/>
              </w:rPr>
              <w:t>、</w:t>
            </w:r>
            <w:r>
              <w:rPr>
                <w:rFonts w:hint="default" w:ascii="Times New Roman" w:hAnsi="Times New Roman" w:cs="Times New Roman"/>
                <w:caps w:val="0"/>
                <w:color w:val="auto"/>
                <w:sz w:val="21"/>
                <w:szCs w:val="21"/>
                <w:highlight w:val="none"/>
              </w:rPr>
              <w:t>基坑废水</w:t>
            </w:r>
            <w:r>
              <w:rPr>
                <w:rFonts w:hint="default" w:ascii="Times New Roman" w:hAnsi="Times New Roman" w:cs="Times New Roman"/>
                <w:color w:val="auto"/>
                <w:sz w:val="21"/>
                <w:szCs w:val="21"/>
                <w:highlight w:val="none"/>
              </w:rPr>
              <w:t>及施工人员生活污水。</w:t>
            </w:r>
          </w:p>
          <w:p w14:paraId="0C02672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具体产污情况，详见地表水专项。</w:t>
            </w:r>
          </w:p>
          <w:p w14:paraId="2C8590A9">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lang w:val="en-US" w:eastAsia="zh-CN"/>
              </w:rPr>
              <w:t>3、</w:t>
            </w:r>
            <w:r>
              <w:rPr>
                <w:rFonts w:hint="default" w:ascii="Times New Roman" w:hAnsi="Times New Roman" w:cs="Times New Roman" w:eastAsiaTheme="minorEastAsia"/>
                <w:b/>
                <w:bCs/>
                <w:color w:val="auto"/>
                <w:sz w:val="21"/>
                <w:szCs w:val="21"/>
                <w:highlight w:val="none"/>
              </w:rPr>
              <w:t>大气环境影响分析</w:t>
            </w:r>
          </w:p>
          <w:p w14:paraId="0691B17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color w:val="auto"/>
                <w:sz w:val="21"/>
                <w:szCs w:val="21"/>
                <w:highlight w:val="none"/>
                <w:lang w:bidi="zh-CN"/>
              </w:rPr>
              <w:t>本项目施工期的主要环境空气污染物是施工扬尘、粉尘和车辆尾气。</w:t>
            </w:r>
          </w:p>
          <w:p w14:paraId="48A5F91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1）</w:t>
            </w:r>
            <w:r>
              <w:rPr>
                <w:rFonts w:hint="default" w:ascii="Times New Roman" w:hAnsi="Times New Roman" w:cs="Times New Roman"/>
                <w:color w:val="auto"/>
                <w:sz w:val="21"/>
                <w:szCs w:val="21"/>
                <w:highlight w:val="none"/>
                <w:lang w:val="zh-CN" w:bidi="zh-CN"/>
              </w:rPr>
              <w:t>施工扬尘、</w:t>
            </w:r>
            <w:r>
              <w:rPr>
                <w:rFonts w:hint="default" w:ascii="Times New Roman" w:hAnsi="Times New Roman" w:cs="Times New Roman"/>
                <w:color w:val="auto"/>
                <w:sz w:val="21"/>
                <w:szCs w:val="21"/>
                <w:highlight w:val="none"/>
                <w:lang w:val="en-US" w:bidi="zh-CN"/>
              </w:rPr>
              <w:t>粉尘</w:t>
            </w:r>
            <w:r>
              <w:rPr>
                <w:rFonts w:hint="default" w:ascii="Times New Roman" w:hAnsi="Times New Roman" w:cs="Times New Roman"/>
                <w:color w:val="auto"/>
                <w:sz w:val="21"/>
                <w:szCs w:val="21"/>
                <w:highlight w:val="none"/>
                <w:lang w:val="zh-CN" w:bidi="zh-CN"/>
              </w:rPr>
              <w:t>影响分析</w:t>
            </w:r>
          </w:p>
          <w:p w14:paraId="61F6003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施工期对大气环境最主要的影响因素是扬尘。干燥地表开挖和钻孔产生的灰尘，一部分悬浮于空中，另一部分随风飘落到附近地面；开挖的土方堆积过程中，在风力较大时，会产生扬尘；而装卸和运输过程中，会造成部分灰尘扬起和洒落；雨水冲刷夹带的泥土散布路面。晒干后因车辆的移动或刮风再次扬尘；开挖、回填过程中也会引起大量粉尘飞扬；</w:t>
            </w:r>
            <w:r>
              <w:rPr>
                <w:rFonts w:hint="default" w:ascii="Times New Roman" w:hAnsi="Times New Roman" w:eastAsia="宋体" w:cs="Times New Roman"/>
                <w:color w:val="auto"/>
                <w:sz w:val="21"/>
                <w:szCs w:val="21"/>
                <w:highlight w:val="none"/>
                <w:lang w:eastAsia="zh-CN"/>
              </w:rPr>
              <w:t>物料堆扬尘；</w:t>
            </w:r>
            <w:r>
              <w:rPr>
                <w:rFonts w:hint="default" w:ascii="Times New Roman" w:hAnsi="Times New Roman" w:cs="Times New Roman"/>
                <w:color w:val="auto"/>
                <w:sz w:val="21"/>
                <w:szCs w:val="21"/>
                <w:highlight w:val="none"/>
                <w:lang w:val="zh-CN"/>
              </w:rPr>
              <w:t>建筑材料的装卸、运输、堆砌过程中也有洒落和飞扬。</w:t>
            </w:r>
          </w:p>
          <w:p w14:paraId="623D2AC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zh-CN" w:bidi="zh-CN"/>
              </w:rPr>
            </w:pPr>
            <w:r>
              <w:rPr>
                <w:rFonts w:hint="default" w:ascii="Times New Roman" w:hAnsi="Times New Roman" w:cs="Times New Roman"/>
                <w:color w:val="auto"/>
                <w:sz w:val="21"/>
                <w:szCs w:val="21"/>
                <w:highlight w:val="none"/>
                <w:lang w:val="zh-CN" w:bidi="zh-CN"/>
              </w:rPr>
              <w:t>施工车辆运输扬尘会对途经的居民点造成一定的影响，施工过程中应加强施工管理</w:t>
            </w:r>
            <w:r>
              <w:rPr>
                <w:rFonts w:hint="eastAsia" w:cs="Times New Roman"/>
                <w:color w:val="auto"/>
                <w:sz w:val="21"/>
                <w:szCs w:val="21"/>
                <w:highlight w:val="none"/>
                <w:lang w:val="zh-CN" w:bidi="zh-CN"/>
              </w:rPr>
              <w:t>，在</w:t>
            </w:r>
            <w:r>
              <w:rPr>
                <w:rFonts w:hint="default" w:ascii="Times New Roman" w:hAnsi="Times New Roman" w:cs="Times New Roman"/>
                <w:color w:val="auto"/>
                <w:sz w:val="21"/>
                <w:szCs w:val="21"/>
                <w:highlight w:val="none"/>
                <w:lang w:val="zh-CN" w:bidi="zh-CN"/>
              </w:rPr>
              <w:t>途经村庄附近的地方设置限速标志，防止车速过快产生扬尘污染环境。做好运输车辆的密封和车辆保洁，减少因砂、土的外泄造成的扬尘污染。凡运送土石方等道路材料的运货车，都应用</w:t>
            </w:r>
            <w:r>
              <w:rPr>
                <w:rFonts w:hint="eastAsia" w:cs="Times New Roman"/>
                <w:color w:val="auto"/>
                <w:sz w:val="21"/>
                <w:szCs w:val="21"/>
                <w:highlight w:val="none"/>
                <w:lang w:val="zh-CN" w:bidi="zh-CN"/>
              </w:rPr>
              <w:t>篷布</w:t>
            </w:r>
            <w:r>
              <w:rPr>
                <w:rFonts w:hint="default" w:ascii="Times New Roman" w:hAnsi="Times New Roman" w:cs="Times New Roman"/>
                <w:color w:val="auto"/>
                <w:sz w:val="21"/>
                <w:szCs w:val="21"/>
                <w:highlight w:val="none"/>
                <w:lang w:val="zh-CN" w:bidi="zh-CN"/>
              </w:rPr>
              <w:t>或塑料布覆盖，避免一路扬尘。</w:t>
            </w:r>
          </w:p>
          <w:p w14:paraId="6D5641D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zh-CN" w:bidi="zh-CN"/>
              </w:rPr>
            </w:pPr>
            <w:r>
              <w:rPr>
                <w:rFonts w:hint="default" w:ascii="Times New Roman" w:hAnsi="Times New Roman" w:cs="Times New Roman"/>
                <w:color w:val="auto"/>
                <w:sz w:val="21"/>
                <w:szCs w:val="21"/>
                <w:highlight w:val="none"/>
                <w:lang w:val="zh-CN" w:bidi="zh-CN"/>
              </w:rPr>
              <w:t>由于运输车辆往来，在运输建筑材料、废料等废弃物运输过</w:t>
            </w:r>
            <w:r>
              <w:rPr>
                <w:rFonts w:hint="eastAsia" w:cs="Times New Roman"/>
                <w:color w:val="auto"/>
                <w:sz w:val="21"/>
                <w:szCs w:val="21"/>
                <w:highlight w:val="none"/>
                <w:lang w:val="zh-CN" w:bidi="zh-CN"/>
              </w:rPr>
              <w:t>程中</w:t>
            </w:r>
            <w:r>
              <w:rPr>
                <w:rFonts w:hint="default" w:ascii="Times New Roman" w:hAnsi="Times New Roman" w:cs="Times New Roman"/>
                <w:color w:val="auto"/>
                <w:sz w:val="21"/>
                <w:szCs w:val="21"/>
                <w:highlight w:val="none"/>
                <w:lang w:val="zh-CN" w:bidi="zh-CN"/>
              </w:rPr>
              <w:t>因密闭不好而引起粉尘泄漏均会对环境产生不利影响。运输车辆扬尘的产生量及扬尘污染程度与车辆的运输方式、路面状况、天气条件等因素关系密切。</w:t>
            </w:r>
            <w:r>
              <w:rPr>
                <w:rFonts w:hint="default" w:ascii="Times New Roman" w:hAnsi="Times New Roman" w:cs="Times New Roman"/>
                <w:color w:val="auto"/>
                <w:sz w:val="21"/>
                <w:szCs w:val="21"/>
                <w:highlight w:val="none"/>
                <w:lang w:bidi="zh-CN"/>
              </w:rPr>
              <w:t>施工过程中产生的扬尘和废气，属无组织排放，且施工场地非常开阔，易扩散，因此对环境空气不会产生大的影响，影响是暂时的，工程结束后，这种影响将消失。</w:t>
            </w:r>
            <w:r>
              <w:rPr>
                <w:rFonts w:hint="default" w:ascii="Times New Roman" w:hAnsi="Times New Roman" w:cs="Times New Roman"/>
                <w:color w:val="auto"/>
                <w:sz w:val="21"/>
                <w:szCs w:val="21"/>
                <w:highlight w:val="none"/>
                <w:lang w:val="zh-CN" w:bidi="zh-CN"/>
              </w:rPr>
              <w:t>采取路面洒水降尘、保证路面清洁干净等措施后，运输扬尘的去除率可达80%~90%，对周边环境影响较小。</w:t>
            </w:r>
          </w:p>
          <w:p w14:paraId="283BE3D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lang w:val="zh-CN" w:bidi="zh-CN"/>
              </w:rPr>
              <w:t>围挡对减少市政施工扬尘对环境的污染有明显作用，在相同条件下，可使被污染地区的TSP浓度明显降低。在有遮挡情况下，在下风向50m处颗粒物浓度完全能满足《大气污染物综合排放标准》表2中无组织排放监控浓度限值</w:t>
            </w:r>
            <w:r>
              <w:rPr>
                <w:rFonts w:hint="default" w:ascii="Times New Roman" w:hAnsi="Times New Roman" w:eastAsia="宋体" w:cs="Times New Roman"/>
                <w:color w:val="auto"/>
                <w:sz w:val="21"/>
                <w:szCs w:val="21"/>
                <w:highlight w:val="none"/>
                <w:lang w:val="zh-CN" w:eastAsia="zh-CN" w:bidi="zh-CN"/>
              </w:rPr>
              <w:t>（</w:t>
            </w:r>
            <w:r>
              <w:rPr>
                <w:rFonts w:hint="default" w:ascii="Times New Roman" w:hAnsi="Times New Roman" w:eastAsia="宋体" w:cs="Times New Roman"/>
                <w:color w:val="auto"/>
                <w:sz w:val="21"/>
                <w:szCs w:val="21"/>
                <w:highlight w:val="none"/>
                <w:lang w:val="zh-CN" w:bidi="zh-CN"/>
              </w:rPr>
              <w:t>1.0mg/m</w:t>
            </w:r>
            <w:r>
              <w:rPr>
                <w:rFonts w:hint="default" w:ascii="Times New Roman" w:hAnsi="Times New Roman" w:eastAsia="宋体" w:cs="Times New Roman"/>
                <w:color w:val="auto"/>
                <w:sz w:val="21"/>
                <w:szCs w:val="21"/>
                <w:highlight w:val="none"/>
                <w:vertAlign w:val="superscript"/>
                <w:lang w:val="zh-CN" w:bidi="zh-CN"/>
              </w:rPr>
              <w:t>3</w:t>
            </w:r>
            <w:r>
              <w:rPr>
                <w:rFonts w:hint="default" w:ascii="Times New Roman" w:hAnsi="Times New Roman" w:eastAsia="宋体" w:cs="Times New Roman"/>
                <w:color w:val="auto"/>
                <w:sz w:val="21"/>
                <w:szCs w:val="21"/>
                <w:highlight w:val="none"/>
                <w:lang w:val="zh-CN" w:eastAsia="zh-CN" w:bidi="zh-CN"/>
              </w:rPr>
              <w:t>）</w:t>
            </w:r>
            <w:r>
              <w:rPr>
                <w:rFonts w:hint="default" w:ascii="Times New Roman" w:hAnsi="Times New Roman" w:eastAsia="宋体" w:cs="Times New Roman"/>
                <w:color w:val="auto"/>
                <w:sz w:val="21"/>
                <w:szCs w:val="21"/>
                <w:highlight w:val="none"/>
                <w:lang w:val="zh-CN" w:bidi="zh-CN"/>
              </w:rPr>
              <w:t>，在200m处基本达到上风向对照点相同浓度。</w:t>
            </w:r>
          </w:p>
          <w:p w14:paraId="47645E3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eastAsia="宋体" w:cs="Times New Roman"/>
                <w:color w:val="auto"/>
                <w:sz w:val="21"/>
                <w:szCs w:val="21"/>
                <w:highlight w:val="none"/>
                <w:lang w:val="zh-CN" w:bidi="zh-CN"/>
              </w:rPr>
              <w:t>根据以上类比分析，施工扬尘对施工下风向20m范围有较大的影响，若天气干燥、风速较大时可能对周边居住区等产生不利影响。建议优化施工方法，减少扬尘。一般情况下，施工期间对车辆行驶路面实施洒水降尘，每天洒水4~5次，可使扬尘量减少70%左右，可见每天洒水降尘，可有效控制施工扬尘，将TSP污染距离缩小在20~50m范围。现状</w:t>
            </w:r>
            <w:r>
              <w:rPr>
                <w:rFonts w:hint="default" w:ascii="Times New Roman" w:hAnsi="Times New Roman" w:eastAsia="宋体" w:cs="Times New Roman"/>
                <w:color w:val="auto"/>
                <w:sz w:val="21"/>
                <w:szCs w:val="21"/>
                <w:highlight w:val="none"/>
                <w:lang w:val="en-US" w:eastAsia="zh-CN" w:bidi="zh-CN"/>
              </w:rPr>
              <w:t>水库周边</w:t>
            </w:r>
            <w:r>
              <w:rPr>
                <w:rFonts w:hint="default" w:ascii="Times New Roman" w:hAnsi="Times New Roman" w:eastAsia="宋体" w:cs="Times New Roman"/>
                <w:color w:val="auto"/>
                <w:sz w:val="21"/>
                <w:szCs w:val="21"/>
                <w:highlight w:val="none"/>
                <w:lang w:val="zh-CN" w:bidi="zh-CN"/>
              </w:rPr>
              <w:t>200m内</w:t>
            </w:r>
            <w:r>
              <w:rPr>
                <w:rFonts w:hint="default" w:ascii="Times New Roman" w:hAnsi="Times New Roman" w:eastAsia="宋体" w:cs="Times New Roman"/>
                <w:color w:val="auto"/>
                <w:sz w:val="21"/>
                <w:szCs w:val="21"/>
                <w:highlight w:val="none"/>
                <w:lang w:val="en-US" w:eastAsia="zh-CN" w:bidi="zh-CN"/>
              </w:rPr>
              <w:t>无</w:t>
            </w:r>
            <w:r>
              <w:rPr>
                <w:rFonts w:hint="default" w:ascii="Times New Roman" w:hAnsi="Times New Roman" w:eastAsia="宋体" w:cs="Times New Roman"/>
                <w:color w:val="auto"/>
                <w:sz w:val="21"/>
                <w:szCs w:val="21"/>
                <w:highlight w:val="none"/>
                <w:lang w:val="zh-CN" w:bidi="zh-CN"/>
              </w:rPr>
              <w:t>居民，</w:t>
            </w:r>
            <w:r>
              <w:rPr>
                <w:rFonts w:hint="default" w:ascii="Times New Roman" w:hAnsi="Times New Roman" w:eastAsia="宋体" w:cs="Times New Roman"/>
                <w:color w:val="auto"/>
                <w:sz w:val="21"/>
                <w:szCs w:val="21"/>
                <w:highlight w:val="none"/>
                <w:lang w:val="en-US" w:eastAsia="zh-CN" w:bidi="zh-CN"/>
              </w:rPr>
              <w:t>但</w:t>
            </w:r>
            <w:r>
              <w:rPr>
                <w:rFonts w:hint="default" w:ascii="Times New Roman" w:hAnsi="Times New Roman" w:eastAsia="宋体" w:cs="Times New Roman"/>
                <w:color w:val="auto"/>
                <w:sz w:val="21"/>
                <w:szCs w:val="21"/>
                <w:highlight w:val="none"/>
                <w:lang w:val="zh-CN" w:bidi="zh-CN"/>
              </w:rPr>
              <w:t>为控制扬尘污染，施工过程中应采取围挡、洒水、限制车速等措施，加强施工管理，禁止大风天气施工。采取上述措施后，扬尘影响和污染程度会显著减轻。</w:t>
            </w:r>
          </w:p>
          <w:p w14:paraId="6242EE8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）施工机械、车辆燃油废气</w:t>
            </w:r>
          </w:p>
          <w:p w14:paraId="669B6C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施工废气主要包括各种机械（如装载机、自卸汽车、挖土机等）排放的尾气、运输车辆产生的尾气。施工机械设备及运输设备车辆排放废气的主要污染物有NO</w:t>
            </w:r>
            <w:r>
              <w:rPr>
                <w:rFonts w:hint="default" w:ascii="Times New Roman" w:hAnsi="Times New Roman" w:cs="Times New Roman"/>
                <w:color w:val="auto"/>
                <w:sz w:val="21"/>
                <w:szCs w:val="21"/>
                <w:highlight w:val="none"/>
                <w:vertAlign w:val="subscript"/>
              </w:rPr>
              <w:t>X</w:t>
            </w:r>
            <w:r>
              <w:rPr>
                <w:rFonts w:hint="default" w:ascii="Times New Roman" w:hAnsi="Times New Roman" w:cs="Times New Roman"/>
                <w:color w:val="auto"/>
                <w:sz w:val="21"/>
                <w:szCs w:val="21"/>
                <w:highlight w:val="none"/>
              </w:rPr>
              <w:t>、HC、CO。本项目施工期间加强对施工车辆的检修和维护，禁止使用超期服役和尾气超标的车辆；使用耗油低，排气小的施工车辆，选用优质燃油，减少了机械和车辆的有害废气排放。这些污染物排放量较小，对区域环境影响很小。</w:t>
            </w:r>
          </w:p>
          <w:p w14:paraId="221B54D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本项目施工期间加强对施工车辆的检修和维护，禁止使用超期服役和尾气超标的车辆；使用耗油低，排气小的施工车辆，选用优质燃油，减少了机械和车辆的有害废气排放。</w:t>
            </w:r>
          </w:p>
          <w:p w14:paraId="5117D6D8">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综上所述，项目施工过程中，施工驻地设置</w:t>
            </w:r>
            <w:r>
              <w:rPr>
                <w:rFonts w:hint="default" w:ascii="Times New Roman" w:hAnsi="Times New Roman" w:eastAsia="宋体" w:cs="Times New Roman"/>
                <w:color w:val="auto"/>
                <w:sz w:val="21"/>
                <w:szCs w:val="21"/>
                <w:highlight w:val="none"/>
                <w:lang w:val="en-US" w:eastAsia="zh-CN"/>
              </w:rPr>
              <w:t>围挡</w:t>
            </w:r>
            <w:r>
              <w:rPr>
                <w:rFonts w:hint="default" w:ascii="Times New Roman" w:hAnsi="Times New Roman" w:eastAsia="宋体" w:cs="Times New Roman"/>
                <w:color w:val="auto"/>
                <w:sz w:val="21"/>
                <w:szCs w:val="21"/>
                <w:highlight w:val="none"/>
                <w:lang w:eastAsia="zh-CN"/>
              </w:rPr>
              <w:t>，施工区适时洒水降尘，粉性</w:t>
            </w:r>
            <w:r>
              <w:rPr>
                <w:rFonts w:hint="default" w:ascii="Times New Roman" w:hAnsi="Times New Roman" w:eastAsia="宋体" w:cs="Times New Roman"/>
                <w:color w:val="auto"/>
                <w:sz w:val="21"/>
                <w:szCs w:val="21"/>
                <w:highlight w:val="none"/>
                <w:lang w:val="en-US" w:eastAsia="zh-CN"/>
              </w:rPr>
              <w:t>建筑材料</w:t>
            </w:r>
            <w:r>
              <w:rPr>
                <w:rFonts w:hint="default" w:ascii="Times New Roman" w:hAnsi="Times New Roman" w:eastAsia="宋体" w:cs="Times New Roman"/>
                <w:color w:val="auto"/>
                <w:sz w:val="21"/>
                <w:szCs w:val="21"/>
                <w:highlight w:val="none"/>
                <w:lang w:eastAsia="zh-CN"/>
              </w:rPr>
              <w:t>采用封闭车辆运输，</w:t>
            </w:r>
            <w:r>
              <w:rPr>
                <w:rFonts w:hint="default" w:ascii="Times New Roman" w:hAnsi="Times New Roman" w:eastAsia="宋体" w:cs="Times New Roman"/>
                <w:bCs/>
                <w:color w:val="auto"/>
                <w:sz w:val="21"/>
                <w:szCs w:val="21"/>
                <w:highlight w:val="none"/>
                <w:lang w:eastAsia="zh-CN"/>
              </w:rPr>
              <w:t>运输经过村庄</w:t>
            </w:r>
            <w:r>
              <w:rPr>
                <w:rFonts w:hint="default" w:ascii="Times New Roman" w:hAnsi="Times New Roman" w:eastAsia="宋体" w:cs="Times New Roman"/>
                <w:bCs/>
                <w:color w:val="auto"/>
                <w:sz w:val="21"/>
                <w:szCs w:val="21"/>
                <w:highlight w:val="none"/>
                <w:lang w:val="en-US" w:eastAsia="zh-CN"/>
              </w:rPr>
              <w:t>及</w:t>
            </w:r>
            <w:r>
              <w:rPr>
                <w:rFonts w:hint="default" w:ascii="Times New Roman" w:hAnsi="Times New Roman" w:eastAsia="宋体" w:cs="Times New Roman"/>
                <w:bCs/>
                <w:color w:val="auto"/>
                <w:sz w:val="21"/>
                <w:szCs w:val="21"/>
                <w:highlight w:val="none"/>
                <w:lang w:eastAsia="zh-CN"/>
              </w:rPr>
              <w:t>居住区时，应减速慢行，</w:t>
            </w:r>
            <w:r>
              <w:rPr>
                <w:rFonts w:hint="default" w:ascii="Times New Roman" w:hAnsi="Times New Roman" w:eastAsia="宋体" w:cs="Times New Roman"/>
                <w:bCs/>
                <w:color w:val="auto"/>
                <w:sz w:val="21"/>
                <w:szCs w:val="21"/>
                <w:highlight w:val="none"/>
                <w:lang w:val="en-US" w:eastAsia="zh-CN"/>
              </w:rPr>
              <w:t>禁止鸣笛，</w:t>
            </w:r>
            <w:r>
              <w:rPr>
                <w:rFonts w:hint="default" w:ascii="Times New Roman" w:hAnsi="Times New Roman" w:eastAsia="宋体" w:cs="Times New Roman"/>
                <w:bCs/>
                <w:color w:val="auto"/>
                <w:sz w:val="21"/>
                <w:szCs w:val="21"/>
                <w:highlight w:val="none"/>
                <w:lang w:eastAsia="zh-CN"/>
              </w:rPr>
              <w:t>减少粉尘的产生</w:t>
            </w:r>
            <w:r>
              <w:rPr>
                <w:rFonts w:hint="default" w:ascii="Times New Roman" w:hAnsi="Times New Roman" w:eastAsia="宋体" w:cs="Times New Roman"/>
                <w:color w:val="auto"/>
                <w:sz w:val="21"/>
                <w:szCs w:val="21"/>
                <w:highlight w:val="none"/>
                <w:lang w:eastAsia="zh-CN"/>
              </w:rPr>
              <w:t>，防止扬尘对周围环境的污染，施工机械及运输车辆加强维护和保养，采用符合国家环保要求的发电机，</w:t>
            </w:r>
            <w:r>
              <w:rPr>
                <w:rFonts w:hint="eastAsia"/>
                <w:color w:val="auto"/>
                <w:sz w:val="21"/>
                <w:szCs w:val="21"/>
                <w:highlight w:val="none"/>
                <w:lang w:val="en-US" w:eastAsia="zh-CN"/>
              </w:rPr>
              <w:t>地表土体裸露</w:t>
            </w:r>
            <w:r>
              <w:rPr>
                <w:rFonts w:hint="default" w:ascii="Times New Roman" w:hAnsi="Times New Roman" w:eastAsia="宋体" w:cs="Times New Roman"/>
                <w:color w:val="auto"/>
                <w:sz w:val="21"/>
                <w:szCs w:val="21"/>
                <w:highlight w:val="none"/>
                <w:lang w:eastAsia="zh-CN"/>
              </w:rPr>
              <w:t>采取</w:t>
            </w:r>
            <w:r>
              <w:rPr>
                <w:rFonts w:hint="eastAsia"/>
                <w:color w:val="auto"/>
                <w:sz w:val="21"/>
                <w:szCs w:val="21"/>
                <w:highlight w:val="none"/>
                <w:vertAlign w:val="baseline"/>
                <w:lang w:val="en-US" w:eastAsia="zh-CN"/>
              </w:rPr>
              <w:t>四周设</w:t>
            </w:r>
            <w:r>
              <w:rPr>
                <w:color w:val="auto"/>
                <w:sz w:val="21"/>
                <w:szCs w:val="21"/>
                <w:highlight w:val="none"/>
              </w:rPr>
              <w:t>编织袋装土挡护</w:t>
            </w:r>
            <w:r>
              <w:rPr>
                <w:rFonts w:hint="eastAsia"/>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临时堆场采取密目网苫盖措施。在落实本环评提出的上述措施后，可以使施工治理期的大气环境影响降到最低，能够确保施工场界颗粒物浓度满足《大气污染物综合排放标准》（GB16297-1996）中表2无组织排放监控浓度限值要求。此外，项目施工对大气环境的影响将随着施工治理期的结束而消失。</w:t>
            </w:r>
          </w:p>
          <w:p w14:paraId="49F9B86F">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b/>
                <w:bCs/>
                <w:color w:val="auto"/>
                <w:sz w:val="21"/>
                <w:szCs w:val="21"/>
                <w:highlight w:val="none"/>
                <w:lang w:val="en-US" w:eastAsia="zh-CN"/>
              </w:rPr>
              <w:t>4、</w:t>
            </w:r>
            <w:r>
              <w:rPr>
                <w:rFonts w:hint="default" w:ascii="Times New Roman" w:hAnsi="Times New Roman" w:cs="Times New Roman" w:eastAsiaTheme="minorEastAsia"/>
                <w:b/>
                <w:bCs/>
                <w:color w:val="auto"/>
                <w:sz w:val="21"/>
                <w:szCs w:val="21"/>
                <w:highlight w:val="none"/>
              </w:rPr>
              <w:t>环境噪声影响分析</w:t>
            </w:r>
          </w:p>
          <w:p w14:paraId="6EA6179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项目施工期噪声主要来源于施工机械噪声和运输车辆噪声。在施工过程中，由于各种施工机械设备的运转和各类车辆的运行，不可避免地将产生噪声污染。工程施工设备中包括固定噪声源和移动噪声源，具有高噪声、无规则等特点，均为露天工作，排放的噪声直接辐射到周围的环境中，其传播距离比较远，在传播的过程中噪声随距离的增加而衰减。</w:t>
            </w:r>
          </w:p>
          <w:p w14:paraId="490BAC3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测模型选用《环境影响评价技术导则声环境》（HJ2.4-2021）中的推荐模式进行预测。预测情形仅考虑距离衰减（Adiv），不考虑大气吸收（Aatm）、地面效应（Agr）、屏障屏蔽（Abar）及其他多方面效应（Amisc）引起的衰减。预测公式如下：</w:t>
            </w:r>
          </w:p>
          <w:p w14:paraId="0814CBC2">
            <w:pPr>
              <w:keepNext w:val="0"/>
              <w:keepLines w:val="0"/>
              <w:pageBreakBefore w:val="0"/>
              <w:widowControl/>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object>
                <v:shape id="_x0000_i1026" o:spt="75" type="#_x0000_t75" style="height:18.25pt;width:132.75pt;" o:ole="t" filled="f" o:preferrelative="t" stroked="f" coordsize="21600,21600">
                  <v:path/>
                  <v:fill on="f" focussize="0,0"/>
                  <v:stroke on="f"/>
                  <v:imagedata r:id="rId22" o:title=""/>
                  <o:lock v:ext="edit" aspectratio="t"/>
                  <w10:wrap type="none"/>
                  <w10:anchorlock/>
                </v:shape>
                <o:OLEObject Type="Embed" ProgID="Equation.DSMT4" ShapeID="_x0000_i1026" DrawAspect="Content" ObjectID="_1468075726" r:id="rId21">
                  <o:LockedField>false</o:LockedField>
                </o:OLEObject>
              </w:object>
            </w:r>
          </w:p>
          <w:p w14:paraId="471A1C5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式中：Lr—点声源在预测点产生的倍频带声压级；</w:t>
            </w:r>
          </w:p>
          <w:p w14:paraId="4C059E4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rPr>
              <w:softHyphen/>
            </w:r>
            <w:r>
              <w:rPr>
                <w:rFonts w:hint="default" w:ascii="Times New Roman" w:hAnsi="Times New Roman" w:cs="Times New Roman"/>
                <w:color w:val="auto"/>
                <w:sz w:val="21"/>
                <w:szCs w:val="21"/>
                <w:highlight w:val="none"/>
              </w:rPr>
              <w:softHyphen/>
            </w:r>
            <w:r>
              <w:rPr>
                <w:rFonts w:hint="default" w:ascii="Times New Roman" w:hAnsi="Times New Roman" w:cs="Times New Roman"/>
                <w:color w:val="auto"/>
                <w:sz w:val="21"/>
                <w:szCs w:val="21"/>
                <w:highlight w:val="none"/>
              </w:rPr>
              <w:t>r0— 参考位置r0处的倍频带声压级；</w:t>
            </w:r>
          </w:p>
          <w:p w14:paraId="00C4C85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r—预测点距声源的距离，m；</w:t>
            </w:r>
          </w:p>
          <w:p w14:paraId="7D0E1AE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r0—参考位置距声源的距离，m。</w:t>
            </w:r>
          </w:p>
          <w:p w14:paraId="7F48C6A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项目施工期主要施工设备噪声衰减预测结果见表4-</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w:t>
            </w:r>
          </w:p>
          <w:p w14:paraId="1063F1E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default" w:ascii="Times New Roman" w:hAnsi="Times New Roman"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rPr>
              <w:t xml:space="preserve"> 施工期环境噪声预测结果</w:t>
            </w:r>
          </w:p>
          <w:tbl>
            <w:tblPr>
              <w:tblStyle w:val="24"/>
              <w:tblW w:w="5000"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0" w:type="dxa"/>
                <w:bottom w:w="0" w:type="dxa"/>
                <w:right w:w="0" w:type="dxa"/>
              </w:tblCellMar>
            </w:tblPr>
            <w:tblGrid>
              <w:gridCol w:w="832"/>
              <w:gridCol w:w="640"/>
              <w:gridCol w:w="585"/>
              <w:gridCol w:w="653"/>
              <w:gridCol w:w="653"/>
              <w:gridCol w:w="653"/>
              <w:gridCol w:w="653"/>
              <w:gridCol w:w="664"/>
              <w:gridCol w:w="665"/>
              <w:gridCol w:w="664"/>
              <w:gridCol w:w="664"/>
              <w:gridCol w:w="665"/>
            </w:tblGrid>
            <w:tr w14:paraId="03D73E9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3" w:hRule="atLeast"/>
                <w:jc w:val="center"/>
              </w:trPr>
              <w:tc>
                <w:tcPr>
                  <w:tcW w:w="848" w:type="dxa"/>
                  <w:vMerge w:val="restart"/>
                  <w:tcBorders>
                    <w:top w:val="single" w:color="000000" w:sz="4" w:space="0"/>
                    <w:bottom w:val="single" w:color="000000" w:sz="4" w:space="0"/>
                    <w:right w:val="single" w:color="000000" w:sz="4" w:space="0"/>
                  </w:tcBorders>
                  <w:noWrap w:val="0"/>
                  <w:tcMar>
                    <w:top w:w="15" w:type="dxa"/>
                    <w:left w:w="15" w:type="dxa"/>
                    <w:right w:w="15" w:type="dxa"/>
                  </w:tcMar>
                  <w:vAlign w:val="center"/>
                </w:tcPr>
                <w:p w14:paraId="0686A07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声源</w:t>
                  </w:r>
                </w:p>
              </w:tc>
              <w:tc>
                <w:tcPr>
                  <w:tcW w:w="6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1202C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Style w:val="49"/>
                      <w:rFonts w:hint="default" w:ascii="Times New Roman" w:hAnsi="Times New Roman" w:eastAsia="宋体" w:cs="Times New Roman"/>
                      <w:color w:val="auto"/>
                      <w:sz w:val="18"/>
                      <w:szCs w:val="18"/>
                      <w:highlight w:val="none"/>
                      <w:vertAlign w:val="baseline"/>
                      <w:lang w:bidi="ar"/>
                    </w:rPr>
                    <w:t>测点声源距离（</w:t>
                  </w:r>
                  <w:r>
                    <w:rPr>
                      <w:rStyle w:val="50"/>
                      <w:rFonts w:hint="default" w:ascii="Times New Roman" w:hAnsi="Times New Roman" w:eastAsia="宋体" w:cs="Times New Roman"/>
                      <w:color w:val="auto"/>
                      <w:sz w:val="18"/>
                      <w:szCs w:val="18"/>
                      <w:highlight w:val="none"/>
                      <w:lang w:bidi="ar"/>
                    </w:rPr>
                    <w:t>m</w:t>
                  </w:r>
                  <w:r>
                    <w:rPr>
                      <w:rStyle w:val="49"/>
                      <w:rFonts w:hint="default" w:ascii="Times New Roman" w:hAnsi="Times New Roman" w:eastAsia="宋体" w:cs="Times New Roman"/>
                      <w:color w:val="auto"/>
                      <w:sz w:val="18"/>
                      <w:szCs w:val="18"/>
                      <w:highlight w:val="none"/>
                      <w:vertAlign w:val="baseline"/>
                      <w:lang w:bidi="ar"/>
                    </w:rPr>
                    <w:t>）</w:t>
                  </w:r>
                </w:p>
              </w:tc>
              <w:tc>
                <w:tcPr>
                  <w:tcW w:w="5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638D40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源强</w:t>
                  </w:r>
                </w:p>
              </w:tc>
              <w:tc>
                <w:tcPr>
                  <w:tcW w:w="6051" w:type="dxa"/>
                  <w:gridSpan w:val="9"/>
                  <w:tcBorders>
                    <w:top w:val="single" w:color="000000" w:sz="4" w:space="0"/>
                    <w:left w:val="single" w:color="000000" w:sz="4" w:space="0"/>
                    <w:bottom w:val="single" w:color="000000" w:sz="4" w:space="0"/>
                  </w:tcBorders>
                  <w:noWrap w:val="0"/>
                  <w:tcMar>
                    <w:top w:w="15" w:type="dxa"/>
                    <w:left w:w="15" w:type="dxa"/>
                    <w:right w:w="15" w:type="dxa"/>
                  </w:tcMar>
                  <w:vAlign w:val="center"/>
                </w:tcPr>
                <w:p w14:paraId="2B055FF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预测距离（m）</w:t>
                  </w:r>
                </w:p>
              </w:tc>
            </w:tr>
            <w:tr w14:paraId="75CEEF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3" w:hRule="atLeast"/>
                <w:jc w:val="center"/>
              </w:trPr>
              <w:tc>
                <w:tcPr>
                  <w:tcW w:w="848" w:type="dxa"/>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5772C68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6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3721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p>
              </w:tc>
              <w:tc>
                <w:tcPr>
                  <w:tcW w:w="5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BCECE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dB</w:t>
                  </w:r>
                  <w:r>
                    <w:rPr>
                      <w:rStyle w:val="51"/>
                      <w:rFonts w:hint="default" w:ascii="Times New Roman" w:hAnsi="Times New Roman" w:eastAsia="宋体" w:cs="Times New Roman"/>
                      <w:color w:val="auto"/>
                      <w:sz w:val="18"/>
                      <w:szCs w:val="18"/>
                      <w:highlight w:val="none"/>
                      <w:lang w:bidi="ar"/>
                    </w:rPr>
                    <w:t>（</w:t>
                  </w:r>
                  <w:r>
                    <w:rPr>
                      <w:rFonts w:hint="default" w:ascii="Times New Roman" w:hAnsi="Times New Roman" w:eastAsia="宋体" w:cs="Times New Roman"/>
                      <w:color w:val="auto"/>
                      <w:kern w:val="0"/>
                      <w:sz w:val="18"/>
                      <w:szCs w:val="18"/>
                      <w:highlight w:val="none"/>
                      <w:lang w:bidi="ar"/>
                    </w:rPr>
                    <w:t>A</w:t>
                  </w:r>
                  <w:r>
                    <w:rPr>
                      <w:rStyle w:val="51"/>
                      <w:rFonts w:hint="default" w:ascii="Times New Roman" w:hAnsi="Times New Roman" w:eastAsia="宋体" w:cs="Times New Roman"/>
                      <w:color w:val="auto"/>
                      <w:sz w:val="18"/>
                      <w:szCs w:val="18"/>
                      <w:highlight w:val="none"/>
                      <w:lang w:bidi="ar"/>
                    </w:rPr>
                    <w:t>）</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59112E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10</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FE7E4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20</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CBA132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30</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00C122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50</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B9E4F9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100</w:t>
                  </w:r>
                </w:p>
              </w:tc>
              <w:tc>
                <w:tcPr>
                  <w:tcW w:w="67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97CA3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150</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AD3984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200</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FB3CD2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280</w:t>
                  </w:r>
                </w:p>
              </w:tc>
              <w:tc>
                <w:tcPr>
                  <w:tcW w:w="678"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61FC028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300</w:t>
                  </w:r>
                </w:p>
              </w:tc>
            </w:tr>
            <w:tr w14:paraId="1C7A1B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3" w:hRule="atLeast"/>
                <w:jc w:val="center"/>
              </w:trPr>
              <w:tc>
                <w:tcPr>
                  <w:tcW w:w="848" w:type="dxa"/>
                  <w:tcBorders>
                    <w:top w:val="single" w:color="000000" w:sz="4" w:space="0"/>
                    <w:bottom w:val="single" w:color="000000" w:sz="4" w:space="0"/>
                    <w:right w:val="single" w:color="000000" w:sz="4" w:space="0"/>
                  </w:tcBorders>
                  <w:noWrap w:val="0"/>
                  <w:tcMar>
                    <w:top w:w="15" w:type="dxa"/>
                    <w:left w:w="15" w:type="dxa"/>
                    <w:right w:w="15" w:type="dxa"/>
                  </w:tcMar>
                  <w:vAlign w:val="center"/>
                </w:tcPr>
                <w:p w14:paraId="43689EC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推土机</w:t>
                  </w:r>
                </w:p>
              </w:tc>
              <w:tc>
                <w:tcPr>
                  <w:tcW w:w="6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F5A4D7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5</w:t>
                  </w:r>
                </w:p>
              </w:tc>
              <w:tc>
                <w:tcPr>
                  <w:tcW w:w="5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BE1AF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86</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BB6249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80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776CAC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74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B5194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70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B997B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66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616778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60 </w:t>
                  </w:r>
                </w:p>
              </w:tc>
              <w:tc>
                <w:tcPr>
                  <w:tcW w:w="67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76737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56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945070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54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F7DA3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51 </w:t>
                  </w:r>
                </w:p>
              </w:tc>
              <w:tc>
                <w:tcPr>
                  <w:tcW w:w="678"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14B273B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50 </w:t>
                  </w:r>
                </w:p>
              </w:tc>
            </w:tr>
            <w:tr w14:paraId="0AC384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3" w:hRule="atLeast"/>
                <w:jc w:val="center"/>
              </w:trPr>
              <w:tc>
                <w:tcPr>
                  <w:tcW w:w="848" w:type="dxa"/>
                  <w:tcBorders>
                    <w:top w:val="single" w:color="000000" w:sz="4" w:space="0"/>
                    <w:bottom w:val="single" w:color="000000" w:sz="4" w:space="0"/>
                    <w:right w:val="single" w:color="000000" w:sz="4" w:space="0"/>
                  </w:tcBorders>
                  <w:noWrap w:val="0"/>
                  <w:tcMar>
                    <w:top w:w="15" w:type="dxa"/>
                    <w:left w:w="15" w:type="dxa"/>
                    <w:right w:w="15" w:type="dxa"/>
                  </w:tcMar>
                  <w:vAlign w:val="center"/>
                </w:tcPr>
                <w:p w14:paraId="3784288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装载机</w:t>
                  </w:r>
                </w:p>
              </w:tc>
              <w:tc>
                <w:tcPr>
                  <w:tcW w:w="6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590821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5</w:t>
                  </w:r>
                </w:p>
              </w:tc>
              <w:tc>
                <w:tcPr>
                  <w:tcW w:w="5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F506AA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90</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BECF7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84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EC77D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78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A661B7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74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D3F77E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70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BDB4FB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64 </w:t>
                  </w:r>
                </w:p>
              </w:tc>
              <w:tc>
                <w:tcPr>
                  <w:tcW w:w="67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7006EC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60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C29ECC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58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ADB291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55 </w:t>
                  </w:r>
                </w:p>
              </w:tc>
              <w:tc>
                <w:tcPr>
                  <w:tcW w:w="678"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52CA7E0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54 </w:t>
                  </w:r>
                </w:p>
              </w:tc>
            </w:tr>
            <w:tr w14:paraId="2128A9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3" w:hRule="atLeast"/>
                <w:jc w:val="center"/>
              </w:trPr>
              <w:tc>
                <w:tcPr>
                  <w:tcW w:w="848" w:type="dxa"/>
                  <w:tcBorders>
                    <w:top w:val="single" w:color="000000" w:sz="4" w:space="0"/>
                    <w:bottom w:val="single" w:color="000000" w:sz="4" w:space="0"/>
                    <w:right w:val="single" w:color="000000" w:sz="4" w:space="0"/>
                  </w:tcBorders>
                  <w:noWrap w:val="0"/>
                  <w:tcMar>
                    <w:top w:w="15" w:type="dxa"/>
                    <w:left w:w="15" w:type="dxa"/>
                    <w:right w:w="15" w:type="dxa"/>
                  </w:tcMar>
                  <w:vAlign w:val="center"/>
                </w:tcPr>
                <w:p w14:paraId="557B3BB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挖掘机</w:t>
                  </w:r>
                </w:p>
              </w:tc>
              <w:tc>
                <w:tcPr>
                  <w:tcW w:w="6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8EA87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5</w:t>
                  </w:r>
                </w:p>
              </w:tc>
              <w:tc>
                <w:tcPr>
                  <w:tcW w:w="5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B9328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85</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7B9B59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79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EF252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73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C257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69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94F35C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65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891AF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59 </w:t>
                  </w:r>
                </w:p>
              </w:tc>
              <w:tc>
                <w:tcPr>
                  <w:tcW w:w="67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6D0D5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55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D62DC3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53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803BD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50 </w:t>
                  </w:r>
                </w:p>
              </w:tc>
              <w:tc>
                <w:tcPr>
                  <w:tcW w:w="678"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2416220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49 </w:t>
                  </w:r>
                </w:p>
              </w:tc>
            </w:tr>
            <w:tr w14:paraId="03A6FD8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3" w:hRule="atLeast"/>
                <w:jc w:val="center"/>
              </w:trPr>
              <w:tc>
                <w:tcPr>
                  <w:tcW w:w="848" w:type="dxa"/>
                  <w:tcBorders>
                    <w:top w:val="single" w:color="000000" w:sz="4" w:space="0"/>
                    <w:bottom w:val="single" w:color="000000" w:sz="4" w:space="0"/>
                    <w:right w:val="single" w:color="000000" w:sz="4" w:space="0"/>
                  </w:tcBorders>
                  <w:noWrap w:val="0"/>
                  <w:tcMar>
                    <w:top w:w="15" w:type="dxa"/>
                    <w:left w:w="15" w:type="dxa"/>
                    <w:right w:w="15" w:type="dxa"/>
                  </w:tcMar>
                  <w:vAlign w:val="center"/>
                </w:tcPr>
                <w:p w14:paraId="051D15B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自卸汽车</w:t>
                  </w:r>
                </w:p>
              </w:tc>
              <w:tc>
                <w:tcPr>
                  <w:tcW w:w="6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1A18D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w:t>
                  </w:r>
                </w:p>
              </w:tc>
              <w:tc>
                <w:tcPr>
                  <w:tcW w:w="5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0ADB4B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74</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BBF1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68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230FD0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62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B9EFEA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58 </w:t>
                  </w:r>
                </w:p>
              </w:tc>
              <w:tc>
                <w:tcPr>
                  <w:tcW w:w="66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13E6A6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54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DF73E3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48 </w:t>
                  </w:r>
                </w:p>
              </w:tc>
              <w:tc>
                <w:tcPr>
                  <w:tcW w:w="67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1502BB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44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3F521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42 </w:t>
                  </w:r>
                </w:p>
              </w:tc>
              <w:tc>
                <w:tcPr>
                  <w:tcW w:w="67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7E9D00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39 </w:t>
                  </w:r>
                </w:p>
              </w:tc>
              <w:tc>
                <w:tcPr>
                  <w:tcW w:w="678"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623AED4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bidi="ar"/>
                    </w:rPr>
                    <w:t xml:space="preserve">38 </w:t>
                  </w:r>
                </w:p>
              </w:tc>
            </w:tr>
          </w:tbl>
          <w:p w14:paraId="75E3F38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rPr>
              <w:t>根据表4-</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预测结果</w:t>
            </w:r>
            <w:r>
              <w:rPr>
                <w:rFonts w:hint="default" w:ascii="Times New Roman" w:hAnsi="Times New Roman" w:cs="Times New Roman"/>
                <w:color w:val="auto"/>
                <w:sz w:val="21"/>
                <w:szCs w:val="21"/>
                <w:highlight w:val="none"/>
                <w:lang w:val="en-US" w:eastAsia="zh-CN"/>
              </w:rPr>
              <w:t>可以看出，</w:t>
            </w:r>
            <w:r>
              <w:rPr>
                <w:rFonts w:hint="default" w:ascii="Times New Roman" w:hAnsi="Times New Roman" w:eastAsia="宋体" w:cs="Times New Roman"/>
                <w:color w:val="auto"/>
                <w:sz w:val="21"/>
                <w:szCs w:val="21"/>
                <w:highlight w:val="none"/>
              </w:rPr>
              <w:t>各单台设备在50m处产生的声级值均满足施工噪声昼间的限值标准</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在280m处产生的声级值满足施工噪声夜间的限值标准</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工程</w:t>
            </w:r>
            <w:r>
              <w:rPr>
                <w:rFonts w:hint="default" w:ascii="Times New Roman" w:hAnsi="Times New Roman" w:eastAsia="宋体" w:cs="Times New Roman"/>
                <w:color w:val="auto"/>
                <w:sz w:val="21"/>
                <w:szCs w:val="21"/>
                <w:highlight w:val="none"/>
              </w:rPr>
              <w:t>280m范围内</w:t>
            </w:r>
            <w:r>
              <w:rPr>
                <w:rFonts w:hint="default" w:ascii="Times New Roman" w:hAnsi="Times New Roman" w:cs="Times New Roman"/>
                <w:color w:val="auto"/>
                <w:sz w:val="21"/>
                <w:szCs w:val="21"/>
                <w:highlight w:val="none"/>
                <w:lang w:eastAsia="zh-CN"/>
              </w:rPr>
              <w:t>无</w:t>
            </w:r>
            <w:r>
              <w:rPr>
                <w:rFonts w:hint="default" w:ascii="Times New Roman" w:hAnsi="Times New Roman" w:eastAsia="宋体" w:cs="Times New Roman"/>
                <w:color w:val="auto"/>
                <w:sz w:val="21"/>
                <w:szCs w:val="21"/>
                <w:highlight w:val="none"/>
              </w:rPr>
              <w:t>村屯分布</w:t>
            </w:r>
            <w:r>
              <w:rPr>
                <w:rFonts w:hint="eastAsia" w:cs="Times New Roman"/>
                <w:color w:val="auto"/>
                <w:sz w:val="21"/>
                <w:szCs w:val="21"/>
                <w:highlight w:val="none"/>
                <w:lang w:val="en-US" w:eastAsia="zh-CN"/>
              </w:rPr>
              <w:t>且夜间不施工</w:t>
            </w:r>
            <w:r>
              <w:rPr>
                <w:rFonts w:hint="eastAsia" w:cs="Times New Roman"/>
                <w:color w:val="auto"/>
                <w:sz w:val="21"/>
                <w:szCs w:val="21"/>
                <w:highlight w:val="none"/>
                <w:lang w:eastAsia="zh-CN"/>
              </w:rPr>
              <w:t>。</w:t>
            </w:r>
          </w:p>
          <w:p w14:paraId="575A0F7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在实际施工过程中施工机械一般为间歇性使用</w:t>
            </w:r>
            <w:r>
              <w:rPr>
                <w:rFonts w:hint="eastAsia" w:cs="Times New Roman"/>
                <w:color w:val="auto"/>
                <w:sz w:val="21"/>
                <w:szCs w:val="21"/>
                <w:highlight w:val="none"/>
                <w:lang w:val="en-US" w:eastAsia="zh-CN"/>
              </w:rPr>
              <w:t>且夜间不施工</w:t>
            </w:r>
            <w:r>
              <w:rPr>
                <w:rFonts w:hint="default" w:ascii="Times New Roman" w:hAnsi="Times New Roman" w:cs="Times New Roman"/>
                <w:color w:val="auto"/>
                <w:sz w:val="21"/>
                <w:szCs w:val="21"/>
                <w:highlight w:val="none"/>
              </w:rPr>
              <w:t>，例如挖掘机仅在前期土石方开挖时使用，因此不会出现以上所有施工机械持续性的运行而造成强烈的噪声影响的情况。施工过程中，施工单位必须选择符合国家有关标准的施工机械及运输车辆，尽量选用低噪音、低振动的各类施工机械设备，注意维修养护及正确使用，使之保持较好工作状态和低声级水平；对排放高强度噪音的施工机械设备应设置隔声或消音装置，同时要加强各种机械设备的维修和保养，保持机械润滑，做好机械设备使用前的检修，使设备性能处于良好状态。</w:t>
            </w:r>
          </w:p>
          <w:p w14:paraId="05204B4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eastAsia"/>
                <w:color w:val="auto"/>
              </w:rPr>
              <w:t>施工过</w:t>
            </w:r>
            <w:r>
              <w:rPr>
                <w:rFonts w:hint="eastAsia"/>
                <w:color w:val="auto"/>
                <w:lang w:eastAsia="zh-CN"/>
              </w:rPr>
              <w:t>程中</w:t>
            </w:r>
            <w:r>
              <w:rPr>
                <w:rFonts w:hint="eastAsia"/>
                <w:color w:val="auto"/>
              </w:rPr>
              <w:t>应加强运输车辆的管理，控制车辆行驶速度、禁止违规超载，运输车辆在经过</w:t>
            </w:r>
            <w:r>
              <w:rPr>
                <w:rFonts w:hint="eastAsia"/>
                <w:color w:val="auto"/>
                <w:lang w:val="en-US" w:eastAsia="zh-CN"/>
              </w:rPr>
              <w:t>村屯</w:t>
            </w:r>
            <w:r>
              <w:rPr>
                <w:rFonts w:hint="eastAsia"/>
                <w:color w:val="auto"/>
              </w:rPr>
              <w:t>时采取减速慢行（限速2</w:t>
            </w:r>
            <w:r>
              <w:rPr>
                <w:color w:val="auto"/>
              </w:rPr>
              <w:t>0</w:t>
            </w:r>
            <w:r>
              <w:rPr>
                <w:rFonts w:hint="eastAsia"/>
                <w:color w:val="auto"/>
              </w:rPr>
              <w:t>km</w:t>
            </w:r>
            <w:r>
              <w:rPr>
                <w:color w:val="auto"/>
              </w:rPr>
              <w:t>/</w:t>
            </w:r>
            <w:r>
              <w:rPr>
                <w:rFonts w:hint="eastAsia"/>
                <w:color w:val="auto"/>
              </w:rPr>
              <w:t>h以下）、禁止鸣笛等管理措施，避免运输车辆对</w:t>
            </w:r>
            <w:r>
              <w:rPr>
                <w:rFonts w:hint="eastAsia"/>
                <w:color w:val="auto"/>
                <w:lang w:val="en-US" w:eastAsia="zh-CN"/>
              </w:rPr>
              <w:t>经过村屯</w:t>
            </w:r>
            <w:r>
              <w:rPr>
                <w:rFonts w:hint="eastAsia"/>
                <w:color w:val="auto"/>
              </w:rPr>
              <w:t>的生活产生影响。</w:t>
            </w:r>
            <w:r>
              <w:rPr>
                <w:rFonts w:hint="default" w:ascii="Times New Roman" w:hAnsi="Times New Roman" w:eastAsia="宋体" w:cs="Times New Roman"/>
                <w:color w:val="auto"/>
                <w:highlight w:val="none"/>
                <w:lang w:eastAsia="zh-CN"/>
              </w:rPr>
              <w:t>采取一定的噪声控制措施后，车辆运输对沿途居民的噪声影响较小</w:t>
            </w:r>
            <w:r>
              <w:rPr>
                <w:rFonts w:hint="eastAsia"/>
                <w:color w:val="auto"/>
              </w:rPr>
              <w:t>。</w:t>
            </w:r>
          </w:p>
          <w:p w14:paraId="3EC68A0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因此，</w:t>
            </w:r>
            <w:r>
              <w:rPr>
                <w:rFonts w:hint="default" w:ascii="Times New Roman" w:hAnsi="Times New Roman" w:eastAsia="宋体" w:cs="Times New Roman"/>
                <w:color w:val="auto"/>
                <w:highlight w:val="none"/>
                <w:lang w:eastAsia="zh-CN"/>
              </w:rPr>
              <w:t>通过采取上述措施，施工噪声</w:t>
            </w:r>
            <w:r>
              <w:rPr>
                <w:rFonts w:hint="eastAsia" w:eastAsia="宋体" w:cs="Times New Roman"/>
                <w:color w:val="auto"/>
                <w:highlight w:val="none"/>
                <w:lang w:val="en-US" w:eastAsia="zh-CN"/>
              </w:rPr>
              <w:t>能够</w:t>
            </w:r>
            <w:r>
              <w:rPr>
                <w:rFonts w:hint="default" w:ascii="Times New Roman" w:hAnsi="Times New Roman" w:eastAsia="宋体" w:cs="Times New Roman"/>
                <w:color w:val="auto"/>
                <w:highlight w:val="none"/>
                <w:lang w:eastAsia="zh-CN"/>
              </w:rPr>
              <w:t>满足《建筑施工噪声排放标准》（GB12523-2025）要求</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施工期噪声对环境的影响是短期的，项目建成后施工噪声的影响也随之结束</w:t>
            </w:r>
            <w:r>
              <w:rPr>
                <w:rFonts w:hint="default" w:ascii="Times New Roman" w:hAnsi="Times New Roman" w:eastAsia="宋体" w:cs="Times New Roman"/>
                <w:color w:val="auto"/>
                <w:sz w:val="21"/>
                <w:szCs w:val="21"/>
                <w:highlight w:val="none"/>
              </w:rPr>
              <w:t>。</w:t>
            </w:r>
          </w:p>
          <w:p w14:paraId="1AD953B7">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sz w:val="21"/>
                <w:szCs w:val="21"/>
                <w:highlight w:val="none"/>
                <w:lang w:val="en-US" w:eastAsia="zh-CN"/>
              </w:rPr>
              <w:t>5、</w:t>
            </w:r>
            <w:r>
              <w:rPr>
                <w:rFonts w:hint="default" w:ascii="Times New Roman" w:hAnsi="Times New Roman" w:cs="Times New Roman"/>
                <w:b/>
                <w:bCs/>
                <w:color w:val="auto"/>
                <w:sz w:val="21"/>
                <w:szCs w:val="21"/>
                <w:highlight w:val="none"/>
              </w:rPr>
              <w:t>固体废物对环境的影响</w:t>
            </w:r>
            <w:r>
              <w:rPr>
                <w:rFonts w:hint="default" w:ascii="Times New Roman" w:hAnsi="Times New Roman" w:cs="Times New Roman" w:eastAsiaTheme="minorEastAsia"/>
                <w:b/>
                <w:bCs/>
                <w:color w:val="auto"/>
                <w:sz w:val="21"/>
                <w:szCs w:val="21"/>
                <w:highlight w:val="none"/>
              </w:rPr>
              <w:t>分析</w:t>
            </w:r>
          </w:p>
          <w:p w14:paraId="16763F3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本工程高峰期施工人数</w:t>
            </w:r>
            <w:r>
              <w:rPr>
                <w:rFonts w:hint="default" w:ascii="Times New Roman" w:hAnsi="Times New Roman" w:cs="Times New Roman"/>
                <w:bCs/>
                <w:color w:val="auto"/>
                <w:sz w:val="21"/>
                <w:szCs w:val="21"/>
                <w:highlight w:val="none"/>
                <w:lang w:val="en-US" w:eastAsia="zh-CN"/>
              </w:rPr>
              <w:t>60</w:t>
            </w:r>
            <w:r>
              <w:rPr>
                <w:rFonts w:hint="default" w:ascii="Times New Roman" w:hAnsi="Times New Roman" w:cs="Times New Roman"/>
                <w:bCs/>
                <w:color w:val="auto"/>
                <w:sz w:val="21"/>
                <w:szCs w:val="21"/>
                <w:highlight w:val="none"/>
              </w:rPr>
              <w:t>人，施工人员按每人每天排放</w:t>
            </w:r>
            <w:r>
              <w:rPr>
                <w:rFonts w:hint="default" w:ascii="Times New Roman" w:hAnsi="Times New Roman" w:cs="Times New Roman"/>
                <w:bCs/>
                <w:color w:val="auto"/>
                <w:sz w:val="21"/>
                <w:szCs w:val="21"/>
                <w:highlight w:val="none"/>
                <w:lang w:val="en-US" w:eastAsia="zh-CN"/>
              </w:rPr>
              <w:t>0.5</w:t>
            </w:r>
            <w:r>
              <w:rPr>
                <w:rFonts w:hint="default" w:ascii="Times New Roman" w:hAnsi="Times New Roman" w:cs="Times New Roman"/>
                <w:bCs/>
                <w:color w:val="auto"/>
                <w:sz w:val="21"/>
                <w:szCs w:val="21"/>
                <w:highlight w:val="none"/>
              </w:rPr>
              <w:t>kg垃圾计算，则高峰期产生生活垃圾约为</w:t>
            </w:r>
            <w:r>
              <w:rPr>
                <w:rFonts w:hint="default" w:ascii="Times New Roman" w:hAnsi="Times New Roman" w:cs="Times New Roman"/>
                <w:bCs/>
                <w:color w:val="auto"/>
                <w:sz w:val="21"/>
                <w:szCs w:val="21"/>
                <w:highlight w:val="none"/>
                <w:lang w:val="en-US" w:eastAsia="zh-CN"/>
              </w:rPr>
              <w:t>30</w:t>
            </w:r>
            <w:r>
              <w:rPr>
                <w:rFonts w:hint="default" w:ascii="Times New Roman" w:hAnsi="Times New Roman" w:cs="Times New Roman"/>
                <w:bCs/>
                <w:color w:val="auto"/>
                <w:sz w:val="21"/>
                <w:szCs w:val="21"/>
                <w:highlight w:val="none"/>
              </w:rPr>
              <w:t>kg/d。施工人员产生的生活垃圾若随意堆放，不仅影响施工区环境景观，而且影响施工区环境卫生，夏秋季节易造成蚊、蝇孳生或鼠类繁殖，导致疾病流行，进而威胁施工人员身体健康。一旦垃圾中的污染物进入河流，将造成近岸水体悬浮物、浊度增加，有机污染物浓度增加，导致局部水域水质变差。生活垃圾采用垃圾箱收集，定期运往附近垃圾填埋场处理。</w:t>
            </w:r>
          </w:p>
          <w:p w14:paraId="55FDC45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eastAsia" w:cs="Times New Roman"/>
                <w:bCs/>
                <w:color w:val="auto"/>
                <w:sz w:val="21"/>
                <w:szCs w:val="21"/>
                <w:highlight w:val="none"/>
                <w:lang w:val="en-US" w:eastAsia="zh-CN"/>
              </w:rPr>
              <w:t>建筑垃圾</w:t>
            </w:r>
            <w:r>
              <w:rPr>
                <w:rFonts w:hint="default" w:ascii="Times New Roman" w:hAnsi="Times New Roman" w:cs="Times New Roman" w:eastAsiaTheme="minorEastAsia"/>
                <w:b w:val="0"/>
                <w:bCs w:val="0"/>
                <w:color w:val="auto"/>
                <w:kern w:val="0"/>
                <w:sz w:val="21"/>
                <w:szCs w:val="21"/>
                <w:highlight w:val="none"/>
                <w:lang w:val="en-US" w:eastAsia="zh-CN"/>
              </w:rPr>
              <w:t>严禁与生活垃圾混合，拉运至建设单位与环卫部门指定地点。</w:t>
            </w:r>
          </w:p>
          <w:p w14:paraId="6419A014">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rPr>
              <w:t>风险影响评价</w:t>
            </w:r>
          </w:p>
          <w:p w14:paraId="5F8DD50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bCs/>
                <w:color w:val="auto"/>
                <w:kern w:val="0"/>
                <w:sz w:val="24"/>
                <w:highlight w:val="none"/>
                <w:lang w:val="en-US" w:eastAsia="zh-CN"/>
              </w:rPr>
            </w:pPr>
            <w:r>
              <w:rPr>
                <w:rFonts w:hint="default" w:ascii="Times New Roman" w:hAnsi="Times New Roman" w:cs="Times New Roman"/>
                <w:bCs/>
                <w:color w:val="auto"/>
                <w:sz w:val="21"/>
                <w:szCs w:val="21"/>
                <w:highlight w:val="none"/>
              </w:rPr>
              <w:t>工程在施工期间的汽、柴油全部外购，购买燃油较为方便，施工机械</w:t>
            </w:r>
            <w:r>
              <w:rPr>
                <w:rFonts w:hint="default" w:ascii="Times New Roman" w:hAnsi="Times New Roman" w:cs="Times New Roman"/>
                <w:bCs/>
                <w:color w:val="auto"/>
                <w:sz w:val="21"/>
                <w:szCs w:val="21"/>
                <w:highlight w:val="none"/>
                <w:lang w:val="en-US" w:eastAsia="zh-CN"/>
              </w:rPr>
              <w:t>及</w:t>
            </w:r>
            <w:r>
              <w:rPr>
                <w:rFonts w:hint="default" w:ascii="Times New Roman" w:hAnsi="Times New Roman" w:cs="Times New Roman"/>
                <w:bCs/>
                <w:color w:val="auto"/>
                <w:sz w:val="21"/>
                <w:szCs w:val="21"/>
                <w:highlight w:val="none"/>
              </w:rPr>
              <w:t>发动机需要的燃油根据需要购买，随用随买，不设置燃料油储存设施，因此，本工程无风险源。</w:t>
            </w:r>
          </w:p>
        </w:tc>
      </w:tr>
      <w:tr w14:paraId="1D05EE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50" w:type="dxa"/>
            <w:tcMar>
              <w:left w:w="28" w:type="dxa"/>
              <w:right w:w="28" w:type="dxa"/>
            </w:tcMar>
            <w:vAlign w:val="center"/>
          </w:tcPr>
          <w:p w14:paraId="7E28BD55">
            <w:pPr>
              <w:pStyle w:val="2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Times New Roman" w:eastAsiaTheme="minorEastAsia"/>
                <w:bCs/>
                <w:color w:val="auto"/>
                <w:kern w:val="2"/>
                <w:sz w:val="21"/>
                <w:szCs w:val="21"/>
                <w:highlight w:val="none"/>
              </w:rPr>
            </w:pPr>
            <w:bookmarkStart w:id="28" w:name="_Toc10236"/>
            <w:r>
              <w:rPr>
                <w:rFonts w:hint="default" w:ascii="Times New Roman" w:hAnsi="Times New Roman" w:cs="Times New Roman" w:eastAsiaTheme="minorEastAsia"/>
                <w:bCs/>
                <w:color w:val="auto"/>
                <w:spacing w:val="0"/>
                <w:kern w:val="2"/>
                <w:sz w:val="21"/>
                <w:szCs w:val="21"/>
                <w:highlight w:val="none"/>
              </w:rPr>
              <w:t>运营期生态环境影响分析</w:t>
            </w:r>
            <w:bookmarkEnd w:id="28"/>
          </w:p>
        </w:tc>
        <w:tc>
          <w:tcPr>
            <w:tcW w:w="8209" w:type="dxa"/>
          </w:tcPr>
          <w:p w14:paraId="0231AE45">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pacing w:val="0"/>
                <w:kern w:val="0"/>
                <w:sz w:val="21"/>
                <w:szCs w:val="21"/>
                <w:highlight w:val="none"/>
                <w:lang w:val="en-US" w:eastAsia="zh-CN"/>
              </w:rPr>
            </w:pPr>
            <w:r>
              <w:rPr>
                <w:rFonts w:hint="default" w:ascii="Times New Roman" w:hAnsi="Times New Roman" w:cs="Times New Roman" w:eastAsiaTheme="minorEastAsia"/>
                <w:b/>
                <w:bCs/>
                <w:color w:val="auto"/>
                <w:spacing w:val="0"/>
                <w:kern w:val="0"/>
                <w:sz w:val="21"/>
                <w:szCs w:val="21"/>
                <w:highlight w:val="none"/>
                <w:lang w:val="en-US" w:eastAsia="zh-CN"/>
              </w:rPr>
              <w:t>1、</w:t>
            </w:r>
            <w:r>
              <w:rPr>
                <w:rFonts w:hint="default" w:ascii="Times New Roman" w:hAnsi="Times New Roman" w:cs="Times New Roman"/>
                <w:b/>
                <w:bCs/>
                <w:color w:val="auto"/>
                <w:spacing w:val="0"/>
                <w:sz w:val="21"/>
                <w:szCs w:val="21"/>
                <w:highlight w:val="none"/>
              </w:rPr>
              <w:t>对地表水环境的影响</w:t>
            </w:r>
          </w:p>
          <w:p w14:paraId="5286A24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pacing w:val="0"/>
                <w:kern w:val="0"/>
                <w:sz w:val="21"/>
                <w:szCs w:val="21"/>
                <w:highlight w:val="none"/>
              </w:rPr>
            </w:pPr>
            <w:r>
              <w:rPr>
                <w:rFonts w:hint="default" w:ascii="Times New Roman" w:hAnsi="Times New Roman" w:cs="Times New Roman" w:eastAsiaTheme="minorEastAsia"/>
                <w:b w:val="0"/>
                <w:bCs w:val="0"/>
                <w:color w:val="auto"/>
                <w:spacing w:val="0"/>
                <w:kern w:val="0"/>
                <w:sz w:val="21"/>
                <w:szCs w:val="21"/>
                <w:highlight w:val="none"/>
                <w:lang w:eastAsia="zh-CN"/>
              </w:rPr>
              <w:t>（</w:t>
            </w:r>
            <w:r>
              <w:rPr>
                <w:rFonts w:hint="default" w:ascii="Times New Roman" w:hAnsi="Times New Roman" w:cs="Times New Roman" w:eastAsiaTheme="minorEastAsia"/>
                <w:b w:val="0"/>
                <w:bCs w:val="0"/>
                <w:color w:val="auto"/>
                <w:spacing w:val="0"/>
                <w:kern w:val="0"/>
                <w:sz w:val="21"/>
                <w:szCs w:val="21"/>
                <w:highlight w:val="none"/>
                <w:lang w:val="en-US" w:eastAsia="zh-CN"/>
              </w:rPr>
              <w:t>1</w:t>
            </w:r>
            <w:r>
              <w:rPr>
                <w:rFonts w:hint="default" w:ascii="Times New Roman" w:hAnsi="Times New Roman" w:cs="Times New Roman" w:eastAsiaTheme="minorEastAsia"/>
                <w:b w:val="0"/>
                <w:bCs w:val="0"/>
                <w:color w:val="auto"/>
                <w:spacing w:val="0"/>
                <w:kern w:val="0"/>
                <w:sz w:val="21"/>
                <w:szCs w:val="21"/>
                <w:highlight w:val="none"/>
                <w:lang w:eastAsia="zh-CN"/>
              </w:rPr>
              <w:t>）</w:t>
            </w:r>
            <w:r>
              <w:rPr>
                <w:rFonts w:hint="default" w:ascii="Times New Roman" w:hAnsi="Times New Roman" w:cs="Times New Roman" w:eastAsiaTheme="minorEastAsia"/>
                <w:color w:val="auto"/>
                <w:spacing w:val="0"/>
                <w:kern w:val="0"/>
                <w:sz w:val="21"/>
                <w:szCs w:val="21"/>
                <w:highlight w:val="none"/>
              </w:rPr>
              <w:t>水文情势影响</w:t>
            </w:r>
          </w:p>
          <w:p w14:paraId="05C89949">
            <w:pPr>
              <w:pStyle w:val="68"/>
              <w:ind w:firstLine="420"/>
              <w:rPr>
                <w:color w:val="auto"/>
                <w:highlight w:val="none"/>
              </w:rPr>
            </w:pPr>
            <w:r>
              <w:rPr>
                <w:rFonts w:hint="eastAsia"/>
                <w:color w:val="auto"/>
                <w:highlight w:val="none"/>
              </w:rPr>
              <w:t>本次除险加固工程实施后，</w:t>
            </w:r>
            <w:r>
              <w:rPr>
                <w:color w:val="auto"/>
                <w:highlight w:val="none"/>
              </w:rPr>
              <w:t>运行期未改变水库的库容、流量、水位等工程特性，对水库的水利调度情况无影响，因而对库区的流速等水文特性影响较小。此外，项目完工后，将更好的保障水库下游的防洪、灌溉等功能，对下游水位、流速等水文情势也无影响。本项目主体工程大都在原址基础上进行除险加固，不改变水库设计正常蓄水位，不进行增容，不改变水库流量、水位等工程特性，除险加固工程后防洪调度运用原则与现状调度运用原则基本一致，因</w:t>
            </w:r>
            <w:r>
              <w:rPr>
                <w:rFonts w:hint="eastAsia"/>
                <w:color w:val="auto"/>
                <w:highlight w:val="none"/>
                <w:lang w:val="en-US" w:eastAsia="zh-CN"/>
              </w:rPr>
              <w:t>此，</w:t>
            </w:r>
            <w:r>
              <w:rPr>
                <w:color w:val="auto"/>
                <w:highlight w:val="none"/>
              </w:rPr>
              <w:t>运行期对库区上下游水文情势</w:t>
            </w:r>
            <w:r>
              <w:rPr>
                <w:rFonts w:hint="default" w:ascii="Times New Roman" w:hAnsi="Times New Roman" w:cs="Times New Roman" w:eastAsiaTheme="minorEastAsia"/>
                <w:color w:val="auto"/>
                <w:spacing w:val="0"/>
                <w:kern w:val="0"/>
                <w:sz w:val="21"/>
                <w:szCs w:val="21"/>
                <w:highlight w:val="none"/>
              </w:rPr>
              <w:t>不会产生</w:t>
            </w:r>
            <w:r>
              <w:rPr>
                <w:color w:val="auto"/>
                <w:highlight w:val="none"/>
              </w:rPr>
              <w:t>影响。</w:t>
            </w:r>
          </w:p>
          <w:p w14:paraId="728409F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pacing w:val="0"/>
                <w:kern w:val="0"/>
                <w:sz w:val="21"/>
                <w:szCs w:val="21"/>
                <w:highlight w:val="none"/>
              </w:rPr>
            </w:pPr>
            <w:r>
              <w:rPr>
                <w:rFonts w:hint="default" w:ascii="Times New Roman" w:hAnsi="Times New Roman" w:cs="Times New Roman" w:eastAsiaTheme="minorEastAsia"/>
                <w:color w:val="auto"/>
                <w:spacing w:val="0"/>
                <w:kern w:val="0"/>
                <w:sz w:val="21"/>
                <w:szCs w:val="21"/>
                <w:highlight w:val="none"/>
              </w:rPr>
              <w:t>（2）地表水水质</w:t>
            </w:r>
          </w:p>
          <w:p w14:paraId="275F6AF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eastAsiaTheme="minorEastAsia"/>
                <w:color w:val="auto"/>
                <w:kern w:val="0"/>
                <w:sz w:val="21"/>
                <w:szCs w:val="21"/>
                <w:highlight w:val="none"/>
              </w:rPr>
              <w:t>水库除险加固实施后，水库运行本身不产生水污染物，不会对地表水环境产生不利影响。</w:t>
            </w:r>
            <w:r>
              <w:rPr>
                <w:rFonts w:hint="eastAsia" w:ascii="Times New Roman" w:hAnsi="Times New Roman" w:eastAsia="宋体" w:cs="Times New Roman"/>
                <w:color w:val="auto"/>
                <w:sz w:val="21"/>
                <w:szCs w:val="21"/>
                <w:highlight w:val="none"/>
                <w:lang w:eastAsia="zh-CN"/>
              </w:rPr>
              <w:t>运营期管理站房不新增工作人员，无新增生活污水，</w:t>
            </w:r>
            <w:r>
              <w:rPr>
                <w:rFonts w:hint="eastAsia" w:ascii="Times New Roman" w:hAnsi="Times New Roman" w:eastAsia="宋体" w:cs="Times New Roman"/>
                <w:color w:val="auto"/>
                <w:sz w:val="21"/>
                <w:szCs w:val="21"/>
                <w:highlight w:val="none"/>
                <w:lang w:val="en-US" w:eastAsia="zh-CN"/>
              </w:rPr>
              <w:t>不会对地表水环境产生不利影响。</w:t>
            </w:r>
          </w:p>
          <w:p w14:paraId="43A51EE8">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pacing w:val="0"/>
                <w:sz w:val="21"/>
                <w:szCs w:val="21"/>
                <w:highlight w:val="none"/>
              </w:rPr>
            </w:pPr>
            <w:r>
              <w:rPr>
                <w:rFonts w:hint="default" w:ascii="Times New Roman" w:hAnsi="Times New Roman" w:cs="Times New Roman" w:eastAsiaTheme="minorEastAsia"/>
                <w:b/>
                <w:bCs/>
                <w:color w:val="auto"/>
                <w:spacing w:val="0"/>
                <w:sz w:val="21"/>
                <w:szCs w:val="21"/>
                <w:highlight w:val="none"/>
                <w:lang w:val="en-US" w:eastAsia="zh-CN"/>
              </w:rPr>
              <w:t>2、</w:t>
            </w:r>
            <w:r>
              <w:rPr>
                <w:rFonts w:hint="default" w:ascii="Times New Roman" w:hAnsi="Times New Roman" w:cs="Times New Roman" w:eastAsiaTheme="minorEastAsia"/>
                <w:b/>
                <w:bCs/>
                <w:color w:val="auto"/>
                <w:spacing w:val="0"/>
                <w:sz w:val="21"/>
                <w:szCs w:val="21"/>
                <w:highlight w:val="none"/>
              </w:rPr>
              <w:t>地下水环境影响分析</w:t>
            </w:r>
          </w:p>
          <w:p w14:paraId="5B12BD0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pacing w:val="0"/>
                <w:kern w:val="0"/>
                <w:sz w:val="21"/>
                <w:szCs w:val="21"/>
                <w:highlight w:val="none"/>
              </w:rPr>
            </w:pPr>
            <w:r>
              <w:rPr>
                <w:rFonts w:hint="default" w:ascii="Times New Roman" w:hAnsi="Times New Roman" w:cs="Times New Roman" w:eastAsiaTheme="minorEastAsia"/>
                <w:color w:val="auto"/>
                <w:spacing w:val="0"/>
                <w:kern w:val="0"/>
                <w:sz w:val="21"/>
                <w:szCs w:val="21"/>
                <w:highlight w:val="none"/>
              </w:rPr>
              <w:t>本次除险加固后可有效减少水库的水量渗漏损失，逐渐形成未渗漏时的地下水动态平衡，工程区地下水的补给来源主要为大气降水，即水库除险加固后不会引起区域地下水流场或地下水水位变化。</w:t>
            </w:r>
          </w:p>
          <w:p w14:paraId="1305B80B">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pacing w:val="0"/>
                <w:kern w:val="0"/>
                <w:sz w:val="21"/>
                <w:szCs w:val="21"/>
                <w:highlight w:val="none"/>
                <w:lang w:val="en-US" w:eastAsia="zh-CN"/>
              </w:rPr>
            </w:pPr>
            <w:r>
              <w:rPr>
                <w:rFonts w:hint="default" w:ascii="Times New Roman" w:hAnsi="Times New Roman" w:cs="Times New Roman" w:eastAsiaTheme="minorEastAsia"/>
                <w:b/>
                <w:bCs/>
                <w:color w:val="auto"/>
                <w:spacing w:val="0"/>
                <w:kern w:val="0"/>
                <w:sz w:val="21"/>
                <w:szCs w:val="21"/>
                <w:highlight w:val="none"/>
                <w:lang w:val="en-US" w:eastAsia="zh-CN"/>
              </w:rPr>
              <w:t>3、对生态环境的影响</w:t>
            </w:r>
          </w:p>
          <w:p w14:paraId="36A1617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Cs/>
                <w:color w:val="auto"/>
                <w:szCs w:val="21"/>
                <w:highlight w:val="none"/>
                <w:lang w:eastAsia="zh-CN"/>
              </w:rPr>
            </w:pPr>
            <w:r>
              <w:rPr>
                <w:rFonts w:hint="default" w:ascii="Times New Roman" w:hAnsi="Times New Roman" w:cs="Times New Roman" w:eastAsiaTheme="minorEastAsia"/>
                <w:color w:val="auto"/>
                <w:spacing w:val="0"/>
                <w:kern w:val="0"/>
                <w:sz w:val="21"/>
                <w:szCs w:val="21"/>
                <w:highlight w:val="none"/>
              </w:rPr>
              <w:t>本工程</w:t>
            </w:r>
            <w:r>
              <w:rPr>
                <w:rFonts w:hint="eastAsia" w:cs="Times New Roman" w:eastAsiaTheme="minorEastAsia"/>
                <w:color w:val="auto"/>
                <w:spacing w:val="0"/>
                <w:kern w:val="0"/>
                <w:sz w:val="21"/>
                <w:szCs w:val="21"/>
                <w:highlight w:val="none"/>
                <w:lang w:val="en-US" w:eastAsia="zh-CN"/>
              </w:rPr>
              <w:t>为</w:t>
            </w:r>
            <w:r>
              <w:rPr>
                <w:rFonts w:hint="default" w:ascii="Times New Roman" w:hAnsi="Times New Roman" w:cs="Times New Roman" w:eastAsiaTheme="minorEastAsia"/>
                <w:color w:val="auto"/>
                <w:spacing w:val="0"/>
                <w:kern w:val="0"/>
                <w:sz w:val="21"/>
                <w:szCs w:val="21"/>
                <w:highlight w:val="none"/>
              </w:rPr>
              <w:t>生态影响类项目</w:t>
            </w:r>
            <w:r>
              <w:rPr>
                <w:rFonts w:hint="eastAsia" w:cs="Times New Roman" w:eastAsiaTheme="minorEastAsia"/>
                <w:color w:val="auto"/>
                <w:spacing w:val="0"/>
                <w:kern w:val="0"/>
                <w:sz w:val="21"/>
                <w:szCs w:val="21"/>
                <w:highlight w:val="none"/>
                <w:lang w:eastAsia="zh-CN"/>
              </w:rPr>
              <w:t>，</w:t>
            </w:r>
            <w:r>
              <w:rPr>
                <w:rFonts w:hint="default" w:ascii="Times New Roman" w:hAnsi="Times New Roman" w:cs="Times New Roman" w:eastAsiaTheme="minorEastAsia"/>
                <w:color w:val="auto"/>
                <w:spacing w:val="0"/>
                <w:kern w:val="0"/>
                <w:sz w:val="21"/>
                <w:szCs w:val="21"/>
                <w:highlight w:val="none"/>
              </w:rPr>
              <w:t>工程完工后，临时占地清理后进行全面整地并恢复原地类的生态功能，经过生态恢复整治，临时占地对陆生生态环境影响不大。本工程完工后不改变水库的原功能，不改变库区正常蓄水位，实际运行时，河道内水位、流速较工程实施前基本没有变化，水生生境基本维持原状。因此本工程运行对评价范围内及上下游水生生态环境不会造成影响。</w:t>
            </w:r>
          </w:p>
        </w:tc>
      </w:tr>
      <w:tr w14:paraId="2DD677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dxa"/>
            <w:vAlign w:val="center"/>
          </w:tcPr>
          <w:p w14:paraId="6BE9D121">
            <w:pPr>
              <w:pStyle w:val="2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Times New Roman" w:eastAsiaTheme="minorEastAsia"/>
                <w:bCs/>
                <w:color w:val="auto"/>
                <w:kern w:val="2"/>
                <w:sz w:val="21"/>
                <w:szCs w:val="21"/>
                <w:highlight w:val="none"/>
              </w:rPr>
            </w:pPr>
            <w:bookmarkStart w:id="29" w:name="_Toc20762"/>
            <w:r>
              <w:rPr>
                <w:rFonts w:hint="default" w:ascii="Times New Roman" w:hAnsi="Times New Roman" w:cs="Times New Roman" w:eastAsiaTheme="minorEastAsia"/>
                <w:bCs/>
                <w:color w:val="auto"/>
                <w:kern w:val="2"/>
                <w:sz w:val="21"/>
                <w:szCs w:val="21"/>
                <w:highlight w:val="none"/>
              </w:rPr>
              <w:t>选址选线环境合理性分析</w:t>
            </w:r>
            <w:bookmarkEnd w:id="29"/>
          </w:p>
        </w:tc>
        <w:tc>
          <w:tcPr>
            <w:tcW w:w="8209" w:type="dxa"/>
          </w:tcPr>
          <w:p w14:paraId="0D3B5391">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bCs/>
                <w:color w:val="auto"/>
                <w:sz w:val="21"/>
                <w:szCs w:val="21"/>
                <w:highlight w:val="none"/>
                <w:lang w:val="en-US" w:eastAsia="zh-CN"/>
              </w:rPr>
              <w:t>1、</w:t>
            </w:r>
            <w:r>
              <w:rPr>
                <w:rFonts w:hint="default" w:ascii="Times New Roman" w:hAnsi="Times New Roman" w:cs="Times New Roman" w:eastAsiaTheme="minorEastAsia"/>
                <w:b/>
                <w:bCs/>
                <w:color w:val="auto"/>
                <w:sz w:val="21"/>
                <w:szCs w:val="21"/>
                <w:highlight w:val="none"/>
              </w:rPr>
              <w:t>项目选址、选线合理性分析</w:t>
            </w:r>
          </w:p>
          <w:p w14:paraId="737CE12F">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color w:val="auto"/>
                <w:highlight w:val="none"/>
              </w:rPr>
            </w:pPr>
            <w:r>
              <w:rPr>
                <w:color w:val="auto"/>
                <w:sz w:val="21"/>
                <w:szCs w:val="21"/>
                <w:highlight w:val="none"/>
              </w:rPr>
              <w:t>项目选址涉及</w:t>
            </w:r>
            <w:r>
              <w:rPr>
                <w:rFonts w:hint="eastAsia"/>
                <w:color w:val="auto"/>
                <w:sz w:val="21"/>
                <w:szCs w:val="21"/>
                <w:highlight w:val="none"/>
                <w:lang w:val="en-US" w:eastAsia="zh-CN"/>
              </w:rPr>
              <w:t>省</w:t>
            </w:r>
            <w:r>
              <w:rPr>
                <w:color w:val="auto"/>
                <w:sz w:val="21"/>
                <w:szCs w:val="21"/>
                <w:highlight w:val="none"/>
              </w:rPr>
              <w:t>级水土流失重点治理区，无法避让，本项目通过采取东北黑土区水土流失防治一级标准，减少地表扰动，合理调配土石方，优化施工工艺等一系列措施后可有效减少建设期产生的水土流失</w:t>
            </w:r>
            <w:r>
              <w:rPr>
                <w:rFonts w:hint="eastAsia"/>
                <w:color w:val="auto"/>
                <w:sz w:val="21"/>
                <w:szCs w:val="21"/>
                <w:highlight w:val="none"/>
                <w:lang w:val="en-US" w:eastAsia="zh-CN"/>
              </w:rPr>
              <w:t>及影响</w:t>
            </w:r>
            <w:r>
              <w:rPr>
                <w:color w:val="auto"/>
                <w:sz w:val="21"/>
                <w:szCs w:val="21"/>
                <w:highlight w:val="none"/>
              </w:rPr>
              <w:t>。</w:t>
            </w:r>
          </w:p>
          <w:p w14:paraId="55E39FA1">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eastAsia" w:eastAsia="宋体"/>
                <w:color w:val="auto"/>
                <w:sz w:val="21"/>
                <w:szCs w:val="21"/>
                <w:highlight w:val="none"/>
                <w:lang w:eastAsia="zh-CN"/>
              </w:rPr>
            </w:pPr>
            <w:r>
              <w:rPr>
                <w:color w:val="auto"/>
                <w:sz w:val="21"/>
                <w:szCs w:val="21"/>
                <w:highlight w:val="none"/>
              </w:rPr>
              <w:t>本项目工程选址不涉及生态保护红线，不涉及自然保护区、风景名胜区、饮用水水源保护区等环境敏感区域，无环境制约因素。本项目不在生态保护红线内，不涉及占用基本农田</w:t>
            </w:r>
            <w:r>
              <w:rPr>
                <w:rFonts w:hint="eastAsia"/>
                <w:color w:val="auto"/>
                <w:sz w:val="21"/>
                <w:szCs w:val="21"/>
                <w:highlight w:val="none"/>
                <w:lang w:eastAsia="zh-CN"/>
              </w:rPr>
              <w:t>。</w:t>
            </w:r>
          </w:p>
          <w:p w14:paraId="4C7FFF75">
            <w:pPr>
              <w:pStyle w:val="68"/>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color w:val="auto"/>
                <w:sz w:val="21"/>
                <w:szCs w:val="21"/>
                <w:highlight w:val="none"/>
              </w:rPr>
            </w:pPr>
            <w:r>
              <w:rPr>
                <w:color w:val="auto"/>
                <w:sz w:val="21"/>
                <w:szCs w:val="21"/>
                <w:highlight w:val="none"/>
              </w:rPr>
              <w:t>施工期各项措施远离敏感区，尽可能减少对环境的扰动，在采取各项保护措施后，污染物排放能够达到相应的排放标准，且污染主要集中在施工期，施工期结束后污染随即消失，不会造成区域环境污染和生态破坏。</w:t>
            </w:r>
          </w:p>
          <w:p w14:paraId="6578172D">
            <w:pPr>
              <w:pStyle w:val="68"/>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color w:val="auto"/>
                <w:sz w:val="21"/>
                <w:szCs w:val="21"/>
                <w:highlight w:val="none"/>
              </w:rPr>
            </w:pPr>
            <w:r>
              <w:rPr>
                <w:color w:val="auto"/>
                <w:sz w:val="21"/>
                <w:szCs w:val="21"/>
                <w:highlight w:val="none"/>
              </w:rPr>
              <w:t>外环境没有对本项目影响较大的环境制约因素，所在区域的空气环境质量、水环境质量、声环境质量等现状良好。项目区占地不占用基本农田。</w:t>
            </w:r>
          </w:p>
          <w:p w14:paraId="1515C3D1">
            <w:pPr>
              <w:pStyle w:val="68"/>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color w:val="auto"/>
                <w:sz w:val="21"/>
                <w:szCs w:val="21"/>
                <w:highlight w:val="none"/>
              </w:rPr>
            </w:pPr>
            <w:r>
              <w:rPr>
                <w:color w:val="auto"/>
                <w:sz w:val="21"/>
                <w:szCs w:val="21"/>
                <w:highlight w:val="none"/>
              </w:rPr>
              <w:t>本项目为水库除险加固工程，本工程改造过程将维持原路线基本不动、占地为水域及水利设施用地，施工过程除险加固工程区均在水库现有范围内建设</w:t>
            </w:r>
            <w:r>
              <w:rPr>
                <w:rFonts w:hint="eastAsia"/>
                <w:color w:val="auto"/>
                <w:sz w:val="21"/>
                <w:szCs w:val="21"/>
                <w:highlight w:val="none"/>
              </w:rPr>
              <w:t>。</w:t>
            </w:r>
          </w:p>
          <w:p w14:paraId="1D505F0F">
            <w:pPr>
              <w:pStyle w:val="68"/>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color w:val="auto"/>
                <w:sz w:val="21"/>
                <w:szCs w:val="21"/>
                <w:highlight w:val="none"/>
              </w:rPr>
            </w:pPr>
            <w:r>
              <w:rPr>
                <w:color w:val="auto"/>
                <w:sz w:val="21"/>
                <w:szCs w:val="21"/>
                <w:highlight w:val="none"/>
              </w:rPr>
              <w:t>本工程实施不新征</w:t>
            </w:r>
            <w:r>
              <w:rPr>
                <w:rFonts w:hint="eastAsia"/>
                <w:color w:val="auto"/>
                <w:sz w:val="21"/>
                <w:szCs w:val="21"/>
                <w:highlight w:val="none"/>
                <w:lang w:val="en-US" w:eastAsia="zh-CN"/>
              </w:rPr>
              <w:t>永久</w:t>
            </w:r>
            <w:r>
              <w:rPr>
                <w:color w:val="auto"/>
                <w:sz w:val="21"/>
                <w:szCs w:val="21"/>
                <w:highlight w:val="none"/>
              </w:rPr>
              <w:t>用地，不改变原水库的现状，项目建成后可以改善水库水利条件，防止洪水冲刷坝脚及两岸，提高泄洪可靠性，保证大坝的安全运行。项目占地区域为水域及水利设施用地，不涉及耕地、基本农田、饮用水源保护区等敏感保护区，所在区域周围环境质量现状良好，符合环境工程规划。</w:t>
            </w:r>
          </w:p>
          <w:p w14:paraId="5CA75AFB">
            <w:pPr>
              <w:pStyle w:val="68"/>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rFonts w:hint="default"/>
                <w:color w:val="auto"/>
                <w:sz w:val="21"/>
                <w:szCs w:val="21"/>
                <w:highlight w:val="none"/>
              </w:rPr>
            </w:pPr>
            <w:r>
              <w:rPr>
                <w:color w:val="auto"/>
                <w:sz w:val="21"/>
                <w:szCs w:val="21"/>
                <w:highlight w:val="none"/>
              </w:rPr>
              <w:t>采取上述措施后，本项目占地影响在施工期结束后会恢复，不会造成较大影响，因此本项目选址选线基本合理。</w:t>
            </w:r>
          </w:p>
          <w:p w14:paraId="550FA98B">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lang w:val="en-US" w:eastAsia="zh-CN"/>
              </w:rPr>
              <w:t>2、</w:t>
            </w:r>
            <w:r>
              <w:rPr>
                <w:rFonts w:hint="default" w:ascii="Times New Roman" w:hAnsi="Times New Roman" w:cs="Times New Roman" w:eastAsiaTheme="minorEastAsia"/>
                <w:b/>
                <w:bCs/>
                <w:color w:val="auto"/>
                <w:sz w:val="21"/>
                <w:szCs w:val="21"/>
                <w:highlight w:val="none"/>
              </w:rPr>
              <w:t>施工布置的合理性分析</w:t>
            </w:r>
          </w:p>
          <w:p w14:paraId="0DFA6E9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（1）施工生产生活区</w:t>
            </w:r>
            <w:r>
              <w:rPr>
                <w:rFonts w:hint="eastAsia" w:cs="Times New Roman" w:eastAsiaTheme="minorEastAsia"/>
                <w:color w:val="auto"/>
                <w:kern w:val="0"/>
                <w:sz w:val="21"/>
                <w:szCs w:val="21"/>
                <w:highlight w:val="none"/>
                <w:lang w:val="en-US" w:eastAsia="zh-CN"/>
              </w:rPr>
              <w:t>及填塘工程区</w:t>
            </w:r>
            <w:r>
              <w:rPr>
                <w:rFonts w:hint="default" w:ascii="Times New Roman" w:hAnsi="Times New Roman" w:cs="Times New Roman" w:eastAsiaTheme="minorEastAsia"/>
                <w:color w:val="auto"/>
                <w:kern w:val="0"/>
                <w:sz w:val="21"/>
                <w:szCs w:val="21"/>
                <w:highlight w:val="none"/>
              </w:rPr>
              <w:t>布置环境合理性分析</w:t>
            </w:r>
          </w:p>
          <w:p w14:paraId="25FD939C">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val="en-US" w:eastAsia="zh-CN"/>
              </w:rPr>
              <w:t>临时占地为施工生产区及填塘工程区</w:t>
            </w:r>
            <w:r>
              <w:rPr>
                <w:rFonts w:hint="default" w:ascii="Times New Roman" w:hAnsi="Times New Roman" w:eastAsia="宋体" w:cs="Times New Roman"/>
                <w:color w:val="auto"/>
                <w:kern w:val="0"/>
                <w:sz w:val="21"/>
                <w:szCs w:val="21"/>
                <w:highlight w:val="none"/>
              </w:rPr>
              <w:t>，占地类型为水域及水利设施用地</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cs="Times New Roman" w:eastAsiaTheme="minorEastAsia"/>
                <w:color w:val="auto"/>
                <w:kern w:val="0"/>
                <w:sz w:val="21"/>
                <w:szCs w:val="21"/>
                <w:highlight w:val="none"/>
              </w:rPr>
              <w:t>施工结束临建拆除，对占用</w:t>
            </w:r>
            <w:r>
              <w:rPr>
                <w:rFonts w:hint="default" w:ascii="Times New Roman" w:hAnsi="Times New Roman" w:cs="Times New Roman" w:eastAsiaTheme="minorEastAsia"/>
                <w:color w:val="auto"/>
                <w:sz w:val="21"/>
                <w:szCs w:val="21"/>
                <w:highlight w:val="none"/>
                <w:lang w:eastAsia="zh-CN"/>
              </w:rPr>
              <w:t>管理</w:t>
            </w:r>
            <w:r>
              <w:rPr>
                <w:rFonts w:hint="eastAsia" w:cs="Times New Roman" w:eastAsiaTheme="minorEastAsia"/>
                <w:color w:val="auto"/>
                <w:sz w:val="21"/>
                <w:szCs w:val="21"/>
                <w:highlight w:val="none"/>
                <w:lang w:val="en-US" w:eastAsia="zh-CN"/>
              </w:rPr>
              <w:t>房</w:t>
            </w:r>
            <w:r>
              <w:rPr>
                <w:rFonts w:hint="default" w:ascii="Times New Roman" w:hAnsi="Times New Roman" w:cs="Times New Roman" w:eastAsiaTheme="minorEastAsia"/>
                <w:color w:val="auto"/>
                <w:kern w:val="0"/>
                <w:sz w:val="21"/>
                <w:szCs w:val="21"/>
                <w:highlight w:val="none"/>
              </w:rPr>
              <w:t>区域</w:t>
            </w:r>
            <w:r>
              <w:rPr>
                <w:rFonts w:hint="eastAsia" w:cs="Times New Roman" w:eastAsiaTheme="minorEastAsia"/>
                <w:color w:val="auto"/>
                <w:kern w:val="0"/>
                <w:sz w:val="21"/>
                <w:szCs w:val="21"/>
                <w:highlight w:val="none"/>
                <w:lang w:val="en-US" w:eastAsia="zh-CN"/>
              </w:rPr>
              <w:t>及填塘区</w:t>
            </w:r>
            <w:r>
              <w:rPr>
                <w:rFonts w:hint="default" w:ascii="Times New Roman" w:hAnsi="Times New Roman" w:cs="Times New Roman" w:eastAsiaTheme="minorEastAsia"/>
                <w:color w:val="auto"/>
                <w:kern w:val="0"/>
                <w:sz w:val="21"/>
                <w:szCs w:val="21"/>
                <w:highlight w:val="none"/>
              </w:rPr>
              <w:t>采取</w:t>
            </w:r>
            <w:r>
              <w:rPr>
                <w:rFonts w:hint="default" w:ascii="Times New Roman" w:hAnsi="Times New Roman" w:cs="Times New Roman" w:eastAsiaTheme="minorEastAsia"/>
                <w:color w:val="auto"/>
                <w:kern w:val="0"/>
                <w:sz w:val="21"/>
                <w:szCs w:val="21"/>
                <w:highlight w:val="none"/>
                <w:lang w:eastAsia="zh-CN"/>
              </w:rPr>
              <w:t>恢复</w:t>
            </w:r>
            <w:r>
              <w:rPr>
                <w:rFonts w:hint="default" w:ascii="Times New Roman" w:hAnsi="Times New Roman" w:cs="Times New Roman" w:eastAsiaTheme="minorEastAsia"/>
                <w:color w:val="auto"/>
                <w:kern w:val="0"/>
                <w:sz w:val="21"/>
                <w:szCs w:val="21"/>
                <w:highlight w:val="none"/>
              </w:rPr>
              <w:t>措施，施工生产设施集中布置，有利于各施工污染环节统一集中处理，保证处理效果，避免对水体的污染。</w:t>
            </w:r>
            <w:r>
              <w:rPr>
                <w:color w:val="auto"/>
                <w:sz w:val="21"/>
                <w:szCs w:val="21"/>
                <w:highlight w:val="none"/>
              </w:rPr>
              <w:t>综上所述，本工程的</w:t>
            </w:r>
            <w:r>
              <w:rPr>
                <w:rFonts w:hint="default" w:ascii="Times New Roman" w:hAnsi="Times New Roman" w:eastAsia="宋体" w:cs="Times New Roman"/>
                <w:color w:val="auto"/>
                <w:highlight w:val="none"/>
                <w:lang w:eastAsia="zh-CN"/>
              </w:rPr>
              <w:t>施工布置</w:t>
            </w:r>
            <w:r>
              <w:rPr>
                <w:color w:val="auto"/>
                <w:sz w:val="21"/>
                <w:szCs w:val="21"/>
                <w:highlight w:val="none"/>
              </w:rPr>
              <w:t>合理。</w:t>
            </w:r>
          </w:p>
          <w:p w14:paraId="4D4999EF">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7F6EB934">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631AA58A">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569831EA">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4E07CD30">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0F2FDFD1">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37BB9189">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42533766">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55194FF6">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60B1365E">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233C270A">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3D67CE3B">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5CABAE85">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3C2F71C0">
            <w:pPr>
              <w:pStyle w:val="68"/>
              <w:keepNext w:val="0"/>
              <w:keepLines w:val="0"/>
              <w:pageBreakBefore w:val="0"/>
              <w:widowControl/>
              <w:kinsoku/>
              <w:wordWrap/>
              <w:overflowPunct/>
              <w:topLinePunct w:val="0"/>
              <w:autoSpaceDE/>
              <w:autoSpaceDN/>
              <w:bidi w:val="0"/>
              <w:adjustRightInd/>
              <w:snapToGrid/>
              <w:ind w:firstLine="420"/>
              <w:textAlignment w:val="auto"/>
              <w:rPr>
                <w:color w:val="auto"/>
                <w:sz w:val="21"/>
                <w:szCs w:val="21"/>
                <w:highlight w:val="none"/>
              </w:rPr>
            </w:pPr>
          </w:p>
          <w:p w14:paraId="6EB789C4">
            <w:pPr>
              <w:pStyle w:val="68"/>
              <w:keepNext w:val="0"/>
              <w:keepLines w:val="0"/>
              <w:pageBreakBefore w:val="0"/>
              <w:widowControl/>
              <w:kinsoku/>
              <w:wordWrap/>
              <w:overflowPunct/>
              <w:topLinePunct w:val="0"/>
              <w:autoSpaceDE/>
              <w:autoSpaceDN/>
              <w:bidi w:val="0"/>
              <w:adjustRightInd/>
              <w:snapToGrid/>
              <w:ind w:firstLine="420"/>
              <w:textAlignment w:val="auto"/>
              <w:rPr>
                <w:rFonts w:hint="default"/>
                <w:color w:val="auto"/>
                <w:sz w:val="21"/>
                <w:szCs w:val="21"/>
                <w:highlight w:val="none"/>
              </w:rPr>
            </w:pPr>
          </w:p>
        </w:tc>
      </w:tr>
    </w:tbl>
    <w:p w14:paraId="37843449">
      <w:pPr>
        <w:pStyle w:val="20"/>
        <w:jc w:val="center"/>
        <w:outlineLvl w:val="0"/>
        <w:rPr>
          <w:rFonts w:hint="default" w:ascii="Times New Roman" w:hAnsi="Times New Roman" w:eastAsia="黑体" w:cs="Times New Roman"/>
          <w:snapToGrid w:val="0"/>
          <w:color w:val="auto"/>
          <w:sz w:val="30"/>
          <w:szCs w:val="3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30" w:name="_Toc12113"/>
    </w:p>
    <w:p w14:paraId="4F228625">
      <w:pPr>
        <w:pStyle w:val="20"/>
        <w:jc w:val="center"/>
        <w:outlineLvl w:val="0"/>
        <w:rPr>
          <w:rFonts w:hint="default" w:ascii="Times New Roman" w:hAnsi="Times New Roman" w:eastAsia="黑体" w:cs="Times New Roman"/>
          <w:snapToGrid w:val="0"/>
          <w:color w:val="auto"/>
          <w:sz w:val="30"/>
          <w:szCs w:val="30"/>
          <w:highlight w:val="none"/>
        </w:rPr>
      </w:pPr>
      <w:bookmarkStart w:id="31" w:name="_Toc24021"/>
      <w:bookmarkStart w:id="32" w:name="_Toc17214"/>
      <w:bookmarkStart w:id="33" w:name="_Toc29204"/>
      <w:r>
        <w:rPr>
          <w:rFonts w:hint="default" w:ascii="Times New Roman" w:hAnsi="Times New Roman" w:eastAsia="黑体" w:cs="Times New Roman"/>
          <w:snapToGrid w:val="0"/>
          <w:color w:val="auto"/>
          <w:sz w:val="30"/>
          <w:szCs w:val="30"/>
          <w:highlight w:val="none"/>
        </w:rPr>
        <w:t>五、主要生态环境保护措施</w:t>
      </w:r>
      <w:bookmarkEnd w:id="30"/>
      <w:bookmarkEnd w:id="31"/>
      <w:bookmarkEnd w:id="32"/>
      <w:bookmarkEnd w:id="33"/>
    </w:p>
    <w:tbl>
      <w:tblPr>
        <w:tblStyle w:val="24"/>
        <w:tblW w:w="90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0"/>
        <w:gridCol w:w="8209"/>
      </w:tblGrid>
      <w:tr w14:paraId="76D01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850" w:type="dxa"/>
            <w:tcMar>
              <w:left w:w="28" w:type="dxa"/>
              <w:right w:w="28" w:type="dxa"/>
            </w:tcMar>
            <w:vAlign w:val="center"/>
          </w:tcPr>
          <w:p w14:paraId="15D6591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pacing w:val="0"/>
                <w:sz w:val="21"/>
                <w:szCs w:val="21"/>
                <w:highlight w:val="none"/>
              </w:rPr>
              <w:t>施工期生态环境保护措施</w:t>
            </w:r>
          </w:p>
        </w:tc>
        <w:tc>
          <w:tcPr>
            <w:tcW w:w="8209" w:type="dxa"/>
          </w:tcPr>
          <w:p w14:paraId="7772D47D">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val="0"/>
                <w:color w:val="auto"/>
                <w:spacing w:val="0"/>
                <w:kern w:val="0"/>
                <w:sz w:val="21"/>
                <w:szCs w:val="21"/>
                <w:highlight w:val="none"/>
                <w:lang w:eastAsia="zh-CN"/>
              </w:rPr>
            </w:pPr>
            <w:r>
              <w:rPr>
                <w:rFonts w:hint="default" w:ascii="Times New Roman" w:hAnsi="Times New Roman" w:cs="Times New Roman"/>
                <w:b/>
                <w:bCs w:val="0"/>
                <w:color w:val="auto"/>
                <w:spacing w:val="0"/>
                <w:sz w:val="21"/>
                <w:szCs w:val="21"/>
                <w:highlight w:val="none"/>
                <w:lang w:val="en-US" w:eastAsia="zh-CN"/>
              </w:rPr>
              <w:t>1、</w:t>
            </w:r>
            <w:r>
              <w:rPr>
                <w:rFonts w:hint="default" w:ascii="Times New Roman" w:hAnsi="Times New Roman" w:cs="Times New Roman"/>
                <w:b/>
                <w:bCs w:val="0"/>
                <w:color w:val="auto"/>
                <w:spacing w:val="0"/>
                <w:sz w:val="21"/>
                <w:szCs w:val="21"/>
                <w:highlight w:val="none"/>
              </w:rPr>
              <w:t>生态保护措施</w:t>
            </w:r>
          </w:p>
          <w:p w14:paraId="79532709">
            <w:pPr>
              <w:pStyle w:val="4"/>
              <w:keepNext w:val="0"/>
              <w:keepLines w:val="0"/>
              <w:pageBreakBefore w:val="0"/>
              <w:widowControl/>
              <w:kinsoku/>
              <w:wordWrap/>
              <w:overflowPunct/>
              <w:topLinePunct w:val="0"/>
              <w:autoSpaceDE/>
              <w:autoSpaceDN/>
              <w:bidi w:val="0"/>
              <w:adjustRightInd/>
              <w:snapToGrid/>
              <w:spacing w:before="0" w:after="0" w:line="360" w:lineRule="auto"/>
              <w:ind w:firstLine="420" w:firstLineChars="200"/>
              <w:textAlignment w:val="auto"/>
              <w:rPr>
                <w:rFonts w:hint="default" w:ascii="Times New Roman" w:hAnsi="Times New Roman" w:cs="Times New Roman"/>
                <w:b w:val="0"/>
                <w:color w:val="auto"/>
                <w:spacing w:val="0"/>
                <w:sz w:val="21"/>
                <w:szCs w:val="21"/>
                <w:highlight w:val="none"/>
              </w:rPr>
            </w:pPr>
            <w:r>
              <w:rPr>
                <w:rFonts w:hint="default" w:ascii="Times New Roman" w:hAnsi="Times New Roman" w:cs="Times New Roman"/>
                <w:b w:val="0"/>
                <w:color w:val="auto"/>
                <w:spacing w:val="0"/>
                <w:sz w:val="21"/>
                <w:szCs w:val="21"/>
                <w:highlight w:val="none"/>
                <w:lang w:eastAsia="zh-CN"/>
              </w:rPr>
              <w:t>（</w:t>
            </w:r>
            <w:r>
              <w:rPr>
                <w:rFonts w:hint="default" w:ascii="Times New Roman" w:hAnsi="Times New Roman" w:cs="Times New Roman"/>
                <w:b w:val="0"/>
                <w:color w:val="auto"/>
                <w:spacing w:val="0"/>
                <w:sz w:val="21"/>
                <w:szCs w:val="21"/>
                <w:highlight w:val="none"/>
                <w:lang w:val="en-US" w:eastAsia="zh-CN"/>
              </w:rPr>
              <w:t>1</w:t>
            </w:r>
            <w:r>
              <w:rPr>
                <w:rFonts w:hint="default" w:ascii="Times New Roman" w:hAnsi="Times New Roman" w:cs="Times New Roman"/>
                <w:b w:val="0"/>
                <w:color w:val="auto"/>
                <w:spacing w:val="0"/>
                <w:sz w:val="21"/>
                <w:szCs w:val="21"/>
                <w:highlight w:val="none"/>
                <w:lang w:eastAsia="zh-CN"/>
              </w:rPr>
              <w:t>）</w:t>
            </w:r>
            <w:r>
              <w:rPr>
                <w:rFonts w:hint="default" w:ascii="Times New Roman" w:hAnsi="Times New Roman" w:cs="Times New Roman"/>
                <w:b w:val="0"/>
                <w:color w:val="auto"/>
                <w:spacing w:val="0"/>
                <w:sz w:val="21"/>
                <w:szCs w:val="21"/>
                <w:highlight w:val="none"/>
              </w:rPr>
              <w:t>预防措施</w:t>
            </w:r>
          </w:p>
          <w:p w14:paraId="6ACE46C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bCs/>
                <w:color w:val="auto"/>
                <w:spacing w:val="0"/>
                <w:kern w:val="0"/>
                <w:sz w:val="21"/>
                <w:szCs w:val="21"/>
                <w:highlight w:val="none"/>
                <w:lang w:eastAsia="zh-CN"/>
              </w:rPr>
            </w:pPr>
            <w:r>
              <w:rPr>
                <w:rFonts w:hint="default" w:ascii="Times New Roman" w:hAnsi="Times New Roman" w:cs="Times New Roman"/>
                <w:b w:val="0"/>
                <w:color w:val="auto"/>
                <w:spacing w:val="0"/>
                <w:sz w:val="21"/>
                <w:szCs w:val="21"/>
                <w:highlight w:val="none"/>
              </w:rPr>
              <w:t>根据工程布置，合理优化施工区布置，尽可能减少临时占地，减少对生态环境破坏。</w:t>
            </w:r>
          </w:p>
          <w:p w14:paraId="0825E241">
            <w:pPr>
              <w:pStyle w:val="4"/>
              <w:keepNext w:val="0"/>
              <w:keepLines w:val="0"/>
              <w:pageBreakBefore w:val="0"/>
              <w:widowControl/>
              <w:kinsoku/>
              <w:wordWrap/>
              <w:overflowPunct/>
              <w:topLinePunct w:val="0"/>
              <w:autoSpaceDE/>
              <w:autoSpaceDN/>
              <w:bidi w:val="0"/>
              <w:adjustRightInd/>
              <w:snapToGrid/>
              <w:spacing w:before="0" w:after="0" w:line="360" w:lineRule="auto"/>
              <w:ind w:firstLine="420" w:firstLineChars="200"/>
              <w:textAlignment w:val="auto"/>
              <w:rPr>
                <w:rFonts w:hint="default" w:ascii="Times New Roman" w:hAnsi="Times New Roman" w:cs="Times New Roman"/>
                <w:b w:val="0"/>
                <w:color w:val="auto"/>
                <w:spacing w:val="0"/>
                <w:sz w:val="21"/>
                <w:szCs w:val="21"/>
                <w:highlight w:val="none"/>
              </w:rPr>
            </w:pPr>
            <w:r>
              <w:rPr>
                <w:rFonts w:hint="default" w:ascii="Times New Roman" w:hAnsi="Times New Roman" w:cs="Times New Roman"/>
                <w:b w:val="0"/>
                <w:color w:val="auto"/>
                <w:spacing w:val="0"/>
                <w:sz w:val="21"/>
                <w:szCs w:val="21"/>
                <w:highlight w:val="none"/>
                <w:lang w:eastAsia="zh-CN"/>
              </w:rPr>
              <w:t>（</w:t>
            </w:r>
            <w:r>
              <w:rPr>
                <w:rFonts w:hint="default" w:ascii="Times New Roman" w:hAnsi="Times New Roman" w:cs="Times New Roman"/>
                <w:b w:val="0"/>
                <w:color w:val="auto"/>
                <w:spacing w:val="0"/>
                <w:sz w:val="21"/>
                <w:szCs w:val="21"/>
                <w:highlight w:val="none"/>
                <w:lang w:val="en-US" w:eastAsia="zh-CN"/>
              </w:rPr>
              <w:t>2</w:t>
            </w:r>
            <w:r>
              <w:rPr>
                <w:rFonts w:hint="default" w:ascii="Times New Roman" w:hAnsi="Times New Roman" w:cs="Times New Roman"/>
                <w:b w:val="0"/>
                <w:color w:val="auto"/>
                <w:spacing w:val="0"/>
                <w:sz w:val="21"/>
                <w:szCs w:val="21"/>
                <w:highlight w:val="none"/>
                <w:lang w:eastAsia="zh-CN"/>
              </w:rPr>
              <w:t>）</w:t>
            </w:r>
            <w:r>
              <w:rPr>
                <w:rFonts w:hint="default" w:ascii="Times New Roman" w:hAnsi="Times New Roman" w:cs="Times New Roman"/>
                <w:b w:val="0"/>
                <w:color w:val="auto"/>
                <w:spacing w:val="0"/>
                <w:sz w:val="21"/>
                <w:szCs w:val="21"/>
                <w:highlight w:val="none"/>
              </w:rPr>
              <w:t>管理措施</w:t>
            </w:r>
          </w:p>
          <w:p w14:paraId="7B4D90B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bCs/>
                <w:color w:val="auto"/>
                <w:spacing w:val="0"/>
                <w:kern w:val="0"/>
                <w:sz w:val="21"/>
                <w:szCs w:val="21"/>
                <w:highlight w:val="none"/>
                <w:lang w:eastAsia="zh-CN"/>
              </w:rPr>
            </w:pPr>
            <w:r>
              <w:rPr>
                <w:rFonts w:hint="default" w:ascii="Times New Roman" w:hAnsi="Times New Roman" w:cs="Times New Roman"/>
                <w:b w:val="0"/>
                <w:color w:val="auto"/>
                <w:spacing w:val="0"/>
                <w:sz w:val="21"/>
                <w:szCs w:val="21"/>
                <w:highlight w:val="none"/>
              </w:rPr>
              <w:t>施工期管理以建设单位为主，联合水务局、生态环境局等相关机构对工程进行施工期管理。生态影响管理人员</w:t>
            </w:r>
            <w:r>
              <w:rPr>
                <w:rFonts w:hint="default" w:ascii="Times New Roman" w:hAnsi="Times New Roman" w:cs="Times New Roman"/>
                <w:b w:val="0"/>
                <w:color w:val="auto"/>
                <w:spacing w:val="0"/>
                <w:sz w:val="21"/>
                <w:szCs w:val="21"/>
                <w:highlight w:val="none"/>
                <w:lang w:eastAsia="zh-CN"/>
              </w:rPr>
              <w:t>，</w:t>
            </w:r>
            <w:r>
              <w:rPr>
                <w:rFonts w:hint="default" w:ascii="Times New Roman" w:hAnsi="Times New Roman" w:cs="Times New Roman"/>
                <w:b w:val="0"/>
                <w:color w:val="auto"/>
                <w:spacing w:val="0"/>
                <w:sz w:val="21"/>
                <w:szCs w:val="21"/>
                <w:highlight w:val="none"/>
              </w:rPr>
              <w:t>纳入项目的环境管理机构，并落实生态管理人员的职能，建立高效、务实的环境保护管理体系。</w:t>
            </w:r>
          </w:p>
          <w:p w14:paraId="5BBC822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color w:val="auto"/>
                <w:spacing w:val="0"/>
                <w:sz w:val="21"/>
                <w:szCs w:val="21"/>
                <w:highlight w:val="none"/>
                <w:lang w:eastAsia="zh-CN"/>
              </w:rPr>
            </w:pPr>
            <w:r>
              <w:rPr>
                <w:rFonts w:hint="default" w:ascii="Times New Roman" w:hAnsi="Times New Roman" w:cs="Times New Roman"/>
                <w:b w:val="0"/>
                <w:color w:val="auto"/>
                <w:spacing w:val="0"/>
                <w:sz w:val="21"/>
                <w:szCs w:val="21"/>
                <w:highlight w:val="none"/>
              </w:rPr>
              <w:t>加强施工期环境保护监理工作，严格落实有关动、植物保护的法律、法规、条例，并加强对施工人员的培训和教育，保护动植物资源，将环境保护条款纳入环保监理合同中。</w:t>
            </w:r>
          </w:p>
          <w:p w14:paraId="16B156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color w:val="auto"/>
                <w:spacing w:val="0"/>
                <w:sz w:val="21"/>
                <w:szCs w:val="21"/>
                <w:highlight w:val="none"/>
                <w:lang w:eastAsia="zh-CN"/>
              </w:rPr>
            </w:pPr>
            <w:r>
              <w:rPr>
                <w:rFonts w:hint="default" w:ascii="Times New Roman" w:hAnsi="Times New Roman" w:cs="Times New Roman"/>
                <w:b w:val="0"/>
                <w:color w:val="auto"/>
                <w:spacing w:val="0"/>
                <w:sz w:val="21"/>
                <w:szCs w:val="21"/>
                <w:highlight w:val="none"/>
                <w:lang w:val="en-US" w:eastAsia="zh-CN"/>
              </w:rPr>
              <w:t>（</w:t>
            </w:r>
            <w:r>
              <w:rPr>
                <w:rFonts w:hint="eastAsia" w:cs="Times New Roman"/>
                <w:b w:val="0"/>
                <w:color w:val="auto"/>
                <w:spacing w:val="0"/>
                <w:sz w:val="21"/>
                <w:szCs w:val="21"/>
                <w:highlight w:val="none"/>
                <w:lang w:val="en-US" w:eastAsia="zh-CN"/>
              </w:rPr>
              <w:t>3</w:t>
            </w:r>
            <w:r>
              <w:rPr>
                <w:rFonts w:hint="default" w:ascii="Times New Roman" w:hAnsi="Times New Roman" w:cs="Times New Roman"/>
                <w:b w:val="0"/>
                <w:color w:val="auto"/>
                <w:spacing w:val="0"/>
                <w:sz w:val="21"/>
                <w:szCs w:val="21"/>
                <w:highlight w:val="none"/>
                <w:lang w:val="en-US" w:eastAsia="zh-CN"/>
              </w:rPr>
              <w:t>）</w:t>
            </w:r>
            <w:r>
              <w:rPr>
                <w:rFonts w:hint="default" w:ascii="Times New Roman" w:hAnsi="Times New Roman" w:cs="Times New Roman"/>
                <w:b w:val="0"/>
                <w:color w:val="auto"/>
                <w:spacing w:val="0"/>
                <w:sz w:val="21"/>
                <w:szCs w:val="21"/>
                <w:highlight w:val="none"/>
              </w:rPr>
              <w:t>陆生动物保护</w:t>
            </w:r>
          </w:p>
          <w:p w14:paraId="7C24E12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pacing w:val="0"/>
                <w:sz w:val="21"/>
                <w:szCs w:val="21"/>
                <w:highlight w:val="none"/>
                <w:lang w:eastAsia="zh-CN"/>
              </w:rPr>
            </w:pPr>
            <w:r>
              <w:rPr>
                <w:rFonts w:hint="default" w:ascii="Times New Roman" w:hAnsi="Times New Roman" w:cs="Times New Roman"/>
                <w:b w:val="0"/>
                <w:color w:val="auto"/>
                <w:spacing w:val="0"/>
                <w:sz w:val="21"/>
                <w:szCs w:val="21"/>
                <w:highlight w:val="none"/>
              </w:rPr>
              <w:t>提高施工人员的保护意识，使其必须遵守《中华人民共和国野生动物保护法》，严禁在施工区及其</w:t>
            </w:r>
            <w:r>
              <w:rPr>
                <w:rFonts w:hint="default" w:ascii="Times New Roman" w:hAnsi="Times New Roman" w:eastAsia="宋体" w:cs="Times New Roman"/>
                <w:b w:val="0"/>
                <w:bCs w:val="0"/>
                <w:color w:val="auto"/>
                <w:spacing w:val="0"/>
                <w:sz w:val="21"/>
                <w:szCs w:val="21"/>
                <w:highlight w:val="none"/>
              </w:rPr>
              <w:t>周围捕猎野生动物。工程实施过程中严格遵守本报告中所列关于声、空气等各环境影响因素的控制标准。施工前做好施工规划，合理安排施工时间，尽量避免在野生动物繁殖时期大规模施工，减少施工噪声对动物的惊扰，同时对高噪声的施工机械采取防噪、降噪措施，尽量屏蔽以减少噪声对动物的干扰；施工工程的</w:t>
            </w:r>
            <w:r>
              <w:rPr>
                <w:rFonts w:hint="default" w:ascii="Times New Roman" w:hAnsi="Times New Roman" w:eastAsia="宋体" w:cs="Times New Roman"/>
                <w:b w:val="0"/>
                <w:bCs w:val="0"/>
                <w:color w:val="auto"/>
                <w:spacing w:val="0"/>
                <w:sz w:val="21"/>
                <w:szCs w:val="21"/>
                <w:highlight w:val="none"/>
                <w:lang w:val="en-US" w:eastAsia="zh-CN"/>
              </w:rPr>
              <w:t>废弃</w:t>
            </w:r>
            <w:r>
              <w:rPr>
                <w:rFonts w:hint="default" w:ascii="Times New Roman" w:hAnsi="Times New Roman" w:eastAsia="宋体" w:cs="Times New Roman"/>
                <w:b w:val="0"/>
                <w:bCs w:val="0"/>
                <w:color w:val="auto"/>
                <w:spacing w:val="0"/>
                <w:sz w:val="21"/>
                <w:szCs w:val="21"/>
                <w:highlight w:val="none"/>
              </w:rPr>
              <w:t>物、污水等容易对周围环境造成污染，在施工期间要做好环境保护工作，不能乱排乱放，固体垃圾，要定时统一收集处理，以免对周围环境造成污染，破坏动物栖息地。</w:t>
            </w:r>
          </w:p>
          <w:p w14:paraId="161F147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1）避让措施</w:t>
            </w:r>
          </w:p>
          <w:p w14:paraId="5C8474E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在工程规划选址时，听取环境保护专业的建议，主动避让生态环境敏感目标。</w:t>
            </w:r>
            <w:r>
              <w:rPr>
                <w:rFonts w:hint="eastAsia" w:ascii="Times New Roman" w:hAnsi="Times New Roman" w:eastAsia="宋体" w:cs="Times New Roman"/>
                <w:color w:val="auto"/>
                <w:spacing w:val="0"/>
                <w:sz w:val="21"/>
                <w:szCs w:val="21"/>
                <w:highlight w:val="none"/>
                <w:lang w:val="en-US" w:eastAsia="zh-CN"/>
              </w:rPr>
              <w:t>本工程不新增施工便道，不设置取弃土场，仅在管理房设置一处施工生产区，用于临时存放施工机械设备</w:t>
            </w:r>
            <w:r>
              <w:rPr>
                <w:rFonts w:hint="default" w:ascii="Times New Roman" w:hAnsi="Times New Roman" w:eastAsia="宋体" w:cs="Times New Roman"/>
                <w:color w:val="auto"/>
                <w:spacing w:val="0"/>
                <w:sz w:val="21"/>
                <w:szCs w:val="21"/>
                <w:highlight w:val="none"/>
                <w:lang w:val="en-US" w:eastAsia="zh-CN"/>
              </w:rPr>
              <w:t>，可减少对生态环境敏感区的影响。</w:t>
            </w:r>
          </w:p>
          <w:p w14:paraId="3795FB0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rPr>
              <w:t>动物保护措施</w:t>
            </w:r>
          </w:p>
          <w:p w14:paraId="30CDF54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加强对施工人员的教育和管理，增强施工人员对鸟类的保护意识，严禁猎捕鸟类等动物。尽量减少施工对鸟类栖息地的破坏。严格控制施工范围，保护好小型兽类的栖息地。对工程废物和施工人员的生活垃圾进行彻底清理，尽量避免生活垃圾为鼠类等疫源性兽类提供生活环境。在施工边界竖立防火、禁猎警示牌，禁止施工人员乱砍乱伐、随意开挖，预防和杜绝森林火灾发生</w:t>
            </w:r>
            <w:r>
              <w:rPr>
                <w:rFonts w:hint="eastAsia" w:ascii="Times New Roman" w:hAnsi="Times New Roman" w:eastAsia="宋体" w:cs="Times New Roman"/>
                <w:color w:val="auto"/>
                <w:spacing w:val="0"/>
                <w:sz w:val="21"/>
                <w:szCs w:val="21"/>
                <w:highlight w:val="none"/>
                <w:lang w:eastAsia="zh-CN"/>
              </w:rPr>
              <w:t>。</w:t>
            </w:r>
          </w:p>
          <w:p w14:paraId="7A8583F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pacing w:val="0"/>
                <w:sz w:val="21"/>
                <w:szCs w:val="21"/>
                <w:highlight w:val="none"/>
              </w:rPr>
            </w:pPr>
            <w:r>
              <w:rPr>
                <w:rFonts w:hint="eastAsia" w:cs="Times New Roman"/>
                <w:bCs/>
                <w:color w:val="auto"/>
                <w:spacing w:val="0"/>
                <w:sz w:val="21"/>
                <w:szCs w:val="21"/>
                <w:highlight w:val="none"/>
                <w:lang w:val="en-US" w:eastAsia="zh-CN"/>
              </w:rPr>
              <w:t>3</w:t>
            </w:r>
            <w:r>
              <w:rPr>
                <w:rFonts w:hint="default" w:ascii="Times New Roman" w:hAnsi="Times New Roman" w:eastAsia="宋体" w:cs="Times New Roman"/>
                <w:bCs/>
                <w:color w:val="auto"/>
                <w:spacing w:val="0"/>
                <w:sz w:val="21"/>
                <w:szCs w:val="21"/>
                <w:highlight w:val="none"/>
              </w:rPr>
              <w:t>）减缓措施</w:t>
            </w:r>
          </w:p>
          <w:p w14:paraId="3E305C4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在工程施工中，合理安排施工进度及作业范围</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优化施工方案，加快施工进程，缩短周期，减少影响的时间</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土方作业应避开暴雨期，不在雨天进行土方作业，防止雨水携带泥土入河，减轻水土流失</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施工过程中，严格按照设计文件确定范围征占土地，尽可能少占地，应尽量保护施工区域的植被，施工必须在施工场地进行，不得破坏施工场地以外的植被，不得随意侵占周围土地</w:t>
            </w:r>
            <w:r>
              <w:rPr>
                <w:rFonts w:hint="eastAsia" w:ascii="Times New Roman" w:hAnsi="Times New Roman" w:eastAsia="宋体" w:cs="Times New Roman"/>
                <w:color w:val="auto"/>
                <w:spacing w:val="0"/>
                <w:sz w:val="21"/>
                <w:szCs w:val="21"/>
                <w:highlight w:val="none"/>
                <w:lang w:eastAsia="zh-CN"/>
              </w:rPr>
              <w:t>。</w:t>
            </w:r>
          </w:p>
          <w:p w14:paraId="3987DFF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同时，对施工人员进行生态保护宣传教育，提高施工人员的生态环境保护意识，遵守《中华人民共和国土地管理法》、《中华人民共和国野生动物保护法》等。施工期应避免施工人员对动物栖息生境破坏，这些区域应加强对施工人员的管理，限制其活动范围，禁止施工人员进入野生动物栖息及活动场所，禁止施工人员大声喧哗，禁止惊吓和捕杀野生动物，建设工程完成后做好生态恢复措施，促进施工区植被尽快恢复到或接近于施工前状态，以降低</w:t>
            </w:r>
            <w:r>
              <w:rPr>
                <w:rFonts w:hint="default" w:ascii="Times New Roman" w:hAnsi="Times New Roman" w:cs="Times New Roman"/>
                <w:color w:val="auto"/>
                <w:spacing w:val="0"/>
                <w:sz w:val="21"/>
                <w:szCs w:val="21"/>
                <w:highlight w:val="none"/>
                <w:lang w:val="en-US" w:eastAsia="zh-CN"/>
              </w:rPr>
              <w:t>工程建设</w:t>
            </w:r>
            <w:r>
              <w:rPr>
                <w:rFonts w:hint="default" w:ascii="Times New Roman" w:hAnsi="Times New Roman" w:cs="Times New Roman"/>
                <w:color w:val="auto"/>
                <w:spacing w:val="0"/>
                <w:sz w:val="21"/>
                <w:szCs w:val="21"/>
                <w:highlight w:val="none"/>
              </w:rPr>
              <w:t>对野生动物移</w:t>
            </w:r>
            <w:r>
              <w:rPr>
                <w:rFonts w:hint="default" w:ascii="Times New Roman" w:hAnsi="Times New Roman" w:cs="Times New Roman"/>
                <w:color w:val="auto"/>
                <w:spacing w:val="0"/>
                <w:sz w:val="21"/>
                <w:szCs w:val="21"/>
                <w:highlight w:val="none"/>
                <w:lang w:val="en-US" w:eastAsia="zh-CN"/>
              </w:rPr>
              <w:t>造成的影响</w:t>
            </w:r>
            <w:r>
              <w:rPr>
                <w:rFonts w:hint="default" w:ascii="Times New Roman" w:hAnsi="Times New Roman" w:cs="Times New Roman"/>
                <w:color w:val="auto"/>
                <w:spacing w:val="0"/>
                <w:sz w:val="21"/>
                <w:szCs w:val="21"/>
                <w:highlight w:val="none"/>
              </w:rPr>
              <w:t>。</w:t>
            </w:r>
          </w:p>
          <w:p w14:paraId="6B7577D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）生态恢复措施</w:t>
            </w:r>
          </w:p>
          <w:p w14:paraId="77E9F84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z w:val="21"/>
                <w:szCs w:val="21"/>
                <w:highlight w:val="none"/>
                <w:lang w:val="en-US" w:eastAsia="zh-CN"/>
              </w:rPr>
              <w:t>生态恢复措施主要是指水土保持措施，主要是对工程临时占地区域采取工程措施、植物措施进行水土流失防治。本工程</w:t>
            </w:r>
            <w:r>
              <w:rPr>
                <w:rFonts w:hint="default" w:ascii="Times New Roman" w:hAnsi="Times New Roman" w:eastAsia="宋体" w:cs="Times New Roman"/>
                <w:color w:val="auto"/>
                <w:kern w:val="0"/>
                <w:sz w:val="21"/>
                <w:szCs w:val="21"/>
                <w:highlight w:val="none"/>
              </w:rPr>
              <w:t>主体工程占地严格根据主体工程需求进行征用，</w:t>
            </w:r>
            <w:r>
              <w:rPr>
                <w:rFonts w:hint="default" w:ascii="Times New Roman" w:hAnsi="Times New Roman" w:eastAsia="宋体" w:cs="Times New Roman"/>
                <w:color w:val="auto"/>
                <w:kern w:val="0"/>
                <w:sz w:val="21"/>
                <w:szCs w:val="21"/>
                <w:highlight w:val="none"/>
                <w:lang w:val="en-US" w:eastAsia="zh-CN"/>
              </w:rPr>
              <w:t>永久占地控制大坝管理范围内</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临时占地根据工程分布进行布置，</w:t>
            </w:r>
            <w:r>
              <w:rPr>
                <w:rFonts w:hint="default" w:ascii="Times New Roman" w:hAnsi="Times New Roman" w:eastAsia="宋体" w:cs="Times New Roman"/>
                <w:color w:val="auto"/>
                <w:kern w:val="0"/>
                <w:sz w:val="21"/>
                <w:szCs w:val="21"/>
                <w:highlight w:val="none"/>
                <w:lang w:val="en-US" w:eastAsia="zh-CN"/>
              </w:rPr>
              <w:t>在预留必要的开挖面及工作面积基础上，</w:t>
            </w:r>
            <w:r>
              <w:rPr>
                <w:rFonts w:hint="default" w:ascii="Times New Roman" w:hAnsi="Times New Roman" w:eastAsia="宋体" w:cs="Times New Roman"/>
                <w:color w:val="auto"/>
                <w:kern w:val="0"/>
                <w:sz w:val="21"/>
                <w:szCs w:val="21"/>
                <w:highlight w:val="none"/>
              </w:rPr>
              <w:t>满足节约用地和减少扰动的要求。</w:t>
            </w:r>
            <w:r>
              <w:rPr>
                <w:rFonts w:hint="default" w:ascii="Times New Roman" w:hAnsi="Times New Roman" w:eastAsia="宋体" w:cs="Times New Roman"/>
                <w:color w:val="auto"/>
                <w:kern w:val="0"/>
                <w:sz w:val="21"/>
                <w:szCs w:val="21"/>
                <w:highlight w:val="none"/>
                <w:lang w:val="en-US" w:eastAsia="zh-CN"/>
              </w:rPr>
              <w:t>施工生产生活区及填塘工程区</w:t>
            </w:r>
            <w:r>
              <w:rPr>
                <w:rFonts w:hint="default" w:ascii="Times New Roman" w:hAnsi="Times New Roman" w:eastAsia="宋体" w:cs="Times New Roman"/>
                <w:color w:val="auto"/>
                <w:kern w:val="0"/>
                <w:sz w:val="21"/>
                <w:szCs w:val="21"/>
                <w:highlight w:val="none"/>
              </w:rPr>
              <w:t>占用临时占地</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在施工结束后临时占地全部进行恢复，恢复其原有使用功能</w:t>
            </w:r>
            <w:r>
              <w:rPr>
                <w:rFonts w:hint="default" w:ascii="Times New Roman" w:hAnsi="Times New Roman" w:eastAsia="宋体" w:cs="Times New Roman"/>
                <w:color w:val="auto"/>
                <w:sz w:val="21"/>
                <w:szCs w:val="21"/>
                <w:highlight w:val="none"/>
              </w:rPr>
              <w:t>。</w:t>
            </w:r>
          </w:p>
          <w:p w14:paraId="0393454D">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w:t>
            </w:r>
            <w:r>
              <w:rPr>
                <w:rFonts w:hint="eastAsia"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eastAsia="zh-CN"/>
              </w:rPr>
              <w:t>）水土流失防治措施</w:t>
            </w:r>
          </w:p>
          <w:p w14:paraId="3363BE2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结合主体工程布局及施工建设特点，本项目防治分区划分为主体工程区、施工</w:t>
            </w:r>
            <w:r>
              <w:rPr>
                <w:rFonts w:hint="default" w:ascii="Times New Roman" w:hAnsi="Times New Roman" w:eastAsia="宋体" w:cs="Times New Roman"/>
                <w:b w:val="0"/>
                <w:bCs w:val="0"/>
                <w:color w:val="auto"/>
                <w:sz w:val="21"/>
                <w:szCs w:val="21"/>
                <w:highlight w:val="none"/>
                <w:lang w:val="en-US" w:eastAsia="zh-CN"/>
              </w:rPr>
              <w:t>生产</w:t>
            </w:r>
            <w:r>
              <w:rPr>
                <w:rFonts w:hint="default" w:ascii="Times New Roman" w:hAnsi="Times New Roman" w:eastAsia="宋体" w:cs="Times New Roman"/>
                <w:b w:val="0"/>
                <w:bCs w:val="0"/>
                <w:color w:val="auto"/>
                <w:sz w:val="21"/>
                <w:szCs w:val="21"/>
                <w:highlight w:val="none"/>
                <w:lang w:eastAsia="zh-CN"/>
              </w:rPr>
              <w:t>区、</w:t>
            </w:r>
            <w:r>
              <w:rPr>
                <w:rFonts w:hint="default" w:ascii="Times New Roman" w:hAnsi="Times New Roman" w:eastAsia="宋体" w:cs="Times New Roman"/>
                <w:b w:val="0"/>
                <w:bCs w:val="0"/>
                <w:color w:val="auto"/>
                <w:sz w:val="21"/>
                <w:szCs w:val="21"/>
                <w:highlight w:val="none"/>
                <w:lang w:val="en-US" w:eastAsia="zh-CN"/>
              </w:rPr>
              <w:t>填塘工程</w:t>
            </w:r>
            <w:r>
              <w:rPr>
                <w:rFonts w:hint="default" w:ascii="Times New Roman" w:hAnsi="Times New Roman" w:eastAsia="宋体" w:cs="Times New Roman"/>
                <w:b w:val="0"/>
                <w:bCs w:val="0"/>
                <w:color w:val="auto"/>
                <w:sz w:val="21"/>
                <w:szCs w:val="21"/>
                <w:highlight w:val="none"/>
                <w:lang w:eastAsia="zh-CN"/>
              </w:rPr>
              <w:t>区3个防治分区。采取的水土流失防治措施如下：</w:t>
            </w:r>
          </w:p>
          <w:p w14:paraId="2D9383A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rPr>
              <w:t>主体工程区</w:t>
            </w:r>
          </w:p>
          <w:p w14:paraId="65FD5C5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①</w:t>
            </w:r>
            <w:r>
              <w:rPr>
                <w:rFonts w:hint="default" w:ascii="Times New Roman" w:hAnsi="Times New Roman" w:eastAsia="宋体" w:cs="Times New Roman"/>
                <w:b w:val="0"/>
                <w:bCs w:val="0"/>
                <w:color w:val="auto"/>
                <w:sz w:val="21"/>
                <w:szCs w:val="21"/>
                <w:highlight w:val="none"/>
                <w:lang w:val="en-US" w:eastAsia="zh-CN"/>
              </w:rPr>
              <w:t>工程</w:t>
            </w:r>
            <w:r>
              <w:rPr>
                <w:rFonts w:hint="default" w:ascii="Times New Roman" w:hAnsi="Times New Roman" w:eastAsia="宋体" w:cs="Times New Roman"/>
                <w:b w:val="0"/>
                <w:bCs w:val="0"/>
                <w:color w:val="auto"/>
                <w:sz w:val="21"/>
                <w:szCs w:val="21"/>
                <w:highlight w:val="none"/>
              </w:rPr>
              <w:t>措施</w:t>
            </w:r>
          </w:p>
          <w:p w14:paraId="1950C5B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干砌石排水体：</w:t>
            </w:r>
            <w:r>
              <w:rPr>
                <w:rFonts w:hint="default" w:ascii="Times New Roman" w:hAnsi="Times New Roman" w:eastAsia="宋体" w:cs="Times New Roman"/>
                <w:b w:val="0"/>
                <w:bCs w:val="0"/>
                <w:color w:val="auto"/>
                <w:sz w:val="21"/>
                <w:szCs w:val="21"/>
                <w:highlight w:val="none"/>
                <w:lang w:val="en-US" w:eastAsia="zh-CN"/>
              </w:rPr>
              <w:t>主体工程设计在大坝部分坝段背水侧坡脚布设干砌石排水体568m，起到减少水土流失的作用。</w:t>
            </w:r>
          </w:p>
          <w:p w14:paraId="24AEFDB1">
            <w:pPr>
              <w:pStyle w:val="69"/>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施工生产区</w:t>
            </w:r>
          </w:p>
          <w:p w14:paraId="6B5D38E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①</w:t>
            </w:r>
            <w:r>
              <w:rPr>
                <w:rFonts w:hint="default" w:ascii="Times New Roman" w:hAnsi="Times New Roman" w:eastAsia="宋体" w:cs="Times New Roman"/>
                <w:b w:val="0"/>
                <w:bCs w:val="0"/>
                <w:color w:val="auto"/>
                <w:sz w:val="21"/>
                <w:szCs w:val="21"/>
                <w:highlight w:val="none"/>
                <w:lang w:val="en-US" w:eastAsia="zh-CN"/>
              </w:rPr>
              <w:t>工程</w:t>
            </w:r>
            <w:r>
              <w:rPr>
                <w:rFonts w:hint="default" w:ascii="Times New Roman" w:hAnsi="Times New Roman" w:eastAsia="宋体" w:cs="Times New Roman"/>
                <w:b w:val="0"/>
                <w:bCs w:val="0"/>
                <w:color w:val="auto"/>
                <w:sz w:val="21"/>
                <w:szCs w:val="21"/>
                <w:highlight w:val="none"/>
              </w:rPr>
              <w:t>措施</w:t>
            </w:r>
          </w:p>
          <w:p w14:paraId="1621D2B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rPr>
            </w:pPr>
            <w:r>
              <w:rPr>
                <w:rFonts w:hint="eastAsia"/>
                <w:color w:val="auto"/>
                <w:sz w:val="21"/>
                <w:szCs w:val="21"/>
              </w:rPr>
              <w:t>表土保护措施：施工生产区地表有植被覆盖，</w:t>
            </w:r>
            <w:r>
              <w:rPr>
                <w:rFonts w:hint="default" w:ascii="Times New Roman" w:hAnsi="Times New Roman" w:eastAsia="宋体" w:cs="Times New Roman"/>
                <w:color w:val="auto"/>
                <w:spacing w:val="0"/>
                <w:position w:val="0"/>
                <w:sz w:val="21"/>
                <w:szCs w:val="21"/>
                <w:highlight w:val="none"/>
              </w:rPr>
              <w:t>表土剥离面积</w:t>
            </w:r>
            <w:r>
              <w:rPr>
                <w:rFonts w:hint="default" w:ascii="Times New Roman" w:hAnsi="Times New Roman" w:eastAsia="宋体" w:cs="Times New Roman"/>
                <w:color w:val="auto"/>
                <w:spacing w:val="0"/>
                <w:position w:val="0"/>
                <w:sz w:val="21"/>
                <w:szCs w:val="21"/>
                <w:highlight w:val="none"/>
                <w:lang w:val="en-US" w:eastAsia="zh-CN"/>
              </w:rPr>
              <w:t>0.1</w:t>
            </w:r>
            <w:r>
              <w:rPr>
                <w:rFonts w:hint="eastAsia" w:ascii="Times New Roman" w:hAnsi="Times New Roman"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z w:val="21"/>
                <w:szCs w:val="21"/>
                <w:highlight w:val="none"/>
              </w:rPr>
              <w:t>hm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eastAsia"/>
                <w:color w:val="auto"/>
                <w:sz w:val="21"/>
                <w:szCs w:val="21"/>
              </w:rPr>
              <w:t>表土</w:t>
            </w:r>
            <w:r>
              <w:rPr>
                <w:rFonts w:hint="default" w:ascii="Times New Roman" w:hAnsi="Times New Roman" w:eastAsia="宋体" w:cs="Times New Roman"/>
                <w:color w:val="auto"/>
                <w:sz w:val="21"/>
                <w:szCs w:val="21"/>
                <w:highlight w:val="none"/>
              </w:rPr>
              <w:t>剥离</w:t>
            </w:r>
            <w:r>
              <w:rPr>
                <w:rFonts w:hint="eastAsia"/>
                <w:color w:val="auto"/>
                <w:sz w:val="21"/>
                <w:szCs w:val="21"/>
              </w:rPr>
              <w:t>厚度为20cm，剥离表土</w:t>
            </w:r>
            <w:r>
              <w:rPr>
                <w:rFonts w:hint="default" w:ascii="Times New Roman" w:hAnsi="Times New Roman" w:eastAsia="宋体" w:cs="Times New Roman"/>
                <w:color w:val="auto"/>
                <w:sz w:val="21"/>
                <w:szCs w:val="21"/>
                <w:highlight w:val="none"/>
              </w:rPr>
              <w:t>量</w:t>
            </w:r>
            <w:r>
              <w:rPr>
                <w:rFonts w:hint="eastAsia"/>
                <w:color w:val="auto"/>
                <w:sz w:val="21"/>
                <w:szCs w:val="21"/>
              </w:rPr>
              <w:t>201</w:t>
            </w:r>
            <w:r>
              <w:rPr>
                <w:rFonts w:hint="eastAsia"/>
                <w:color w:val="auto"/>
                <w:kern w:val="0"/>
                <w:sz w:val="21"/>
                <w:szCs w:val="21"/>
              </w:rPr>
              <w:t>m</w:t>
            </w:r>
            <w:r>
              <w:rPr>
                <w:rFonts w:hint="eastAsia"/>
                <w:color w:val="auto"/>
                <w:kern w:val="0"/>
                <w:sz w:val="21"/>
                <w:szCs w:val="21"/>
                <w:vertAlign w:val="superscript"/>
              </w:rPr>
              <w:t>3</w:t>
            </w:r>
            <w:r>
              <w:rPr>
                <w:rFonts w:hint="eastAsia"/>
                <w:color w:val="auto"/>
                <w:sz w:val="21"/>
                <w:szCs w:val="21"/>
              </w:rPr>
              <w:t>，剥离表土统一堆置本区堆土场，工程完工后表土回覆至本区，</w:t>
            </w:r>
            <w:r>
              <w:rPr>
                <w:rFonts w:hint="eastAsia"/>
                <w:color w:val="auto"/>
                <w:sz w:val="21"/>
                <w:szCs w:val="21"/>
                <w:lang w:eastAsia="zh-CN"/>
              </w:rPr>
              <w:t>表土回覆</w:t>
            </w:r>
            <w:r>
              <w:rPr>
                <w:rFonts w:hint="default" w:ascii="Times New Roman" w:hAnsi="Times New Roman" w:eastAsia="宋体" w:cs="Times New Roman"/>
                <w:color w:val="auto"/>
                <w:sz w:val="21"/>
                <w:szCs w:val="21"/>
                <w:highlight w:val="none"/>
              </w:rPr>
              <w:t>量</w:t>
            </w:r>
            <w:r>
              <w:rPr>
                <w:rFonts w:hint="eastAsia"/>
                <w:color w:val="auto"/>
                <w:sz w:val="21"/>
                <w:szCs w:val="21"/>
              </w:rPr>
              <w:t>201</w:t>
            </w:r>
            <w:r>
              <w:rPr>
                <w:rFonts w:hint="eastAsia"/>
                <w:color w:val="auto"/>
                <w:kern w:val="0"/>
                <w:sz w:val="21"/>
                <w:szCs w:val="21"/>
              </w:rPr>
              <w:t>m</w:t>
            </w:r>
            <w:r>
              <w:rPr>
                <w:rFonts w:hint="eastAsia"/>
                <w:color w:val="auto"/>
                <w:kern w:val="0"/>
                <w:sz w:val="21"/>
                <w:szCs w:val="21"/>
                <w:vertAlign w:val="superscript"/>
              </w:rPr>
              <w:t>3</w:t>
            </w:r>
            <w:r>
              <w:rPr>
                <w:rFonts w:hint="eastAsia"/>
                <w:color w:val="auto"/>
                <w:sz w:val="21"/>
                <w:szCs w:val="21"/>
              </w:rPr>
              <w:t>。</w:t>
            </w:r>
          </w:p>
          <w:p w14:paraId="3FE8D7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rPr>
            </w:pPr>
            <w:r>
              <w:rPr>
                <w:rFonts w:hint="default" w:ascii="Times New Roman" w:hAnsi="Times New Roman" w:eastAsia="宋体" w:cs="Times New Roman"/>
                <w:color w:val="auto"/>
                <w:sz w:val="21"/>
                <w:szCs w:val="21"/>
                <w:highlight w:val="none"/>
                <w:lang w:eastAsia="zh-CN"/>
              </w:rPr>
              <w:t>②</w:t>
            </w:r>
            <w:r>
              <w:rPr>
                <w:rFonts w:hint="eastAsia"/>
                <w:color w:val="auto"/>
                <w:sz w:val="21"/>
                <w:szCs w:val="21"/>
              </w:rPr>
              <w:t>植物措施</w:t>
            </w:r>
          </w:p>
          <w:p w14:paraId="786CC9E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kern w:val="0"/>
                <w:sz w:val="21"/>
                <w:szCs w:val="21"/>
              </w:rPr>
            </w:pPr>
            <w:r>
              <w:rPr>
                <w:rFonts w:hint="eastAsia"/>
                <w:color w:val="auto"/>
                <w:sz w:val="21"/>
                <w:szCs w:val="21"/>
              </w:rPr>
              <w:t>林草措施：主体工程完工后施工生产区地表裸露，缺少林草措施恢复植被，</w:t>
            </w:r>
            <w:r>
              <w:rPr>
                <w:rFonts w:hint="eastAsia"/>
                <w:color w:val="auto"/>
                <w:kern w:val="0"/>
                <w:sz w:val="21"/>
                <w:szCs w:val="21"/>
              </w:rPr>
              <w:t>实施全面整地0.10hm</w:t>
            </w:r>
            <w:r>
              <w:rPr>
                <w:rFonts w:hint="eastAsia"/>
                <w:color w:val="auto"/>
                <w:kern w:val="0"/>
                <w:sz w:val="21"/>
                <w:szCs w:val="21"/>
                <w:vertAlign w:val="superscript"/>
              </w:rPr>
              <w:t>2</w:t>
            </w:r>
            <w:r>
              <w:rPr>
                <w:rFonts w:hint="eastAsia"/>
                <w:color w:val="auto"/>
                <w:kern w:val="0"/>
                <w:sz w:val="21"/>
                <w:szCs w:val="21"/>
              </w:rPr>
              <w:t>，播撒种草0.10hm</w:t>
            </w:r>
            <w:r>
              <w:rPr>
                <w:rFonts w:hint="eastAsia"/>
                <w:color w:val="auto"/>
                <w:kern w:val="0"/>
                <w:sz w:val="21"/>
                <w:szCs w:val="21"/>
                <w:vertAlign w:val="superscript"/>
              </w:rPr>
              <w:t>2</w:t>
            </w:r>
            <w:r>
              <w:rPr>
                <w:rFonts w:hint="eastAsia"/>
                <w:color w:val="auto"/>
                <w:kern w:val="0"/>
                <w:sz w:val="21"/>
                <w:szCs w:val="21"/>
              </w:rPr>
              <w:t>，种植密度100kg/hm</w:t>
            </w:r>
            <w:r>
              <w:rPr>
                <w:rFonts w:hint="eastAsia"/>
                <w:color w:val="auto"/>
                <w:kern w:val="0"/>
                <w:sz w:val="21"/>
                <w:szCs w:val="21"/>
                <w:vertAlign w:val="superscript"/>
              </w:rPr>
              <w:t>2</w:t>
            </w:r>
            <w:r>
              <w:rPr>
                <w:rFonts w:hint="eastAsia"/>
                <w:color w:val="auto"/>
                <w:kern w:val="0"/>
                <w:sz w:val="21"/>
                <w:szCs w:val="21"/>
              </w:rPr>
              <w:t>。</w:t>
            </w:r>
          </w:p>
          <w:p w14:paraId="0FF4E3A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rPr>
              <w:t>③</w:t>
            </w:r>
            <w:r>
              <w:rPr>
                <w:rFonts w:hint="default" w:ascii="Times New Roman" w:hAnsi="Times New Roman" w:eastAsia="宋体" w:cs="Times New Roman"/>
                <w:b w:val="0"/>
                <w:bCs w:val="0"/>
                <w:color w:val="auto"/>
                <w:sz w:val="21"/>
                <w:szCs w:val="21"/>
                <w:highlight w:val="none"/>
                <w:lang w:val="en-US" w:eastAsia="zh-CN"/>
              </w:rPr>
              <w:t>临时</w:t>
            </w:r>
            <w:r>
              <w:rPr>
                <w:rFonts w:hint="default" w:ascii="Times New Roman" w:hAnsi="Times New Roman" w:eastAsia="宋体" w:cs="Times New Roman"/>
                <w:b w:val="0"/>
                <w:bCs w:val="0"/>
                <w:color w:val="auto"/>
                <w:sz w:val="21"/>
                <w:szCs w:val="21"/>
                <w:highlight w:val="none"/>
              </w:rPr>
              <w:t>措施</w:t>
            </w:r>
          </w:p>
          <w:p w14:paraId="3EE6DC7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rPr>
            </w:pPr>
            <w:r>
              <w:rPr>
                <w:color w:val="auto"/>
                <w:sz w:val="21"/>
                <w:szCs w:val="21"/>
              </w:rPr>
              <w:t>拦挡及苫盖措施：在工程施工过程中，</w:t>
            </w:r>
            <w:r>
              <w:rPr>
                <w:rFonts w:hint="eastAsia"/>
                <w:color w:val="auto"/>
                <w:sz w:val="21"/>
                <w:szCs w:val="21"/>
              </w:rPr>
              <w:t>施工生产区、填塘工程区区域表土剥离后，表土</w:t>
            </w:r>
            <w:r>
              <w:rPr>
                <w:color w:val="auto"/>
                <w:sz w:val="21"/>
                <w:szCs w:val="21"/>
              </w:rPr>
              <w:t>集中堆放在</w:t>
            </w:r>
            <w:r>
              <w:rPr>
                <w:rFonts w:hint="eastAsia"/>
                <w:color w:val="auto"/>
                <w:sz w:val="21"/>
                <w:szCs w:val="21"/>
              </w:rPr>
              <w:t>施工生产区</w:t>
            </w:r>
            <w:r>
              <w:rPr>
                <w:color w:val="auto"/>
                <w:sz w:val="21"/>
                <w:szCs w:val="21"/>
              </w:rPr>
              <w:t>的临时堆土场，堆放期间表面采用密目网</w:t>
            </w:r>
            <w:r>
              <w:rPr>
                <w:rFonts w:hint="eastAsia"/>
                <w:color w:val="auto"/>
                <w:sz w:val="21"/>
                <w:szCs w:val="21"/>
                <w:lang w:eastAsia="zh-CN"/>
              </w:rPr>
              <w:t>苫盖</w:t>
            </w:r>
            <w:r>
              <w:rPr>
                <w:color w:val="auto"/>
                <w:sz w:val="21"/>
                <w:szCs w:val="21"/>
              </w:rPr>
              <w:t>，需密目网</w:t>
            </w:r>
            <w:r>
              <w:rPr>
                <w:rFonts w:hint="eastAsia"/>
                <w:color w:val="auto"/>
                <w:sz w:val="21"/>
                <w:szCs w:val="21"/>
              </w:rPr>
              <w:t>554</w:t>
            </w:r>
            <w:r>
              <w:rPr>
                <w:color w:val="auto"/>
                <w:sz w:val="21"/>
                <w:szCs w:val="21"/>
              </w:rPr>
              <w:t>m</w:t>
            </w:r>
            <w:r>
              <w:rPr>
                <w:color w:val="auto"/>
                <w:sz w:val="21"/>
                <w:szCs w:val="21"/>
                <w:vertAlign w:val="superscript"/>
              </w:rPr>
              <w:t>2</w:t>
            </w:r>
            <w:r>
              <w:rPr>
                <w:color w:val="auto"/>
                <w:sz w:val="21"/>
                <w:szCs w:val="21"/>
              </w:rPr>
              <w:t>；临时堆土边坡脚采用编织袋装土挡护，堆土</w:t>
            </w:r>
            <w:r>
              <w:rPr>
                <w:rFonts w:hint="eastAsia"/>
                <w:color w:val="auto"/>
                <w:sz w:val="21"/>
                <w:szCs w:val="21"/>
              </w:rPr>
              <w:t>两侧</w:t>
            </w:r>
            <w:r>
              <w:rPr>
                <w:color w:val="auto"/>
                <w:sz w:val="21"/>
                <w:szCs w:val="21"/>
              </w:rPr>
              <w:t>坡底</w:t>
            </w:r>
            <w:r>
              <w:rPr>
                <w:rFonts w:hint="eastAsia"/>
                <w:color w:val="auto"/>
                <w:sz w:val="21"/>
                <w:szCs w:val="21"/>
              </w:rPr>
              <w:t>双层编织袋挡护，</w:t>
            </w:r>
            <w:r>
              <w:rPr>
                <w:color w:val="auto"/>
                <w:sz w:val="21"/>
                <w:szCs w:val="21"/>
              </w:rPr>
              <w:t>编织袋装土拦挡断面尺寸宽0.</w:t>
            </w:r>
            <w:r>
              <w:rPr>
                <w:rFonts w:hint="eastAsia"/>
                <w:color w:val="auto"/>
                <w:sz w:val="21"/>
                <w:szCs w:val="21"/>
              </w:rPr>
              <w:t>3</w:t>
            </w:r>
            <w:r>
              <w:rPr>
                <w:color w:val="auto"/>
                <w:sz w:val="21"/>
                <w:szCs w:val="21"/>
              </w:rPr>
              <w:t>m、高0.</w:t>
            </w:r>
            <w:r>
              <w:rPr>
                <w:rFonts w:hint="eastAsia"/>
                <w:color w:val="auto"/>
                <w:sz w:val="21"/>
                <w:szCs w:val="21"/>
              </w:rPr>
              <w:t>4</w:t>
            </w:r>
            <w:r>
              <w:rPr>
                <w:color w:val="auto"/>
                <w:sz w:val="21"/>
                <w:szCs w:val="21"/>
              </w:rPr>
              <w:t>m</w:t>
            </w:r>
            <w:r>
              <w:rPr>
                <w:rFonts w:hint="eastAsia"/>
                <w:color w:val="auto"/>
                <w:sz w:val="21"/>
                <w:szCs w:val="21"/>
              </w:rPr>
              <w:t>、长0.5m，</w:t>
            </w:r>
            <w:r>
              <w:rPr>
                <w:color w:val="auto"/>
                <w:sz w:val="21"/>
                <w:szCs w:val="21"/>
              </w:rPr>
              <w:t>临时堆土场需要编织袋装土拦挡</w:t>
            </w:r>
            <w:r>
              <w:rPr>
                <w:rFonts w:hint="eastAsia"/>
                <w:color w:val="auto"/>
                <w:sz w:val="21"/>
                <w:szCs w:val="21"/>
              </w:rPr>
              <w:t>104</w:t>
            </w:r>
            <w:r>
              <w:rPr>
                <w:color w:val="auto"/>
                <w:sz w:val="21"/>
                <w:szCs w:val="21"/>
              </w:rPr>
              <w:t>m</w:t>
            </w:r>
            <w:r>
              <w:rPr>
                <w:rFonts w:hint="eastAsia"/>
                <w:color w:val="auto"/>
                <w:sz w:val="21"/>
                <w:szCs w:val="21"/>
              </w:rPr>
              <w:t>，</w:t>
            </w:r>
            <w:r>
              <w:rPr>
                <w:color w:val="auto"/>
                <w:sz w:val="21"/>
                <w:szCs w:val="21"/>
              </w:rPr>
              <w:t>需编织袋装土拦挡</w:t>
            </w:r>
            <w:r>
              <w:rPr>
                <w:rFonts w:hint="eastAsia"/>
                <w:color w:val="auto"/>
                <w:sz w:val="21"/>
                <w:szCs w:val="21"/>
              </w:rPr>
              <w:t>12</w:t>
            </w:r>
            <w:r>
              <w:rPr>
                <w:color w:val="auto"/>
                <w:sz w:val="21"/>
                <w:szCs w:val="21"/>
              </w:rPr>
              <w:t>m</w:t>
            </w:r>
            <w:r>
              <w:rPr>
                <w:rFonts w:hint="eastAsia"/>
                <w:color w:val="auto"/>
                <w:sz w:val="21"/>
                <w:szCs w:val="21"/>
                <w:vertAlign w:val="superscript"/>
              </w:rPr>
              <w:t>3</w:t>
            </w:r>
            <w:r>
              <w:rPr>
                <w:color w:val="auto"/>
                <w:sz w:val="21"/>
                <w:szCs w:val="21"/>
              </w:rPr>
              <w:t>。</w:t>
            </w:r>
          </w:p>
          <w:p w14:paraId="520C67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rPr>
            </w:pPr>
            <w:r>
              <w:rPr>
                <w:color w:val="auto"/>
                <w:sz w:val="21"/>
                <w:szCs w:val="21"/>
              </w:rPr>
              <w:t>临时堆土边坡脚采用编织袋装土挡护，堆土</w:t>
            </w:r>
            <w:r>
              <w:rPr>
                <w:rFonts w:hint="eastAsia"/>
                <w:color w:val="auto"/>
                <w:sz w:val="21"/>
                <w:szCs w:val="21"/>
              </w:rPr>
              <w:t>两侧</w:t>
            </w:r>
            <w:r>
              <w:rPr>
                <w:color w:val="auto"/>
                <w:sz w:val="21"/>
                <w:szCs w:val="21"/>
              </w:rPr>
              <w:t>坡底</w:t>
            </w:r>
            <w:r>
              <w:rPr>
                <w:rFonts w:hint="eastAsia"/>
                <w:color w:val="auto"/>
                <w:sz w:val="21"/>
                <w:szCs w:val="21"/>
              </w:rPr>
              <w:t>双层编织袋挡护，</w:t>
            </w:r>
            <w:r>
              <w:rPr>
                <w:color w:val="auto"/>
                <w:sz w:val="21"/>
                <w:szCs w:val="21"/>
              </w:rPr>
              <w:t>临时堆土场需要编织袋装土拦挡</w:t>
            </w:r>
            <w:r>
              <w:rPr>
                <w:rFonts w:hint="eastAsia"/>
                <w:color w:val="auto"/>
                <w:sz w:val="21"/>
                <w:szCs w:val="21"/>
              </w:rPr>
              <w:t>104</w:t>
            </w:r>
            <w:r>
              <w:rPr>
                <w:color w:val="auto"/>
                <w:sz w:val="21"/>
                <w:szCs w:val="21"/>
              </w:rPr>
              <w:t>m</w:t>
            </w:r>
            <w:r>
              <w:rPr>
                <w:rFonts w:hint="eastAsia"/>
                <w:color w:val="auto"/>
                <w:sz w:val="21"/>
                <w:szCs w:val="21"/>
              </w:rPr>
              <w:t>，土埂填筑土方12</w:t>
            </w:r>
            <w:r>
              <w:rPr>
                <w:color w:val="auto"/>
                <w:sz w:val="21"/>
                <w:szCs w:val="21"/>
              </w:rPr>
              <w:t>m</w:t>
            </w:r>
            <w:r>
              <w:rPr>
                <w:rFonts w:hint="eastAsia"/>
                <w:color w:val="auto"/>
                <w:sz w:val="21"/>
                <w:szCs w:val="21"/>
                <w:vertAlign w:val="superscript"/>
              </w:rPr>
              <w:t>3</w:t>
            </w:r>
            <w:r>
              <w:rPr>
                <w:rFonts w:hint="eastAsia"/>
                <w:color w:val="auto"/>
                <w:sz w:val="21"/>
                <w:szCs w:val="21"/>
              </w:rPr>
              <w:t>；</w:t>
            </w:r>
          </w:p>
          <w:p w14:paraId="687CBF9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lang w:eastAsia="zh-CN"/>
              </w:rPr>
            </w:pPr>
            <w:r>
              <w:rPr>
                <w:color w:val="auto"/>
                <w:sz w:val="21"/>
                <w:szCs w:val="21"/>
              </w:rPr>
              <w:t>——断面型式：断面为</w:t>
            </w:r>
            <w:r>
              <w:rPr>
                <w:rFonts w:hint="eastAsia"/>
                <w:color w:val="auto"/>
                <w:sz w:val="21"/>
                <w:szCs w:val="21"/>
              </w:rPr>
              <w:t>双层编织袋</w:t>
            </w:r>
            <w:r>
              <w:rPr>
                <w:color w:val="auto"/>
                <w:sz w:val="21"/>
                <w:szCs w:val="21"/>
              </w:rPr>
              <w:t>堆置</w:t>
            </w:r>
            <w:r>
              <w:rPr>
                <w:rFonts w:hint="eastAsia"/>
                <w:color w:val="auto"/>
                <w:sz w:val="21"/>
                <w:szCs w:val="21"/>
                <w:lang w:eastAsia="zh-CN"/>
              </w:rPr>
              <w:t>；</w:t>
            </w:r>
          </w:p>
          <w:p w14:paraId="5582514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lang w:eastAsia="zh-CN"/>
              </w:rPr>
            </w:pPr>
            <w:r>
              <w:rPr>
                <w:color w:val="auto"/>
                <w:sz w:val="21"/>
                <w:szCs w:val="21"/>
              </w:rPr>
              <w:t>——填筑材料：</w:t>
            </w:r>
            <w:r>
              <w:rPr>
                <w:rFonts w:hint="eastAsia"/>
                <w:color w:val="auto"/>
                <w:sz w:val="21"/>
                <w:szCs w:val="21"/>
              </w:rPr>
              <w:t>开挖土方</w:t>
            </w:r>
            <w:r>
              <w:rPr>
                <w:color w:val="auto"/>
                <w:sz w:val="21"/>
                <w:szCs w:val="21"/>
              </w:rPr>
              <w:t>进行填筑</w:t>
            </w:r>
            <w:r>
              <w:rPr>
                <w:rFonts w:hint="eastAsia"/>
                <w:color w:val="auto"/>
                <w:sz w:val="21"/>
                <w:szCs w:val="21"/>
                <w:lang w:eastAsia="zh-CN"/>
              </w:rPr>
              <w:t>；</w:t>
            </w:r>
          </w:p>
          <w:p w14:paraId="389817D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lang w:eastAsia="zh-CN"/>
              </w:rPr>
            </w:pPr>
            <w:r>
              <w:rPr>
                <w:color w:val="auto"/>
                <w:sz w:val="21"/>
                <w:szCs w:val="21"/>
              </w:rPr>
              <w:t>——编织袋装土拦挡断面尺寸：宽0.</w:t>
            </w:r>
            <w:r>
              <w:rPr>
                <w:rFonts w:hint="eastAsia"/>
                <w:color w:val="auto"/>
                <w:sz w:val="21"/>
                <w:szCs w:val="21"/>
              </w:rPr>
              <w:t>3</w:t>
            </w:r>
            <w:r>
              <w:rPr>
                <w:color w:val="auto"/>
                <w:sz w:val="21"/>
                <w:szCs w:val="21"/>
              </w:rPr>
              <w:t>m、高0.</w:t>
            </w:r>
            <w:r>
              <w:rPr>
                <w:rFonts w:hint="eastAsia"/>
                <w:color w:val="auto"/>
                <w:sz w:val="21"/>
                <w:szCs w:val="21"/>
              </w:rPr>
              <w:t>4</w:t>
            </w:r>
            <w:r>
              <w:rPr>
                <w:color w:val="auto"/>
                <w:sz w:val="21"/>
                <w:szCs w:val="21"/>
              </w:rPr>
              <w:t>m</w:t>
            </w:r>
            <w:r>
              <w:rPr>
                <w:rFonts w:hint="eastAsia"/>
                <w:color w:val="auto"/>
                <w:sz w:val="21"/>
                <w:szCs w:val="21"/>
              </w:rPr>
              <w:t>，长0.5m</w:t>
            </w:r>
            <w:r>
              <w:rPr>
                <w:rFonts w:hint="eastAsia"/>
                <w:color w:val="auto"/>
                <w:sz w:val="21"/>
                <w:szCs w:val="21"/>
                <w:lang w:eastAsia="zh-CN"/>
              </w:rPr>
              <w:t>；</w:t>
            </w:r>
          </w:p>
          <w:p w14:paraId="11B4BD5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rPr>
            </w:pPr>
            <w:r>
              <w:rPr>
                <w:color w:val="auto"/>
                <w:sz w:val="21"/>
                <w:szCs w:val="21"/>
              </w:rPr>
              <w:t>——施工方法：人工装土、封袋、筑埂。</w:t>
            </w:r>
          </w:p>
          <w:p w14:paraId="4EF616D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rPr>
            </w:pPr>
            <w:r>
              <w:rPr>
                <w:color w:val="auto"/>
                <w:sz w:val="21"/>
                <w:szCs w:val="21"/>
              </w:rPr>
              <w:t>——工程量：长</w:t>
            </w:r>
            <w:r>
              <w:rPr>
                <w:rFonts w:hint="eastAsia"/>
                <w:color w:val="auto"/>
                <w:sz w:val="21"/>
                <w:szCs w:val="21"/>
              </w:rPr>
              <w:t>104m</w:t>
            </w:r>
            <w:r>
              <w:rPr>
                <w:color w:val="auto"/>
                <w:sz w:val="21"/>
                <w:szCs w:val="21"/>
              </w:rPr>
              <w:t>，</w:t>
            </w:r>
            <w:r>
              <w:rPr>
                <w:rFonts w:hint="eastAsia"/>
                <w:color w:val="auto"/>
                <w:sz w:val="21"/>
                <w:szCs w:val="21"/>
              </w:rPr>
              <w:t>编织袋423个，</w:t>
            </w:r>
            <w:r>
              <w:rPr>
                <w:color w:val="auto"/>
                <w:sz w:val="21"/>
                <w:szCs w:val="21"/>
              </w:rPr>
              <w:t>土埂工程量</w:t>
            </w:r>
            <w:r>
              <w:rPr>
                <w:rFonts w:hint="eastAsia"/>
                <w:color w:val="auto"/>
                <w:sz w:val="21"/>
                <w:szCs w:val="21"/>
              </w:rPr>
              <w:t>12</w:t>
            </w:r>
            <w:r>
              <w:rPr>
                <w:color w:val="auto"/>
                <w:sz w:val="21"/>
                <w:szCs w:val="21"/>
              </w:rPr>
              <w:t>m</w:t>
            </w:r>
            <w:r>
              <w:rPr>
                <w:color w:val="auto"/>
                <w:sz w:val="21"/>
                <w:szCs w:val="21"/>
                <w:vertAlign w:val="superscript"/>
              </w:rPr>
              <w:t>3</w:t>
            </w:r>
            <w:r>
              <w:rPr>
                <w:color w:val="auto"/>
                <w:sz w:val="21"/>
                <w:szCs w:val="21"/>
              </w:rPr>
              <w:t>。</w:t>
            </w:r>
          </w:p>
          <w:p w14:paraId="7D66159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rPr>
            </w:pPr>
            <w:r>
              <w:rPr>
                <w:color w:val="auto"/>
                <w:sz w:val="21"/>
                <w:szCs w:val="21"/>
              </w:rPr>
              <w:t>堆放期间</w:t>
            </w:r>
            <w:r>
              <w:rPr>
                <w:rFonts w:hint="eastAsia"/>
                <w:color w:val="auto"/>
                <w:sz w:val="21"/>
                <w:szCs w:val="21"/>
              </w:rPr>
              <w:t>拦挡以上堆土</w:t>
            </w:r>
            <w:r>
              <w:rPr>
                <w:color w:val="auto"/>
                <w:sz w:val="21"/>
                <w:szCs w:val="21"/>
              </w:rPr>
              <w:t>表面采用密目网</w:t>
            </w:r>
            <w:r>
              <w:rPr>
                <w:rFonts w:hint="eastAsia"/>
                <w:color w:val="auto"/>
                <w:sz w:val="21"/>
                <w:szCs w:val="21"/>
                <w:lang w:eastAsia="zh-CN"/>
              </w:rPr>
              <w:t>苫盖</w:t>
            </w:r>
            <w:r>
              <w:rPr>
                <w:color w:val="auto"/>
                <w:sz w:val="21"/>
                <w:szCs w:val="21"/>
              </w:rPr>
              <w:t>，需密目网</w:t>
            </w:r>
            <w:r>
              <w:rPr>
                <w:rFonts w:hint="eastAsia"/>
                <w:color w:val="auto"/>
                <w:sz w:val="21"/>
                <w:szCs w:val="21"/>
              </w:rPr>
              <w:t>554m</w:t>
            </w:r>
            <w:r>
              <w:rPr>
                <w:rFonts w:hint="eastAsia"/>
                <w:color w:val="auto"/>
                <w:sz w:val="21"/>
                <w:szCs w:val="21"/>
                <w:vertAlign w:val="superscript"/>
              </w:rPr>
              <w:t>2</w:t>
            </w:r>
            <w:r>
              <w:rPr>
                <w:rFonts w:hint="eastAsia"/>
                <w:color w:val="auto"/>
                <w:sz w:val="21"/>
                <w:szCs w:val="21"/>
              </w:rPr>
              <w:t>；</w:t>
            </w:r>
          </w:p>
          <w:p w14:paraId="4E467D4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lang w:eastAsia="zh-CN"/>
              </w:rPr>
            </w:pPr>
            <w:r>
              <w:rPr>
                <w:color w:val="auto"/>
                <w:sz w:val="21"/>
                <w:szCs w:val="21"/>
              </w:rPr>
              <w:t>——布设位置：临时堆土场</w:t>
            </w:r>
            <w:r>
              <w:rPr>
                <w:rFonts w:hint="eastAsia"/>
                <w:color w:val="auto"/>
                <w:sz w:val="21"/>
                <w:szCs w:val="21"/>
              </w:rPr>
              <w:t>堆土</w:t>
            </w:r>
            <w:r>
              <w:rPr>
                <w:color w:val="auto"/>
                <w:sz w:val="21"/>
                <w:szCs w:val="21"/>
              </w:rPr>
              <w:t>表面</w:t>
            </w:r>
            <w:r>
              <w:rPr>
                <w:rFonts w:hint="eastAsia"/>
                <w:color w:val="auto"/>
                <w:sz w:val="21"/>
                <w:szCs w:val="21"/>
                <w:lang w:eastAsia="zh-CN"/>
              </w:rPr>
              <w:t>；</w:t>
            </w:r>
          </w:p>
          <w:p w14:paraId="2CBD08C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lang w:eastAsia="zh-CN"/>
              </w:rPr>
            </w:pPr>
            <w:r>
              <w:rPr>
                <w:color w:val="auto"/>
                <w:sz w:val="21"/>
                <w:szCs w:val="21"/>
              </w:rPr>
              <w:t>——地形地貌：地势平坦开阔</w:t>
            </w:r>
            <w:r>
              <w:rPr>
                <w:rFonts w:hint="eastAsia"/>
                <w:color w:val="auto"/>
                <w:sz w:val="21"/>
                <w:szCs w:val="21"/>
                <w:lang w:eastAsia="zh-CN"/>
              </w:rPr>
              <w:t>；</w:t>
            </w:r>
          </w:p>
          <w:p w14:paraId="1531242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rPr>
            </w:pPr>
            <w:r>
              <w:rPr>
                <w:color w:val="auto"/>
                <w:sz w:val="21"/>
                <w:szCs w:val="21"/>
              </w:rPr>
              <w:t>——施工方式：场内运输、人工铺设、接缝，施工后拆除</w:t>
            </w:r>
            <w:r>
              <w:rPr>
                <w:rFonts w:hint="eastAsia"/>
                <w:color w:val="auto"/>
                <w:sz w:val="21"/>
                <w:szCs w:val="21"/>
              </w:rPr>
              <w:t>。</w:t>
            </w:r>
          </w:p>
          <w:p w14:paraId="3A00CD6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截排水</w:t>
            </w:r>
            <w:r>
              <w:rPr>
                <w:rFonts w:hint="default" w:ascii="Times New Roman" w:hAnsi="Times New Roman" w:eastAsia="宋体" w:cs="Times New Roman"/>
                <w:b w:val="0"/>
                <w:bCs w:val="0"/>
                <w:color w:val="auto"/>
                <w:sz w:val="21"/>
                <w:szCs w:val="21"/>
                <w:highlight w:val="none"/>
              </w:rPr>
              <w:t>措施：在</w:t>
            </w:r>
            <w:r>
              <w:rPr>
                <w:rFonts w:hint="default" w:ascii="Times New Roman" w:hAnsi="Times New Roman" w:eastAsia="宋体" w:cs="Times New Roman"/>
                <w:b w:val="0"/>
                <w:bCs w:val="0"/>
                <w:color w:val="auto"/>
                <w:sz w:val="21"/>
                <w:szCs w:val="21"/>
                <w:highlight w:val="none"/>
                <w:lang w:val="en-US" w:eastAsia="zh-CN"/>
              </w:rPr>
              <w:t>施工生产区</w:t>
            </w:r>
            <w:r>
              <w:rPr>
                <w:rFonts w:hint="default" w:ascii="Times New Roman" w:hAnsi="Times New Roman" w:eastAsia="宋体" w:cs="Times New Roman"/>
                <w:b w:val="0"/>
                <w:bCs w:val="0"/>
                <w:color w:val="auto"/>
                <w:sz w:val="21"/>
                <w:szCs w:val="21"/>
                <w:highlight w:val="none"/>
              </w:rPr>
              <w:t>一侧设置临时排水沟，排水沟设计断面为梯形，底宽0.3m、深0.3m，边坡1:1。设置排水沟长</w:t>
            </w:r>
            <w:r>
              <w:rPr>
                <w:rFonts w:hint="default" w:ascii="Times New Roman" w:hAnsi="Times New Roman" w:eastAsia="宋体" w:cs="Times New Roman"/>
                <w:b w:val="0"/>
                <w:bCs w:val="0"/>
                <w:color w:val="auto"/>
                <w:sz w:val="21"/>
                <w:szCs w:val="21"/>
                <w:highlight w:val="none"/>
                <w:lang w:val="en-US" w:eastAsia="zh-CN"/>
              </w:rPr>
              <w:t>319</w:t>
            </w:r>
            <w:r>
              <w:rPr>
                <w:rFonts w:hint="default" w:ascii="Times New Roman" w:hAnsi="Times New Roman" w:eastAsia="宋体" w:cs="Times New Roman"/>
                <w:b w:val="0"/>
                <w:bCs w:val="0"/>
                <w:color w:val="auto"/>
                <w:sz w:val="21"/>
                <w:szCs w:val="21"/>
                <w:highlight w:val="none"/>
              </w:rPr>
              <w:t>m与路边沟连通，挖方平摊到占地区域内随场地一起整平，施工后排水沟随整地一起推平</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需排水沟开挖及拆除57</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rPr>
              <w:t>。</w:t>
            </w:r>
          </w:p>
          <w:p w14:paraId="2D31F699">
            <w:pPr>
              <w:pStyle w:val="69"/>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3）填塘工程区</w:t>
            </w:r>
          </w:p>
          <w:p w14:paraId="67941C7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①工程措施</w:t>
            </w:r>
          </w:p>
          <w:p w14:paraId="0623A68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表土保护措施：填塘工程区地表有植被覆盖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表土剥离面积0.27</w:t>
            </w:r>
            <w:r>
              <w:rPr>
                <w:rFonts w:hint="default" w:ascii="Times New Roman" w:hAnsi="Times New Roman" w:eastAsia="宋体" w:cs="Times New Roman"/>
                <w:color w:val="auto"/>
                <w:sz w:val="21"/>
                <w:szCs w:val="21"/>
                <w:highlight w:val="none"/>
              </w:rPr>
              <w:t>hm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eastAsia"/>
                <w:color w:val="auto"/>
                <w:sz w:val="21"/>
                <w:szCs w:val="21"/>
              </w:rPr>
              <w:t>表土</w:t>
            </w:r>
            <w:r>
              <w:rPr>
                <w:rFonts w:hint="default" w:ascii="Times New Roman" w:hAnsi="Times New Roman" w:eastAsia="宋体" w:cs="Times New Roman"/>
                <w:color w:val="auto"/>
                <w:sz w:val="21"/>
                <w:szCs w:val="21"/>
                <w:highlight w:val="none"/>
              </w:rPr>
              <w:t>剥离</w:t>
            </w:r>
            <w:r>
              <w:rPr>
                <w:rFonts w:hint="eastAsia"/>
                <w:color w:val="auto"/>
                <w:sz w:val="21"/>
                <w:szCs w:val="21"/>
              </w:rPr>
              <w:t>厚度为20cm，剥离表土</w:t>
            </w:r>
            <w:r>
              <w:rPr>
                <w:rFonts w:hint="default" w:ascii="Times New Roman" w:hAnsi="Times New Roman" w:eastAsia="宋体" w:cs="Times New Roman"/>
                <w:color w:val="auto"/>
                <w:sz w:val="21"/>
                <w:szCs w:val="21"/>
                <w:highlight w:val="none"/>
              </w:rPr>
              <w:t>量</w:t>
            </w:r>
            <w:r>
              <w:rPr>
                <w:rFonts w:hint="default" w:ascii="Times New Roman" w:hAnsi="Times New Roman" w:eastAsia="宋体" w:cs="Times New Roman"/>
                <w:color w:val="auto"/>
                <w:sz w:val="21"/>
                <w:szCs w:val="21"/>
                <w:highlight w:val="none"/>
                <w:lang w:val="en-US" w:eastAsia="zh-CN"/>
              </w:rPr>
              <w:t>544</w:t>
            </w:r>
            <w:r>
              <w:rPr>
                <w:rFonts w:hint="eastAsia"/>
                <w:color w:val="auto"/>
                <w:kern w:val="0"/>
                <w:sz w:val="21"/>
                <w:szCs w:val="21"/>
              </w:rPr>
              <w:t>m</w:t>
            </w:r>
            <w:r>
              <w:rPr>
                <w:rFonts w:hint="eastAsia"/>
                <w:color w:val="auto"/>
                <w:kern w:val="0"/>
                <w:sz w:val="21"/>
                <w:szCs w:val="21"/>
                <w:vertAlign w:val="superscript"/>
              </w:rPr>
              <w:t>3</w:t>
            </w:r>
            <w:r>
              <w:rPr>
                <w:rFonts w:hint="eastAsia"/>
                <w:color w:val="auto"/>
                <w:sz w:val="21"/>
                <w:szCs w:val="21"/>
              </w:rPr>
              <w:t>，</w:t>
            </w:r>
            <w:r>
              <w:rPr>
                <w:rFonts w:hint="default" w:ascii="Times New Roman" w:hAnsi="Times New Roman" w:eastAsia="宋体" w:cs="Times New Roman"/>
                <w:color w:val="auto"/>
                <w:sz w:val="21"/>
                <w:szCs w:val="21"/>
                <w:highlight w:val="none"/>
              </w:rPr>
              <w:t>剥离表土统一堆置堆土场，工程完工后表土回覆至本区，</w:t>
            </w:r>
            <w:r>
              <w:rPr>
                <w:rFonts w:hint="default" w:ascii="Times New Roman" w:hAnsi="Times New Roman" w:eastAsia="宋体" w:cs="Times New Roman"/>
                <w:color w:val="auto"/>
                <w:sz w:val="21"/>
                <w:szCs w:val="21"/>
                <w:highlight w:val="none"/>
                <w:lang w:val="en-US" w:eastAsia="zh-CN"/>
              </w:rPr>
              <w:t>表土回填</w:t>
            </w:r>
            <w:r>
              <w:rPr>
                <w:rFonts w:hint="default" w:ascii="Times New Roman" w:hAnsi="Times New Roman" w:eastAsia="宋体" w:cs="Times New Roman"/>
                <w:color w:val="auto"/>
                <w:sz w:val="21"/>
                <w:szCs w:val="21"/>
                <w:highlight w:val="none"/>
              </w:rPr>
              <w:t>量</w:t>
            </w:r>
            <w:r>
              <w:rPr>
                <w:rFonts w:hint="default" w:ascii="Times New Roman" w:hAnsi="Times New Roman" w:eastAsia="宋体" w:cs="Times New Roman"/>
                <w:color w:val="auto"/>
                <w:sz w:val="21"/>
                <w:szCs w:val="21"/>
                <w:highlight w:val="none"/>
                <w:lang w:val="en-US" w:eastAsia="zh-CN"/>
              </w:rPr>
              <w:t>544</w:t>
            </w:r>
            <w:r>
              <w:rPr>
                <w:rFonts w:hint="default" w:ascii="Times New Roman" w:hAnsi="Times New Roman" w:eastAsia="宋体" w:cs="Times New Roman"/>
                <w:color w:val="auto"/>
                <w:kern w:val="0"/>
                <w:sz w:val="21"/>
                <w:szCs w:val="21"/>
                <w:highlight w:val="none"/>
                <w:lang w:val="en-US" w:eastAsia="zh-CN" w:bidi="ar-SA"/>
              </w:rPr>
              <w:t>m</w:t>
            </w:r>
            <w:r>
              <w:rPr>
                <w:rFonts w:hint="default" w:ascii="Times New Roman" w:hAnsi="Times New Roman" w:eastAsia="宋体" w:cs="Times New Roman"/>
                <w:color w:val="auto"/>
                <w:kern w:val="0"/>
                <w:sz w:val="21"/>
                <w:szCs w:val="21"/>
                <w:highlight w:val="none"/>
                <w:vertAlign w:val="superscript"/>
                <w:lang w:val="en-US" w:eastAsia="zh-CN" w:bidi="ar-SA"/>
              </w:rPr>
              <w:t>3</w:t>
            </w:r>
            <w:r>
              <w:rPr>
                <w:rFonts w:hint="default" w:ascii="Times New Roman" w:hAnsi="Times New Roman" w:eastAsia="宋体" w:cs="Times New Roman"/>
                <w:color w:val="auto"/>
                <w:sz w:val="21"/>
                <w:szCs w:val="21"/>
                <w:highlight w:val="none"/>
              </w:rPr>
              <w:t>。</w:t>
            </w:r>
          </w:p>
          <w:p w14:paraId="54EDD5E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②</w:t>
            </w:r>
            <w:r>
              <w:rPr>
                <w:rFonts w:hint="default" w:ascii="Times New Roman" w:hAnsi="Times New Roman" w:eastAsia="宋体" w:cs="Times New Roman"/>
                <w:color w:val="auto"/>
                <w:sz w:val="21"/>
                <w:szCs w:val="21"/>
                <w:highlight w:val="none"/>
                <w:lang w:val="en-US" w:eastAsia="zh-CN"/>
              </w:rPr>
              <w:t>植物措施</w:t>
            </w:r>
          </w:p>
          <w:p w14:paraId="5188F80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林草措施：余土填塘后，填塘工程区地表裸露，缺少林草措施恢复植被，</w:t>
            </w:r>
            <w:r>
              <w:rPr>
                <w:rFonts w:hint="default" w:ascii="Times New Roman" w:hAnsi="Times New Roman" w:eastAsia="宋体" w:cs="Times New Roman"/>
                <w:color w:val="auto"/>
                <w:kern w:val="0"/>
                <w:sz w:val="21"/>
                <w:szCs w:val="21"/>
                <w:highlight w:val="none"/>
                <w:lang w:val="en-US" w:eastAsia="zh-CN" w:bidi="ar-SA"/>
              </w:rPr>
              <w:t>实施全面整地0.27hm</w:t>
            </w:r>
            <w:r>
              <w:rPr>
                <w:rFonts w:hint="default" w:ascii="Times New Roman" w:hAnsi="Times New Roman" w:eastAsia="宋体" w:cs="Times New Roman"/>
                <w:color w:val="auto"/>
                <w:kern w:val="0"/>
                <w:sz w:val="21"/>
                <w:szCs w:val="21"/>
                <w:highlight w:val="none"/>
                <w:vertAlign w:val="super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，播撒种草0.27hm</w:t>
            </w:r>
            <w:r>
              <w:rPr>
                <w:rFonts w:hint="default" w:ascii="Times New Roman" w:hAnsi="Times New Roman" w:eastAsia="宋体" w:cs="Times New Roman"/>
                <w:color w:val="auto"/>
                <w:kern w:val="0"/>
                <w:sz w:val="21"/>
                <w:szCs w:val="21"/>
                <w:highlight w:val="none"/>
                <w:vertAlign w:val="super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，种植密度80kg/hm</w:t>
            </w:r>
            <w:r>
              <w:rPr>
                <w:rFonts w:hint="default" w:ascii="Times New Roman" w:hAnsi="Times New Roman" w:eastAsia="宋体" w:cs="Times New Roman"/>
                <w:color w:val="auto"/>
                <w:kern w:val="0"/>
                <w:sz w:val="21"/>
                <w:szCs w:val="21"/>
                <w:highlight w:val="none"/>
                <w:vertAlign w:val="super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w:t>
            </w:r>
          </w:p>
          <w:p w14:paraId="6EEC74E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③临时措施</w:t>
            </w:r>
          </w:p>
          <w:p w14:paraId="467D22F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苫盖措施：主体工程设计缺少对</w:t>
            </w:r>
            <w:r>
              <w:rPr>
                <w:rFonts w:hint="default" w:ascii="Times New Roman" w:hAnsi="Times New Roman" w:eastAsia="宋体" w:cs="Times New Roman"/>
                <w:color w:val="auto"/>
                <w:sz w:val="21"/>
                <w:szCs w:val="21"/>
                <w:highlight w:val="none"/>
                <w:lang w:val="en-US" w:eastAsia="zh-CN"/>
              </w:rPr>
              <w:t>填塘工程防治区</w:t>
            </w:r>
            <w:r>
              <w:rPr>
                <w:rFonts w:hint="default" w:ascii="Times New Roman" w:hAnsi="Times New Roman" w:eastAsia="宋体" w:cs="Times New Roman"/>
                <w:color w:val="auto"/>
                <w:sz w:val="21"/>
                <w:szCs w:val="21"/>
                <w:highlight w:val="none"/>
              </w:rPr>
              <w:t>临时防护措施，在工程施工过程中，</w:t>
            </w:r>
            <w:r>
              <w:rPr>
                <w:rFonts w:hint="default" w:ascii="Times New Roman" w:hAnsi="Times New Roman" w:eastAsia="宋体" w:cs="Times New Roman"/>
                <w:color w:val="auto"/>
                <w:sz w:val="21"/>
                <w:szCs w:val="21"/>
                <w:highlight w:val="none"/>
                <w:lang w:val="en-US" w:eastAsia="zh-CN"/>
              </w:rPr>
              <w:t>坝体清基土填塘后</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地表土体裸露</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增设</w:t>
            </w:r>
            <w:r>
              <w:rPr>
                <w:rFonts w:hint="default" w:ascii="Times New Roman" w:hAnsi="Times New Roman" w:eastAsia="宋体" w:cs="Times New Roman"/>
                <w:color w:val="auto"/>
                <w:sz w:val="21"/>
                <w:szCs w:val="21"/>
                <w:highlight w:val="none"/>
              </w:rPr>
              <w:t>密目网</w:t>
            </w:r>
            <w:r>
              <w:rPr>
                <w:rFonts w:hint="default" w:ascii="Times New Roman" w:hAnsi="Times New Roman" w:eastAsia="宋体" w:cs="Times New Roman"/>
                <w:color w:val="auto"/>
                <w:sz w:val="21"/>
                <w:szCs w:val="21"/>
                <w:highlight w:val="none"/>
                <w:lang w:val="en-US" w:eastAsia="zh-CN"/>
              </w:rPr>
              <w:t>2719</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eastAsia" w:cs="Times New Roman"/>
                <w:color w:val="auto"/>
                <w:sz w:val="21"/>
                <w:szCs w:val="21"/>
                <w:highlight w:val="none"/>
                <w:vertAlign w:val="baseline"/>
                <w:lang w:eastAsia="zh-CN"/>
              </w:rPr>
              <w:t>。</w:t>
            </w:r>
          </w:p>
          <w:p w14:paraId="114AA4E8">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rPr>
            </w:pPr>
            <w:r>
              <w:rPr>
                <w:color w:val="auto"/>
                <w:sz w:val="21"/>
                <w:szCs w:val="21"/>
              </w:rPr>
              <w:t>堆放期间</w:t>
            </w:r>
            <w:r>
              <w:rPr>
                <w:rFonts w:hint="eastAsia"/>
                <w:color w:val="auto"/>
                <w:sz w:val="21"/>
                <w:szCs w:val="21"/>
              </w:rPr>
              <w:t>拦挡以上堆土</w:t>
            </w:r>
            <w:r>
              <w:rPr>
                <w:color w:val="auto"/>
                <w:sz w:val="21"/>
                <w:szCs w:val="21"/>
              </w:rPr>
              <w:t>表面采用密目网</w:t>
            </w:r>
            <w:r>
              <w:rPr>
                <w:rFonts w:hint="eastAsia"/>
                <w:color w:val="auto"/>
                <w:sz w:val="21"/>
                <w:szCs w:val="21"/>
                <w:lang w:eastAsia="zh-CN"/>
              </w:rPr>
              <w:t>苫盖</w:t>
            </w:r>
            <w:r>
              <w:rPr>
                <w:color w:val="auto"/>
                <w:sz w:val="21"/>
                <w:szCs w:val="21"/>
              </w:rPr>
              <w:t>，需密目网</w:t>
            </w:r>
            <w:r>
              <w:rPr>
                <w:rFonts w:hint="eastAsia"/>
                <w:color w:val="auto"/>
                <w:sz w:val="21"/>
                <w:szCs w:val="21"/>
              </w:rPr>
              <w:t>2719m</w:t>
            </w:r>
            <w:r>
              <w:rPr>
                <w:rFonts w:hint="eastAsia"/>
                <w:color w:val="auto"/>
                <w:sz w:val="21"/>
                <w:szCs w:val="21"/>
                <w:vertAlign w:val="superscript"/>
              </w:rPr>
              <w:t>2</w:t>
            </w:r>
            <w:r>
              <w:rPr>
                <w:rFonts w:hint="eastAsia"/>
                <w:color w:val="auto"/>
                <w:sz w:val="21"/>
                <w:szCs w:val="21"/>
              </w:rPr>
              <w:t>；</w:t>
            </w:r>
          </w:p>
          <w:p w14:paraId="23272423">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eastAsia="宋体"/>
                <w:color w:val="auto"/>
                <w:sz w:val="21"/>
                <w:szCs w:val="21"/>
                <w:lang w:eastAsia="zh-CN"/>
              </w:rPr>
            </w:pPr>
            <w:r>
              <w:rPr>
                <w:color w:val="auto"/>
                <w:sz w:val="21"/>
                <w:szCs w:val="21"/>
              </w:rPr>
              <w:t>——布设位置：</w:t>
            </w:r>
            <w:r>
              <w:rPr>
                <w:rFonts w:hint="eastAsia"/>
                <w:color w:val="auto"/>
                <w:sz w:val="21"/>
                <w:szCs w:val="21"/>
              </w:rPr>
              <w:t>填塘工程区</w:t>
            </w:r>
            <w:r>
              <w:rPr>
                <w:color w:val="auto"/>
                <w:sz w:val="21"/>
                <w:szCs w:val="21"/>
              </w:rPr>
              <w:t>表面</w:t>
            </w:r>
            <w:r>
              <w:rPr>
                <w:rFonts w:hint="eastAsia"/>
                <w:color w:val="auto"/>
                <w:sz w:val="21"/>
                <w:szCs w:val="21"/>
                <w:lang w:eastAsia="zh-CN"/>
              </w:rPr>
              <w:t>；</w:t>
            </w:r>
          </w:p>
          <w:p w14:paraId="207B2BA3">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color w:val="auto"/>
                <w:sz w:val="21"/>
                <w:szCs w:val="21"/>
              </w:rPr>
            </w:pPr>
            <w:r>
              <w:rPr>
                <w:color w:val="auto"/>
                <w:sz w:val="21"/>
                <w:szCs w:val="21"/>
              </w:rPr>
              <w:t>——地形地貌：</w:t>
            </w:r>
            <w:r>
              <w:rPr>
                <w:rFonts w:hint="eastAsia"/>
                <w:color w:val="auto"/>
                <w:sz w:val="21"/>
                <w:szCs w:val="21"/>
              </w:rPr>
              <w:t>区内地形下凹，周围</w:t>
            </w:r>
            <w:r>
              <w:rPr>
                <w:color w:val="auto"/>
                <w:sz w:val="21"/>
                <w:szCs w:val="21"/>
              </w:rPr>
              <w:t>地势平坦开阔</w:t>
            </w:r>
          </w:p>
          <w:p w14:paraId="5B655930">
            <w:pPr>
              <w:keepNext w:val="0"/>
              <w:keepLines w:val="0"/>
              <w:pageBreakBefore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rPr>
            </w:pPr>
            <w:r>
              <w:rPr>
                <w:color w:val="auto"/>
                <w:sz w:val="21"/>
                <w:szCs w:val="21"/>
              </w:rPr>
              <w:t>——施工方式：场内运输、人工铺设、接缝，施工后拆除</w:t>
            </w:r>
            <w:r>
              <w:rPr>
                <w:rFonts w:hint="eastAsia"/>
                <w:color w:val="auto"/>
                <w:sz w:val="21"/>
                <w:szCs w:val="21"/>
              </w:rPr>
              <w:t>。</w:t>
            </w:r>
          </w:p>
          <w:p w14:paraId="430528AC">
            <w:pPr>
              <w:keepNext w:val="0"/>
              <w:keepLines w:val="0"/>
              <w:pageBreakBefore w:val="0"/>
              <w:kinsoku/>
              <w:wordWrap/>
              <w:overflowPunct/>
              <w:topLinePunct w:val="0"/>
              <w:autoSpaceDE/>
              <w:autoSpaceDN/>
              <w:bidi w:val="0"/>
              <w:adjustRightInd/>
              <w:snapToGrid/>
              <w:spacing w:line="360" w:lineRule="auto"/>
              <w:ind w:right="0" w:firstLine="462" w:firstLineChars="200"/>
              <w:textAlignment w:val="auto"/>
              <w:rPr>
                <w:rFonts w:hint="default" w:ascii="Times New Roman" w:hAnsi="Times New Roman" w:cs="Times New Roman" w:eastAsiaTheme="minorEastAsia"/>
                <w:b/>
                <w:bCs w:val="0"/>
                <w:color w:val="auto"/>
                <w:kern w:val="0"/>
                <w:sz w:val="21"/>
                <w:szCs w:val="21"/>
                <w:highlight w:val="none"/>
                <w:lang w:eastAsia="zh-CN"/>
              </w:rPr>
            </w:pPr>
            <w:r>
              <w:rPr>
                <w:rFonts w:hint="default" w:ascii="Times New Roman" w:hAnsi="Times New Roman" w:cs="Times New Roman"/>
                <w:b/>
                <w:bCs w:val="0"/>
                <w:color w:val="auto"/>
                <w:spacing w:val="10"/>
                <w:sz w:val="21"/>
                <w:szCs w:val="21"/>
                <w:highlight w:val="none"/>
                <w:lang w:val="en-US" w:eastAsia="zh-CN"/>
              </w:rPr>
              <w:t>2、</w:t>
            </w:r>
            <w:r>
              <w:rPr>
                <w:rFonts w:hint="default" w:ascii="Times New Roman" w:hAnsi="Times New Roman" w:cs="Times New Roman"/>
                <w:b/>
                <w:bCs w:val="0"/>
                <w:color w:val="auto"/>
                <w:spacing w:val="10"/>
                <w:sz w:val="21"/>
                <w:szCs w:val="21"/>
                <w:highlight w:val="none"/>
              </w:rPr>
              <w:t>水环境保护措施</w:t>
            </w:r>
          </w:p>
          <w:p w14:paraId="1F0A5EA5">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（1）本项目施工期废水采取以下措施：</w:t>
            </w:r>
          </w:p>
          <w:p w14:paraId="5397BD15">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①本项目工程施工废水严禁排入</w:t>
            </w:r>
            <w:r>
              <w:rPr>
                <w:rFonts w:hint="eastAsia" w:ascii="Times New Roman" w:hAnsi="Times New Roman" w:eastAsia="宋体" w:cs="Times New Roman"/>
                <w:color w:val="auto"/>
                <w:sz w:val="21"/>
                <w:szCs w:val="21"/>
                <w:highlight w:val="none"/>
                <w:lang w:val="en-US" w:eastAsia="zh-CN"/>
              </w:rPr>
              <w:t>水库</w:t>
            </w:r>
            <w:r>
              <w:rPr>
                <w:rFonts w:hint="default" w:ascii="Times New Roman" w:hAnsi="Times New Roman" w:eastAsia="宋体" w:cs="Times New Roman"/>
                <w:color w:val="auto"/>
                <w:sz w:val="21"/>
                <w:szCs w:val="21"/>
                <w:highlight w:val="none"/>
                <w:lang w:eastAsia="zh-CN"/>
              </w:rPr>
              <w:t>内，严格做好废水处理措施。</w:t>
            </w:r>
          </w:p>
          <w:p w14:paraId="1F9F59B4">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②在施工现场应采取有效措施防止物料被雨水冲刷流失，进入水体，污染附近地表水，建议在散料堆场四周设置拦挡并进行苫盖。</w:t>
            </w:r>
          </w:p>
          <w:p w14:paraId="40A3CA4C">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③在材料的运输、搬运等过程中，应防止物料散落；砂石、土石方、粉料等物料堆放场所应设</w:t>
            </w:r>
            <w:r>
              <w:rPr>
                <w:rFonts w:hint="eastAsia" w:ascii="Times New Roman" w:hAnsi="Times New Roman" w:eastAsia="宋体" w:cs="Times New Roman"/>
                <w:color w:val="auto"/>
                <w:sz w:val="21"/>
                <w:szCs w:val="21"/>
                <w:highlight w:val="none"/>
                <w:lang w:eastAsia="zh-CN"/>
              </w:rPr>
              <w:t>雨棚</w:t>
            </w:r>
            <w:r>
              <w:rPr>
                <w:rFonts w:hint="default" w:ascii="Times New Roman" w:hAnsi="Times New Roman" w:eastAsia="宋体" w:cs="Times New Roman"/>
                <w:color w:val="auto"/>
                <w:sz w:val="21"/>
                <w:szCs w:val="21"/>
                <w:highlight w:val="none"/>
                <w:lang w:eastAsia="zh-CN"/>
              </w:rPr>
              <w:t>，防止暴雨径流而被冲走；严禁将建筑垃圾倾倒入</w:t>
            </w:r>
            <w:r>
              <w:rPr>
                <w:rFonts w:hint="eastAsia" w:ascii="Times New Roman" w:hAnsi="Times New Roman" w:eastAsia="宋体" w:cs="Times New Roman"/>
                <w:color w:val="auto"/>
                <w:sz w:val="21"/>
                <w:szCs w:val="21"/>
                <w:highlight w:val="none"/>
                <w:lang w:val="en-US" w:eastAsia="zh-CN"/>
              </w:rPr>
              <w:t>水库</w:t>
            </w:r>
            <w:r>
              <w:rPr>
                <w:rFonts w:hint="default" w:ascii="Times New Roman" w:hAnsi="Times New Roman" w:eastAsia="宋体" w:cs="Times New Roman"/>
                <w:color w:val="auto"/>
                <w:sz w:val="21"/>
                <w:szCs w:val="21"/>
                <w:highlight w:val="none"/>
                <w:lang w:eastAsia="zh-CN"/>
              </w:rPr>
              <w:t>；按时检查施工机械等设备，防止油料等泄漏，污染周边土壤和水体。</w:t>
            </w:r>
          </w:p>
          <w:p w14:paraId="1065C508">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④施工期生活污水排入防渗旱厕，定期清掏外运堆肥。</w:t>
            </w:r>
          </w:p>
          <w:p w14:paraId="6F27BF27">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eastAsia"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⑤</w:t>
            </w:r>
            <w:r>
              <w:rPr>
                <w:rFonts w:hint="default" w:ascii="Times New Roman" w:hAnsi="Times New Roman" w:eastAsia="宋体" w:cs="Times New Roman"/>
                <w:bCs/>
                <w:color w:val="auto"/>
                <w:sz w:val="21"/>
                <w:szCs w:val="21"/>
                <w:highlight w:val="none"/>
              </w:rPr>
              <w:t>项目施工场地不设置机械、车辆维修厂，不产生机械维修废水，机械维修依靠周边社会设施。机械冲洗业务外协委托，在工地仅设置轮胎冲洗，主要承担进出厂机械车轮污泥的冲洗，这部分废水经沉淀池收集沉淀后回用于洒水降尘，不会产生含油废水</w:t>
            </w:r>
            <w:r>
              <w:rPr>
                <w:rFonts w:hint="eastAsia" w:ascii="Times New Roman" w:hAnsi="Times New Roman" w:eastAsia="宋体" w:cs="Times New Roman"/>
                <w:bCs/>
                <w:color w:val="auto"/>
                <w:sz w:val="21"/>
                <w:szCs w:val="21"/>
                <w:highlight w:val="none"/>
                <w:lang w:eastAsia="zh-CN"/>
              </w:rPr>
              <w:t>。</w:t>
            </w:r>
          </w:p>
          <w:p w14:paraId="5D6CC2EF">
            <w:pPr>
              <w:pStyle w:val="9"/>
              <w:keepNext w:val="0"/>
              <w:keepLines w:val="0"/>
              <w:pageBreakBefore w:val="0"/>
              <w:kinsoku/>
              <w:wordWrap/>
              <w:overflowPunct/>
              <w:topLinePunct w:val="0"/>
              <w:autoSpaceDE/>
              <w:autoSpaceDN/>
              <w:bidi w:val="0"/>
              <w:adjustRightInd/>
              <w:snapToGrid/>
              <w:spacing w:before="0" w:after="0" w:line="360" w:lineRule="auto"/>
              <w:ind w:right="0" w:firstLine="420" w:firstLineChars="200"/>
              <w:textAlignment w:val="auto"/>
              <w:rPr>
                <w:rFonts w:hint="default"/>
                <w:color w:val="auto"/>
                <w:sz w:val="21"/>
                <w:szCs w:val="21"/>
                <w:highlight w:val="none"/>
                <w:lang w:eastAsia="zh-CN"/>
              </w:rPr>
            </w:pPr>
            <w:r>
              <w:rPr>
                <w:rFonts w:hint="default" w:ascii="Times New Roman" w:hAnsi="Times New Roman" w:cs="Times New Roman"/>
                <w:caps w:val="0"/>
                <w:color w:val="auto"/>
                <w:sz w:val="21"/>
                <w:szCs w:val="21"/>
                <w:highlight w:val="none"/>
              </w:rPr>
              <w:t>⑥基坑废水直接产生在围堰内，静置沉淀后用于洒水降尘，不外排</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对河流水质影响不大。</w:t>
            </w:r>
          </w:p>
          <w:p w14:paraId="05553EBA">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⑦施工期对地表水进行监测。</w:t>
            </w:r>
          </w:p>
          <w:p w14:paraId="27980D63">
            <w:pPr>
              <w:keepNext w:val="0"/>
              <w:keepLines w:val="0"/>
              <w:pageBreakBefore w:val="0"/>
              <w:widowControl/>
              <w:kinsoku/>
              <w:wordWrap/>
              <w:overflowPunct/>
              <w:topLinePunct w:val="0"/>
              <w:autoSpaceDE/>
              <w:autoSpaceDN/>
              <w:bidi w:val="0"/>
              <w:adjustRightInd/>
              <w:snapToGrid/>
              <w:spacing w:line="360" w:lineRule="auto"/>
              <w:ind w:right="0" w:firstLine="420" w:firstLineChars="200"/>
              <w:jc w:val="both"/>
              <w:textAlignment w:val="auto"/>
              <w:rPr>
                <w:rFonts w:hint="default" w:ascii="Times New Roman" w:hAnsi="Times New Roman" w:cs="Times New Roman" w:eastAsiaTheme="minorEastAsia"/>
                <w:b w:val="0"/>
                <w:bCs w:val="0"/>
                <w:color w:val="auto"/>
                <w:kern w:val="0"/>
                <w:sz w:val="21"/>
                <w:szCs w:val="21"/>
                <w:highlight w:val="none"/>
                <w:lang w:eastAsia="zh-CN"/>
              </w:rPr>
            </w:pPr>
            <w:r>
              <w:rPr>
                <w:rFonts w:hint="default" w:ascii="Times New Roman" w:hAnsi="Times New Roman" w:eastAsia="宋体" w:cs="Times New Roman"/>
                <w:color w:val="auto"/>
                <w:sz w:val="21"/>
                <w:szCs w:val="21"/>
                <w:highlight w:val="none"/>
                <w:lang w:eastAsia="zh-CN"/>
              </w:rPr>
              <w:t>采取上述措施，可保证本项目施工期污水被妥善处置，对环境影响可被环境接受，本项目采取的环保措施可行。</w:t>
            </w:r>
          </w:p>
          <w:p w14:paraId="557A2A74">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z w:val="21"/>
                <w:szCs w:val="21"/>
                <w:highlight w:val="none"/>
              </w:rPr>
            </w:pPr>
            <w:bookmarkStart w:id="34" w:name="_Toc15884323"/>
            <w:r>
              <w:rPr>
                <w:rFonts w:hint="default" w:ascii="Times New Roman" w:hAnsi="Times New Roman" w:cs="Times New Roman" w:eastAsiaTheme="minorEastAsia"/>
                <w:b/>
                <w:bCs/>
                <w:color w:val="auto"/>
                <w:kern w:val="0"/>
                <w:sz w:val="21"/>
                <w:szCs w:val="21"/>
                <w:highlight w:val="none"/>
                <w:lang w:val="en-US" w:eastAsia="zh-CN"/>
              </w:rPr>
              <w:t>3、</w:t>
            </w:r>
            <w:r>
              <w:rPr>
                <w:rFonts w:hint="default" w:ascii="Times New Roman" w:hAnsi="Times New Roman" w:cs="Times New Roman" w:eastAsiaTheme="minorEastAsia"/>
                <w:b/>
                <w:bCs/>
                <w:color w:val="auto"/>
                <w:sz w:val="21"/>
                <w:szCs w:val="21"/>
                <w:highlight w:val="none"/>
              </w:rPr>
              <w:t>大气环境保护措施</w:t>
            </w:r>
          </w:p>
          <w:bookmarkEnd w:id="34"/>
          <w:p w14:paraId="05F239EC">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cs="Times New Roman"/>
                <w:caps w:val="0"/>
                <w:color w:val="auto"/>
                <w:sz w:val="21"/>
                <w:szCs w:val="21"/>
                <w:highlight w:val="none"/>
              </w:rPr>
            </w:pPr>
            <w:r>
              <w:rPr>
                <w:rFonts w:hint="default" w:ascii="Times New Roman" w:hAnsi="Times New Roman" w:cs="Times New Roman"/>
                <w:caps w:val="0"/>
                <w:color w:val="auto"/>
                <w:sz w:val="21"/>
                <w:szCs w:val="21"/>
                <w:highlight w:val="none"/>
              </w:rPr>
              <w:t>（1）本工程施工以土方开挖及石料填筑为主</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干燥多风天气施工时</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起尘量很大</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对沿线的环境空气质量影响较大。施工期间加强施工道路及运输车辆经过的村屯定期洒水降尘。</w:t>
            </w:r>
          </w:p>
          <w:p w14:paraId="5F5D9775">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cs="Times New Roman"/>
                <w:caps w:val="0"/>
                <w:color w:val="auto"/>
                <w:sz w:val="21"/>
                <w:szCs w:val="21"/>
                <w:highlight w:val="none"/>
              </w:rPr>
            </w:pPr>
            <w:r>
              <w:rPr>
                <w:rFonts w:hint="default" w:ascii="Times New Roman" w:hAnsi="Times New Roman" w:cs="Times New Roman"/>
                <w:caps w:val="0"/>
                <w:color w:val="auto"/>
                <w:sz w:val="21"/>
                <w:szCs w:val="21"/>
                <w:highlight w:val="none"/>
              </w:rPr>
              <w:t>（2）砂砾料等多尘物料应堆放整齐以减少风蚀面积</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并适当采用加湿或加盖苫布等措施以减少扬尘和飘尘</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装卸、堆放过程中防止物料流散</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尽量降低运输过程中起尘量；</w:t>
            </w:r>
            <w:r>
              <w:rPr>
                <w:rFonts w:hint="default" w:ascii="Times New Roman" w:hAnsi="Times New Roman" w:eastAsia="宋体" w:cs="Times New Roman"/>
                <w:color w:val="auto"/>
                <w:sz w:val="21"/>
                <w:szCs w:val="21"/>
                <w:highlight w:val="none"/>
                <w:lang w:eastAsia="zh-CN"/>
              </w:rPr>
              <w:t>临时堆场采取密目网苫盖</w:t>
            </w:r>
            <w:r>
              <w:rPr>
                <w:rFonts w:hint="eastAsia" w:cs="Times New Roman"/>
                <w:color w:val="auto"/>
                <w:sz w:val="21"/>
                <w:szCs w:val="21"/>
                <w:highlight w:val="none"/>
                <w:lang w:val="en-US" w:eastAsia="zh-CN"/>
              </w:rPr>
              <w:t>及挡护</w:t>
            </w:r>
            <w:r>
              <w:rPr>
                <w:rFonts w:hint="default" w:ascii="Times New Roman" w:hAnsi="Times New Roman" w:eastAsia="宋体" w:cs="Times New Roman"/>
                <w:color w:val="auto"/>
                <w:sz w:val="21"/>
                <w:szCs w:val="21"/>
                <w:highlight w:val="none"/>
                <w:lang w:eastAsia="zh-CN"/>
              </w:rPr>
              <w:t>措施</w:t>
            </w:r>
            <w:r>
              <w:rPr>
                <w:rFonts w:hint="eastAsia" w:cs="Times New Roman"/>
                <w:color w:val="auto"/>
                <w:sz w:val="21"/>
                <w:szCs w:val="21"/>
                <w:highlight w:val="none"/>
                <w:lang w:eastAsia="zh-CN"/>
              </w:rPr>
              <w:t>；</w:t>
            </w:r>
            <w:r>
              <w:rPr>
                <w:rFonts w:hint="default" w:ascii="Times New Roman" w:hAnsi="Times New Roman" w:cs="Times New Roman"/>
                <w:caps w:val="0"/>
                <w:color w:val="auto"/>
                <w:sz w:val="21"/>
                <w:szCs w:val="21"/>
                <w:highlight w:val="none"/>
              </w:rPr>
              <w:t>物料运输过程中控制车速</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减少起尘量。</w:t>
            </w:r>
          </w:p>
          <w:p w14:paraId="03813C6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caps w:val="0"/>
                <w:color w:val="auto"/>
                <w:sz w:val="21"/>
                <w:szCs w:val="21"/>
                <w:highlight w:val="none"/>
              </w:rPr>
              <w:t>（3）</w:t>
            </w:r>
            <w:r>
              <w:rPr>
                <w:rFonts w:hint="default" w:ascii="Times New Roman" w:hAnsi="Times New Roman" w:cs="Times New Roman" w:eastAsiaTheme="minorEastAsia"/>
                <w:color w:val="auto"/>
                <w:kern w:val="0"/>
                <w:sz w:val="21"/>
                <w:szCs w:val="21"/>
                <w:highlight w:val="none"/>
              </w:rPr>
              <w:t>运输过程中应注意防止空气污染。在晴朗多风天气装载土料时，应当加湿或者用帆布覆盖。</w:t>
            </w:r>
            <w:r>
              <w:rPr>
                <w:rFonts w:hint="default" w:ascii="Times New Roman" w:hAnsi="Times New Roman" w:cs="Times New Roman"/>
                <w:caps w:val="0"/>
                <w:color w:val="auto"/>
                <w:sz w:val="21"/>
                <w:szCs w:val="21"/>
                <w:highlight w:val="none"/>
              </w:rPr>
              <w:t>加强往返于施工区车辆的管理和维修</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caps w:val="0"/>
                <w:color w:val="auto"/>
                <w:sz w:val="21"/>
                <w:szCs w:val="21"/>
                <w:highlight w:val="none"/>
              </w:rPr>
              <w:t>施工机械完好率要求在90%以上</w:t>
            </w:r>
            <w:r>
              <w:rPr>
                <w:rFonts w:hint="default" w:ascii="Times New Roman" w:hAnsi="Times New Roman" w:cs="Times New Roman"/>
                <w:caps w:val="0"/>
                <w:color w:val="auto"/>
                <w:sz w:val="21"/>
                <w:szCs w:val="21"/>
                <w:highlight w:val="none"/>
                <w:lang w:eastAsia="zh-CN"/>
              </w:rPr>
              <w:t>，</w:t>
            </w:r>
            <w:r>
              <w:rPr>
                <w:rFonts w:hint="default" w:ascii="Times New Roman" w:hAnsi="Times New Roman" w:cs="Times New Roman" w:eastAsiaTheme="minorEastAsia"/>
                <w:color w:val="auto"/>
                <w:kern w:val="0"/>
                <w:sz w:val="21"/>
                <w:szCs w:val="21"/>
                <w:highlight w:val="none"/>
              </w:rPr>
              <w:t>选用符合国家有关卫生标准的施工机械和运输车辆，并且安装排气净化器，使用符合标准的油料或清洁能源，使其排放的废气能够达到国家标准。</w:t>
            </w:r>
            <w:r>
              <w:rPr>
                <w:rFonts w:hint="default" w:ascii="Times New Roman" w:hAnsi="Times New Roman" w:eastAsia="宋体" w:cs="Times New Roman"/>
                <w:color w:val="auto"/>
                <w:sz w:val="21"/>
                <w:szCs w:val="21"/>
                <w:highlight w:val="none"/>
              </w:rPr>
              <w:t>经上述治理后，施工期产生的扬尘满足《大气污染物综合排放标准》（GB16297-1996）表2中无组织排放监控浓度限值。</w:t>
            </w:r>
          </w:p>
          <w:p w14:paraId="3E89F7C2">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bCs/>
                <w:color w:val="auto"/>
                <w:kern w:val="0"/>
                <w:sz w:val="21"/>
                <w:szCs w:val="21"/>
                <w:highlight w:val="none"/>
                <w:lang w:val="en-US" w:eastAsia="zh-CN"/>
              </w:rPr>
              <w:t>4、</w:t>
            </w:r>
            <w:r>
              <w:rPr>
                <w:rFonts w:hint="default" w:ascii="Times New Roman" w:hAnsi="Times New Roman" w:cs="Times New Roman" w:eastAsiaTheme="minorEastAsia"/>
                <w:b/>
                <w:bCs/>
                <w:color w:val="auto"/>
                <w:kern w:val="0"/>
                <w:sz w:val="21"/>
                <w:szCs w:val="21"/>
                <w:highlight w:val="none"/>
              </w:rPr>
              <w:t>声环境保护措施</w:t>
            </w:r>
          </w:p>
          <w:p w14:paraId="5DD12C1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（1）施工噪声控制</w:t>
            </w:r>
          </w:p>
          <w:p w14:paraId="76CB33A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施工单位必须选用符合国家有关标准的施工机具，尽量选择低噪声设备和工艺，合理安排施工时间，禁止夜间施工，降低源强；加强设备的维护和保养，保持机械润滑，减少运行噪声；振动大的机械设备使用减振机座降低噪声；在各施工工区周围进行绿化，可适当降低噪声传播</w:t>
            </w:r>
            <w:r>
              <w:rPr>
                <w:rFonts w:hint="eastAsia" w:ascii="Times New Roman" w:hAnsi="Times New Roman" w:cs="Times New Roman"/>
                <w:color w:val="auto"/>
                <w:highlight w:val="none"/>
                <w:lang w:eastAsia="zh-CN"/>
              </w:rPr>
              <w:t>。</w:t>
            </w:r>
          </w:p>
          <w:p w14:paraId="1254CC6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（2）交通噪声控制</w:t>
            </w:r>
          </w:p>
          <w:p w14:paraId="693127D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工程实际运行中，应禁止在夜间进行施工运输作业；加强道路的养护和车辆的维护保养，严禁车辆超载行驶，降低噪声源，以确保不因工程管理不当造成的噪声扰民现象发生。施工道路选线距离两侧居民区的最小距离应大于180m，禁止夜间运输、控制车流量、降低车速，车辆经过村镇时减速慢行，禁止鸣笛。</w:t>
            </w:r>
            <w:r>
              <w:rPr>
                <w:rFonts w:hint="default" w:ascii="Times New Roman" w:hAnsi="Times New Roman" w:cs="Times New Roman"/>
                <w:color w:val="auto"/>
                <w:sz w:val="21"/>
                <w:szCs w:val="21"/>
                <w:highlight w:val="none"/>
              </w:rPr>
              <w:t>厂界噪声值满足</w:t>
            </w:r>
            <w:r>
              <w:rPr>
                <w:rFonts w:hint="default" w:ascii="Times New Roman" w:hAnsi="Times New Roman" w:eastAsia="宋体" w:cs="Times New Roman"/>
                <w:color w:val="auto"/>
                <w:sz w:val="21"/>
                <w:szCs w:val="21"/>
                <w:highlight w:val="none"/>
                <w:lang w:val="en-US" w:eastAsia="zh-CN"/>
              </w:rPr>
              <w:t>《建筑施工噪声排放标准》（GB12523-2025）</w:t>
            </w:r>
            <w:r>
              <w:rPr>
                <w:rFonts w:hint="default" w:ascii="Times New Roman" w:hAnsi="Times New Roman" w:cs="Times New Roman"/>
                <w:color w:val="auto"/>
                <w:sz w:val="21"/>
                <w:szCs w:val="21"/>
                <w:highlight w:val="none"/>
              </w:rPr>
              <w:t>中相应标准限值。</w:t>
            </w:r>
          </w:p>
          <w:p w14:paraId="23A76950">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bCs/>
                <w:color w:val="auto"/>
                <w:kern w:val="0"/>
                <w:sz w:val="21"/>
                <w:szCs w:val="21"/>
                <w:highlight w:val="none"/>
                <w:lang w:val="en-US" w:eastAsia="zh-CN"/>
              </w:rPr>
              <w:t>5、</w:t>
            </w:r>
            <w:r>
              <w:rPr>
                <w:rFonts w:hint="default" w:ascii="Times New Roman" w:hAnsi="Times New Roman" w:cs="Times New Roman" w:eastAsiaTheme="minorEastAsia"/>
                <w:b/>
                <w:bCs/>
                <w:color w:val="auto"/>
                <w:kern w:val="0"/>
                <w:sz w:val="21"/>
                <w:szCs w:val="21"/>
                <w:highlight w:val="none"/>
              </w:rPr>
              <w:t>固体废物处置措施</w:t>
            </w:r>
          </w:p>
          <w:p w14:paraId="339754B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w:t>
            </w:r>
            <w:r>
              <w:rPr>
                <w:rFonts w:hint="eastAsia" w:cs="Times New Roman" w:eastAsiaTheme="minorEastAsia"/>
                <w:color w:val="auto"/>
                <w:kern w:val="0"/>
                <w:sz w:val="21"/>
                <w:szCs w:val="21"/>
                <w:highlight w:val="none"/>
                <w:lang w:val="en-US" w:eastAsia="zh-CN"/>
              </w:rPr>
              <w:t>1</w:t>
            </w:r>
            <w:r>
              <w:rPr>
                <w:rFonts w:hint="default" w:ascii="Times New Roman" w:hAnsi="Times New Roman" w:cs="Times New Roman" w:eastAsiaTheme="minorEastAsia"/>
                <w:color w:val="auto"/>
                <w:kern w:val="0"/>
                <w:sz w:val="21"/>
                <w:szCs w:val="21"/>
                <w:highlight w:val="none"/>
              </w:rPr>
              <w:t>）生活垃圾处置措施</w:t>
            </w:r>
          </w:p>
          <w:p w14:paraId="14C994D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在生活区设置1个垃圾桶，垃圾桶规格为240L。日常安排清洁人员负责生活垃圾的清扫；对各垃圾桶存放处经常喷洒灭害灵等药水，以防止蚊蝇等滋生，减免施工生活垃圾对施工区环境卫生产生不利影响。</w:t>
            </w:r>
          </w:p>
          <w:p w14:paraId="0BF6F98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租赁垃圾清运车，用于垃圾清运。生活垃圾运送至附近的垃圾填埋场，各施工单位应在施工筹建期按照就近原则与附近乡镇生活垃圾填埋场管理单位进行沟通，签订施工期生活垃圾处置协议。</w:t>
            </w:r>
          </w:p>
          <w:p w14:paraId="7C07A3E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kern w:val="0"/>
                <w:sz w:val="21"/>
                <w:szCs w:val="21"/>
                <w:highlight w:val="none"/>
                <w:lang w:val="en-US" w:eastAsia="zh-CN"/>
              </w:rPr>
            </w:pPr>
            <w:r>
              <w:rPr>
                <w:rFonts w:hint="default" w:ascii="Times New Roman" w:hAnsi="Times New Roman" w:cs="Times New Roman" w:eastAsiaTheme="minorEastAsia"/>
                <w:b w:val="0"/>
                <w:bCs w:val="0"/>
                <w:color w:val="auto"/>
                <w:kern w:val="0"/>
                <w:sz w:val="21"/>
                <w:szCs w:val="21"/>
                <w:highlight w:val="none"/>
                <w:lang w:val="en-US" w:eastAsia="zh-CN"/>
              </w:rPr>
              <w:t>（</w:t>
            </w:r>
            <w:r>
              <w:rPr>
                <w:rFonts w:hint="eastAsia" w:cs="Times New Roman" w:eastAsiaTheme="minorEastAsia"/>
                <w:b w:val="0"/>
                <w:bCs w:val="0"/>
                <w:color w:val="auto"/>
                <w:kern w:val="0"/>
                <w:sz w:val="21"/>
                <w:szCs w:val="21"/>
                <w:highlight w:val="none"/>
                <w:lang w:val="en-US" w:eastAsia="zh-CN"/>
              </w:rPr>
              <w:t>2</w:t>
            </w:r>
            <w:r>
              <w:rPr>
                <w:rFonts w:hint="default" w:ascii="Times New Roman" w:hAnsi="Times New Roman" w:cs="Times New Roman" w:eastAsiaTheme="minorEastAsia"/>
                <w:b w:val="0"/>
                <w:bCs w:val="0"/>
                <w:color w:val="auto"/>
                <w:kern w:val="0"/>
                <w:sz w:val="21"/>
                <w:szCs w:val="21"/>
                <w:highlight w:val="none"/>
                <w:lang w:val="en-US" w:eastAsia="zh-CN"/>
              </w:rPr>
              <w:t>）建筑垃圾</w:t>
            </w:r>
          </w:p>
          <w:p w14:paraId="1B846C2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bCs/>
                <w:color w:val="auto"/>
                <w:kern w:val="0"/>
                <w:sz w:val="21"/>
                <w:szCs w:val="21"/>
                <w:highlight w:val="none"/>
                <w:lang w:val="en-US" w:eastAsia="zh-CN"/>
              </w:rPr>
            </w:pPr>
            <w:r>
              <w:rPr>
                <w:rFonts w:hint="default" w:ascii="Times New Roman" w:hAnsi="Times New Roman" w:cs="Times New Roman" w:eastAsiaTheme="minorEastAsia"/>
                <w:b w:val="0"/>
                <w:bCs w:val="0"/>
                <w:color w:val="auto"/>
                <w:kern w:val="0"/>
                <w:sz w:val="21"/>
                <w:szCs w:val="21"/>
                <w:highlight w:val="none"/>
                <w:lang w:val="en-US" w:eastAsia="zh-CN"/>
              </w:rPr>
              <w:t>本项目所产生的建筑垃圾约为2t，主要为输水洞拆除重建的建筑垃圾，严禁与生活垃圾混合，拉运至建设单位与环卫部门指定地点。</w:t>
            </w:r>
          </w:p>
          <w:p w14:paraId="52820D8F">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lang w:val="en-US" w:eastAsia="zh-CN"/>
              </w:rPr>
              <w:t>6、</w:t>
            </w:r>
            <w:r>
              <w:rPr>
                <w:rFonts w:hint="default" w:ascii="Times New Roman" w:hAnsi="Times New Roman" w:cs="Times New Roman" w:eastAsiaTheme="minorEastAsia"/>
                <w:b/>
                <w:bCs/>
                <w:color w:val="auto"/>
                <w:kern w:val="0"/>
                <w:sz w:val="21"/>
                <w:szCs w:val="21"/>
                <w:highlight w:val="none"/>
              </w:rPr>
              <w:t>人群健康保护措施</w:t>
            </w:r>
          </w:p>
          <w:p w14:paraId="69E4AB0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（1）施工区卫生清理</w:t>
            </w:r>
          </w:p>
          <w:p w14:paraId="4D8782C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工程准备期，结合场地平整工作，对施工营地、施工人员集中活动场所进行一次性清理和消毒，抛撒生石灰。在施工人员临时居住范围和生产生活区开展灭鼠、灭蚊和灭蝇活动，加强施工区卫生管理，以控制各种传染性疾病的传染源和切断传播途径。</w:t>
            </w:r>
          </w:p>
          <w:p w14:paraId="10C2416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（2）环境卫生及食品卫生管理</w:t>
            </w:r>
          </w:p>
          <w:p w14:paraId="4C196E0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施工期加强对各施工区等区域饮用水源、公共餐饮场所、垃圾桶、公共厕所等地的环境卫生管理，定期进行卫生检查。除日常清理外，每月至少集中清理2次。加强工区内食堂的卫生管理，每季度进行一次卫生检查，取得卫生许可证的人员方可从事餐饮工作。</w:t>
            </w:r>
          </w:p>
          <w:p w14:paraId="38D29B8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（3）卫生防疫及疫情监控措施</w:t>
            </w:r>
          </w:p>
          <w:p w14:paraId="51D3E47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为有效预防现场流行疾病，提高施工人员的抗病能力，定期对施工人群采取预防性服药、疫苗接种等预防措施。各施工单位应明确卫生防疫责任人，按当地卫生部门制订的疫情管理制度及报送制度进行管理，并接受当地卫生部门的监督。施工期应设立疫情监控站，随时备用痢疾、肝炎、肺结核等常见传染病的处理药品和器材。一旦发现疫情，立即对传染源采取治疗、隔离、观察等措施，对易感人群采取预防措施，并及时上报卫生防疫主管部门。</w:t>
            </w:r>
          </w:p>
          <w:p w14:paraId="62C34B17">
            <w:pPr>
              <w:keepNext w:val="0"/>
              <w:keepLines w:val="0"/>
              <w:pageBreakBefore w:val="0"/>
              <w:widowControl/>
              <w:kinsoku/>
              <w:wordWrap/>
              <w:overflowPunct/>
              <w:topLinePunct w:val="0"/>
              <w:autoSpaceDE/>
              <w:autoSpaceDN/>
              <w:bidi w:val="0"/>
              <w:adjustRightInd/>
              <w:snapToGrid/>
              <w:spacing w:line="360" w:lineRule="auto"/>
              <w:ind w:firstLine="422" w:firstLineChars="200"/>
              <w:jc w:val="both"/>
              <w:textAlignment w:val="auto"/>
              <w:rPr>
                <w:rFonts w:hint="default" w:ascii="Times New Roman" w:hAnsi="Times New Roman" w:eastAsia="宋体" w:cs="Times New Roman"/>
                <w:b/>
                <w:bCs/>
                <w:color w:val="auto"/>
                <w:sz w:val="21"/>
                <w:highlight w:val="none"/>
                <w:lang w:eastAsia="zh-CN"/>
              </w:rPr>
            </w:pPr>
            <w:r>
              <w:rPr>
                <w:rFonts w:hint="eastAsia" w:ascii="Times New Roman" w:hAnsi="Times New Roman" w:eastAsia="宋体" w:cs="Times New Roman"/>
                <w:b/>
                <w:bCs/>
                <w:color w:val="auto"/>
                <w:sz w:val="21"/>
                <w:highlight w:val="none"/>
                <w:lang w:val="en-US" w:eastAsia="zh-CN"/>
              </w:rPr>
              <w:t>7</w:t>
            </w:r>
            <w:r>
              <w:rPr>
                <w:rFonts w:hint="default" w:ascii="Times New Roman" w:hAnsi="Times New Roman" w:eastAsia="宋体" w:cs="Times New Roman"/>
                <w:b/>
                <w:bCs/>
                <w:color w:val="auto"/>
                <w:sz w:val="21"/>
                <w:highlight w:val="none"/>
                <w:lang w:eastAsia="zh-CN"/>
              </w:rPr>
              <w:t>、环境风险预防措施</w:t>
            </w:r>
          </w:p>
          <w:p w14:paraId="293170EF">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本项目不设置储油库，涉及危险物质主要</w:t>
            </w:r>
            <w:r>
              <w:rPr>
                <w:rFonts w:hint="eastAsia" w:cs="Times New Roman"/>
                <w:color w:val="auto"/>
                <w:sz w:val="21"/>
                <w:highlight w:val="none"/>
                <w:lang w:val="en-US" w:eastAsia="zh-CN"/>
              </w:rPr>
              <w:t>为</w:t>
            </w:r>
            <w:r>
              <w:rPr>
                <w:rFonts w:hint="default" w:ascii="Times New Roman" w:hAnsi="Times New Roman" w:eastAsia="宋体" w:cs="Times New Roman"/>
                <w:color w:val="auto"/>
                <w:sz w:val="21"/>
                <w:highlight w:val="none"/>
                <w:lang w:eastAsia="zh-CN"/>
              </w:rPr>
              <w:t>柴油，</w:t>
            </w:r>
            <w:r>
              <w:rPr>
                <w:rFonts w:hint="default" w:ascii="Times New Roman" w:hAnsi="Times New Roman" w:eastAsia="宋体" w:cs="Times New Roman"/>
                <w:color w:val="auto"/>
                <w:sz w:val="21"/>
                <w:highlight w:val="none"/>
                <w:lang w:val="en-US" w:eastAsia="zh-CN"/>
              </w:rPr>
              <w:t>柴油</w:t>
            </w:r>
            <w:r>
              <w:rPr>
                <w:rFonts w:hint="default" w:ascii="Times New Roman" w:hAnsi="Times New Roman" w:eastAsia="宋体" w:cs="Times New Roman"/>
                <w:color w:val="auto"/>
                <w:sz w:val="21"/>
                <w:highlight w:val="none"/>
                <w:lang w:eastAsia="zh-CN"/>
              </w:rPr>
              <w:t>存在</w:t>
            </w:r>
            <w:r>
              <w:rPr>
                <w:rFonts w:hint="eastAsia" w:ascii="Times New Roman" w:hAnsi="Times New Roman" w:eastAsia="宋体" w:cs="Times New Roman"/>
                <w:color w:val="auto"/>
                <w:sz w:val="21"/>
                <w:highlight w:val="none"/>
                <w:lang w:eastAsia="zh-CN"/>
              </w:rPr>
              <w:t>于</w:t>
            </w:r>
            <w:r>
              <w:rPr>
                <w:rFonts w:hint="default" w:ascii="Times New Roman" w:hAnsi="Times New Roman" w:eastAsia="宋体" w:cs="Times New Roman"/>
                <w:color w:val="auto"/>
                <w:sz w:val="21"/>
                <w:highlight w:val="none"/>
                <w:lang w:eastAsia="zh-CN"/>
              </w:rPr>
              <w:t>机械和车辆的油箱中，任何泄漏的燃油都可能导致潜在的火灾爆发。每天检查机器是否有燃油泄漏，并迅速清理任何溢出物。本工程</w:t>
            </w:r>
            <w:r>
              <w:rPr>
                <w:rFonts w:hint="eastAsia" w:ascii="宋体" w:hAnsi="宋体" w:eastAsia="宋体" w:cs="宋体"/>
                <w:color w:val="auto"/>
                <w:sz w:val="21"/>
                <w:highlight w:val="none"/>
                <w:lang w:eastAsia="zh-CN"/>
              </w:rPr>
              <w:t>施工过程中，运输车辆和机械应在指定运输路线行驶；在进出口加设限速、“谨慎驾驶”等</w:t>
            </w:r>
            <w:r>
              <w:rPr>
                <w:rFonts w:hint="default" w:ascii="Times New Roman" w:hAnsi="Times New Roman" w:eastAsia="宋体" w:cs="Times New Roman"/>
                <w:color w:val="auto"/>
                <w:sz w:val="21"/>
                <w:highlight w:val="none"/>
                <w:lang w:eastAsia="zh-CN"/>
              </w:rPr>
              <w:t>标识牌，提醒工程周边社会车辆降低车速安全通行，减小交通事故发生概率；加强工程运输</w:t>
            </w:r>
            <w:r>
              <w:rPr>
                <w:rFonts w:hint="eastAsia" w:ascii="Times New Roman" w:hAnsi="Times New Roman" w:eastAsia="宋体" w:cs="Times New Roman"/>
                <w:color w:val="auto"/>
                <w:sz w:val="21"/>
                <w:highlight w:val="none"/>
                <w:lang w:eastAsia="zh-CN"/>
              </w:rPr>
              <w:t>车辆</w:t>
            </w:r>
            <w:r>
              <w:rPr>
                <w:rFonts w:hint="default" w:ascii="Times New Roman" w:hAnsi="Times New Roman" w:eastAsia="宋体" w:cs="Times New Roman"/>
                <w:color w:val="auto"/>
                <w:sz w:val="21"/>
                <w:highlight w:val="none"/>
                <w:lang w:eastAsia="zh-CN"/>
              </w:rPr>
              <w:t>安全管理，定期检修相关车辆，保证上路车辆车况良好。施工期造成的环境风险影响较小。施工方在施工过程中须严格遵守施工管理制度，严格执行相关环境保护措施，降低发生水质污染事故的概率。</w:t>
            </w:r>
          </w:p>
          <w:p w14:paraId="098DBBFA">
            <w:pPr>
              <w:keepNext w:val="0"/>
              <w:keepLines w:val="0"/>
              <w:pageBreakBefore w:val="0"/>
              <w:widowControl/>
              <w:kinsoku/>
              <w:wordWrap/>
              <w:overflowPunct/>
              <w:topLinePunct w:val="0"/>
              <w:autoSpaceDE/>
              <w:autoSpaceDN/>
              <w:bidi w:val="0"/>
              <w:adjustRightInd/>
              <w:snapToGrid/>
              <w:spacing w:line="360" w:lineRule="auto"/>
              <w:ind w:firstLine="422"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b/>
                <w:bCs/>
                <w:color w:val="auto"/>
                <w:sz w:val="21"/>
                <w:highlight w:val="none"/>
                <w:lang w:eastAsia="zh-CN"/>
              </w:rPr>
              <w:t>8、环境管理与监测计划</w:t>
            </w:r>
          </w:p>
          <w:p w14:paraId="77BED934">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（1）环境管理</w:t>
            </w:r>
          </w:p>
          <w:p w14:paraId="02DA0B7D">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eastAsia" w:ascii="宋体" w:hAnsi="宋体" w:eastAsia="宋体" w:cs="宋体"/>
                <w:color w:val="auto"/>
                <w:sz w:val="21"/>
                <w:highlight w:val="none"/>
                <w:lang w:eastAsia="zh-CN"/>
              </w:rPr>
            </w:pPr>
            <w:r>
              <w:rPr>
                <w:rFonts w:hint="default" w:ascii="Times New Roman" w:hAnsi="Times New Roman" w:eastAsia="宋体" w:cs="Times New Roman"/>
                <w:color w:val="auto"/>
                <w:sz w:val="21"/>
                <w:highlight w:val="none"/>
                <w:lang w:eastAsia="zh-CN"/>
              </w:rPr>
              <w:t>根据《建设项目环境保护管理条例》规定</w:t>
            </w:r>
            <w:r>
              <w:rPr>
                <w:rFonts w:hint="eastAsia" w:ascii="宋体" w:hAnsi="宋体" w:eastAsia="宋体" w:cs="宋体"/>
                <w:color w:val="auto"/>
                <w:sz w:val="21"/>
                <w:highlight w:val="none"/>
                <w:lang w:eastAsia="zh-CN"/>
              </w:rPr>
              <w:t>：“建设项目的环境保护设施，必须与主体工程同时设计、同时施工、同时投产使用。”</w:t>
            </w:r>
          </w:p>
          <w:p w14:paraId="508F2DAD">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eastAsia" w:ascii="宋体" w:hAnsi="宋体" w:eastAsia="宋体" w:cs="宋体"/>
                <w:color w:val="auto"/>
                <w:sz w:val="21"/>
                <w:highlight w:val="none"/>
                <w:lang w:eastAsia="zh-CN"/>
              </w:rPr>
              <w:t>项目建设全面贯彻执行“四制”，项目法人单位对工程建设负总责和资金筹措管理，选择施工队伍。落实质量监督和组</w:t>
            </w:r>
            <w:r>
              <w:rPr>
                <w:rFonts w:hint="default" w:ascii="Times New Roman" w:hAnsi="Times New Roman" w:eastAsia="宋体" w:cs="Times New Roman"/>
                <w:color w:val="auto"/>
                <w:sz w:val="21"/>
                <w:highlight w:val="none"/>
                <w:lang w:eastAsia="zh-CN"/>
              </w:rPr>
              <w:t>织初步验收，并安排专人负责施工中的环境管理工作。参与工程建设的各专业施工单位应配置专业环保人员1人，配合建设单位设置的环境保护机构做好施工中的环境保护工作。</w:t>
            </w:r>
          </w:p>
          <w:p w14:paraId="35A70E61">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在工程施工期设立环境监理，在工程施工期设立环境监理1名，根据国家法律、法规和政策及施工合同中的环保条款，通过日常巡视，下发指令性文件等方式，监督、审查和评估施工环境保护措施的执行情况，及时发现和指正施工单位的违反环境保护政策行为，及时将监理情况反馈给工程监理和工程建设管理部门。</w:t>
            </w:r>
          </w:p>
          <w:p w14:paraId="0800756A">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（2）环境监测</w:t>
            </w:r>
          </w:p>
          <w:p w14:paraId="0105F6B7">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eastAsia="zh-CN"/>
              </w:rPr>
              <w:t>根据工程施工期环境影响分析，工程施工期大气污染和噪声影响较轻，生产废水的处理主要在于加强管理和监督。因此，</w:t>
            </w:r>
            <w:r>
              <w:rPr>
                <w:rFonts w:hint="default" w:ascii="Times New Roman" w:hAnsi="Times New Roman" w:cs="Times New Roman"/>
                <w:caps w:val="0"/>
                <w:color w:val="auto"/>
                <w:highlight w:val="none"/>
                <w:lang w:val="en-US"/>
              </w:rPr>
              <w:t>施工期间监测对象为地表</w:t>
            </w:r>
            <w:r>
              <w:rPr>
                <w:rFonts w:hint="default" w:ascii="Times New Roman" w:hAnsi="Times New Roman" w:cs="Times New Roman"/>
                <w:caps w:val="0"/>
                <w:color w:val="auto"/>
                <w:highlight w:val="none"/>
                <w:lang w:val="en-US" w:eastAsia="zh-CN"/>
              </w:rPr>
              <w:t>水</w:t>
            </w:r>
            <w:r>
              <w:rPr>
                <w:rFonts w:hint="default" w:ascii="Times New Roman" w:hAnsi="Times New Roman" w:cs="Times New Roman"/>
                <w:caps w:val="0"/>
                <w:color w:val="auto"/>
                <w:highlight w:val="none"/>
                <w:lang w:val="en-US"/>
              </w:rPr>
              <w:t>、环境敏感点处的声环境、大气环境等</w:t>
            </w:r>
            <w:r>
              <w:rPr>
                <w:rFonts w:hint="default" w:ascii="Times New Roman" w:hAnsi="Times New Roman" w:eastAsia="宋体" w:cs="Times New Roman"/>
                <w:color w:val="auto"/>
                <w:sz w:val="21"/>
                <w:highlight w:val="none"/>
                <w:lang w:eastAsia="zh-CN"/>
              </w:rPr>
              <w:t>。实施主体为建设单位，由建设单位委托具有相应资质的监测单位监测，监测分析方法采用国家环境保护部规定的方法。</w:t>
            </w:r>
            <w:r>
              <w:rPr>
                <w:rFonts w:hint="default" w:ascii="Times New Roman" w:hAnsi="Times New Roman" w:eastAsia="宋体" w:cs="Times New Roman"/>
                <w:color w:val="auto"/>
                <w:sz w:val="21"/>
                <w:highlight w:val="none"/>
              </w:rPr>
              <w:t>具体监测计划如下：</w:t>
            </w:r>
          </w:p>
          <w:p w14:paraId="10DB7A4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表5-</w:t>
            </w:r>
            <w:r>
              <w:rPr>
                <w:rFonts w:hint="eastAsia" w:cs="Times New Roman"/>
                <w:b/>
                <w:bCs/>
                <w:color w:val="auto"/>
                <w:highlight w:val="none"/>
                <w:lang w:val="en-US" w:eastAsia="zh-CN"/>
              </w:rPr>
              <w:t>1</w:t>
            </w:r>
            <w:r>
              <w:rPr>
                <w:rFonts w:hint="default" w:ascii="Times New Roman" w:hAnsi="Times New Roman" w:eastAsia="宋体" w:cs="Times New Roman"/>
                <w:b/>
                <w:bCs/>
                <w:color w:val="auto"/>
                <w:highlight w:val="none"/>
              </w:rPr>
              <w:t>施工期监测计划</w:t>
            </w:r>
          </w:p>
          <w:tbl>
            <w:tblPr>
              <w:tblStyle w:val="24"/>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5"/>
              <w:gridCol w:w="1124"/>
              <w:gridCol w:w="1976"/>
              <w:gridCol w:w="2750"/>
              <w:gridCol w:w="857"/>
              <w:gridCol w:w="500"/>
            </w:tblGrid>
            <w:tr w14:paraId="3CD865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 w:type="pct"/>
                  <w:vAlign w:val="center"/>
                </w:tcPr>
                <w:p w14:paraId="493CB125">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环境</w:t>
                  </w:r>
                </w:p>
                <w:p w14:paraId="5D3B0901">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要素</w:t>
                  </w:r>
                </w:p>
              </w:tc>
              <w:tc>
                <w:tcPr>
                  <w:tcW w:w="703" w:type="pct"/>
                  <w:vAlign w:val="center"/>
                </w:tcPr>
                <w:p w14:paraId="5FDCABE0">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监测地点</w:t>
                  </w:r>
                </w:p>
              </w:tc>
              <w:tc>
                <w:tcPr>
                  <w:tcW w:w="1236" w:type="pct"/>
                  <w:vAlign w:val="center"/>
                </w:tcPr>
                <w:p w14:paraId="2F30285C">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监测项目</w:t>
                  </w:r>
                </w:p>
              </w:tc>
              <w:tc>
                <w:tcPr>
                  <w:tcW w:w="1720" w:type="pct"/>
                  <w:vAlign w:val="center"/>
                </w:tcPr>
                <w:p w14:paraId="0F682D54">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监测时间及频率</w:t>
                  </w:r>
                </w:p>
              </w:tc>
              <w:tc>
                <w:tcPr>
                  <w:tcW w:w="536" w:type="pct"/>
                  <w:tcMar>
                    <w:left w:w="57" w:type="dxa"/>
                    <w:right w:w="57" w:type="dxa"/>
                  </w:tcMar>
                  <w:vAlign w:val="center"/>
                </w:tcPr>
                <w:p w14:paraId="03911FC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olor w:val="auto"/>
                      <w:sz w:val="18"/>
                      <w:szCs w:val="18"/>
                      <w:highlight w:val="none"/>
                      <w:lang w:eastAsia="zh-CN"/>
                    </w:rPr>
                    <w:t>实施机构</w:t>
                  </w:r>
                </w:p>
              </w:tc>
              <w:tc>
                <w:tcPr>
                  <w:tcW w:w="312" w:type="pct"/>
                  <w:tcMar>
                    <w:left w:w="57" w:type="dxa"/>
                    <w:right w:w="57" w:type="dxa"/>
                  </w:tcMar>
                  <w:vAlign w:val="center"/>
                </w:tcPr>
                <w:p w14:paraId="16F84908">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监督</w:t>
                  </w:r>
                </w:p>
                <w:p w14:paraId="025AF0E2">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机构</w:t>
                  </w:r>
                </w:p>
              </w:tc>
            </w:tr>
            <w:tr w14:paraId="2BB932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 w:type="pct"/>
                  <w:vAlign w:val="center"/>
                </w:tcPr>
                <w:p w14:paraId="3D4ACE5B">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eastAsia="zh-CN"/>
                    </w:rPr>
                    <w:t>地表</w:t>
                  </w:r>
                  <w:r>
                    <w:rPr>
                      <w:rFonts w:hint="default" w:ascii="Times New Roman" w:hAnsi="Times New Roman" w:eastAsia="宋体" w:cs="Times New Roman"/>
                      <w:caps w:val="0"/>
                      <w:color w:val="auto"/>
                      <w:sz w:val="18"/>
                      <w:szCs w:val="18"/>
                      <w:highlight w:val="none"/>
                      <w:lang w:val="en-US"/>
                    </w:rPr>
                    <w:t>水环境</w:t>
                  </w:r>
                </w:p>
              </w:tc>
              <w:tc>
                <w:tcPr>
                  <w:tcW w:w="703" w:type="pct"/>
                  <w:vAlign w:val="center"/>
                </w:tcPr>
                <w:p w14:paraId="30D026E8">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eastAsia="zh-CN"/>
                    </w:rPr>
                  </w:pPr>
                  <w:r>
                    <w:rPr>
                      <w:rFonts w:hint="eastAsia" w:cs="Times New Roman"/>
                      <w:caps w:val="0"/>
                      <w:color w:val="auto"/>
                      <w:sz w:val="18"/>
                      <w:szCs w:val="18"/>
                      <w:highlight w:val="none"/>
                      <w:lang w:val="en-US" w:eastAsia="zh-CN"/>
                    </w:rPr>
                    <w:t>庆先水库</w:t>
                  </w:r>
                </w:p>
              </w:tc>
              <w:tc>
                <w:tcPr>
                  <w:tcW w:w="1236" w:type="pct"/>
                  <w:vAlign w:val="center"/>
                </w:tcPr>
                <w:p w14:paraId="370F6D00">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color w:val="auto"/>
                      <w:sz w:val="18"/>
                      <w:szCs w:val="18"/>
                      <w:highlight w:val="none"/>
                    </w:rPr>
                    <w:t>pH、COD、BOD</w:t>
                  </w:r>
                  <w:r>
                    <w:rPr>
                      <w:color w:val="auto"/>
                      <w:sz w:val="18"/>
                      <w:szCs w:val="18"/>
                      <w:highlight w:val="none"/>
                      <w:vertAlign w:val="subscript"/>
                    </w:rPr>
                    <w:t>5</w:t>
                  </w:r>
                  <w:r>
                    <w:rPr>
                      <w:color w:val="auto"/>
                      <w:sz w:val="18"/>
                      <w:szCs w:val="18"/>
                      <w:highlight w:val="none"/>
                    </w:rPr>
                    <w:t>、SS、氨氮、总磷、总氮</w:t>
                  </w:r>
                </w:p>
              </w:tc>
              <w:tc>
                <w:tcPr>
                  <w:tcW w:w="1720" w:type="pct"/>
                  <w:vAlign w:val="center"/>
                </w:tcPr>
                <w:p w14:paraId="5857CB8F">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eastAsia="zh-CN"/>
                    </w:rPr>
                  </w:pPr>
                  <w:r>
                    <w:rPr>
                      <w:color w:val="auto"/>
                      <w:sz w:val="18"/>
                      <w:szCs w:val="18"/>
                      <w:highlight w:val="none"/>
                    </w:rPr>
                    <w:t>施工高峰期监测1次，施工结束后监测一次，每次连续监测2天。</w:t>
                  </w:r>
                </w:p>
              </w:tc>
              <w:tc>
                <w:tcPr>
                  <w:tcW w:w="536" w:type="pct"/>
                  <w:vMerge w:val="restart"/>
                  <w:tcMar>
                    <w:left w:w="57" w:type="dxa"/>
                    <w:right w:w="57" w:type="dxa"/>
                  </w:tcMar>
                  <w:vAlign w:val="center"/>
                </w:tcPr>
                <w:p w14:paraId="4D34632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olor w:val="auto"/>
                      <w:sz w:val="18"/>
                      <w:szCs w:val="18"/>
                      <w:highlight w:val="none"/>
                      <w:lang w:eastAsia="zh-CN"/>
                    </w:rPr>
                    <w:t>委托具有相应资质的单位承担监测工作</w:t>
                  </w:r>
                </w:p>
              </w:tc>
              <w:tc>
                <w:tcPr>
                  <w:tcW w:w="312" w:type="pct"/>
                  <w:vMerge w:val="restart"/>
                  <w:tcMar>
                    <w:left w:w="57" w:type="dxa"/>
                    <w:right w:w="57" w:type="dxa"/>
                  </w:tcMar>
                  <w:vAlign w:val="center"/>
                </w:tcPr>
                <w:p w14:paraId="551CDCFD">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eastAsia" w:ascii="Times New Roman" w:hAnsi="Times New Roman" w:eastAsia="宋体" w:cs="Times New Roman"/>
                      <w:caps w:val="0"/>
                      <w:color w:val="auto"/>
                      <w:sz w:val="18"/>
                      <w:szCs w:val="18"/>
                      <w:highlight w:val="none"/>
                      <w:lang w:val="en-US" w:eastAsia="zh-CN"/>
                    </w:rPr>
                    <w:t>鸡西市密山</w:t>
                  </w:r>
                  <w:r>
                    <w:rPr>
                      <w:rFonts w:hint="default" w:ascii="Times New Roman" w:hAnsi="Times New Roman" w:eastAsia="宋体" w:cs="Times New Roman"/>
                      <w:caps w:val="0"/>
                      <w:color w:val="auto"/>
                      <w:sz w:val="18"/>
                      <w:szCs w:val="18"/>
                      <w:highlight w:val="none"/>
                      <w:lang w:val="en-US"/>
                    </w:rPr>
                    <w:t>生态环境局</w:t>
                  </w:r>
                </w:p>
              </w:tc>
            </w:tr>
            <w:tr w14:paraId="2B95FD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 w:type="pct"/>
                  <w:vAlign w:val="center"/>
                </w:tcPr>
                <w:p w14:paraId="151A26EC">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大气</w:t>
                  </w:r>
                </w:p>
                <w:p w14:paraId="71218C35">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环境</w:t>
                  </w:r>
                </w:p>
              </w:tc>
              <w:tc>
                <w:tcPr>
                  <w:tcW w:w="703" w:type="pct"/>
                  <w:vAlign w:val="center"/>
                </w:tcPr>
                <w:p w14:paraId="233B49B6">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sz w:val="18"/>
                      <w:szCs w:val="18"/>
                      <w:highlight w:val="none"/>
                      <w:lang w:val="en-US" w:eastAsia="zh-CN"/>
                    </w:rPr>
                  </w:pPr>
                  <w:r>
                    <w:rPr>
                      <w:rFonts w:hint="eastAsia" w:cs="Times New Roman"/>
                      <w:caps w:val="0"/>
                      <w:color w:val="auto"/>
                      <w:sz w:val="18"/>
                      <w:szCs w:val="18"/>
                      <w:highlight w:val="none"/>
                      <w:lang w:val="en-US" w:eastAsia="zh-CN"/>
                    </w:rPr>
                    <w:t>施工区</w:t>
                  </w:r>
                </w:p>
              </w:tc>
              <w:tc>
                <w:tcPr>
                  <w:tcW w:w="1236" w:type="pct"/>
                  <w:vAlign w:val="center"/>
                </w:tcPr>
                <w:p w14:paraId="223B00D0">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TSP</w:t>
                  </w:r>
                </w:p>
              </w:tc>
              <w:tc>
                <w:tcPr>
                  <w:tcW w:w="1720" w:type="pct"/>
                  <w:vAlign w:val="center"/>
                </w:tcPr>
                <w:p w14:paraId="60211080">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eastAsia="zh-CN"/>
                    </w:rPr>
                  </w:pPr>
                  <w:r>
                    <w:rPr>
                      <w:rFonts w:hint="default" w:ascii="Times New Roman" w:hAnsi="Times New Roman" w:eastAsia="宋体" w:cs="Times New Roman"/>
                      <w:caps w:val="0"/>
                      <w:color w:val="auto"/>
                      <w:sz w:val="18"/>
                      <w:szCs w:val="18"/>
                      <w:highlight w:val="none"/>
                      <w:lang w:val="en-US"/>
                    </w:rPr>
                    <w:t>施工期高峰期每季度监测</w:t>
                  </w:r>
                  <w:r>
                    <w:rPr>
                      <w:rFonts w:hint="default" w:ascii="Times New Roman" w:hAnsi="Times New Roman" w:eastAsia="宋体" w:cs="Times New Roman"/>
                      <w:caps w:val="0"/>
                      <w:color w:val="auto"/>
                      <w:sz w:val="18"/>
                      <w:szCs w:val="18"/>
                      <w:highlight w:val="none"/>
                      <w:lang w:val="en-US" w:eastAsia="zh-CN"/>
                    </w:rPr>
                    <w:t>2</w:t>
                  </w:r>
                  <w:r>
                    <w:rPr>
                      <w:rFonts w:hint="default" w:ascii="Times New Roman" w:hAnsi="Times New Roman" w:eastAsia="宋体" w:cs="Times New Roman"/>
                      <w:caps w:val="0"/>
                      <w:color w:val="auto"/>
                      <w:sz w:val="18"/>
                      <w:szCs w:val="18"/>
                      <w:highlight w:val="none"/>
                      <w:lang w:val="en-US"/>
                    </w:rPr>
                    <w:t>次</w:t>
                  </w:r>
                  <w:r>
                    <w:rPr>
                      <w:rFonts w:hint="default" w:ascii="Times New Roman" w:hAnsi="Times New Roman" w:cs="Times New Roman"/>
                      <w:caps w:val="0"/>
                      <w:color w:val="auto"/>
                      <w:sz w:val="18"/>
                      <w:szCs w:val="18"/>
                      <w:highlight w:val="none"/>
                      <w:lang w:val="en-US" w:eastAsia="zh-CN"/>
                    </w:rPr>
                    <w:t>，</w:t>
                  </w:r>
                  <w:r>
                    <w:rPr>
                      <w:rFonts w:hint="default" w:ascii="Times New Roman" w:hAnsi="Times New Roman" w:eastAsia="宋体" w:cs="Times New Roman"/>
                      <w:caps w:val="0"/>
                      <w:color w:val="auto"/>
                      <w:sz w:val="18"/>
                      <w:szCs w:val="18"/>
                      <w:highlight w:val="none"/>
                      <w:lang w:val="en-US"/>
                    </w:rPr>
                    <w:t>每次连续</w:t>
                  </w:r>
                  <w:r>
                    <w:rPr>
                      <w:rFonts w:hint="default" w:ascii="Times New Roman" w:hAnsi="Times New Roman" w:cs="Times New Roman"/>
                      <w:caps w:val="0"/>
                      <w:color w:val="auto"/>
                      <w:sz w:val="18"/>
                      <w:szCs w:val="18"/>
                      <w:highlight w:val="none"/>
                      <w:lang w:val="en-US" w:eastAsia="zh-CN"/>
                    </w:rPr>
                    <w:t>2</w:t>
                  </w:r>
                  <w:r>
                    <w:rPr>
                      <w:rFonts w:hint="default" w:ascii="Times New Roman" w:hAnsi="Times New Roman" w:eastAsia="宋体" w:cs="Times New Roman"/>
                      <w:caps w:val="0"/>
                      <w:color w:val="auto"/>
                      <w:sz w:val="18"/>
                      <w:szCs w:val="18"/>
                      <w:highlight w:val="none"/>
                      <w:lang w:val="en-US"/>
                    </w:rPr>
                    <w:t>天</w:t>
                  </w:r>
                  <w:r>
                    <w:rPr>
                      <w:rFonts w:hint="default" w:ascii="Times New Roman" w:hAnsi="Times New Roman" w:cs="Times New Roman"/>
                      <w:caps w:val="0"/>
                      <w:color w:val="auto"/>
                      <w:sz w:val="18"/>
                      <w:szCs w:val="18"/>
                      <w:highlight w:val="none"/>
                      <w:lang w:val="en-US" w:eastAsia="zh-CN"/>
                    </w:rPr>
                    <w:t>，</w:t>
                  </w:r>
                  <w:r>
                    <w:rPr>
                      <w:rFonts w:hint="default" w:ascii="Times New Roman" w:hAnsi="Times New Roman" w:eastAsia="宋体" w:cs="Times New Roman"/>
                      <w:caps w:val="0"/>
                      <w:color w:val="auto"/>
                      <w:sz w:val="18"/>
                      <w:szCs w:val="18"/>
                      <w:highlight w:val="none"/>
                      <w:lang w:val="en-US"/>
                    </w:rPr>
                    <w:t>每天监测</w:t>
                  </w:r>
                  <w:r>
                    <w:rPr>
                      <w:rFonts w:hint="default" w:ascii="Times New Roman" w:hAnsi="Times New Roman" w:eastAsia="宋体" w:cs="Times New Roman"/>
                      <w:caps w:val="0"/>
                      <w:color w:val="auto"/>
                      <w:sz w:val="18"/>
                      <w:szCs w:val="18"/>
                      <w:highlight w:val="none"/>
                      <w:lang w:val="en-US" w:eastAsia="zh-CN"/>
                    </w:rPr>
                    <w:t>2</w:t>
                  </w:r>
                  <w:r>
                    <w:rPr>
                      <w:rFonts w:hint="default" w:ascii="Times New Roman" w:hAnsi="Times New Roman" w:eastAsia="宋体" w:cs="Times New Roman"/>
                      <w:caps w:val="0"/>
                      <w:color w:val="auto"/>
                      <w:sz w:val="18"/>
                      <w:szCs w:val="18"/>
                      <w:highlight w:val="none"/>
                      <w:lang w:val="en-US"/>
                    </w:rPr>
                    <w:t>次</w:t>
                  </w:r>
                </w:p>
              </w:tc>
              <w:tc>
                <w:tcPr>
                  <w:tcW w:w="536" w:type="pct"/>
                  <w:vMerge w:val="continue"/>
                  <w:tcMar>
                    <w:left w:w="57" w:type="dxa"/>
                    <w:right w:w="57" w:type="dxa"/>
                  </w:tcMar>
                  <w:vAlign w:val="center"/>
                </w:tcPr>
                <w:p w14:paraId="6D8776BB">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p>
              </w:tc>
              <w:tc>
                <w:tcPr>
                  <w:tcW w:w="312" w:type="pct"/>
                  <w:vMerge w:val="continue"/>
                  <w:tcMar>
                    <w:left w:w="57" w:type="dxa"/>
                    <w:right w:w="57" w:type="dxa"/>
                  </w:tcMar>
                  <w:vAlign w:val="center"/>
                </w:tcPr>
                <w:p w14:paraId="5B37C6B2">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p>
              </w:tc>
            </w:tr>
            <w:tr w14:paraId="06D57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 w:type="pct"/>
                  <w:vAlign w:val="center"/>
                </w:tcPr>
                <w:p w14:paraId="12F53368">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声环境</w:t>
                  </w:r>
                </w:p>
              </w:tc>
              <w:tc>
                <w:tcPr>
                  <w:tcW w:w="703" w:type="pct"/>
                  <w:vAlign w:val="center"/>
                </w:tcPr>
                <w:p w14:paraId="72C4DB71">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sz w:val="18"/>
                      <w:szCs w:val="18"/>
                      <w:highlight w:val="none"/>
                      <w:lang w:val="en-US" w:eastAsia="zh-CN"/>
                    </w:rPr>
                  </w:pPr>
                  <w:r>
                    <w:rPr>
                      <w:rFonts w:hint="eastAsia" w:cs="Times New Roman"/>
                      <w:caps w:val="0"/>
                      <w:color w:val="auto"/>
                      <w:sz w:val="18"/>
                      <w:szCs w:val="18"/>
                      <w:highlight w:val="none"/>
                      <w:lang w:val="en-US" w:eastAsia="zh-CN"/>
                    </w:rPr>
                    <w:t>施工区</w:t>
                  </w:r>
                </w:p>
              </w:tc>
              <w:tc>
                <w:tcPr>
                  <w:tcW w:w="1236" w:type="pct"/>
                  <w:vAlign w:val="center"/>
                </w:tcPr>
                <w:p w14:paraId="233FFA4D">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r>
                    <w:rPr>
                      <w:rFonts w:hint="default" w:ascii="Times New Roman" w:hAnsi="Times New Roman" w:eastAsia="宋体" w:cs="Times New Roman"/>
                      <w:caps w:val="0"/>
                      <w:color w:val="auto"/>
                      <w:sz w:val="18"/>
                      <w:szCs w:val="18"/>
                      <w:highlight w:val="none"/>
                      <w:lang w:val="en-US"/>
                    </w:rPr>
                    <w:t>等效连续A声级</w:t>
                  </w:r>
                </w:p>
              </w:tc>
              <w:tc>
                <w:tcPr>
                  <w:tcW w:w="1720" w:type="pct"/>
                  <w:vAlign w:val="center"/>
                </w:tcPr>
                <w:p w14:paraId="355D2477">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eastAsia="zh-CN"/>
                    </w:rPr>
                  </w:pPr>
                  <w:r>
                    <w:rPr>
                      <w:rFonts w:hint="default" w:ascii="Times New Roman" w:hAnsi="Times New Roman" w:eastAsia="宋体" w:cs="Times New Roman"/>
                      <w:caps w:val="0"/>
                      <w:color w:val="auto"/>
                      <w:sz w:val="18"/>
                      <w:szCs w:val="18"/>
                      <w:highlight w:val="none"/>
                      <w:lang w:val="en-US"/>
                    </w:rPr>
                    <w:t>施工期高峰期监测</w:t>
                  </w:r>
                  <w:r>
                    <w:rPr>
                      <w:rFonts w:hint="default" w:ascii="Times New Roman" w:hAnsi="Times New Roman" w:eastAsia="宋体" w:cs="Times New Roman"/>
                      <w:caps w:val="0"/>
                      <w:color w:val="auto"/>
                      <w:sz w:val="18"/>
                      <w:szCs w:val="18"/>
                      <w:highlight w:val="none"/>
                      <w:lang w:val="en-US" w:eastAsia="zh-CN"/>
                    </w:rPr>
                    <w:t>2</w:t>
                  </w:r>
                  <w:r>
                    <w:rPr>
                      <w:rFonts w:hint="default" w:ascii="Times New Roman" w:hAnsi="Times New Roman" w:eastAsia="宋体" w:cs="Times New Roman"/>
                      <w:caps w:val="0"/>
                      <w:color w:val="auto"/>
                      <w:sz w:val="18"/>
                      <w:szCs w:val="18"/>
                      <w:highlight w:val="none"/>
                      <w:lang w:val="en-US"/>
                    </w:rPr>
                    <w:t>次</w:t>
                  </w:r>
                  <w:r>
                    <w:rPr>
                      <w:rFonts w:hint="default" w:ascii="Times New Roman" w:hAnsi="Times New Roman" w:cs="Times New Roman"/>
                      <w:caps w:val="0"/>
                      <w:color w:val="auto"/>
                      <w:sz w:val="18"/>
                      <w:szCs w:val="18"/>
                      <w:highlight w:val="none"/>
                      <w:lang w:val="en-US" w:eastAsia="zh-CN"/>
                    </w:rPr>
                    <w:t>，</w:t>
                  </w:r>
                  <w:r>
                    <w:rPr>
                      <w:rFonts w:hint="default" w:ascii="Times New Roman" w:hAnsi="Times New Roman" w:eastAsia="宋体" w:cs="Times New Roman"/>
                      <w:caps w:val="0"/>
                      <w:color w:val="auto"/>
                      <w:sz w:val="18"/>
                      <w:szCs w:val="18"/>
                      <w:highlight w:val="none"/>
                      <w:lang w:val="en-US"/>
                    </w:rPr>
                    <w:t>每次连续2天</w:t>
                  </w:r>
                  <w:r>
                    <w:rPr>
                      <w:rFonts w:hint="default" w:ascii="Times New Roman" w:hAnsi="Times New Roman" w:cs="Times New Roman"/>
                      <w:caps w:val="0"/>
                      <w:color w:val="auto"/>
                      <w:sz w:val="18"/>
                      <w:szCs w:val="18"/>
                      <w:highlight w:val="none"/>
                      <w:lang w:val="en-US" w:eastAsia="zh-CN"/>
                    </w:rPr>
                    <w:t>，</w:t>
                  </w:r>
                  <w:r>
                    <w:rPr>
                      <w:rFonts w:hint="default" w:ascii="Times New Roman" w:hAnsi="Times New Roman" w:eastAsia="宋体" w:cs="Times New Roman"/>
                      <w:caps w:val="0"/>
                      <w:color w:val="auto"/>
                      <w:sz w:val="18"/>
                      <w:szCs w:val="18"/>
                      <w:highlight w:val="none"/>
                      <w:lang w:val="en-US"/>
                    </w:rPr>
                    <w:t>每天监测</w:t>
                  </w:r>
                  <w:r>
                    <w:rPr>
                      <w:rFonts w:hint="default" w:ascii="Times New Roman" w:hAnsi="Times New Roman" w:eastAsia="宋体" w:cs="Times New Roman"/>
                      <w:caps w:val="0"/>
                      <w:color w:val="auto"/>
                      <w:sz w:val="18"/>
                      <w:szCs w:val="18"/>
                      <w:highlight w:val="none"/>
                      <w:lang w:val="en-US" w:eastAsia="zh-CN"/>
                    </w:rPr>
                    <w:t>2</w:t>
                  </w:r>
                  <w:r>
                    <w:rPr>
                      <w:rFonts w:hint="default" w:ascii="Times New Roman" w:hAnsi="Times New Roman" w:eastAsia="宋体" w:cs="Times New Roman"/>
                      <w:caps w:val="0"/>
                      <w:color w:val="auto"/>
                      <w:sz w:val="18"/>
                      <w:szCs w:val="18"/>
                      <w:highlight w:val="none"/>
                      <w:lang w:val="en-US"/>
                    </w:rPr>
                    <w:t>次</w:t>
                  </w:r>
                  <w:r>
                    <w:rPr>
                      <w:rFonts w:hint="default" w:ascii="Times New Roman" w:hAnsi="Times New Roman" w:cs="Times New Roman"/>
                      <w:caps w:val="0"/>
                      <w:color w:val="auto"/>
                      <w:sz w:val="18"/>
                      <w:szCs w:val="18"/>
                      <w:highlight w:val="none"/>
                      <w:lang w:val="en-US" w:eastAsia="zh-CN"/>
                    </w:rPr>
                    <w:t>（昼夜）</w:t>
                  </w:r>
                </w:p>
              </w:tc>
              <w:tc>
                <w:tcPr>
                  <w:tcW w:w="536" w:type="pct"/>
                  <w:vMerge w:val="continue"/>
                  <w:tcMar>
                    <w:left w:w="57" w:type="dxa"/>
                    <w:right w:w="57" w:type="dxa"/>
                  </w:tcMar>
                  <w:vAlign w:val="center"/>
                </w:tcPr>
                <w:p w14:paraId="1F3645FF">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p>
              </w:tc>
              <w:tc>
                <w:tcPr>
                  <w:tcW w:w="312" w:type="pct"/>
                  <w:vMerge w:val="continue"/>
                  <w:tcMar>
                    <w:left w:w="57" w:type="dxa"/>
                    <w:right w:w="57" w:type="dxa"/>
                  </w:tcMar>
                  <w:vAlign w:val="center"/>
                </w:tcPr>
                <w:p w14:paraId="629EE326">
                  <w:pPr>
                    <w:pStyle w:val="6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color w:val="auto"/>
                      <w:sz w:val="18"/>
                      <w:szCs w:val="18"/>
                      <w:highlight w:val="none"/>
                      <w:lang w:val="en-US"/>
                    </w:rPr>
                  </w:pPr>
                </w:p>
              </w:tc>
            </w:tr>
          </w:tbl>
          <w:p w14:paraId="237DCAED">
            <w:pPr>
              <w:pStyle w:val="3"/>
              <w:numPr>
                <w:ilvl w:val="1"/>
                <w:numId w:val="0"/>
              </w:numPr>
              <w:rPr>
                <w:rFonts w:hint="default"/>
                <w:color w:val="auto"/>
                <w:highlight w:val="none"/>
              </w:rPr>
            </w:pPr>
          </w:p>
        </w:tc>
      </w:tr>
      <w:tr w14:paraId="2FC42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850" w:type="dxa"/>
            <w:tcMar>
              <w:left w:w="28" w:type="dxa"/>
              <w:right w:w="28" w:type="dxa"/>
            </w:tcMar>
            <w:vAlign w:val="center"/>
          </w:tcPr>
          <w:p w14:paraId="7194D97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pacing w:val="10"/>
                <w:sz w:val="24"/>
                <w:szCs w:val="24"/>
                <w:highlight w:val="none"/>
              </w:rPr>
            </w:pPr>
            <w:r>
              <w:rPr>
                <w:rFonts w:hint="default" w:ascii="Times New Roman" w:hAnsi="Times New Roman" w:cs="Times New Roman" w:eastAsiaTheme="minorEastAsia"/>
                <w:bCs/>
                <w:color w:val="auto"/>
                <w:spacing w:val="0"/>
                <w:sz w:val="21"/>
                <w:szCs w:val="21"/>
                <w:highlight w:val="none"/>
              </w:rPr>
              <w:t>运营期生态环境保护措施</w:t>
            </w:r>
          </w:p>
        </w:tc>
        <w:tc>
          <w:tcPr>
            <w:tcW w:w="8209" w:type="dxa"/>
            <w:vAlign w:val="center"/>
          </w:tcPr>
          <w:p w14:paraId="6FBAFB74">
            <w:pPr>
              <w:keepNext w:val="0"/>
              <w:keepLines w:val="0"/>
              <w:pageBreakBefore w:val="0"/>
              <w:widowControl/>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lang w:val="en-US" w:eastAsia="zh-CN"/>
              </w:rPr>
              <w:t>1、</w:t>
            </w:r>
            <w:r>
              <w:rPr>
                <w:rFonts w:hint="default" w:ascii="Times New Roman" w:hAnsi="Times New Roman" w:cs="Times New Roman" w:eastAsiaTheme="minorEastAsia"/>
                <w:b/>
                <w:bCs/>
                <w:color w:val="auto"/>
                <w:sz w:val="21"/>
                <w:szCs w:val="21"/>
                <w:highlight w:val="none"/>
              </w:rPr>
              <w:t>运营期环境保护措施</w:t>
            </w:r>
          </w:p>
          <w:p w14:paraId="45D9BDB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（1）生态流量保障措施</w:t>
            </w:r>
          </w:p>
          <w:p w14:paraId="5B4ACC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eastAsia" w:cs="Times New Roman" w:eastAsiaTheme="minorEastAsia"/>
                <w:color w:val="auto"/>
                <w:kern w:val="0"/>
                <w:sz w:val="21"/>
                <w:szCs w:val="21"/>
                <w:highlight w:val="none"/>
                <w:lang w:eastAsia="zh-CN"/>
              </w:rPr>
              <w:t>庆先水库</w:t>
            </w:r>
            <w:r>
              <w:rPr>
                <w:rFonts w:hint="default" w:ascii="Times New Roman" w:hAnsi="Times New Roman" w:cs="Times New Roman" w:eastAsiaTheme="minorEastAsia"/>
                <w:color w:val="auto"/>
                <w:kern w:val="0"/>
                <w:sz w:val="21"/>
                <w:szCs w:val="21"/>
                <w:highlight w:val="none"/>
              </w:rPr>
              <w:t>在调度时，采用现有输水洞进行生态流量下泄，严格按照</w:t>
            </w:r>
            <w:r>
              <w:rPr>
                <w:rFonts w:hint="default" w:ascii="Times New Roman" w:hAnsi="Times New Roman" w:eastAsia="宋体" w:cs="Times New Roman"/>
                <w:snapToGrid w:val="0"/>
                <w:color w:val="auto"/>
                <w:kern w:val="0"/>
                <w:sz w:val="21"/>
                <w:szCs w:val="21"/>
                <w:highlight w:val="none"/>
                <w:lang w:val="en-US" w:eastAsia="zh-CN" w:bidi="ar-SA"/>
              </w:rPr>
              <w:t>《水利水电工程生态流量计算与泄放设计规范》（SL/T820-2023）与《水库生态流量泄放规程》（SL/T819-2023）</w:t>
            </w:r>
            <w:r>
              <w:rPr>
                <w:rFonts w:hint="eastAsia" w:cs="Times New Roman"/>
                <w:snapToGrid w:val="0"/>
                <w:color w:val="auto"/>
                <w:kern w:val="0"/>
                <w:sz w:val="21"/>
                <w:szCs w:val="21"/>
                <w:highlight w:val="none"/>
                <w:lang w:val="en-US" w:eastAsia="zh-CN" w:bidi="ar-SA"/>
              </w:rPr>
              <w:t>以及</w:t>
            </w:r>
            <w:r>
              <w:rPr>
                <w:rFonts w:hint="default" w:ascii="Times New Roman" w:hAnsi="Times New Roman" w:cs="Times New Roman" w:eastAsiaTheme="minorEastAsia"/>
                <w:color w:val="auto"/>
                <w:kern w:val="0"/>
                <w:sz w:val="21"/>
                <w:szCs w:val="21"/>
                <w:highlight w:val="none"/>
              </w:rPr>
              <w:t>《水库调度设计规范》（GB/T50587-2010）要求，基本的水库调度原则为：水库调度设计应遵循保护生态和环境的原则，优先满足河道内生态和环境的基本用水要求，</w:t>
            </w:r>
            <w:r>
              <w:rPr>
                <w:rFonts w:hint="eastAsia" w:asciiTheme="minorEastAsia" w:hAnsiTheme="minorEastAsia" w:eastAsiaTheme="minorEastAsia" w:cstheme="minorEastAsia"/>
                <w:color w:val="auto"/>
                <w:kern w:val="0"/>
                <w:sz w:val="21"/>
                <w:szCs w:val="21"/>
                <w:highlight w:val="none"/>
              </w:rPr>
              <w:t>合理制定运用控制条件和水库调度方式，满足下游生态流量要求。</w:t>
            </w:r>
          </w:p>
        </w:tc>
      </w:tr>
      <w:tr w14:paraId="037322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50" w:type="dxa"/>
            <w:vAlign w:val="center"/>
          </w:tcPr>
          <w:p w14:paraId="7374C2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pacing w:val="10"/>
                <w:szCs w:val="21"/>
                <w:highlight w:val="none"/>
              </w:rPr>
            </w:pPr>
            <w:r>
              <w:rPr>
                <w:rFonts w:hint="default" w:ascii="Times New Roman" w:hAnsi="Times New Roman" w:cs="Times New Roman" w:eastAsiaTheme="minorEastAsia"/>
                <w:bCs/>
                <w:color w:val="auto"/>
                <w:sz w:val="21"/>
                <w:szCs w:val="21"/>
                <w:highlight w:val="none"/>
              </w:rPr>
              <w:t>其他</w:t>
            </w:r>
          </w:p>
        </w:tc>
        <w:tc>
          <w:tcPr>
            <w:tcW w:w="8209" w:type="dxa"/>
          </w:tcPr>
          <w:p w14:paraId="60AE522F">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1、排污许可申请</w:t>
            </w:r>
          </w:p>
          <w:p w14:paraId="0C5CCE25">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根据《固定污染源排污许可分类管理名录（2019年版）》（生态环境部第11号令，2019年11月20日），本项目不属于《排污许可名录》中的108个行业需进行排污许可管理类别，因此，本项目不在固定污染源排污许可管理范畴，无需进行排污许可申请及登记。</w:t>
            </w:r>
          </w:p>
          <w:p w14:paraId="54A23E5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2、环境管理和监理</w:t>
            </w:r>
          </w:p>
          <w:p w14:paraId="1F019BB3">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（1）加强环境保护的宣传教育，增强人们的环境保护意识和参与意识，做好技术培训，提高环境管理人员的业务能力和技术水平。配合当地环保部门做好环境管理、验收、监督和检查工作。</w:t>
            </w:r>
          </w:p>
          <w:p w14:paraId="0D4D4475">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eastAsia="zh-CN"/>
              </w:rPr>
              <w:t>（2）编制环境管理年度工作计划，整编监测资料，建立工程的生态环境信息库，编制工程年度环境质量报告，并报上级主管部门和地方环保部门。</w:t>
            </w:r>
          </w:p>
          <w:p w14:paraId="536A4769">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sz w:val="21"/>
                <w:highlight w:val="none"/>
                <w:lang w:eastAsia="zh-CN"/>
              </w:rPr>
              <w:t>（3）加强施工期环境监理，委托有相应资质、业绩的环境监理单位对本工程建设进行环境监理，负责施工期环境保护措施的落实与监督，重点是防止水土流失、生态破坏、控制施工期三废排放及施工噪声的影响等。</w:t>
            </w:r>
          </w:p>
        </w:tc>
      </w:tr>
      <w:tr w14:paraId="31F35A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52" w:hRule="atLeast"/>
          <w:jc w:val="center"/>
        </w:trPr>
        <w:tc>
          <w:tcPr>
            <w:tcW w:w="850" w:type="dxa"/>
            <w:vAlign w:val="center"/>
          </w:tcPr>
          <w:p w14:paraId="7A8413F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z w:val="21"/>
                <w:szCs w:val="21"/>
                <w:highlight w:val="none"/>
              </w:rPr>
            </w:pPr>
            <w:r>
              <w:rPr>
                <w:rFonts w:hint="default" w:ascii="Times New Roman" w:hAnsi="Times New Roman" w:cs="Times New Roman" w:eastAsiaTheme="minorEastAsia"/>
                <w:bCs/>
                <w:color w:val="auto"/>
                <w:sz w:val="21"/>
                <w:szCs w:val="21"/>
                <w:highlight w:val="none"/>
              </w:rPr>
              <w:t>环保</w:t>
            </w:r>
          </w:p>
          <w:p w14:paraId="3C98C1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pacing w:val="10"/>
                <w:szCs w:val="21"/>
                <w:highlight w:val="none"/>
              </w:rPr>
            </w:pPr>
            <w:r>
              <w:rPr>
                <w:rFonts w:hint="default" w:ascii="Times New Roman" w:hAnsi="Times New Roman" w:cs="Times New Roman" w:eastAsiaTheme="minorEastAsia"/>
                <w:bCs/>
                <w:color w:val="auto"/>
                <w:sz w:val="21"/>
                <w:szCs w:val="21"/>
                <w:highlight w:val="none"/>
              </w:rPr>
              <w:t>投资</w:t>
            </w:r>
          </w:p>
        </w:tc>
        <w:tc>
          <w:tcPr>
            <w:tcW w:w="8209" w:type="dxa"/>
            <w:vAlign w:val="center"/>
          </w:tcPr>
          <w:p w14:paraId="5027A1F8">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eastAsiaTheme="minorEastAsia"/>
                <w:color w:val="auto"/>
                <w:sz w:val="24"/>
                <w:highlight w:val="none"/>
              </w:rPr>
            </w:pPr>
            <w:r>
              <w:rPr>
                <w:rFonts w:hint="eastAsia" w:cs="Times New Roman" w:eastAsiaTheme="minorEastAsia"/>
                <w:color w:val="auto"/>
                <w:sz w:val="21"/>
                <w:szCs w:val="21"/>
                <w:highlight w:val="none"/>
                <w:lang w:val="en-US" w:eastAsia="zh-CN"/>
              </w:rPr>
              <w:t>本</w:t>
            </w:r>
            <w:r>
              <w:rPr>
                <w:rFonts w:hint="default" w:ascii="Times New Roman" w:hAnsi="Times New Roman" w:cs="Times New Roman" w:eastAsiaTheme="minorEastAsia"/>
                <w:color w:val="auto"/>
                <w:sz w:val="21"/>
                <w:szCs w:val="21"/>
                <w:highlight w:val="none"/>
                <w:lang w:eastAsia="zh-CN"/>
              </w:rPr>
              <w:t>项目总投资为</w:t>
            </w:r>
            <w:r>
              <w:rPr>
                <w:rFonts w:hint="default" w:ascii="Times New Roman" w:hAnsi="Times New Roman" w:cs="Times New Roman"/>
                <w:color w:val="auto"/>
                <w:sz w:val="21"/>
                <w:szCs w:val="21"/>
                <w:highlight w:val="none"/>
              </w:rPr>
              <w:t>446.80</w:t>
            </w:r>
            <w:r>
              <w:rPr>
                <w:rFonts w:hint="default" w:ascii="Times New Roman" w:hAnsi="Times New Roman" w:cs="Times New Roman" w:eastAsiaTheme="minorEastAsia"/>
                <w:color w:val="auto"/>
                <w:sz w:val="21"/>
                <w:szCs w:val="21"/>
                <w:highlight w:val="none"/>
                <w:lang w:val="en-US" w:eastAsia="zh-CN"/>
              </w:rPr>
              <w:t>万元，其中环保投资为29.63万元，约占工程总投资的6.63%。</w:t>
            </w:r>
            <w:r>
              <w:rPr>
                <w:rFonts w:hint="default" w:ascii="Times New Roman" w:hAnsi="Times New Roman" w:cs="Times New Roman" w:eastAsiaTheme="minorEastAsia"/>
                <w:color w:val="auto"/>
                <w:sz w:val="21"/>
                <w:szCs w:val="21"/>
                <w:highlight w:val="none"/>
              </w:rPr>
              <w:t>具体环保投资情况见表</w:t>
            </w:r>
            <w:r>
              <w:rPr>
                <w:rFonts w:hint="default" w:ascii="Times New Roman" w:hAnsi="Times New Roman" w:cs="Times New Roman" w:eastAsiaTheme="minorEastAsia"/>
                <w:color w:val="auto"/>
                <w:sz w:val="21"/>
                <w:szCs w:val="21"/>
                <w:highlight w:val="none"/>
                <w:lang w:val="en-US" w:eastAsia="zh-CN"/>
              </w:rPr>
              <w:t>5-</w:t>
            </w:r>
            <w:r>
              <w:rPr>
                <w:rFonts w:hint="eastAsia"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rPr>
              <w:t>。</w:t>
            </w:r>
          </w:p>
          <w:p w14:paraId="3685D3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5-</w:t>
            </w:r>
            <w:r>
              <w:rPr>
                <w:rFonts w:hint="eastAsia"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环境保护投资表</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2"/>
              <w:gridCol w:w="1279"/>
              <w:gridCol w:w="3591"/>
              <w:gridCol w:w="1701"/>
            </w:tblGrid>
            <w:tr w14:paraId="6878BE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Align w:val="center"/>
                </w:tcPr>
                <w:p w14:paraId="1BCFDFC3">
                  <w:pPr>
                    <w:pStyle w:val="61"/>
                    <w:jc w:val="center"/>
                    <w:rPr>
                      <w:color w:val="auto"/>
                      <w:sz w:val="18"/>
                      <w:szCs w:val="18"/>
                    </w:rPr>
                  </w:pPr>
                  <w:r>
                    <w:rPr>
                      <w:color w:val="auto"/>
                      <w:sz w:val="18"/>
                      <w:szCs w:val="18"/>
                    </w:rPr>
                    <w:t>投资项目</w:t>
                  </w:r>
                </w:p>
              </w:tc>
              <w:tc>
                <w:tcPr>
                  <w:tcW w:w="1358" w:type="dxa"/>
                  <w:vAlign w:val="center"/>
                </w:tcPr>
                <w:p w14:paraId="10C80C64">
                  <w:pPr>
                    <w:pStyle w:val="61"/>
                    <w:jc w:val="center"/>
                    <w:rPr>
                      <w:color w:val="auto"/>
                      <w:sz w:val="18"/>
                      <w:szCs w:val="18"/>
                    </w:rPr>
                  </w:pPr>
                  <w:r>
                    <w:rPr>
                      <w:color w:val="auto"/>
                      <w:sz w:val="18"/>
                      <w:szCs w:val="18"/>
                    </w:rPr>
                    <w:t>项目类型</w:t>
                  </w:r>
                </w:p>
              </w:tc>
              <w:tc>
                <w:tcPr>
                  <w:tcW w:w="3842" w:type="dxa"/>
                  <w:vAlign w:val="center"/>
                </w:tcPr>
                <w:p w14:paraId="659015EB">
                  <w:pPr>
                    <w:pStyle w:val="61"/>
                    <w:jc w:val="center"/>
                    <w:rPr>
                      <w:color w:val="auto"/>
                      <w:sz w:val="18"/>
                      <w:szCs w:val="18"/>
                    </w:rPr>
                  </w:pPr>
                  <w:r>
                    <w:rPr>
                      <w:color w:val="auto"/>
                      <w:sz w:val="18"/>
                      <w:szCs w:val="18"/>
                    </w:rPr>
                    <w:t>具体措施</w:t>
                  </w:r>
                </w:p>
              </w:tc>
              <w:tc>
                <w:tcPr>
                  <w:tcW w:w="1811" w:type="dxa"/>
                  <w:vAlign w:val="center"/>
                </w:tcPr>
                <w:p w14:paraId="63A5BE0C">
                  <w:pPr>
                    <w:pStyle w:val="61"/>
                    <w:jc w:val="center"/>
                    <w:rPr>
                      <w:color w:val="auto"/>
                      <w:sz w:val="18"/>
                      <w:szCs w:val="18"/>
                    </w:rPr>
                  </w:pPr>
                  <w:r>
                    <w:rPr>
                      <w:color w:val="auto"/>
                      <w:sz w:val="18"/>
                      <w:szCs w:val="18"/>
                    </w:rPr>
                    <w:t>环保投资（万元）</w:t>
                  </w:r>
                </w:p>
              </w:tc>
            </w:tr>
            <w:tr w14:paraId="7936BB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restart"/>
                  <w:vAlign w:val="center"/>
                </w:tcPr>
                <w:p w14:paraId="7B3EB1FE">
                  <w:pPr>
                    <w:pStyle w:val="61"/>
                    <w:jc w:val="center"/>
                    <w:rPr>
                      <w:color w:val="auto"/>
                      <w:sz w:val="18"/>
                      <w:szCs w:val="18"/>
                    </w:rPr>
                  </w:pPr>
                  <w:r>
                    <w:rPr>
                      <w:color w:val="auto"/>
                      <w:sz w:val="18"/>
                      <w:szCs w:val="18"/>
                    </w:rPr>
                    <w:t>施工期</w:t>
                  </w:r>
                </w:p>
              </w:tc>
              <w:tc>
                <w:tcPr>
                  <w:tcW w:w="1358" w:type="dxa"/>
                  <w:vAlign w:val="center"/>
                </w:tcPr>
                <w:p w14:paraId="2F3F66B1">
                  <w:pPr>
                    <w:pStyle w:val="61"/>
                    <w:jc w:val="center"/>
                    <w:rPr>
                      <w:color w:val="auto"/>
                      <w:sz w:val="18"/>
                      <w:szCs w:val="18"/>
                    </w:rPr>
                  </w:pPr>
                  <w:r>
                    <w:rPr>
                      <w:color w:val="auto"/>
                      <w:sz w:val="18"/>
                      <w:szCs w:val="18"/>
                    </w:rPr>
                    <w:t>废气</w:t>
                  </w:r>
                </w:p>
              </w:tc>
              <w:tc>
                <w:tcPr>
                  <w:tcW w:w="3842" w:type="dxa"/>
                  <w:vAlign w:val="center"/>
                </w:tcPr>
                <w:p w14:paraId="2E53733D">
                  <w:pPr>
                    <w:pStyle w:val="61"/>
                    <w:jc w:val="center"/>
                    <w:rPr>
                      <w:color w:val="auto"/>
                      <w:sz w:val="18"/>
                      <w:szCs w:val="18"/>
                    </w:rPr>
                  </w:pPr>
                  <w:r>
                    <w:rPr>
                      <w:color w:val="auto"/>
                      <w:sz w:val="18"/>
                      <w:szCs w:val="18"/>
                    </w:rPr>
                    <w:t>洒水降尘、施工围挡、检查维修机械和车辆</w:t>
                  </w:r>
                </w:p>
              </w:tc>
              <w:tc>
                <w:tcPr>
                  <w:tcW w:w="1811" w:type="dxa"/>
                  <w:vAlign w:val="center"/>
                </w:tcPr>
                <w:p w14:paraId="5278A3F4">
                  <w:pPr>
                    <w:pStyle w:val="61"/>
                    <w:jc w:val="center"/>
                    <w:rPr>
                      <w:rFonts w:hint="default" w:eastAsia="宋体"/>
                      <w:color w:val="auto"/>
                      <w:sz w:val="18"/>
                      <w:szCs w:val="18"/>
                      <w:lang w:val="en-US" w:eastAsia="zh-CN"/>
                    </w:rPr>
                  </w:pPr>
                  <w:r>
                    <w:rPr>
                      <w:rFonts w:hint="eastAsia"/>
                      <w:color w:val="auto"/>
                      <w:sz w:val="18"/>
                      <w:szCs w:val="18"/>
                      <w:lang w:val="en-US" w:eastAsia="zh-CN"/>
                    </w:rPr>
                    <w:t>2.9</w:t>
                  </w:r>
                </w:p>
              </w:tc>
            </w:tr>
            <w:tr w14:paraId="2BF500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43CBD017">
                  <w:pPr>
                    <w:pStyle w:val="61"/>
                    <w:jc w:val="center"/>
                    <w:rPr>
                      <w:color w:val="auto"/>
                      <w:sz w:val="18"/>
                      <w:szCs w:val="18"/>
                    </w:rPr>
                  </w:pPr>
                </w:p>
              </w:tc>
              <w:tc>
                <w:tcPr>
                  <w:tcW w:w="1358" w:type="dxa"/>
                  <w:vMerge w:val="restart"/>
                  <w:vAlign w:val="center"/>
                </w:tcPr>
                <w:p w14:paraId="7CFAEB2D">
                  <w:pPr>
                    <w:pStyle w:val="61"/>
                    <w:jc w:val="center"/>
                    <w:rPr>
                      <w:color w:val="auto"/>
                      <w:sz w:val="18"/>
                      <w:szCs w:val="18"/>
                    </w:rPr>
                  </w:pPr>
                  <w:r>
                    <w:rPr>
                      <w:color w:val="auto"/>
                      <w:sz w:val="18"/>
                      <w:szCs w:val="18"/>
                    </w:rPr>
                    <w:t>废水</w:t>
                  </w:r>
                </w:p>
              </w:tc>
              <w:tc>
                <w:tcPr>
                  <w:tcW w:w="3842" w:type="dxa"/>
                  <w:vAlign w:val="center"/>
                </w:tcPr>
                <w:p w14:paraId="411D21F9">
                  <w:pPr>
                    <w:pStyle w:val="61"/>
                    <w:jc w:val="center"/>
                    <w:rPr>
                      <w:color w:val="auto"/>
                      <w:sz w:val="18"/>
                      <w:szCs w:val="18"/>
                    </w:rPr>
                  </w:pPr>
                  <w:r>
                    <w:rPr>
                      <w:color w:val="auto"/>
                      <w:sz w:val="18"/>
                      <w:szCs w:val="18"/>
                    </w:rPr>
                    <w:t>防渗早厕</w:t>
                  </w:r>
                </w:p>
              </w:tc>
              <w:tc>
                <w:tcPr>
                  <w:tcW w:w="1811" w:type="dxa"/>
                  <w:vAlign w:val="center"/>
                </w:tcPr>
                <w:p w14:paraId="15AD146B">
                  <w:pPr>
                    <w:pStyle w:val="61"/>
                    <w:jc w:val="center"/>
                    <w:rPr>
                      <w:rFonts w:hint="default" w:eastAsia="宋体"/>
                      <w:color w:val="auto"/>
                      <w:sz w:val="18"/>
                      <w:szCs w:val="18"/>
                      <w:lang w:val="en-US" w:eastAsia="zh-CN"/>
                    </w:rPr>
                  </w:pPr>
                  <w:r>
                    <w:rPr>
                      <w:rFonts w:hint="eastAsia"/>
                      <w:color w:val="auto"/>
                      <w:sz w:val="18"/>
                      <w:szCs w:val="18"/>
                      <w:lang w:val="en-US" w:eastAsia="zh-CN"/>
                    </w:rPr>
                    <w:t>0.5</w:t>
                  </w:r>
                </w:p>
              </w:tc>
            </w:tr>
            <w:tr w14:paraId="4BB877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712F4719">
                  <w:pPr>
                    <w:pStyle w:val="61"/>
                    <w:jc w:val="center"/>
                    <w:rPr>
                      <w:color w:val="auto"/>
                      <w:sz w:val="18"/>
                      <w:szCs w:val="18"/>
                    </w:rPr>
                  </w:pPr>
                </w:p>
              </w:tc>
              <w:tc>
                <w:tcPr>
                  <w:tcW w:w="1358" w:type="dxa"/>
                  <w:vMerge w:val="continue"/>
                  <w:vAlign w:val="center"/>
                </w:tcPr>
                <w:p w14:paraId="3DC76CFD">
                  <w:pPr>
                    <w:pStyle w:val="61"/>
                    <w:jc w:val="center"/>
                    <w:rPr>
                      <w:color w:val="auto"/>
                      <w:sz w:val="18"/>
                      <w:szCs w:val="18"/>
                    </w:rPr>
                  </w:pPr>
                </w:p>
              </w:tc>
              <w:tc>
                <w:tcPr>
                  <w:tcW w:w="3842" w:type="dxa"/>
                  <w:vAlign w:val="center"/>
                </w:tcPr>
                <w:p w14:paraId="26ACF6C2">
                  <w:pPr>
                    <w:pStyle w:val="61"/>
                    <w:jc w:val="center"/>
                    <w:rPr>
                      <w:rFonts w:hint="default" w:eastAsia="宋体"/>
                      <w:color w:val="auto"/>
                      <w:sz w:val="18"/>
                      <w:szCs w:val="18"/>
                      <w:lang w:val="en-US" w:eastAsia="zh-CN"/>
                    </w:rPr>
                  </w:pPr>
                  <w:r>
                    <w:rPr>
                      <w:rFonts w:hint="eastAsia"/>
                      <w:color w:val="auto"/>
                      <w:sz w:val="18"/>
                      <w:szCs w:val="18"/>
                      <w:lang w:val="en-US" w:eastAsia="zh-CN"/>
                    </w:rPr>
                    <w:t>沉淀池、围堰</w:t>
                  </w:r>
                </w:p>
              </w:tc>
              <w:tc>
                <w:tcPr>
                  <w:tcW w:w="1811" w:type="dxa"/>
                  <w:vAlign w:val="center"/>
                </w:tcPr>
                <w:p w14:paraId="548349F1">
                  <w:pPr>
                    <w:pStyle w:val="61"/>
                    <w:jc w:val="center"/>
                    <w:rPr>
                      <w:rFonts w:hint="default" w:eastAsia="宋体"/>
                      <w:color w:val="auto"/>
                      <w:sz w:val="18"/>
                      <w:szCs w:val="18"/>
                      <w:lang w:val="en-US" w:eastAsia="zh-CN"/>
                    </w:rPr>
                  </w:pPr>
                  <w:r>
                    <w:rPr>
                      <w:rFonts w:hint="eastAsia"/>
                      <w:color w:val="auto"/>
                      <w:sz w:val="18"/>
                      <w:szCs w:val="18"/>
                      <w:lang w:val="en-US" w:eastAsia="zh-CN"/>
                    </w:rPr>
                    <w:t>0.5</w:t>
                  </w:r>
                </w:p>
              </w:tc>
            </w:tr>
            <w:tr w14:paraId="47FAC3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7ED6A204">
                  <w:pPr>
                    <w:pStyle w:val="61"/>
                    <w:jc w:val="center"/>
                    <w:rPr>
                      <w:color w:val="auto"/>
                      <w:sz w:val="18"/>
                      <w:szCs w:val="18"/>
                    </w:rPr>
                  </w:pPr>
                </w:p>
              </w:tc>
              <w:tc>
                <w:tcPr>
                  <w:tcW w:w="1358" w:type="dxa"/>
                  <w:vAlign w:val="center"/>
                </w:tcPr>
                <w:p w14:paraId="0B12662C">
                  <w:pPr>
                    <w:pStyle w:val="61"/>
                    <w:jc w:val="center"/>
                    <w:rPr>
                      <w:color w:val="auto"/>
                      <w:sz w:val="18"/>
                      <w:szCs w:val="18"/>
                    </w:rPr>
                  </w:pPr>
                  <w:r>
                    <w:rPr>
                      <w:color w:val="auto"/>
                      <w:sz w:val="18"/>
                      <w:szCs w:val="18"/>
                    </w:rPr>
                    <w:t>噪声</w:t>
                  </w:r>
                </w:p>
              </w:tc>
              <w:tc>
                <w:tcPr>
                  <w:tcW w:w="3842" w:type="dxa"/>
                  <w:vAlign w:val="center"/>
                </w:tcPr>
                <w:p w14:paraId="5BE65D0E">
                  <w:pPr>
                    <w:pStyle w:val="61"/>
                    <w:jc w:val="center"/>
                    <w:rPr>
                      <w:color w:val="auto"/>
                      <w:sz w:val="18"/>
                      <w:szCs w:val="18"/>
                    </w:rPr>
                  </w:pPr>
                  <w:r>
                    <w:rPr>
                      <w:color w:val="auto"/>
                      <w:sz w:val="18"/>
                      <w:szCs w:val="18"/>
                    </w:rPr>
                    <w:t>选用低噪声设备、围挡</w:t>
                  </w:r>
                </w:p>
              </w:tc>
              <w:tc>
                <w:tcPr>
                  <w:tcW w:w="1811" w:type="dxa"/>
                  <w:vAlign w:val="center"/>
                </w:tcPr>
                <w:p w14:paraId="2F8CCF55">
                  <w:pPr>
                    <w:pStyle w:val="61"/>
                    <w:jc w:val="center"/>
                    <w:rPr>
                      <w:rFonts w:hint="default" w:eastAsia="宋体"/>
                      <w:color w:val="auto"/>
                      <w:sz w:val="18"/>
                      <w:szCs w:val="18"/>
                      <w:lang w:val="en-US" w:eastAsia="zh-CN"/>
                    </w:rPr>
                  </w:pPr>
                  <w:r>
                    <w:rPr>
                      <w:rFonts w:hint="eastAsia"/>
                      <w:color w:val="auto"/>
                      <w:sz w:val="18"/>
                      <w:szCs w:val="18"/>
                      <w:lang w:val="en-US" w:eastAsia="zh-CN"/>
                    </w:rPr>
                    <w:t>1.0</w:t>
                  </w:r>
                </w:p>
              </w:tc>
            </w:tr>
            <w:tr w14:paraId="1BA7C4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7A2234A2">
                  <w:pPr>
                    <w:pStyle w:val="61"/>
                    <w:jc w:val="center"/>
                    <w:rPr>
                      <w:color w:val="auto"/>
                      <w:sz w:val="18"/>
                      <w:szCs w:val="18"/>
                    </w:rPr>
                  </w:pPr>
                </w:p>
              </w:tc>
              <w:tc>
                <w:tcPr>
                  <w:tcW w:w="1358" w:type="dxa"/>
                  <w:vMerge w:val="restart"/>
                  <w:vAlign w:val="center"/>
                </w:tcPr>
                <w:p w14:paraId="0D4A33C0">
                  <w:pPr>
                    <w:pStyle w:val="61"/>
                    <w:jc w:val="center"/>
                    <w:rPr>
                      <w:color w:val="auto"/>
                      <w:sz w:val="18"/>
                      <w:szCs w:val="18"/>
                    </w:rPr>
                  </w:pPr>
                  <w:r>
                    <w:rPr>
                      <w:color w:val="auto"/>
                      <w:sz w:val="18"/>
                      <w:szCs w:val="18"/>
                    </w:rPr>
                    <w:t>固体废物</w:t>
                  </w:r>
                </w:p>
              </w:tc>
              <w:tc>
                <w:tcPr>
                  <w:tcW w:w="3842" w:type="dxa"/>
                  <w:vAlign w:val="center"/>
                </w:tcPr>
                <w:p w14:paraId="72AFFAD4">
                  <w:pPr>
                    <w:pStyle w:val="61"/>
                    <w:jc w:val="center"/>
                    <w:rPr>
                      <w:rFonts w:hint="eastAsia" w:eastAsia="宋体"/>
                      <w:color w:val="auto"/>
                      <w:sz w:val="18"/>
                      <w:szCs w:val="18"/>
                      <w:lang w:eastAsia="zh-CN"/>
                    </w:rPr>
                  </w:pPr>
                  <w:r>
                    <w:rPr>
                      <w:color w:val="auto"/>
                      <w:sz w:val="18"/>
                      <w:szCs w:val="18"/>
                    </w:rPr>
                    <w:t>建筑垃圾</w:t>
                  </w:r>
                  <w:r>
                    <w:rPr>
                      <w:rFonts w:hint="eastAsia"/>
                      <w:color w:val="auto"/>
                      <w:sz w:val="18"/>
                      <w:szCs w:val="18"/>
                      <w:lang w:val="en-US" w:eastAsia="zh-CN"/>
                    </w:rPr>
                    <w:t>清运</w:t>
                  </w:r>
                </w:p>
              </w:tc>
              <w:tc>
                <w:tcPr>
                  <w:tcW w:w="1811" w:type="dxa"/>
                  <w:vAlign w:val="center"/>
                </w:tcPr>
                <w:p w14:paraId="64368C0D">
                  <w:pPr>
                    <w:pStyle w:val="61"/>
                    <w:jc w:val="center"/>
                    <w:rPr>
                      <w:rFonts w:hint="default" w:eastAsia="宋体"/>
                      <w:color w:val="auto"/>
                      <w:sz w:val="18"/>
                      <w:szCs w:val="18"/>
                      <w:lang w:val="en-US" w:eastAsia="zh-CN"/>
                    </w:rPr>
                  </w:pPr>
                  <w:r>
                    <w:rPr>
                      <w:rFonts w:hint="eastAsia"/>
                      <w:color w:val="auto"/>
                      <w:sz w:val="18"/>
                      <w:szCs w:val="18"/>
                      <w:lang w:val="en-US" w:eastAsia="zh-CN"/>
                    </w:rPr>
                    <w:t>1.0</w:t>
                  </w:r>
                </w:p>
              </w:tc>
            </w:tr>
            <w:tr w14:paraId="6DD5FB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0E27BDE1">
                  <w:pPr>
                    <w:pStyle w:val="61"/>
                    <w:jc w:val="center"/>
                    <w:rPr>
                      <w:color w:val="auto"/>
                      <w:sz w:val="18"/>
                      <w:szCs w:val="18"/>
                    </w:rPr>
                  </w:pPr>
                </w:p>
              </w:tc>
              <w:tc>
                <w:tcPr>
                  <w:tcW w:w="1358" w:type="dxa"/>
                  <w:vMerge w:val="continue"/>
                  <w:vAlign w:val="center"/>
                </w:tcPr>
                <w:p w14:paraId="25AC1544">
                  <w:pPr>
                    <w:pStyle w:val="61"/>
                    <w:jc w:val="center"/>
                    <w:rPr>
                      <w:color w:val="auto"/>
                      <w:sz w:val="18"/>
                      <w:szCs w:val="18"/>
                    </w:rPr>
                  </w:pPr>
                </w:p>
              </w:tc>
              <w:tc>
                <w:tcPr>
                  <w:tcW w:w="3842" w:type="dxa"/>
                  <w:vAlign w:val="center"/>
                </w:tcPr>
                <w:p w14:paraId="55B891D7">
                  <w:pPr>
                    <w:pStyle w:val="61"/>
                    <w:jc w:val="center"/>
                    <w:rPr>
                      <w:color w:val="auto"/>
                      <w:sz w:val="18"/>
                      <w:szCs w:val="18"/>
                    </w:rPr>
                  </w:pPr>
                  <w:r>
                    <w:rPr>
                      <w:color w:val="auto"/>
                      <w:sz w:val="18"/>
                      <w:szCs w:val="18"/>
                    </w:rPr>
                    <w:t>垃圾箱</w:t>
                  </w:r>
                </w:p>
              </w:tc>
              <w:tc>
                <w:tcPr>
                  <w:tcW w:w="1811" w:type="dxa"/>
                  <w:vAlign w:val="center"/>
                </w:tcPr>
                <w:p w14:paraId="24BFD187">
                  <w:pPr>
                    <w:pStyle w:val="61"/>
                    <w:jc w:val="center"/>
                    <w:rPr>
                      <w:rFonts w:hint="default" w:eastAsia="宋体"/>
                      <w:color w:val="auto"/>
                      <w:sz w:val="18"/>
                      <w:szCs w:val="18"/>
                      <w:lang w:val="en-US" w:eastAsia="zh-CN"/>
                    </w:rPr>
                  </w:pPr>
                  <w:r>
                    <w:rPr>
                      <w:rFonts w:hint="eastAsia"/>
                      <w:color w:val="auto"/>
                      <w:sz w:val="18"/>
                      <w:szCs w:val="18"/>
                      <w:lang w:val="en-US" w:eastAsia="zh-CN"/>
                    </w:rPr>
                    <w:t>0.1</w:t>
                  </w:r>
                </w:p>
              </w:tc>
            </w:tr>
            <w:tr w14:paraId="38E98F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1E10285F">
                  <w:pPr>
                    <w:pStyle w:val="61"/>
                    <w:jc w:val="center"/>
                    <w:rPr>
                      <w:color w:val="auto"/>
                      <w:sz w:val="18"/>
                      <w:szCs w:val="18"/>
                    </w:rPr>
                  </w:pPr>
                </w:p>
              </w:tc>
              <w:tc>
                <w:tcPr>
                  <w:tcW w:w="1358" w:type="dxa"/>
                  <w:vAlign w:val="center"/>
                </w:tcPr>
                <w:p w14:paraId="605EF755">
                  <w:pPr>
                    <w:pStyle w:val="61"/>
                    <w:jc w:val="center"/>
                    <w:rPr>
                      <w:color w:val="auto"/>
                      <w:sz w:val="18"/>
                      <w:szCs w:val="18"/>
                    </w:rPr>
                  </w:pPr>
                  <w:r>
                    <w:rPr>
                      <w:rFonts w:hint="default" w:ascii="Times New Roman" w:hAnsi="Times New Roman" w:eastAsia="宋体" w:cs="Times New Roman"/>
                      <w:i w:val="0"/>
                      <w:iCs w:val="0"/>
                      <w:color w:val="auto"/>
                      <w:kern w:val="0"/>
                      <w:sz w:val="18"/>
                      <w:szCs w:val="18"/>
                      <w:highlight w:val="none"/>
                      <w:u w:val="none"/>
                      <w:lang w:val="en-US" w:eastAsia="zh-CN" w:bidi="ar"/>
                    </w:rPr>
                    <w:t>人群建康保护</w:t>
                  </w:r>
                </w:p>
              </w:tc>
              <w:tc>
                <w:tcPr>
                  <w:tcW w:w="3842" w:type="dxa"/>
                  <w:vAlign w:val="center"/>
                </w:tcPr>
                <w:p w14:paraId="6E5F998C">
                  <w:pPr>
                    <w:pStyle w:val="61"/>
                    <w:jc w:val="center"/>
                    <w:rPr>
                      <w:color w:val="auto"/>
                      <w:sz w:val="18"/>
                      <w:szCs w:val="18"/>
                    </w:rPr>
                  </w:pPr>
                  <w:r>
                    <w:rPr>
                      <w:rFonts w:hint="default" w:ascii="Times New Roman" w:hAnsi="Times New Roman" w:eastAsia="宋体" w:cs="Times New Roman"/>
                      <w:i w:val="0"/>
                      <w:iCs w:val="0"/>
                      <w:color w:val="auto"/>
                      <w:kern w:val="0"/>
                      <w:sz w:val="18"/>
                      <w:szCs w:val="18"/>
                      <w:highlight w:val="none"/>
                      <w:u w:val="none"/>
                      <w:lang w:val="en-US" w:eastAsia="zh-CN" w:bidi="ar"/>
                    </w:rPr>
                    <w:t>卫生消毒</w:t>
                  </w:r>
                  <w:r>
                    <w:rPr>
                      <w:rFonts w:hint="eastAsia" w:ascii="Times New Roman" w:hAnsi="Times New Roman" w:eastAsia="宋体" w:cs="Times New Roman"/>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体检、疫苗</w:t>
                  </w:r>
                </w:p>
              </w:tc>
              <w:tc>
                <w:tcPr>
                  <w:tcW w:w="1811" w:type="dxa"/>
                  <w:vAlign w:val="center"/>
                </w:tcPr>
                <w:p w14:paraId="687475EE">
                  <w:pPr>
                    <w:pStyle w:val="61"/>
                    <w:jc w:val="center"/>
                    <w:rPr>
                      <w:rFonts w:hint="default"/>
                      <w:color w:val="auto"/>
                      <w:sz w:val="18"/>
                      <w:szCs w:val="18"/>
                      <w:lang w:val="en-US" w:eastAsia="zh-CN"/>
                    </w:rPr>
                  </w:pPr>
                  <w:r>
                    <w:rPr>
                      <w:rFonts w:hint="eastAsia"/>
                      <w:color w:val="auto"/>
                      <w:sz w:val="18"/>
                      <w:szCs w:val="18"/>
                      <w:lang w:val="en-US" w:eastAsia="zh-CN"/>
                    </w:rPr>
                    <w:t>1.2</w:t>
                  </w:r>
                </w:p>
              </w:tc>
            </w:tr>
            <w:tr w14:paraId="41F17D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Merge w:val="continue"/>
                  <w:vAlign w:val="center"/>
                </w:tcPr>
                <w:p w14:paraId="334EFBCD">
                  <w:pPr>
                    <w:pStyle w:val="61"/>
                    <w:jc w:val="center"/>
                    <w:rPr>
                      <w:color w:val="auto"/>
                      <w:sz w:val="18"/>
                      <w:szCs w:val="18"/>
                    </w:rPr>
                  </w:pPr>
                </w:p>
              </w:tc>
              <w:tc>
                <w:tcPr>
                  <w:tcW w:w="1358" w:type="dxa"/>
                  <w:vAlign w:val="center"/>
                </w:tcPr>
                <w:p w14:paraId="1579C9BD">
                  <w:pPr>
                    <w:pStyle w:val="61"/>
                    <w:jc w:val="center"/>
                    <w:rPr>
                      <w:color w:val="auto"/>
                      <w:sz w:val="18"/>
                      <w:szCs w:val="18"/>
                    </w:rPr>
                  </w:pPr>
                  <w:r>
                    <w:rPr>
                      <w:rFonts w:hint="default" w:ascii="Times New Roman" w:hAnsi="Times New Roman" w:cs="Times New Roman"/>
                      <w:color w:val="auto"/>
                      <w:sz w:val="18"/>
                      <w:szCs w:val="18"/>
                      <w:highlight w:val="none"/>
                      <w:vertAlign w:val="baseline"/>
                      <w:lang w:eastAsia="zh-CN"/>
                    </w:rPr>
                    <w:t>环境监测</w:t>
                  </w:r>
                </w:p>
              </w:tc>
              <w:tc>
                <w:tcPr>
                  <w:tcW w:w="3842" w:type="dxa"/>
                  <w:vAlign w:val="center"/>
                </w:tcPr>
                <w:p w14:paraId="41770011">
                  <w:pPr>
                    <w:pStyle w:val="61"/>
                    <w:jc w:val="center"/>
                    <w:rPr>
                      <w:rFonts w:hint="default" w:ascii="Times New Roman" w:hAnsi="Times New Roman" w:cs="Times New Roman"/>
                      <w:color w:val="auto"/>
                      <w:sz w:val="18"/>
                      <w:szCs w:val="18"/>
                      <w:highlight w:val="none"/>
                      <w:vertAlign w:val="baseline"/>
                      <w:lang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大气</w:t>
                  </w:r>
                  <w:r>
                    <w:rPr>
                      <w:rFonts w:hint="eastAsia" w:ascii="Times New Roman" w:hAnsi="Times New Roman" w:eastAsia="宋体" w:cs="Times New Roman"/>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地表水</w:t>
                  </w:r>
                  <w:r>
                    <w:rPr>
                      <w:rFonts w:hint="eastAsia" w:ascii="Times New Roman" w:hAnsi="Times New Roman" w:eastAsia="宋体" w:cs="Times New Roman"/>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噪声</w:t>
                  </w:r>
                </w:p>
              </w:tc>
              <w:tc>
                <w:tcPr>
                  <w:tcW w:w="1811" w:type="dxa"/>
                  <w:vAlign w:val="center"/>
                </w:tcPr>
                <w:p w14:paraId="4CF0A071">
                  <w:pPr>
                    <w:pStyle w:val="61"/>
                    <w:jc w:val="center"/>
                    <w:rPr>
                      <w:color w:val="auto"/>
                      <w:sz w:val="18"/>
                      <w:szCs w:val="18"/>
                    </w:rPr>
                  </w:pPr>
                  <w:r>
                    <w:rPr>
                      <w:rFonts w:hint="default" w:ascii="Times New Roman" w:hAnsi="Times New Roman" w:eastAsia="宋体" w:cs="Times New Roman"/>
                      <w:i w:val="0"/>
                      <w:iCs w:val="0"/>
                      <w:color w:val="auto"/>
                      <w:kern w:val="0"/>
                      <w:sz w:val="18"/>
                      <w:szCs w:val="18"/>
                      <w:highlight w:val="none"/>
                      <w:u w:val="none"/>
                      <w:lang w:val="en-US" w:eastAsia="zh-CN" w:bidi="ar"/>
                    </w:rPr>
                    <w:t>3.0</w:t>
                  </w:r>
                </w:p>
              </w:tc>
            </w:tr>
            <w:tr w14:paraId="5993EA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Align w:val="center"/>
                </w:tcPr>
                <w:p w14:paraId="0267E1B6">
                  <w:pPr>
                    <w:pStyle w:val="61"/>
                    <w:jc w:val="center"/>
                    <w:rPr>
                      <w:rFonts w:hint="eastAsia" w:eastAsia="宋体"/>
                      <w:color w:val="auto"/>
                      <w:sz w:val="18"/>
                      <w:szCs w:val="18"/>
                      <w:lang w:val="en-US" w:eastAsia="zh-CN"/>
                    </w:rPr>
                  </w:pPr>
                  <w:r>
                    <w:rPr>
                      <w:rFonts w:hint="eastAsia"/>
                      <w:color w:val="auto"/>
                      <w:sz w:val="18"/>
                      <w:szCs w:val="18"/>
                      <w:lang w:val="en-US" w:eastAsia="zh-CN"/>
                    </w:rPr>
                    <w:t>其他</w:t>
                  </w:r>
                </w:p>
              </w:tc>
              <w:tc>
                <w:tcPr>
                  <w:tcW w:w="5200" w:type="dxa"/>
                  <w:gridSpan w:val="2"/>
                  <w:shd w:val="clear" w:color="auto" w:fill="auto"/>
                  <w:vAlign w:val="center"/>
                </w:tcPr>
                <w:p w14:paraId="1BD65A91">
                  <w:pPr>
                    <w:pStyle w:val="61"/>
                    <w:jc w:val="center"/>
                    <w:rPr>
                      <w:rFonts w:ascii="Times New Roman" w:hAnsi="Times New Roman" w:eastAsia="宋体" w:cs="Times New Roman"/>
                      <w:color w:val="auto"/>
                      <w:kern w:val="0"/>
                      <w:sz w:val="18"/>
                      <w:szCs w:val="18"/>
                      <w:lang w:val="en-US" w:eastAsia="zh-CN" w:bidi="ar-SA"/>
                    </w:rPr>
                  </w:pPr>
                  <w:r>
                    <w:rPr>
                      <w:color w:val="auto"/>
                      <w:sz w:val="18"/>
                      <w:szCs w:val="18"/>
                    </w:rPr>
                    <w:t>竣工环境保护验收、</w:t>
                  </w:r>
                  <w:r>
                    <w:rPr>
                      <w:rFonts w:hint="eastAsia"/>
                      <w:color w:val="auto"/>
                      <w:sz w:val="18"/>
                      <w:szCs w:val="18"/>
                    </w:rPr>
                    <w:t>环境影响评价编制</w:t>
                  </w:r>
                  <w:r>
                    <w:rPr>
                      <w:rFonts w:hint="eastAsia"/>
                      <w:color w:val="auto"/>
                      <w:sz w:val="18"/>
                      <w:szCs w:val="18"/>
                      <w:lang w:eastAsia="zh-CN"/>
                    </w:rPr>
                    <w:t>、</w:t>
                  </w:r>
                  <w:r>
                    <w:rPr>
                      <w:color w:val="auto"/>
                      <w:sz w:val="18"/>
                      <w:szCs w:val="18"/>
                    </w:rPr>
                    <w:t>运行维护</w:t>
                  </w:r>
                  <w:r>
                    <w:rPr>
                      <w:rFonts w:hint="eastAsia"/>
                      <w:color w:val="auto"/>
                      <w:sz w:val="18"/>
                      <w:szCs w:val="18"/>
                      <w:lang w:val="en-US" w:eastAsia="zh-CN"/>
                    </w:rPr>
                    <w:t>等</w:t>
                  </w:r>
                  <w:r>
                    <w:rPr>
                      <w:color w:val="auto"/>
                      <w:sz w:val="18"/>
                      <w:szCs w:val="18"/>
                    </w:rPr>
                    <w:t>费用</w:t>
                  </w:r>
                </w:p>
              </w:tc>
              <w:tc>
                <w:tcPr>
                  <w:tcW w:w="1811" w:type="dxa"/>
                  <w:vAlign w:val="center"/>
                </w:tcPr>
                <w:p w14:paraId="664AAB20">
                  <w:pPr>
                    <w:pStyle w:val="61"/>
                    <w:jc w:val="center"/>
                    <w:rPr>
                      <w:rFonts w:hint="default" w:eastAsia="宋体"/>
                      <w:color w:val="auto"/>
                      <w:sz w:val="18"/>
                      <w:szCs w:val="18"/>
                      <w:lang w:val="en-US" w:eastAsia="zh-CN"/>
                    </w:rPr>
                  </w:pPr>
                  <w:r>
                    <w:rPr>
                      <w:rFonts w:hint="eastAsia"/>
                      <w:color w:val="auto"/>
                      <w:sz w:val="18"/>
                      <w:szCs w:val="18"/>
                      <w:lang w:val="en-US" w:eastAsia="zh-CN"/>
                    </w:rPr>
                    <w:t>19.43</w:t>
                  </w:r>
                </w:p>
              </w:tc>
            </w:tr>
            <w:tr w14:paraId="34FAE7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1" w:type="dxa"/>
                  <w:vAlign w:val="center"/>
                </w:tcPr>
                <w:p w14:paraId="3DEDCBBD">
                  <w:pPr>
                    <w:pStyle w:val="61"/>
                    <w:jc w:val="center"/>
                    <w:rPr>
                      <w:color w:val="auto"/>
                      <w:sz w:val="18"/>
                      <w:szCs w:val="18"/>
                    </w:rPr>
                  </w:pPr>
                  <w:r>
                    <w:rPr>
                      <w:color w:val="auto"/>
                      <w:sz w:val="18"/>
                      <w:szCs w:val="18"/>
                    </w:rPr>
                    <w:t>生态恢复措施</w:t>
                  </w:r>
                </w:p>
              </w:tc>
              <w:tc>
                <w:tcPr>
                  <w:tcW w:w="5200" w:type="dxa"/>
                  <w:gridSpan w:val="2"/>
                  <w:vAlign w:val="center"/>
                </w:tcPr>
                <w:p w14:paraId="66ADF2EA">
                  <w:pPr>
                    <w:pStyle w:val="61"/>
                    <w:jc w:val="center"/>
                    <w:rPr>
                      <w:color w:val="auto"/>
                      <w:sz w:val="18"/>
                      <w:szCs w:val="18"/>
                    </w:rPr>
                  </w:pPr>
                  <w:r>
                    <w:rPr>
                      <w:color w:val="auto"/>
                      <w:sz w:val="18"/>
                      <w:szCs w:val="18"/>
                    </w:rPr>
                    <w:t>水土流失防治费用、生态恢复</w:t>
                  </w:r>
                </w:p>
              </w:tc>
              <w:tc>
                <w:tcPr>
                  <w:tcW w:w="1811" w:type="dxa"/>
                  <w:vAlign w:val="center"/>
                </w:tcPr>
                <w:p w14:paraId="3A4CF25F">
                  <w:pPr>
                    <w:pStyle w:val="61"/>
                    <w:jc w:val="center"/>
                    <w:rPr>
                      <w:color w:val="auto"/>
                      <w:sz w:val="18"/>
                      <w:szCs w:val="18"/>
                    </w:rPr>
                  </w:pPr>
                  <w:r>
                    <w:rPr>
                      <w:color w:val="auto"/>
                      <w:sz w:val="18"/>
                      <w:szCs w:val="18"/>
                    </w:rPr>
                    <w:t>列入水土保持投资</w:t>
                  </w:r>
                </w:p>
              </w:tc>
            </w:tr>
            <w:tr w14:paraId="35DCDA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11" w:type="dxa"/>
                  <w:gridSpan w:val="3"/>
                  <w:vAlign w:val="center"/>
                </w:tcPr>
                <w:p w14:paraId="1891D92D">
                  <w:pPr>
                    <w:pStyle w:val="61"/>
                    <w:jc w:val="center"/>
                    <w:rPr>
                      <w:color w:val="auto"/>
                      <w:sz w:val="18"/>
                      <w:szCs w:val="18"/>
                    </w:rPr>
                  </w:pPr>
                  <w:r>
                    <w:rPr>
                      <w:color w:val="auto"/>
                      <w:sz w:val="18"/>
                      <w:szCs w:val="18"/>
                    </w:rPr>
                    <w:t>环保投资合计</w:t>
                  </w:r>
                </w:p>
              </w:tc>
              <w:tc>
                <w:tcPr>
                  <w:tcW w:w="1811" w:type="dxa"/>
                  <w:vAlign w:val="center"/>
                </w:tcPr>
                <w:p w14:paraId="2E455BBB">
                  <w:pPr>
                    <w:pStyle w:val="61"/>
                    <w:jc w:val="center"/>
                    <w:rPr>
                      <w:rFonts w:hint="default" w:eastAsia="宋体"/>
                      <w:color w:val="auto"/>
                      <w:sz w:val="18"/>
                      <w:szCs w:val="18"/>
                      <w:lang w:val="en-US" w:eastAsia="zh-CN"/>
                    </w:rPr>
                  </w:pPr>
                  <w:r>
                    <w:rPr>
                      <w:rFonts w:hint="eastAsia"/>
                      <w:color w:val="auto"/>
                      <w:sz w:val="18"/>
                      <w:szCs w:val="18"/>
                      <w:lang w:val="en-US" w:eastAsia="zh-CN"/>
                    </w:rPr>
                    <w:t>29.63</w:t>
                  </w:r>
                </w:p>
              </w:tc>
            </w:tr>
          </w:tbl>
          <w:p w14:paraId="672E420F">
            <w:pPr>
              <w:pStyle w:val="3"/>
              <w:numPr>
                <w:ilvl w:val="1"/>
                <w:numId w:val="0"/>
              </w:numPr>
              <w:ind w:left="567" w:leftChars="0"/>
              <w:jc w:val="left"/>
              <w:rPr>
                <w:rFonts w:hint="default"/>
                <w:color w:val="auto"/>
              </w:rPr>
            </w:pPr>
          </w:p>
          <w:p w14:paraId="12B4B132">
            <w:pPr>
              <w:jc w:val="left"/>
              <w:rPr>
                <w:rFonts w:hint="default"/>
                <w:color w:val="auto"/>
              </w:rPr>
            </w:pPr>
          </w:p>
          <w:p w14:paraId="5F99C392">
            <w:pPr>
              <w:jc w:val="left"/>
              <w:rPr>
                <w:rFonts w:hint="default" w:ascii="Times New Roman" w:hAnsi="Times New Roman" w:cs="Times New Roman"/>
                <w:color w:val="auto"/>
                <w:highlight w:val="none"/>
              </w:rPr>
            </w:pPr>
          </w:p>
        </w:tc>
      </w:tr>
    </w:tbl>
    <w:p w14:paraId="3D777319">
      <w:pPr>
        <w:pStyle w:val="20"/>
        <w:jc w:val="center"/>
        <w:outlineLvl w:val="0"/>
        <w:rPr>
          <w:rFonts w:hint="default" w:ascii="Times New Roman" w:hAnsi="Times New Roman" w:eastAsia="黑体" w:cs="Times New Roman"/>
          <w:snapToGrid w:val="0"/>
          <w:color w:val="auto"/>
          <w:sz w:val="30"/>
          <w:szCs w:val="3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35" w:name="_Toc30501"/>
    </w:p>
    <w:p w14:paraId="28023AE1">
      <w:pPr>
        <w:pStyle w:val="20"/>
        <w:jc w:val="center"/>
        <w:outlineLvl w:val="0"/>
        <w:rPr>
          <w:rFonts w:hint="default" w:ascii="Times New Roman" w:hAnsi="Times New Roman" w:eastAsia="黑体" w:cs="Times New Roman"/>
          <w:snapToGrid w:val="0"/>
          <w:color w:val="auto"/>
          <w:sz w:val="30"/>
          <w:szCs w:val="30"/>
          <w:highlight w:val="none"/>
        </w:rPr>
      </w:pPr>
      <w:bookmarkStart w:id="36" w:name="_Toc31032"/>
      <w:bookmarkStart w:id="37" w:name="_Toc19635"/>
      <w:bookmarkStart w:id="38" w:name="_Toc32330"/>
      <w:r>
        <w:rPr>
          <w:rFonts w:hint="default" w:ascii="Times New Roman" w:hAnsi="Times New Roman" w:eastAsia="黑体" w:cs="Times New Roman"/>
          <w:snapToGrid w:val="0"/>
          <w:color w:val="auto"/>
          <w:sz w:val="30"/>
          <w:szCs w:val="30"/>
          <w:highlight w:val="none"/>
        </w:rPr>
        <w:t>六、生态环境保护措施监督检查清单</w:t>
      </w:r>
      <w:bookmarkEnd w:id="35"/>
      <w:bookmarkEnd w:id="36"/>
      <w:bookmarkEnd w:id="37"/>
      <w:bookmarkEnd w:id="38"/>
    </w:p>
    <w:tbl>
      <w:tblPr>
        <w:tblStyle w:val="24"/>
        <w:tblW w:w="52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7"/>
        <w:gridCol w:w="2646"/>
        <w:gridCol w:w="2196"/>
        <w:gridCol w:w="1684"/>
        <w:gridCol w:w="1076"/>
      </w:tblGrid>
      <w:tr w14:paraId="3C966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Merge w:val="restart"/>
            <w:tcBorders>
              <w:tl2br w:val="single" w:color="auto" w:sz="4" w:space="0"/>
            </w:tcBorders>
          </w:tcPr>
          <w:p w14:paraId="778E3B40">
            <w:pPr>
              <w:pStyle w:val="20"/>
              <w:adjustRightInd w:val="0"/>
              <w:snapToGrid w:val="0"/>
              <w:spacing w:before="72" w:beforeLines="30" w:beforeAutospacing="0" w:after="0" w:afterAutospacing="0"/>
              <w:jc w:val="center"/>
              <w:outlineLvl w:val="0"/>
              <w:rPr>
                <w:rFonts w:hint="default" w:ascii="Times New Roman" w:hAnsi="Times New Roman" w:cs="Times New Roman" w:eastAsiaTheme="minorEastAsia"/>
                <w:color w:val="auto"/>
                <w:kern w:val="2"/>
                <w:sz w:val="21"/>
                <w:szCs w:val="21"/>
                <w:highlight w:val="none"/>
              </w:rPr>
            </w:pPr>
            <w:bookmarkStart w:id="39" w:name="_Toc1393"/>
            <w:bookmarkStart w:id="40" w:name="_Toc27307"/>
            <w:bookmarkStart w:id="41" w:name="_Toc12253"/>
            <w:bookmarkStart w:id="42" w:name="_Toc21675"/>
            <w:bookmarkStart w:id="43" w:name="_Toc20710"/>
            <w:bookmarkStart w:id="44" w:name="_Toc17065"/>
            <w:bookmarkStart w:id="45" w:name="_Toc15196"/>
            <w:bookmarkStart w:id="46" w:name="_Toc9383"/>
            <w:r>
              <w:rPr>
                <w:rFonts w:hint="default" w:ascii="Times New Roman" w:hAnsi="Times New Roman" w:cs="Times New Roman" w:eastAsiaTheme="minorEastAsia"/>
                <w:color w:val="auto"/>
                <w:kern w:val="2"/>
                <w:sz w:val="21"/>
                <w:szCs w:val="21"/>
                <w:highlight w:val="none"/>
              </w:rPr>
              <w:t>内容</w:t>
            </w:r>
            <w:bookmarkEnd w:id="39"/>
            <w:bookmarkEnd w:id="40"/>
            <w:bookmarkEnd w:id="41"/>
            <w:bookmarkEnd w:id="42"/>
            <w:bookmarkEnd w:id="43"/>
            <w:bookmarkEnd w:id="44"/>
            <w:bookmarkEnd w:id="45"/>
            <w:bookmarkEnd w:id="46"/>
          </w:p>
          <w:p w14:paraId="2E3E9FE7">
            <w:pPr>
              <w:pStyle w:val="20"/>
              <w:adjustRightInd w:val="0"/>
              <w:snapToGrid w:val="0"/>
              <w:spacing w:before="0" w:beforeAutospacing="0" w:after="0" w:afterAutospacing="0" w:line="14" w:lineRule="auto"/>
              <w:outlineLvl w:val="0"/>
              <w:rPr>
                <w:rFonts w:hint="default" w:ascii="Times New Roman" w:hAnsi="Times New Roman" w:cs="Times New Roman" w:eastAsiaTheme="minorEastAsia"/>
                <w:color w:val="auto"/>
                <w:kern w:val="2"/>
                <w:sz w:val="21"/>
                <w:szCs w:val="21"/>
                <w:highlight w:val="none"/>
              </w:rPr>
            </w:pPr>
          </w:p>
          <w:p w14:paraId="03BF963C">
            <w:pPr>
              <w:pStyle w:val="20"/>
              <w:adjustRightInd w:val="0"/>
              <w:snapToGrid w:val="0"/>
              <w:spacing w:before="0" w:beforeAutospacing="0" w:after="0" w:afterAutospacing="0"/>
              <w:outlineLvl w:val="0"/>
              <w:rPr>
                <w:rFonts w:hint="default" w:ascii="Times New Roman" w:hAnsi="Times New Roman" w:cs="Times New Roman" w:eastAsiaTheme="minorEastAsia"/>
                <w:color w:val="auto"/>
                <w:kern w:val="2"/>
                <w:sz w:val="21"/>
                <w:szCs w:val="21"/>
                <w:highlight w:val="none"/>
              </w:rPr>
            </w:pPr>
            <w:bookmarkStart w:id="47" w:name="_Toc28491"/>
            <w:bookmarkStart w:id="48" w:name="_Toc30794"/>
            <w:bookmarkStart w:id="49" w:name="_Toc3077"/>
            <w:bookmarkStart w:id="50" w:name="_Toc6082"/>
            <w:bookmarkStart w:id="51" w:name="_Toc3482"/>
          </w:p>
          <w:p w14:paraId="24B963D4">
            <w:pPr>
              <w:pStyle w:val="20"/>
              <w:adjustRightInd w:val="0"/>
              <w:snapToGrid w:val="0"/>
              <w:spacing w:before="0" w:beforeAutospacing="0" w:after="0" w:afterAutospacing="0"/>
              <w:outlineLvl w:val="0"/>
              <w:rPr>
                <w:rFonts w:hint="default" w:ascii="Times New Roman" w:hAnsi="Times New Roman" w:cs="Times New Roman" w:eastAsiaTheme="minorEastAsia"/>
                <w:color w:val="auto"/>
                <w:kern w:val="2"/>
                <w:sz w:val="21"/>
                <w:szCs w:val="21"/>
                <w:highlight w:val="none"/>
              </w:rPr>
            </w:pPr>
            <w:bookmarkStart w:id="52" w:name="_Toc23872"/>
            <w:bookmarkStart w:id="53" w:name="_Toc8628"/>
            <w:bookmarkStart w:id="54" w:name="_Toc9287"/>
            <w:r>
              <w:rPr>
                <w:rFonts w:hint="default" w:ascii="Times New Roman" w:hAnsi="Times New Roman" w:cs="Times New Roman" w:eastAsiaTheme="minorEastAsia"/>
                <w:color w:val="auto"/>
                <w:kern w:val="2"/>
                <w:sz w:val="21"/>
                <w:szCs w:val="21"/>
                <w:highlight w:val="none"/>
              </w:rPr>
              <w:t>要素</w:t>
            </w:r>
            <w:bookmarkEnd w:id="47"/>
            <w:bookmarkEnd w:id="48"/>
            <w:bookmarkEnd w:id="49"/>
            <w:bookmarkEnd w:id="50"/>
            <w:bookmarkEnd w:id="51"/>
            <w:bookmarkEnd w:id="52"/>
            <w:bookmarkEnd w:id="53"/>
            <w:bookmarkEnd w:id="54"/>
          </w:p>
        </w:tc>
        <w:tc>
          <w:tcPr>
            <w:tcW w:w="2696" w:type="pct"/>
            <w:gridSpan w:val="2"/>
            <w:vAlign w:val="center"/>
          </w:tcPr>
          <w:p w14:paraId="033C49B7">
            <w:pPr>
              <w:pStyle w:val="20"/>
              <w:adjustRightInd w:val="0"/>
              <w:snapToGrid w:val="0"/>
              <w:spacing w:before="0" w:beforeAutospacing="0" w:after="0" w:afterAutospacing="0"/>
              <w:jc w:val="center"/>
              <w:outlineLvl w:val="0"/>
              <w:rPr>
                <w:rFonts w:hint="default" w:ascii="Times New Roman" w:hAnsi="Times New Roman" w:cs="Times New Roman" w:eastAsiaTheme="minorEastAsia"/>
                <w:color w:val="auto"/>
                <w:kern w:val="2"/>
                <w:sz w:val="21"/>
                <w:szCs w:val="21"/>
                <w:highlight w:val="none"/>
              </w:rPr>
            </w:pPr>
            <w:bookmarkStart w:id="55" w:name="_Toc5200"/>
            <w:bookmarkStart w:id="56" w:name="_Toc5466"/>
            <w:bookmarkStart w:id="57" w:name="_Toc1599"/>
            <w:bookmarkStart w:id="58" w:name="_Toc7565"/>
            <w:bookmarkStart w:id="59" w:name="_Toc27473"/>
            <w:bookmarkStart w:id="60" w:name="_Toc32628"/>
            <w:bookmarkStart w:id="61" w:name="_Toc396"/>
            <w:bookmarkStart w:id="62" w:name="_Toc27515"/>
            <w:r>
              <w:rPr>
                <w:rFonts w:hint="default" w:ascii="Times New Roman" w:hAnsi="Times New Roman" w:cs="Times New Roman" w:eastAsiaTheme="minorEastAsia"/>
                <w:color w:val="auto"/>
                <w:kern w:val="2"/>
                <w:sz w:val="21"/>
                <w:szCs w:val="21"/>
                <w:highlight w:val="none"/>
              </w:rPr>
              <w:t>施工期</w:t>
            </w:r>
            <w:bookmarkEnd w:id="55"/>
            <w:bookmarkEnd w:id="56"/>
            <w:bookmarkEnd w:id="57"/>
            <w:bookmarkEnd w:id="58"/>
            <w:bookmarkEnd w:id="59"/>
            <w:bookmarkEnd w:id="60"/>
            <w:bookmarkEnd w:id="61"/>
            <w:bookmarkEnd w:id="62"/>
          </w:p>
        </w:tc>
        <w:tc>
          <w:tcPr>
            <w:tcW w:w="1537" w:type="pct"/>
            <w:gridSpan w:val="2"/>
            <w:vAlign w:val="center"/>
          </w:tcPr>
          <w:p w14:paraId="043ED1F5">
            <w:pPr>
              <w:pStyle w:val="20"/>
              <w:adjustRightInd w:val="0"/>
              <w:snapToGrid w:val="0"/>
              <w:spacing w:before="0" w:beforeAutospacing="0" w:after="0" w:afterAutospacing="0"/>
              <w:jc w:val="center"/>
              <w:outlineLvl w:val="0"/>
              <w:rPr>
                <w:rFonts w:hint="default" w:ascii="Times New Roman" w:hAnsi="Times New Roman" w:cs="Times New Roman" w:eastAsiaTheme="minorEastAsia"/>
                <w:color w:val="auto"/>
                <w:kern w:val="2"/>
                <w:sz w:val="21"/>
                <w:szCs w:val="21"/>
                <w:highlight w:val="none"/>
              </w:rPr>
            </w:pPr>
            <w:bookmarkStart w:id="63" w:name="_Toc20875"/>
            <w:bookmarkStart w:id="64" w:name="_Toc19451"/>
            <w:bookmarkStart w:id="65" w:name="_Toc3739"/>
            <w:bookmarkStart w:id="66" w:name="_Toc10670"/>
            <w:bookmarkStart w:id="67" w:name="_Toc31524"/>
            <w:bookmarkStart w:id="68" w:name="_Toc20415"/>
            <w:bookmarkStart w:id="69" w:name="_Toc5926"/>
            <w:bookmarkStart w:id="70" w:name="_Toc21560"/>
            <w:r>
              <w:rPr>
                <w:rFonts w:hint="default" w:ascii="Times New Roman" w:hAnsi="Times New Roman" w:cs="Times New Roman" w:eastAsiaTheme="minorEastAsia"/>
                <w:color w:val="auto"/>
                <w:kern w:val="2"/>
                <w:sz w:val="21"/>
                <w:szCs w:val="21"/>
                <w:highlight w:val="none"/>
              </w:rPr>
              <w:t>运营期</w:t>
            </w:r>
            <w:bookmarkEnd w:id="63"/>
            <w:bookmarkEnd w:id="64"/>
            <w:bookmarkEnd w:id="65"/>
            <w:bookmarkEnd w:id="66"/>
            <w:bookmarkEnd w:id="67"/>
            <w:bookmarkEnd w:id="68"/>
            <w:bookmarkEnd w:id="69"/>
            <w:bookmarkEnd w:id="70"/>
          </w:p>
        </w:tc>
      </w:tr>
      <w:tr w14:paraId="4BEEA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Merge w:val="continue"/>
          </w:tcPr>
          <w:p w14:paraId="3A430993">
            <w:pPr>
              <w:pStyle w:val="20"/>
              <w:adjustRightInd w:val="0"/>
              <w:snapToGrid w:val="0"/>
              <w:spacing w:before="0" w:beforeAutospacing="0" w:after="0" w:afterAutospacing="0"/>
              <w:ind w:firstLine="840"/>
              <w:jc w:val="center"/>
              <w:outlineLvl w:val="0"/>
              <w:rPr>
                <w:rFonts w:hint="default" w:ascii="Times New Roman" w:hAnsi="Times New Roman" w:cs="Times New Roman" w:eastAsiaTheme="minorEastAsia"/>
                <w:color w:val="auto"/>
                <w:kern w:val="2"/>
                <w:sz w:val="21"/>
                <w:szCs w:val="21"/>
                <w:highlight w:val="none"/>
              </w:rPr>
            </w:pPr>
          </w:p>
        </w:tc>
        <w:tc>
          <w:tcPr>
            <w:tcW w:w="1473" w:type="pct"/>
            <w:vAlign w:val="center"/>
          </w:tcPr>
          <w:p w14:paraId="77E9831D">
            <w:pPr>
              <w:pStyle w:val="20"/>
              <w:adjustRightInd w:val="0"/>
              <w:snapToGrid w:val="0"/>
              <w:spacing w:before="0" w:beforeAutospacing="0" w:after="0" w:afterAutospacing="0"/>
              <w:jc w:val="center"/>
              <w:outlineLvl w:val="0"/>
              <w:rPr>
                <w:rFonts w:hint="default" w:ascii="Times New Roman" w:hAnsi="Times New Roman" w:cs="Times New Roman" w:eastAsiaTheme="minorEastAsia"/>
                <w:color w:val="auto"/>
                <w:kern w:val="2"/>
                <w:sz w:val="21"/>
                <w:szCs w:val="21"/>
                <w:highlight w:val="none"/>
              </w:rPr>
            </w:pPr>
            <w:bookmarkStart w:id="71" w:name="_Toc31000"/>
            <w:bookmarkStart w:id="72" w:name="_Toc676"/>
            <w:bookmarkStart w:id="73" w:name="_Toc15491"/>
            <w:bookmarkStart w:id="74" w:name="_Toc24011"/>
            <w:bookmarkStart w:id="75" w:name="_Toc31533"/>
            <w:bookmarkStart w:id="76" w:name="_Toc14435"/>
            <w:bookmarkStart w:id="77" w:name="_Toc14595"/>
            <w:bookmarkStart w:id="78" w:name="_Toc31753"/>
            <w:r>
              <w:rPr>
                <w:rFonts w:hint="default" w:ascii="Times New Roman" w:hAnsi="Times New Roman" w:cs="Times New Roman" w:eastAsiaTheme="minorEastAsia"/>
                <w:color w:val="auto"/>
                <w:kern w:val="2"/>
                <w:sz w:val="21"/>
                <w:szCs w:val="21"/>
                <w:highlight w:val="none"/>
              </w:rPr>
              <w:t>环境保护措施</w:t>
            </w:r>
            <w:bookmarkEnd w:id="71"/>
            <w:bookmarkEnd w:id="72"/>
            <w:bookmarkEnd w:id="73"/>
            <w:bookmarkEnd w:id="74"/>
            <w:bookmarkEnd w:id="75"/>
            <w:bookmarkEnd w:id="76"/>
            <w:bookmarkEnd w:id="77"/>
            <w:bookmarkEnd w:id="78"/>
          </w:p>
        </w:tc>
        <w:tc>
          <w:tcPr>
            <w:tcW w:w="1222" w:type="pct"/>
            <w:vAlign w:val="center"/>
          </w:tcPr>
          <w:p w14:paraId="6C72AB09">
            <w:pPr>
              <w:pStyle w:val="20"/>
              <w:adjustRightInd w:val="0"/>
              <w:snapToGrid w:val="0"/>
              <w:spacing w:before="0" w:beforeAutospacing="0" w:after="0" w:afterAutospacing="0"/>
              <w:jc w:val="center"/>
              <w:outlineLvl w:val="0"/>
              <w:rPr>
                <w:rFonts w:hint="default" w:ascii="Times New Roman" w:hAnsi="Times New Roman" w:cs="Times New Roman" w:eastAsiaTheme="minorEastAsia"/>
                <w:color w:val="auto"/>
                <w:kern w:val="2"/>
                <w:sz w:val="21"/>
                <w:szCs w:val="21"/>
                <w:highlight w:val="none"/>
              </w:rPr>
            </w:pPr>
            <w:bookmarkStart w:id="79" w:name="_Toc25705"/>
            <w:bookmarkStart w:id="80" w:name="_Toc717"/>
            <w:bookmarkStart w:id="81" w:name="_Toc24012"/>
            <w:bookmarkStart w:id="82" w:name="_Toc27089"/>
            <w:bookmarkStart w:id="83" w:name="_Toc28455"/>
            <w:bookmarkStart w:id="84" w:name="_Toc3923"/>
            <w:bookmarkStart w:id="85" w:name="_Toc7922"/>
            <w:bookmarkStart w:id="86" w:name="_Toc16034"/>
            <w:r>
              <w:rPr>
                <w:rFonts w:hint="default" w:ascii="Times New Roman" w:hAnsi="Times New Roman" w:cs="Times New Roman" w:eastAsiaTheme="minorEastAsia"/>
                <w:color w:val="auto"/>
                <w:kern w:val="2"/>
                <w:sz w:val="21"/>
                <w:szCs w:val="21"/>
                <w:highlight w:val="none"/>
              </w:rPr>
              <w:t>验收要求</w:t>
            </w:r>
            <w:bookmarkEnd w:id="79"/>
            <w:bookmarkEnd w:id="80"/>
            <w:bookmarkEnd w:id="81"/>
            <w:bookmarkEnd w:id="82"/>
            <w:bookmarkEnd w:id="83"/>
            <w:bookmarkEnd w:id="84"/>
            <w:bookmarkEnd w:id="85"/>
            <w:bookmarkEnd w:id="86"/>
          </w:p>
        </w:tc>
        <w:tc>
          <w:tcPr>
            <w:tcW w:w="938" w:type="pct"/>
            <w:vAlign w:val="center"/>
          </w:tcPr>
          <w:p w14:paraId="7E44D4D5">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0"/>
              <w:rPr>
                <w:rFonts w:hint="default" w:ascii="Times New Roman" w:hAnsi="Times New Roman" w:cs="Times New Roman" w:eastAsiaTheme="minorEastAsia"/>
                <w:color w:val="auto"/>
                <w:kern w:val="2"/>
                <w:sz w:val="21"/>
                <w:szCs w:val="21"/>
                <w:highlight w:val="none"/>
              </w:rPr>
            </w:pPr>
            <w:bookmarkStart w:id="87" w:name="_Toc16817"/>
            <w:bookmarkStart w:id="88" w:name="_Toc30400"/>
            <w:bookmarkStart w:id="89" w:name="_Toc16205"/>
            <w:bookmarkStart w:id="90" w:name="_Toc7743"/>
            <w:bookmarkStart w:id="91" w:name="_Toc28071"/>
            <w:bookmarkStart w:id="92" w:name="_Toc18998"/>
            <w:bookmarkStart w:id="93" w:name="_Toc28395"/>
            <w:bookmarkStart w:id="94" w:name="_Toc29308"/>
            <w:r>
              <w:rPr>
                <w:rFonts w:hint="default" w:ascii="Times New Roman" w:hAnsi="Times New Roman" w:cs="Times New Roman" w:eastAsiaTheme="minorEastAsia"/>
                <w:color w:val="auto"/>
                <w:kern w:val="2"/>
                <w:sz w:val="21"/>
                <w:szCs w:val="21"/>
                <w:highlight w:val="none"/>
              </w:rPr>
              <w:t>环境保护措施</w:t>
            </w:r>
            <w:bookmarkEnd w:id="87"/>
            <w:bookmarkEnd w:id="88"/>
            <w:bookmarkEnd w:id="89"/>
            <w:bookmarkEnd w:id="90"/>
            <w:bookmarkEnd w:id="91"/>
            <w:bookmarkEnd w:id="92"/>
            <w:bookmarkEnd w:id="93"/>
            <w:bookmarkEnd w:id="94"/>
          </w:p>
        </w:tc>
        <w:tc>
          <w:tcPr>
            <w:tcW w:w="599" w:type="pct"/>
            <w:vAlign w:val="center"/>
          </w:tcPr>
          <w:p w14:paraId="6023E3F9">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0"/>
              <w:rPr>
                <w:rFonts w:hint="default" w:ascii="Times New Roman" w:hAnsi="Times New Roman" w:cs="Times New Roman" w:eastAsiaTheme="minorEastAsia"/>
                <w:color w:val="auto"/>
                <w:kern w:val="2"/>
                <w:sz w:val="21"/>
                <w:szCs w:val="21"/>
                <w:highlight w:val="none"/>
              </w:rPr>
            </w:pPr>
            <w:bookmarkStart w:id="95" w:name="_Toc15890"/>
            <w:bookmarkStart w:id="96" w:name="_Toc16614"/>
            <w:bookmarkStart w:id="97" w:name="_Toc7829"/>
            <w:bookmarkStart w:id="98" w:name="_Toc3236"/>
            <w:bookmarkStart w:id="99" w:name="_Toc7590"/>
            <w:bookmarkStart w:id="100" w:name="_Toc13635"/>
            <w:bookmarkStart w:id="101" w:name="_Toc16764"/>
            <w:bookmarkStart w:id="102" w:name="_Toc18771"/>
            <w:r>
              <w:rPr>
                <w:rFonts w:hint="default" w:ascii="Times New Roman" w:hAnsi="Times New Roman" w:cs="Times New Roman" w:eastAsiaTheme="minorEastAsia"/>
                <w:color w:val="auto"/>
                <w:kern w:val="2"/>
                <w:sz w:val="21"/>
                <w:szCs w:val="21"/>
                <w:highlight w:val="none"/>
              </w:rPr>
              <w:t>验收要求</w:t>
            </w:r>
            <w:bookmarkEnd w:id="95"/>
            <w:bookmarkEnd w:id="96"/>
            <w:bookmarkEnd w:id="97"/>
            <w:bookmarkEnd w:id="98"/>
            <w:bookmarkEnd w:id="99"/>
            <w:bookmarkEnd w:id="100"/>
            <w:bookmarkEnd w:id="101"/>
            <w:bookmarkEnd w:id="102"/>
          </w:p>
        </w:tc>
      </w:tr>
      <w:tr w14:paraId="1EEE4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0093CB9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陆生生态</w:t>
            </w:r>
          </w:p>
        </w:tc>
        <w:tc>
          <w:tcPr>
            <w:tcW w:w="1473" w:type="pct"/>
            <w:vAlign w:val="center"/>
          </w:tcPr>
          <w:p w14:paraId="59E729A6">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临时占地用地结束后清除场地并进行场地平整、</w:t>
            </w:r>
            <w:r>
              <w:rPr>
                <w:rFonts w:hint="eastAsia" w:cs="Times New Roman" w:eastAsiaTheme="minorEastAsia"/>
                <w:color w:val="auto"/>
                <w:sz w:val="21"/>
                <w:szCs w:val="21"/>
                <w:highlight w:val="none"/>
                <w:lang w:val="en-US" w:eastAsia="zh-CN"/>
              </w:rPr>
              <w:t>原地类恢复</w:t>
            </w:r>
          </w:p>
        </w:tc>
        <w:tc>
          <w:tcPr>
            <w:tcW w:w="1222" w:type="pct"/>
            <w:vAlign w:val="center"/>
          </w:tcPr>
          <w:p w14:paraId="0FC4F5F1">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ascii="Times New Roman" w:hAnsi="Times New Roman" w:eastAsia="宋体" w:cs="Times New Roman"/>
                <w:color w:val="auto"/>
                <w:sz w:val="21"/>
                <w:szCs w:val="21"/>
                <w:highlight w:val="none"/>
              </w:rPr>
              <w:t>施工期做好监督检查，</w:t>
            </w:r>
            <w:r>
              <w:rPr>
                <w:rFonts w:hint="eastAsia" w:ascii="Times New Roman" w:hAnsi="Times New Roman" w:eastAsia="宋体" w:cs="Times New Roman"/>
                <w:color w:val="auto"/>
                <w:sz w:val="21"/>
                <w:szCs w:val="21"/>
                <w:highlight w:val="none"/>
              </w:rPr>
              <w:t>按环评要求履行</w:t>
            </w:r>
          </w:p>
        </w:tc>
        <w:tc>
          <w:tcPr>
            <w:tcW w:w="938" w:type="pct"/>
            <w:vAlign w:val="center"/>
          </w:tcPr>
          <w:p w14:paraId="4F413EF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773A1982">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20E950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53303C61">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水生生态</w:t>
            </w:r>
          </w:p>
        </w:tc>
        <w:tc>
          <w:tcPr>
            <w:tcW w:w="1473" w:type="pct"/>
            <w:vAlign w:val="center"/>
          </w:tcPr>
          <w:p w14:paraId="026219CF">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采取低噪音设备施工，及时处理固体垃圾，有效处理废水，禁止将生产生活废、污水排入地表水体</w:t>
            </w:r>
          </w:p>
        </w:tc>
        <w:tc>
          <w:tcPr>
            <w:tcW w:w="1222" w:type="pct"/>
            <w:vAlign w:val="center"/>
          </w:tcPr>
          <w:p w14:paraId="071EDC3A">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施工期不会影响下游生态流量，优化并规范施工方式，缩短施工时间</w:t>
            </w:r>
          </w:p>
        </w:tc>
        <w:tc>
          <w:tcPr>
            <w:tcW w:w="938" w:type="pct"/>
            <w:vAlign w:val="center"/>
          </w:tcPr>
          <w:p w14:paraId="37748CF7">
            <w:pPr>
              <w:keepNext w:val="0"/>
              <w:keepLines w:val="0"/>
              <w:pageBreakBefore w:val="0"/>
              <w:kinsoku/>
              <w:wordWrap/>
              <w:overflowPunct/>
              <w:topLinePunct w:val="0"/>
              <w:autoSpaceDE/>
              <w:autoSpaceDN/>
              <w:bidi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3E3B6D87">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0FCF2F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32B1EEE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地表水环境</w:t>
            </w:r>
          </w:p>
        </w:tc>
        <w:tc>
          <w:tcPr>
            <w:tcW w:w="1473" w:type="pct"/>
            <w:vAlign w:val="center"/>
          </w:tcPr>
          <w:p w14:paraId="23951124">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施工生产废水经沉淀后回用，不外排，生活污水防渗旱厕收集后，定期清掏外运</w:t>
            </w:r>
          </w:p>
        </w:tc>
        <w:tc>
          <w:tcPr>
            <w:tcW w:w="1222" w:type="pct"/>
            <w:vAlign w:val="center"/>
          </w:tcPr>
          <w:p w14:paraId="25004157">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施工废污水不外排</w:t>
            </w:r>
          </w:p>
        </w:tc>
        <w:tc>
          <w:tcPr>
            <w:tcW w:w="938" w:type="pct"/>
            <w:vAlign w:val="center"/>
          </w:tcPr>
          <w:p w14:paraId="69F950BA">
            <w:pPr>
              <w:keepNext w:val="0"/>
              <w:keepLines w:val="0"/>
              <w:pageBreakBefore w:val="0"/>
              <w:kinsoku/>
              <w:wordWrap/>
              <w:overflowPunct/>
              <w:topLinePunct w:val="0"/>
              <w:autoSpaceDE/>
              <w:autoSpaceDN/>
              <w:bidi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加强巡视与管理，防止污染事件发生</w:t>
            </w:r>
          </w:p>
        </w:tc>
        <w:tc>
          <w:tcPr>
            <w:tcW w:w="599" w:type="pct"/>
            <w:vAlign w:val="center"/>
          </w:tcPr>
          <w:p w14:paraId="062B42B9">
            <w:pPr>
              <w:keepNext w:val="0"/>
              <w:keepLines w:val="0"/>
              <w:pageBreakBefore w:val="0"/>
              <w:kinsoku/>
              <w:wordWrap/>
              <w:overflowPunct/>
              <w:topLinePunct w:val="0"/>
              <w:autoSpaceDE/>
              <w:autoSpaceDN/>
              <w:bidi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加强巡视与管理</w:t>
            </w:r>
          </w:p>
        </w:tc>
      </w:tr>
      <w:tr w14:paraId="7E856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549AD89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地下水及土壤环境</w:t>
            </w:r>
          </w:p>
        </w:tc>
        <w:tc>
          <w:tcPr>
            <w:tcW w:w="2646" w:type="dxa"/>
            <w:vAlign w:val="center"/>
          </w:tcPr>
          <w:p w14:paraId="7142CB9E">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w:t>
            </w:r>
          </w:p>
        </w:tc>
        <w:tc>
          <w:tcPr>
            <w:tcW w:w="2196" w:type="dxa"/>
            <w:vAlign w:val="center"/>
          </w:tcPr>
          <w:p w14:paraId="2BB6578F">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w:t>
            </w:r>
          </w:p>
        </w:tc>
        <w:tc>
          <w:tcPr>
            <w:tcW w:w="938" w:type="pct"/>
            <w:vAlign w:val="center"/>
          </w:tcPr>
          <w:p w14:paraId="3710640E">
            <w:pPr>
              <w:keepNext w:val="0"/>
              <w:keepLines w:val="0"/>
              <w:pageBreakBefore w:val="0"/>
              <w:kinsoku/>
              <w:wordWrap/>
              <w:overflowPunct/>
              <w:topLinePunct w:val="0"/>
              <w:autoSpaceDE/>
              <w:autoSpaceDN/>
              <w:bidi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721E670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378832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0161EEBB">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声环境</w:t>
            </w:r>
          </w:p>
        </w:tc>
        <w:tc>
          <w:tcPr>
            <w:tcW w:w="1473" w:type="pct"/>
            <w:vAlign w:val="center"/>
          </w:tcPr>
          <w:p w14:paraId="4F732D41">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color w:val="auto"/>
                <w:sz w:val="21"/>
                <w:szCs w:val="21"/>
                <w:highlight w:val="none"/>
              </w:rPr>
              <w:t>合理安排施工时间，</w:t>
            </w:r>
            <w:r>
              <w:rPr>
                <w:rFonts w:hint="eastAsia"/>
                <w:color w:val="auto"/>
                <w:sz w:val="21"/>
                <w:szCs w:val="21"/>
                <w:highlight w:val="none"/>
              </w:rPr>
              <w:t>禁止夜间施工</w:t>
            </w:r>
            <w:r>
              <w:rPr>
                <w:color w:val="auto"/>
                <w:sz w:val="21"/>
                <w:szCs w:val="21"/>
                <w:highlight w:val="none"/>
              </w:rPr>
              <w:t>，施工设备采用低噪设备等措施。施工期间的材料运输采用汽车拉运，避开高峰时期及中午等休息时间，在途径敏感点处减速慢行、禁止鸣笛</w:t>
            </w:r>
            <w:r>
              <w:rPr>
                <w:rFonts w:hint="eastAsia"/>
                <w:color w:val="auto"/>
                <w:sz w:val="21"/>
                <w:szCs w:val="21"/>
                <w:highlight w:val="none"/>
                <w:lang w:eastAsia="zh-CN"/>
              </w:rPr>
              <w:t>；</w:t>
            </w:r>
            <w:r>
              <w:rPr>
                <w:color w:val="auto"/>
                <w:sz w:val="21"/>
                <w:szCs w:val="21"/>
                <w:highlight w:val="none"/>
              </w:rPr>
              <w:t>要求施工单位文明施工；加强有效管理，加强施工队伍的素质教育，尽量减少人为的噪声以缓解其影响。加强劳动保护，改善施工人员作业环境。</w:t>
            </w:r>
          </w:p>
        </w:tc>
        <w:tc>
          <w:tcPr>
            <w:tcW w:w="1222" w:type="pct"/>
            <w:vAlign w:val="center"/>
          </w:tcPr>
          <w:p w14:paraId="7254D32E">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施工场界执行《建筑施工噪声排放标准》（GB12523-2025）表1要求</w:t>
            </w:r>
          </w:p>
        </w:tc>
        <w:tc>
          <w:tcPr>
            <w:tcW w:w="938" w:type="pct"/>
            <w:vAlign w:val="center"/>
          </w:tcPr>
          <w:p w14:paraId="7AD383F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3FDF807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6D782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1539A210">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振动</w:t>
            </w:r>
          </w:p>
        </w:tc>
        <w:tc>
          <w:tcPr>
            <w:tcW w:w="1473" w:type="pct"/>
            <w:vAlign w:val="center"/>
          </w:tcPr>
          <w:p w14:paraId="4E57E212">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w:t>
            </w:r>
          </w:p>
        </w:tc>
        <w:tc>
          <w:tcPr>
            <w:tcW w:w="1222" w:type="pct"/>
            <w:vAlign w:val="center"/>
          </w:tcPr>
          <w:p w14:paraId="1D29FF3E">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w:t>
            </w:r>
          </w:p>
        </w:tc>
        <w:tc>
          <w:tcPr>
            <w:tcW w:w="938" w:type="pct"/>
            <w:vAlign w:val="center"/>
          </w:tcPr>
          <w:p w14:paraId="6D9E1B80">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3B65351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6D44A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1CB95EBA">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大气环境</w:t>
            </w:r>
          </w:p>
        </w:tc>
        <w:tc>
          <w:tcPr>
            <w:tcW w:w="1473" w:type="pct"/>
            <w:vAlign w:val="center"/>
          </w:tcPr>
          <w:p w14:paraId="05C854C0">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工道路沿线洒水降尘；物料运输采用密封、苫盖等运输方式；物料堆存设置遮盖、</w:t>
            </w:r>
            <w:r>
              <w:rPr>
                <w:rFonts w:hint="default" w:ascii="Times New Roman" w:hAnsi="Times New Roman" w:cs="Times New Roman" w:eastAsiaTheme="minorEastAsia"/>
                <w:color w:val="auto"/>
                <w:sz w:val="21"/>
                <w:szCs w:val="21"/>
                <w:highlight w:val="none"/>
                <w:lang w:eastAsia="zh-CN"/>
              </w:rPr>
              <w:t>洒水降尘</w:t>
            </w:r>
            <w:r>
              <w:rPr>
                <w:rFonts w:hint="default" w:ascii="Times New Roman" w:hAnsi="Times New Roman" w:cs="Times New Roman" w:eastAsiaTheme="minorEastAsia"/>
                <w:color w:val="auto"/>
                <w:sz w:val="21"/>
                <w:szCs w:val="21"/>
                <w:highlight w:val="none"/>
              </w:rPr>
              <w:t>等；</w:t>
            </w:r>
            <w:r>
              <w:rPr>
                <w:color w:val="auto"/>
                <w:sz w:val="21"/>
                <w:szCs w:val="21"/>
                <w:highlight w:val="none"/>
              </w:rPr>
              <w:t>施工场地周边设置围挡</w:t>
            </w:r>
            <w:r>
              <w:rPr>
                <w:rFonts w:hint="eastAsia"/>
                <w:color w:val="auto"/>
                <w:sz w:val="21"/>
                <w:szCs w:val="21"/>
                <w:highlight w:val="none"/>
                <w:lang w:eastAsia="zh-CN"/>
              </w:rPr>
              <w:t>；</w:t>
            </w:r>
            <w:r>
              <w:rPr>
                <w:rFonts w:hint="default" w:ascii="Times New Roman" w:hAnsi="Times New Roman" w:cs="Times New Roman"/>
                <w:caps w:val="0"/>
                <w:color w:val="auto"/>
                <w:sz w:val="21"/>
                <w:szCs w:val="21"/>
                <w:highlight w:val="none"/>
                <w:lang w:val="en-US" w:eastAsia="zh-CN"/>
              </w:rPr>
              <w:t>临时堆土</w:t>
            </w:r>
            <w:r>
              <w:rPr>
                <w:rFonts w:hint="eastAsia" w:ascii="Times New Roman" w:hAnsi="Times New Roman" w:cs="Times New Roman"/>
                <w:caps w:val="0"/>
                <w:color w:val="auto"/>
                <w:sz w:val="21"/>
                <w:szCs w:val="21"/>
                <w:highlight w:val="none"/>
                <w:lang w:val="en-US" w:eastAsia="zh-CN"/>
              </w:rPr>
              <w:t>设置</w:t>
            </w:r>
            <w:r>
              <w:rPr>
                <w:rFonts w:hint="default" w:ascii="Times New Roman" w:hAnsi="Times New Roman" w:cs="Times New Roman"/>
                <w:caps w:val="0"/>
                <w:color w:val="auto"/>
                <w:sz w:val="21"/>
                <w:szCs w:val="21"/>
                <w:highlight w:val="none"/>
                <w:lang w:val="en-US" w:eastAsia="zh-CN"/>
              </w:rPr>
              <w:t>拦挡、密目网等</w:t>
            </w:r>
            <w:r>
              <w:rPr>
                <w:rFonts w:hint="eastAsia" w:ascii="Times New Roman" w:hAnsi="Times New Roman" w:cs="Times New Roman"/>
                <w:caps w:val="0"/>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rPr>
              <w:t>机械设备</w:t>
            </w:r>
            <w:r>
              <w:rPr>
                <w:rFonts w:hint="eastAsia" w:ascii="Times New Roman" w:hAnsi="Times New Roman" w:cs="Times New Roman" w:eastAsiaTheme="minorEastAsia"/>
                <w:color w:val="auto"/>
                <w:sz w:val="21"/>
                <w:szCs w:val="21"/>
                <w:highlight w:val="none"/>
                <w:lang w:val="en-US" w:eastAsia="zh-CN"/>
              </w:rPr>
              <w:t>加强</w:t>
            </w:r>
            <w:r>
              <w:rPr>
                <w:rFonts w:hint="default" w:ascii="Times New Roman" w:hAnsi="Times New Roman" w:cs="Times New Roman" w:eastAsiaTheme="minorEastAsia"/>
                <w:color w:val="auto"/>
                <w:sz w:val="21"/>
                <w:szCs w:val="21"/>
                <w:highlight w:val="none"/>
              </w:rPr>
              <w:t>维修保养</w:t>
            </w:r>
          </w:p>
        </w:tc>
        <w:tc>
          <w:tcPr>
            <w:tcW w:w="1222" w:type="pct"/>
            <w:vAlign w:val="center"/>
          </w:tcPr>
          <w:p w14:paraId="1D26A5E7">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执行《大气污染物综合排放标准》中表2无组织监控浓度</w:t>
            </w:r>
          </w:p>
        </w:tc>
        <w:tc>
          <w:tcPr>
            <w:tcW w:w="938" w:type="pct"/>
            <w:vAlign w:val="center"/>
          </w:tcPr>
          <w:p w14:paraId="03177F4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1E9307E6">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15D1D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2543C44F">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固体废物</w:t>
            </w:r>
          </w:p>
        </w:tc>
        <w:tc>
          <w:tcPr>
            <w:tcW w:w="1473" w:type="pct"/>
            <w:vAlign w:val="center"/>
          </w:tcPr>
          <w:p w14:paraId="54DB475D">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工程</w:t>
            </w:r>
            <w:r>
              <w:rPr>
                <w:rFonts w:hint="eastAsia" w:ascii="Times New Roman" w:hAnsi="Times New Roman" w:cs="Times New Roman" w:eastAsiaTheme="minorEastAsia"/>
                <w:color w:val="auto"/>
                <w:sz w:val="21"/>
                <w:szCs w:val="21"/>
                <w:highlight w:val="none"/>
                <w:lang w:val="en-US" w:eastAsia="zh-CN"/>
              </w:rPr>
              <w:t>无弃方量</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eastAsia="zh-CN"/>
              </w:rPr>
              <w:t>生活垃圾收集后由当地市政部门处理</w:t>
            </w:r>
            <w:r>
              <w:rPr>
                <w:rFonts w:hint="eastAsia" w:cs="Times New Roman" w:eastAsiaTheme="minorEastAsia"/>
                <w:color w:val="auto"/>
                <w:sz w:val="21"/>
                <w:szCs w:val="21"/>
                <w:highlight w:val="none"/>
                <w:lang w:eastAsia="zh-CN"/>
              </w:rPr>
              <w:t>；</w:t>
            </w:r>
            <w:r>
              <w:rPr>
                <w:rFonts w:hint="eastAsia" w:cs="Times New Roman"/>
                <w:bCs/>
                <w:color w:val="auto"/>
                <w:sz w:val="21"/>
                <w:szCs w:val="21"/>
                <w:highlight w:val="none"/>
                <w:lang w:val="en-US" w:eastAsia="zh-CN"/>
              </w:rPr>
              <w:t>建筑垃圾</w:t>
            </w:r>
            <w:r>
              <w:rPr>
                <w:rFonts w:hint="default" w:ascii="Times New Roman" w:hAnsi="Times New Roman" w:cs="Times New Roman" w:eastAsiaTheme="minorEastAsia"/>
                <w:b w:val="0"/>
                <w:bCs w:val="0"/>
                <w:color w:val="auto"/>
                <w:kern w:val="0"/>
                <w:sz w:val="21"/>
                <w:szCs w:val="21"/>
                <w:highlight w:val="none"/>
                <w:lang w:val="en-US" w:eastAsia="zh-CN"/>
              </w:rPr>
              <w:t>严禁与生活垃圾混合，拉运至建设单位与环卫部门指定地点。</w:t>
            </w:r>
          </w:p>
        </w:tc>
        <w:tc>
          <w:tcPr>
            <w:tcW w:w="1222" w:type="pct"/>
            <w:vAlign w:val="center"/>
          </w:tcPr>
          <w:p w14:paraId="7187AD32">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合理化处置</w:t>
            </w:r>
          </w:p>
        </w:tc>
        <w:tc>
          <w:tcPr>
            <w:tcW w:w="938" w:type="pct"/>
            <w:vAlign w:val="center"/>
          </w:tcPr>
          <w:p w14:paraId="4A3F1F24">
            <w:pPr>
              <w:spacing w:before="3" w:line="239" w:lineRule="auto"/>
              <w:ind w:right="147"/>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78B0122E">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2B5D48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7916026A">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电磁环境</w:t>
            </w:r>
          </w:p>
        </w:tc>
        <w:tc>
          <w:tcPr>
            <w:tcW w:w="1473" w:type="pct"/>
            <w:vAlign w:val="center"/>
          </w:tcPr>
          <w:p w14:paraId="4AA8BBC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w:t>
            </w:r>
          </w:p>
        </w:tc>
        <w:tc>
          <w:tcPr>
            <w:tcW w:w="1222" w:type="pct"/>
            <w:vAlign w:val="center"/>
          </w:tcPr>
          <w:p w14:paraId="1CB4DD65">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w:t>
            </w:r>
          </w:p>
        </w:tc>
        <w:tc>
          <w:tcPr>
            <w:tcW w:w="938" w:type="pct"/>
            <w:vAlign w:val="center"/>
          </w:tcPr>
          <w:p w14:paraId="48FFA0AF">
            <w:pPr>
              <w:spacing w:before="3" w:line="239" w:lineRule="auto"/>
              <w:ind w:right="147"/>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34BFE3D0">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5F3E5B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7E2361BD">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环境风险</w:t>
            </w:r>
          </w:p>
        </w:tc>
        <w:tc>
          <w:tcPr>
            <w:tcW w:w="2646" w:type="dxa"/>
            <w:vAlign w:val="center"/>
          </w:tcPr>
          <w:p w14:paraId="223AB9B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eastAsia="宋体" w:cs="Times New Roman"/>
                <w:color w:val="auto"/>
                <w:spacing w:val="0"/>
                <w:sz w:val="21"/>
                <w:szCs w:val="21"/>
                <w:highlight w:val="none"/>
              </w:rPr>
              <w:t>按操作规程施工，禁止野蛮施工；加强机械车辆维护保养，确保能够正常使用；一旦发生泄露事故，应立即停止施工，并采取相应应急措施，减缓对外环境的影响。</w:t>
            </w:r>
          </w:p>
        </w:tc>
        <w:tc>
          <w:tcPr>
            <w:tcW w:w="2196" w:type="dxa"/>
            <w:vAlign w:val="center"/>
          </w:tcPr>
          <w:p w14:paraId="35F814E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eastAsia="zh-CN"/>
              </w:rPr>
            </w:pPr>
            <w:r>
              <w:rPr>
                <w:color w:val="auto"/>
                <w:spacing w:val="0"/>
                <w:sz w:val="21"/>
                <w:szCs w:val="21"/>
                <w:highlight w:val="none"/>
              </w:rPr>
              <w:t>落实相关措施</w:t>
            </w:r>
            <w:r>
              <w:rPr>
                <w:rFonts w:hint="eastAsia"/>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避免风险事故的发生</w:t>
            </w:r>
          </w:p>
        </w:tc>
        <w:tc>
          <w:tcPr>
            <w:tcW w:w="938" w:type="pct"/>
            <w:vAlign w:val="center"/>
          </w:tcPr>
          <w:p w14:paraId="05DBC2FE">
            <w:pPr>
              <w:spacing w:before="3" w:line="239" w:lineRule="auto"/>
              <w:ind w:right="147"/>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2BED49AE">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5CDF88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6" w:type="pct"/>
            <w:vAlign w:val="center"/>
          </w:tcPr>
          <w:p w14:paraId="6ACB13E4">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环境监测</w:t>
            </w:r>
          </w:p>
        </w:tc>
        <w:tc>
          <w:tcPr>
            <w:tcW w:w="1473" w:type="pct"/>
            <w:vAlign w:val="center"/>
          </w:tcPr>
          <w:p w14:paraId="48ECA85B">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根据表5-</w:t>
            </w:r>
            <w:r>
              <w:rPr>
                <w:rFonts w:hint="eastAsia"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eastAsia="zh-CN"/>
              </w:rPr>
              <w:t>规定的监测点位、监测项目、监测时间及频次进行监测</w:t>
            </w:r>
          </w:p>
        </w:tc>
        <w:tc>
          <w:tcPr>
            <w:tcW w:w="1222" w:type="pct"/>
            <w:vAlign w:val="center"/>
          </w:tcPr>
          <w:p w14:paraId="3D1626D6">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按照要求进行环境监测</w:t>
            </w:r>
          </w:p>
        </w:tc>
        <w:tc>
          <w:tcPr>
            <w:tcW w:w="938" w:type="pct"/>
            <w:vAlign w:val="center"/>
          </w:tcPr>
          <w:p w14:paraId="21D209D4">
            <w:pPr>
              <w:spacing w:before="3" w:line="239" w:lineRule="auto"/>
              <w:ind w:right="147"/>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17A13993">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37CF85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00" w:hRule="atLeast"/>
          <w:jc w:val="center"/>
        </w:trPr>
        <w:tc>
          <w:tcPr>
            <w:tcW w:w="766" w:type="pct"/>
            <w:vAlign w:val="center"/>
          </w:tcPr>
          <w:p w14:paraId="51CBE105">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其他</w:t>
            </w:r>
          </w:p>
        </w:tc>
        <w:tc>
          <w:tcPr>
            <w:tcW w:w="1473" w:type="pct"/>
            <w:vAlign w:val="center"/>
          </w:tcPr>
          <w:p w14:paraId="0747BCD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保证各项环保管理措施的落实、施工人员开展环保培训</w:t>
            </w:r>
          </w:p>
        </w:tc>
        <w:tc>
          <w:tcPr>
            <w:tcW w:w="1222" w:type="pct"/>
            <w:vAlign w:val="center"/>
          </w:tcPr>
          <w:p w14:paraId="4B80E9C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落实环境管理制度</w:t>
            </w:r>
          </w:p>
        </w:tc>
        <w:tc>
          <w:tcPr>
            <w:tcW w:w="938" w:type="pct"/>
            <w:vAlign w:val="center"/>
          </w:tcPr>
          <w:p w14:paraId="71901514">
            <w:pPr>
              <w:spacing w:before="3" w:line="239" w:lineRule="auto"/>
              <w:ind w:right="147"/>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c>
          <w:tcPr>
            <w:tcW w:w="599" w:type="pct"/>
            <w:vAlign w:val="center"/>
          </w:tcPr>
          <w:p w14:paraId="2889C264">
            <w:pPr>
              <w:adjustRightInd w:val="0"/>
              <w:snapToGrid w:val="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bl>
    <w:p w14:paraId="0DBD8068">
      <w:pPr>
        <w:pStyle w:val="20"/>
        <w:spacing w:before="192" w:beforeLines="80" w:beforeAutospacing="0"/>
        <w:jc w:val="center"/>
        <w:outlineLvl w:val="0"/>
        <w:rPr>
          <w:rFonts w:hint="default" w:ascii="Times New Roman" w:hAnsi="Times New Roman" w:eastAsia="黑体" w:cs="Times New Roman"/>
          <w:snapToGrid w:val="0"/>
          <w:color w:val="auto"/>
          <w:sz w:val="30"/>
          <w:szCs w:val="3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03" w:name="_Toc21418"/>
    </w:p>
    <w:p w14:paraId="13A253A4">
      <w:pPr>
        <w:pStyle w:val="20"/>
        <w:numPr>
          <w:ilvl w:val="0"/>
          <w:numId w:val="7"/>
        </w:numPr>
        <w:jc w:val="center"/>
        <w:outlineLvl w:val="0"/>
        <w:rPr>
          <w:rFonts w:hint="eastAsia" w:ascii="Times New Roman" w:hAnsi="Times New Roman" w:eastAsia="黑体" w:cs="Times New Roman"/>
          <w:snapToGrid w:val="0"/>
          <w:color w:val="auto"/>
          <w:sz w:val="30"/>
          <w:szCs w:val="30"/>
          <w:highlight w:val="none"/>
          <w:lang w:eastAsia="zh-CN"/>
        </w:rPr>
      </w:pPr>
      <w:bookmarkStart w:id="104" w:name="_Toc32641"/>
      <w:r>
        <w:rPr>
          <w:rFonts w:hint="eastAsia" w:ascii="Times New Roman" w:hAnsi="Times New Roman" w:eastAsia="黑体" w:cs="Times New Roman"/>
          <w:snapToGrid w:val="0"/>
          <w:color w:val="auto"/>
          <w:sz w:val="30"/>
          <w:szCs w:val="30"/>
          <w:highlight w:val="none"/>
          <w:lang w:eastAsia="zh-CN"/>
        </w:rPr>
        <w:t>结论</w:t>
      </w:r>
      <w:bookmarkEnd w:id="104"/>
    </w:p>
    <w:tbl>
      <w:tblPr>
        <w:tblStyle w:val="24"/>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0109E8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11" w:hRule="atLeast"/>
          <w:jc w:val="center"/>
        </w:trPr>
        <w:tc>
          <w:tcPr>
            <w:tcW w:w="9289" w:type="dxa"/>
            <w:vAlign w:val="center"/>
          </w:tcPr>
          <w:p w14:paraId="6D18440B">
            <w:pPr>
              <w:keepNext w:val="0"/>
              <w:keepLines w:val="0"/>
              <w:pageBreakBefore w:val="0"/>
              <w:widowControl/>
              <w:kinsoku/>
              <w:wordWrap/>
              <w:overflowPunct/>
              <w:topLinePunct w:val="0"/>
              <w:autoSpaceDE/>
              <w:autoSpaceDN/>
              <w:bidi w:val="0"/>
              <w:adjustRightInd/>
              <w:snapToGrid/>
              <w:spacing w:before="120" w:beforeLines="50" w:line="360" w:lineRule="auto"/>
              <w:ind w:firstLine="420" w:firstLineChars="20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工程实施后，可消除</w:t>
            </w:r>
            <w:r>
              <w:rPr>
                <w:rFonts w:hint="eastAsia" w:cs="Times New Roman" w:eastAsiaTheme="minorEastAsia"/>
                <w:color w:val="auto"/>
                <w:sz w:val="21"/>
                <w:szCs w:val="21"/>
                <w:highlight w:val="none"/>
                <w:lang w:eastAsia="zh-CN"/>
              </w:rPr>
              <w:t>庆先水库</w:t>
            </w:r>
            <w:r>
              <w:rPr>
                <w:rFonts w:hint="default" w:ascii="Times New Roman" w:hAnsi="Times New Roman" w:cs="Times New Roman"/>
                <w:color w:val="auto"/>
                <w:kern w:val="0"/>
                <w:sz w:val="21"/>
                <w:szCs w:val="21"/>
                <w:highlight w:val="none"/>
              </w:rPr>
              <w:t>安全隐患，使得水库正常运行，持续发挥水库灌溉和防洪功能。</w:t>
            </w:r>
            <w:r>
              <w:rPr>
                <w:rFonts w:hint="default" w:ascii="Times New Roman" w:hAnsi="Times New Roman" w:cs="Times New Roman"/>
                <w:color w:val="auto"/>
                <w:sz w:val="21"/>
                <w:szCs w:val="21"/>
                <w:highlight w:val="none"/>
              </w:rPr>
              <w:t>保护下游农田免遭洪水侵袭，可避免因洪水灾害而污染河流水质的情况发生，对区域水环境将起到一定的保护作用。</w:t>
            </w:r>
            <w:r>
              <w:rPr>
                <w:rFonts w:hint="default" w:ascii="Times New Roman" w:hAnsi="Times New Roman" w:cs="Times New Roman"/>
                <w:color w:val="auto"/>
                <w:kern w:val="0"/>
                <w:sz w:val="21"/>
                <w:szCs w:val="21"/>
                <w:highlight w:val="none"/>
              </w:rPr>
              <w:t>工程建设不涉及环境敏感区，不存在环境制约因素，施工期对环境带来的不利影响可以通过本报告提出的环境保护措施予以减免。</w:t>
            </w:r>
          </w:p>
          <w:p w14:paraId="4F969DA2">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color w:val="auto"/>
                <w:kern w:val="0"/>
                <w:sz w:val="21"/>
                <w:szCs w:val="21"/>
                <w:highlight w:val="none"/>
              </w:rPr>
              <w:t>从环境角度分析，工程建设是可行的。</w:t>
            </w:r>
          </w:p>
        </w:tc>
      </w:tr>
    </w:tbl>
    <w:p w14:paraId="3870FC95">
      <w:pPr>
        <w:pStyle w:val="20"/>
        <w:spacing w:before="192" w:beforeLines="80" w:beforeAutospacing="0"/>
        <w:jc w:val="center"/>
        <w:outlineLvl w:val="0"/>
        <w:rPr>
          <w:rFonts w:hint="default" w:ascii="Times New Roman" w:hAnsi="Times New Roman" w:eastAsia="黑体" w:cs="Times New Roman"/>
          <w:snapToGrid w:val="0"/>
          <w:color w:val="auto"/>
          <w:sz w:val="30"/>
          <w:szCs w:val="3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bookmarkEnd w:id="103"/>
    <w:p w14:paraId="4570ABF2">
      <w:pPr>
        <w:pStyle w:val="2"/>
        <w:numPr>
          <w:ilvl w:val="1"/>
          <w:numId w:val="0"/>
        </w:numPr>
        <w:rPr>
          <w:rFonts w:hint="default" w:ascii="Times New Roman" w:hAnsi="Times New Roman" w:eastAsia="宋体" w:cs="Times New Roman"/>
          <w:color w:val="auto"/>
          <w:sz w:val="24"/>
          <w:szCs w:val="24"/>
          <w:highlight w:val="none"/>
        </w:rPr>
      </w:pPr>
      <w:bookmarkStart w:id="105" w:name="_Toc5488"/>
      <w:bookmarkStart w:id="106" w:name="_Toc5563"/>
      <w:bookmarkStart w:id="107" w:name="_Toc27199"/>
      <w:bookmarkStart w:id="108" w:name="_Toc16316"/>
      <w:r>
        <w:rPr>
          <w:rFonts w:hint="default" w:ascii="Times New Roman" w:hAnsi="Times New Roman" w:eastAsia="宋体" w:cs="Times New Roman"/>
          <w:color w:val="auto"/>
          <w:sz w:val="24"/>
          <w:szCs w:val="24"/>
          <w:highlight w:val="none"/>
        </w:rPr>
        <w:t>附</w:t>
      </w:r>
      <w:r>
        <w:rPr>
          <w:rFonts w:hint="eastAsia" w:ascii="Times New Roman" w:hAnsi="Times New Roman" w:eastAsia="宋体" w:cs="Times New Roman"/>
          <w:color w:val="auto"/>
          <w:sz w:val="24"/>
          <w:szCs w:val="24"/>
          <w:highlight w:val="none"/>
          <w:lang w:eastAsia="zh-CN"/>
        </w:rPr>
        <w:t>件</w:t>
      </w:r>
      <w:r>
        <w:rPr>
          <w:rFonts w:hint="default" w:ascii="Times New Roman" w:hAnsi="Times New Roman" w:eastAsia="宋体" w:cs="Times New Roman"/>
          <w:color w:val="auto"/>
          <w:sz w:val="24"/>
          <w:szCs w:val="24"/>
          <w:highlight w:val="none"/>
        </w:rPr>
        <w:t>1地表水专项评价</w:t>
      </w:r>
      <w:bookmarkEnd w:id="105"/>
    </w:p>
    <w:p w14:paraId="0DC8F90D">
      <w:pPr>
        <w:pStyle w:val="36"/>
        <w:rPr>
          <w:rFonts w:hint="default" w:ascii="Times New Roman" w:hAnsi="Times New Roman" w:cs="Times New Roman"/>
          <w:color w:val="auto"/>
          <w:sz w:val="24"/>
          <w:szCs w:val="24"/>
          <w:highlight w:val="none"/>
        </w:rPr>
      </w:pPr>
    </w:p>
    <w:p w14:paraId="6F305E0E">
      <w:pPr>
        <w:pStyle w:val="36"/>
        <w:rPr>
          <w:rFonts w:hint="default" w:ascii="Times New Roman" w:hAnsi="Times New Roman" w:cs="Times New Roman"/>
          <w:color w:val="auto"/>
          <w:sz w:val="24"/>
          <w:szCs w:val="24"/>
          <w:highlight w:val="none"/>
        </w:rPr>
      </w:pPr>
    </w:p>
    <w:p w14:paraId="3234F1C4">
      <w:pPr>
        <w:pStyle w:val="36"/>
        <w:rPr>
          <w:rFonts w:hint="default" w:ascii="Times New Roman" w:hAnsi="Times New Roman" w:cs="Times New Roman"/>
          <w:color w:val="auto"/>
          <w:sz w:val="24"/>
          <w:szCs w:val="24"/>
          <w:highlight w:val="none"/>
        </w:rPr>
      </w:pPr>
    </w:p>
    <w:p w14:paraId="1F55A881">
      <w:pPr>
        <w:pStyle w:val="36"/>
        <w:rPr>
          <w:rFonts w:hint="default" w:ascii="Times New Roman" w:hAnsi="Times New Roman" w:cs="Times New Roman"/>
          <w:color w:val="auto"/>
          <w:sz w:val="24"/>
          <w:szCs w:val="24"/>
          <w:highlight w:val="none"/>
        </w:rPr>
      </w:pPr>
    </w:p>
    <w:p w14:paraId="3BAA4646">
      <w:pPr>
        <w:rPr>
          <w:rFonts w:hint="default" w:ascii="Times New Roman" w:hAnsi="Times New Roman" w:cs="Times New Roman"/>
          <w:color w:val="auto"/>
          <w:sz w:val="24"/>
          <w:highlight w:val="none"/>
        </w:rPr>
      </w:pPr>
    </w:p>
    <w:p w14:paraId="2F850B3A">
      <w:pPr>
        <w:pStyle w:val="21"/>
        <w:ind w:firstLine="240"/>
        <w:rPr>
          <w:rFonts w:hint="default" w:ascii="Times New Roman" w:hAnsi="Times New Roman" w:cs="Times New Roman"/>
          <w:color w:val="auto"/>
          <w:sz w:val="24"/>
          <w:szCs w:val="24"/>
          <w:highlight w:val="none"/>
        </w:rPr>
      </w:pPr>
    </w:p>
    <w:p w14:paraId="384B1146">
      <w:pPr>
        <w:rPr>
          <w:rFonts w:hint="default" w:ascii="Times New Roman" w:hAnsi="Times New Roman" w:cs="Times New Roman"/>
          <w:color w:val="auto"/>
          <w:sz w:val="24"/>
          <w:highlight w:val="none"/>
        </w:rPr>
      </w:pPr>
    </w:p>
    <w:p w14:paraId="43825948">
      <w:pPr>
        <w:pStyle w:val="21"/>
        <w:ind w:firstLine="180"/>
        <w:rPr>
          <w:rFonts w:hint="default" w:ascii="Times New Roman" w:hAnsi="Times New Roman" w:cs="Times New Roman"/>
          <w:color w:val="auto"/>
          <w:highlight w:val="none"/>
        </w:rPr>
      </w:pPr>
    </w:p>
    <w:p w14:paraId="4D015C9A">
      <w:pPr>
        <w:pStyle w:val="36"/>
        <w:jc w:val="center"/>
        <w:rPr>
          <w:rFonts w:hint="default" w:ascii="Times New Roman" w:hAnsi="Times New Roman" w:eastAsia="宋体" w:cs="Times New Roman"/>
          <w:color w:val="auto"/>
          <w:sz w:val="44"/>
          <w:szCs w:val="44"/>
          <w:highlight w:val="none"/>
          <w:lang w:eastAsia="zh-CN"/>
        </w:rPr>
      </w:pPr>
      <w:r>
        <w:rPr>
          <w:rFonts w:hint="default" w:ascii="Times New Roman" w:hAnsi="Times New Roman" w:cs="Times New Roman"/>
          <w:b/>
          <w:bCs/>
          <w:color w:val="auto"/>
          <w:sz w:val="44"/>
          <w:szCs w:val="44"/>
          <w:highlight w:val="none"/>
          <w:lang w:val="en-US" w:eastAsia="zh-CN"/>
        </w:rPr>
        <w:t>密山市</w:t>
      </w:r>
      <w:r>
        <w:rPr>
          <w:rFonts w:hint="eastAsia" w:ascii="Times New Roman" w:hAnsi="Times New Roman" w:cs="Times New Roman"/>
          <w:b/>
          <w:bCs/>
          <w:color w:val="auto"/>
          <w:sz w:val="44"/>
          <w:szCs w:val="44"/>
          <w:highlight w:val="none"/>
          <w:lang w:val="en-US" w:eastAsia="zh-CN"/>
        </w:rPr>
        <w:t>庆先水库</w:t>
      </w:r>
      <w:r>
        <w:rPr>
          <w:rFonts w:hint="default" w:ascii="Times New Roman" w:hAnsi="Times New Roman" w:cs="Times New Roman"/>
          <w:b/>
          <w:bCs/>
          <w:color w:val="auto"/>
          <w:sz w:val="44"/>
          <w:szCs w:val="44"/>
          <w:highlight w:val="none"/>
          <w:lang w:val="en-US" w:eastAsia="zh-CN"/>
        </w:rPr>
        <w:t>除险加固工程</w:t>
      </w:r>
      <w:r>
        <w:rPr>
          <w:rFonts w:hint="eastAsia" w:ascii="Times New Roman" w:hAnsi="Times New Roman" w:cs="Times New Roman"/>
          <w:b/>
          <w:bCs/>
          <w:color w:val="auto"/>
          <w:sz w:val="44"/>
          <w:szCs w:val="44"/>
          <w:highlight w:val="none"/>
          <w:lang w:val="en-US" w:eastAsia="zh-CN"/>
        </w:rPr>
        <w:t>项目</w:t>
      </w:r>
    </w:p>
    <w:p w14:paraId="4D3C6898">
      <w:pPr>
        <w:pStyle w:val="36"/>
        <w:jc w:val="center"/>
        <w:rPr>
          <w:rFonts w:hint="default" w:ascii="Times New Roman" w:hAnsi="Times New Roman" w:cs="Times New Roman"/>
          <w:color w:val="auto"/>
          <w:sz w:val="44"/>
          <w:szCs w:val="44"/>
          <w:highlight w:val="none"/>
        </w:rPr>
      </w:pPr>
    </w:p>
    <w:p w14:paraId="39F77170">
      <w:pPr>
        <w:pStyle w:val="36"/>
        <w:jc w:val="center"/>
        <w:rPr>
          <w:rFonts w:hint="default" w:ascii="Times New Roman" w:hAnsi="Times New Roman" w:cs="Times New Roman"/>
          <w:color w:val="auto"/>
          <w:sz w:val="44"/>
          <w:szCs w:val="44"/>
          <w:highlight w:val="none"/>
        </w:rPr>
      </w:pPr>
    </w:p>
    <w:p w14:paraId="2FEFB8A2">
      <w:pPr>
        <w:pStyle w:val="36"/>
        <w:jc w:val="center"/>
        <w:rPr>
          <w:rFonts w:hint="default" w:ascii="Times New Roman" w:hAnsi="Times New Roman" w:eastAsia="宋体" w:cs="Times New Roman"/>
          <w:color w:val="auto"/>
          <w:sz w:val="44"/>
          <w:szCs w:val="44"/>
          <w:highlight w:val="none"/>
          <w:lang w:eastAsia="zh-CN"/>
        </w:rPr>
      </w:pPr>
      <w:bookmarkStart w:id="109" w:name="_Hlk107736968"/>
      <w:r>
        <w:rPr>
          <w:rFonts w:hint="default" w:ascii="Times New Roman" w:hAnsi="Times New Roman" w:cs="Times New Roman"/>
          <w:b/>
          <w:bCs/>
          <w:color w:val="auto"/>
          <w:sz w:val="44"/>
          <w:szCs w:val="44"/>
          <w:highlight w:val="none"/>
        </w:rPr>
        <w:t>地表水环境影响</w:t>
      </w:r>
      <w:bookmarkEnd w:id="109"/>
      <w:r>
        <w:rPr>
          <w:rFonts w:hint="default" w:ascii="Times New Roman" w:hAnsi="Times New Roman" w:cs="Times New Roman"/>
          <w:b/>
          <w:bCs/>
          <w:color w:val="auto"/>
          <w:sz w:val="44"/>
          <w:szCs w:val="44"/>
          <w:highlight w:val="none"/>
          <w:lang w:eastAsia="zh-CN"/>
        </w:rPr>
        <w:t>专项评价</w:t>
      </w:r>
    </w:p>
    <w:p w14:paraId="35FE3211">
      <w:pPr>
        <w:pStyle w:val="36"/>
        <w:jc w:val="center"/>
        <w:rPr>
          <w:rFonts w:hint="default" w:ascii="Times New Roman" w:hAnsi="Times New Roman" w:cs="Times New Roman"/>
          <w:color w:val="auto"/>
          <w:sz w:val="44"/>
          <w:szCs w:val="44"/>
          <w:highlight w:val="none"/>
        </w:rPr>
      </w:pPr>
    </w:p>
    <w:p w14:paraId="74377BB4">
      <w:pPr>
        <w:pStyle w:val="36"/>
        <w:jc w:val="center"/>
        <w:rPr>
          <w:rFonts w:hint="default" w:ascii="Times New Roman" w:hAnsi="Times New Roman" w:cs="Times New Roman"/>
          <w:color w:val="auto"/>
          <w:sz w:val="24"/>
          <w:szCs w:val="24"/>
          <w:highlight w:val="none"/>
        </w:rPr>
      </w:pPr>
    </w:p>
    <w:p w14:paraId="298D3011">
      <w:pPr>
        <w:pStyle w:val="36"/>
        <w:rPr>
          <w:rFonts w:hint="default" w:ascii="Times New Roman" w:hAnsi="Times New Roman" w:cs="Times New Roman"/>
          <w:color w:val="auto"/>
          <w:sz w:val="24"/>
          <w:szCs w:val="24"/>
          <w:highlight w:val="none"/>
        </w:rPr>
      </w:pPr>
    </w:p>
    <w:p w14:paraId="7B0212A7">
      <w:pPr>
        <w:pStyle w:val="36"/>
        <w:rPr>
          <w:rFonts w:hint="default" w:ascii="Times New Roman" w:hAnsi="Times New Roman" w:cs="Times New Roman"/>
          <w:color w:val="auto"/>
          <w:sz w:val="24"/>
          <w:szCs w:val="24"/>
          <w:highlight w:val="none"/>
        </w:rPr>
      </w:pPr>
    </w:p>
    <w:p w14:paraId="7F3E7FFF">
      <w:pPr>
        <w:pStyle w:val="36"/>
        <w:rPr>
          <w:rFonts w:hint="default" w:ascii="Times New Roman" w:hAnsi="Times New Roman" w:cs="Times New Roman"/>
          <w:color w:val="auto"/>
          <w:sz w:val="24"/>
          <w:szCs w:val="24"/>
          <w:highlight w:val="none"/>
        </w:rPr>
      </w:pPr>
    </w:p>
    <w:p w14:paraId="4882C2AE">
      <w:pPr>
        <w:pStyle w:val="36"/>
        <w:rPr>
          <w:rFonts w:hint="default" w:ascii="Times New Roman" w:hAnsi="Times New Roman" w:cs="Times New Roman"/>
          <w:color w:val="auto"/>
          <w:sz w:val="24"/>
          <w:szCs w:val="24"/>
          <w:highlight w:val="none"/>
        </w:rPr>
      </w:pPr>
    </w:p>
    <w:p w14:paraId="6918C9C9">
      <w:pPr>
        <w:pStyle w:val="36"/>
        <w:rPr>
          <w:rFonts w:hint="default" w:ascii="Times New Roman" w:hAnsi="Times New Roman" w:cs="Times New Roman"/>
          <w:color w:val="auto"/>
          <w:sz w:val="24"/>
          <w:szCs w:val="24"/>
          <w:highlight w:val="none"/>
        </w:rPr>
      </w:pPr>
    </w:p>
    <w:p w14:paraId="1357D635">
      <w:pPr>
        <w:pStyle w:val="36"/>
        <w:rPr>
          <w:rFonts w:hint="default" w:ascii="Times New Roman" w:hAnsi="Times New Roman" w:cs="Times New Roman"/>
          <w:color w:val="auto"/>
          <w:sz w:val="24"/>
          <w:szCs w:val="24"/>
          <w:highlight w:val="none"/>
        </w:rPr>
      </w:pPr>
    </w:p>
    <w:p w14:paraId="4A235A26">
      <w:pPr>
        <w:pStyle w:val="36"/>
        <w:rPr>
          <w:rFonts w:hint="default" w:ascii="Times New Roman" w:hAnsi="Times New Roman" w:cs="Times New Roman"/>
          <w:color w:val="auto"/>
          <w:sz w:val="24"/>
          <w:szCs w:val="24"/>
          <w:highlight w:val="none"/>
        </w:rPr>
      </w:pPr>
    </w:p>
    <w:p w14:paraId="7A6ADD5D">
      <w:pPr>
        <w:rPr>
          <w:rFonts w:hint="default" w:ascii="Times New Roman" w:hAnsi="Times New Roman" w:cs="Times New Roman"/>
          <w:color w:val="auto"/>
          <w:sz w:val="24"/>
          <w:highlight w:val="none"/>
        </w:rPr>
      </w:pPr>
    </w:p>
    <w:p w14:paraId="72BD013C">
      <w:pPr>
        <w:pStyle w:val="21"/>
        <w:ind w:firstLine="240"/>
        <w:rPr>
          <w:rFonts w:hint="default" w:ascii="Times New Roman" w:hAnsi="Times New Roman" w:cs="Times New Roman"/>
          <w:color w:val="auto"/>
          <w:sz w:val="24"/>
          <w:szCs w:val="24"/>
          <w:highlight w:val="none"/>
        </w:rPr>
      </w:pPr>
    </w:p>
    <w:p w14:paraId="0103188C">
      <w:pPr>
        <w:rPr>
          <w:rFonts w:hint="default" w:ascii="Times New Roman" w:hAnsi="Times New Roman" w:cs="Times New Roman"/>
          <w:color w:val="auto"/>
          <w:sz w:val="24"/>
          <w:highlight w:val="none"/>
        </w:rPr>
      </w:pPr>
    </w:p>
    <w:p w14:paraId="4E4DE9E6">
      <w:pPr>
        <w:pStyle w:val="21"/>
        <w:ind w:firstLine="240"/>
        <w:rPr>
          <w:rFonts w:hint="default" w:ascii="Times New Roman" w:hAnsi="Times New Roman" w:cs="Times New Roman"/>
          <w:color w:val="auto"/>
          <w:sz w:val="24"/>
          <w:szCs w:val="24"/>
          <w:highlight w:val="none"/>
        </w:rPr>
      </w:pPr>
    </w:p>
    <w:p w14:paraId="1A472F7E">
      <w:pPr>
        <w:rPr>
          <w:rFonts w:hint="default" w:ascii="Times New Roman" w:hAnsi="Times New Roman" w:cs="Times New Roman"/>
          <w:color w:val="auto"/>
          <w:sz w:val="24"/>
          <w:highlight w:val="none"/>
        </w:rPr>
      </w:pPr>
    </w:p>
    <w:p w14:paraId="2B2FCF22">
      <w:pPr>
        <w:pStyle w:val="21"/>
        <w:ind w:firstLine="240"/>
        <w:rPr>
          <w:rFonts w:hint="default" w:ascii="Times New Roman" w:hAnsi="Times New Roman" w:cs="Times New Roman"/>
          <w:color w:val="auto"/>
          <w:sz w:val="24"/>
          <w:szCs w:val="24"/>
          <w:highlight w:val="none"/>
        </w:rPr>
      </w:pPr>
    </w:p>
    <w:p w14:paraId="7205FCE4">
      <w:pPr>
        <w:rPr>
          <w:rFonts w:hint="default" w:ascii="Times New Roman" w:hAnsi="Times New Roman" w:cs="Times New Roman"/>
          <w:color w:val="auto"/>
          <w:sz w:val="24"/>
          <w:highlight w:val="none"/>
        </w:rPr>
      </w:pPr>
    </w:p>
    <w:p w14:paraId="1DE53029">
      <w:pPr>
        <w:pStyle w:val="21"/>
        <w:ind w:firstLine="240"/>
        <w:rPr>
          <w:rFonts w:hint="default" w:ascii="Times New Roman" w:hAnsi="Times New Roman" w:cs="Times New Roman"/>
          <w:color w:val="auto"/>
          <w:sz w:val="24"/>
          <w:szCs w:val="24"/>
          <w:highlight w:val="none"/>
        </w:rPr>
      </w:pPr>
    </w:p>
    <w:p w14:paraId="5421081C">
      <w:pPr>
        <w:rPr>
          <w:rFonts w:hint="default" w:ascii="Times New Roman" w:hAnsi="Times New Roman" w:cs="Times New Roman"/>
          <w:color w:val="auto"/>
          <w:sz w:val="24"/>
          <w:highlight w:val="none"/>
        </w:rPr>
      </w:pPr>
    </w:p>
    <w:p w14:paraId="2C62DE59">
      <w:pPr>
        <w:pStyle w:val="21"/>
        <w:ind w:firstLine="180"/>
        <w:rPr>
          <w:rFonts w:hint="default" w:ascii="Times New Roman" w:hAnsi="Times New Roman" w:cs="Times New Roman"/>
          <w:color w:val="auto"/>
          <w:highlight w:val="none"/>
        </w:rPr>
      </w:pPr>
    </w:p>
    <w:p w14:paraId="4DF8298A">
      <w:pPr>
        <w:rPr>
          <w:rFonts w:hint="default" w:ascii="Times New Roman" w:hAnsi="Times New Roman" w:cs="Times New Roman"/>
          <w:color w:val="auto"/>
          <w:sz w:val="24"/>
          <w:highlight w:val="none"/>
        </w:rPr>
      </w:pPr>
    </w:p>
    <w:p w14:paraId="56EE6308">
      <w:pPr>
        <w:pStyle w:val="36"/>
        <w:rPr>
          <w:rFonts w:hint="default" w:ascii="Times New Roman" w:hAnsi="Times New Roman" w:cs="Times New Roman"/>
          <w:color w:val="auto"/>
          <w:sz w:val="24"/>
          <w:szCs w:val="24"/>
          <w:highlight w:val="none"/>
        </w:rPr>
      </w:pPr>
    </w:p>
    <w:p w14:paraId="56D21F7F">
      <w:pPr>
        <w:pStyle w:val="36"/>
        <w:spacing w:line="360" w:lineRule="auto"/>
        <w:jc w:val="center"/>
        <w:rPr>
          <w:rFonts w:hint="default" w:ascii="Times New Roman" w:hAnsi="Times New Roman" w:cs="Times New Roman"/>
          <w:color w:val="auto"/>
          <w:sz w:val="32"/>
          <w:szCs w:val="32"/>
          <w:highlight w:val="none"/>
        </w:rPr>
      </w:pPr>
    </w:p>
    <w:p w14:paraId="68226CD8">
      <w:pPr>
        <w:pStyle w:val="14"/>
        <w:spacing w:line="360" w:lineRule="auto"/>
        <w:ind w:firstLine="0" w:firstLineChars="0"/>
        <w:jc w:val="center"/>
        <w:rPr>
          <w:rFonts w:hint="eastAsia" w:cs="Times New Roman"/>
          <w:color w:val="auto"/>
          <w:sz w:val="32"/>
          <w:szCs w:val="32"/>
          <w:highlight w:val="none"/>
          <w:lang w:val="en-US" w:eastAsia="zh-CN"/>
        </w:rPr>
        <w:sectPr>
          <w:headerReference r:id="rId8" w:type="default"/>
          <w:footerReference r:id="rId9"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cs="Times New Roman"/>
          <w:color w:val="auto"/>
          <w:sz w:val="32"/>
          <w:szCs w:val="32"/>
          <w:highlight w:val="none"/>
        </w:rPr>
        <w:t>202</w:t>
      </w:r>
      <w:r>
        <w:rPr>
          <w:rFonts w:hint="eastAsia" w:cs="Times New Roman"/>
          <w:color w:val="auto"/>
          <w:sz w:val="32"/>
          <w:szCs w:val="32"/>
          <w:highlight w:val="none"/>
          <w:lang w:val="en-US" w:eastAsia="zh-CN"/>
        </w:rPr>
        <w:t>6</w:t>
      </w:r>
      <w:r>
        <w:rPr>
          <w:rFonts w:hint="default" w:ascii="Times New Roman" w:hAnsi="Times New Roman" w:cs="Times New Roman"/>
          <w:color w:val="auto"/>
          <w:sz w:val="32"/>
          <w:szCs w:val="32"/>
          <w:highlight w:val="none"/>
        </w:rPr>
        <w:t>.0</w:t>
      </w:r>
      <w:r>
        <w:rPr>
          <w:rFonts w:hint="eastAsia" w:cs="Times New Roman"/>
          <w:color w:val="auto"/>
          <w:sz w:val="32"/>
          <w:szCs w:val="32"/>
          <w:highlight w:val="none"/>
          <w:lang w:val="en-US" w:eastAsia="zh-CN"/>
        </w:rPr>
        <w:t>3</w:t>
      </w:r>
    </w:p>
    <w:p w14:paraId="7CE8BA9B">
      <w:pPr>
        <w:pStyle w:val="2"/>
        <w:pageBreakBefore w:val="0"/>
        <w:widowControl w:val="0"/>
        <w:kinsoku/>
        <w:wordWrap/>
        <w:topLinePunct w:val="0"/>
        <w:autoSpaceDE/>
        <w:autoSpaceDN/>
        <w:bidi w:val="0"/>
        <w:adjustRightInd/>
        <w:spacing w:line="360" w:lineRule="auto"/>
        <w:ind w:left="0" w:firstLine="0"/>
        <w:textAlignment w:val="auto"/>
        <w:rPr>
          <w:rFonts w:hint="default" w:ascii="Times New Roman" w:hAnsi="Times New Roman" w:cs="Times New Roman"/>
          <w:color w:val="auto"/>
          <w:highlight w:val="none"/>
        </w:rPr>
      </w:pPr>
      <w:bookmarkStart w:id="110" w:name="_Toc25254"/>
      <w:bookmarkStart w:id="111" w:name="_Toc10572"/>
      <w:bookmarkStart w:id="112" w:name="_Toc7578"/>
      <w:r>
        <w:rPr>
          <w:rFonts w:hint="default" w:ascii="Times New Roman" w:hAnsi="Times New Roman" w:cs="Times New Roman"/>
          <w:color w:val="auto"/>
          <w:highlight w:val="none"/>
        </w:rPr>
        <w:t>1总论</w:t>
      </w:r>
      <w:bookmarkEnd w:id="106"/>
      <w:bookmarkEnd w:id="107"/>
      <w:bookmarkEnd w:id="108"/>
      <w:bookmarkEnd w:id="110"/>
      <w:bookmarkEnd w:id="111"/>
      <w:bookmarkEnd w:id="112"/>
    </w:p>
    <w:p w14:paraId="6758CF9A">
      <w:pPr>
        <w:pageBreakBefore w:val="0"/>
        <w:widowControl w:val="0"/>
        <w:kinsoku/>
        <w:wordWrap/>
        <w:topLinePunct w:val="0"/>
        <w:autoSpaceDE/>
        <w:autoSpaceDN/>
        <w:bidi w:val="0"/>
        <w:adjustRightInd/>
        <w:spacing w:line="360" w:lineRule="auto"/>
        <w:ind w:firstLine="42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1"/>
          <w:szCs w:val="21"/>
          <w:highlight w:val="none"/>
        </w:rPr>
        <w:t>本工程的任务为通过对</w:t>
      </w:r>
      <w:r>
        <w:rPr>
          <w:rFonts w:hint="eastAsia" w:cs="Times New Roman"/>
          <w:color w:val="auto"/>
          <w:sz w:val="21"/>
          <w:szCs w:val="21"/>
          <w:highlight w:val="none"/>
          <w:lang w:eastAsia="zh-CN"/>
        </w:rPr>
        <w:t>庆先水库</w:t>
      </w:r>
      <w:r>
        <w:rPr>
          <w:rFonts w:hint="default" w:ascii="Times New Roman" w:hAnsi="Times New Roman" w:cs="Times New Roman"/>
          <w:color w:val="auto"/>
          <w:sz w:val="21"/>
          <w:szCs w:val="21"/>
          <w:highlight w:val="none"/>
        </w:rPr>
        <w:t>进行除险加固，解决</w:t>
      </w:r>
      <w:r>
        <w:rPr>
          <w:rFonts w:hint="eastAsia" w:cs="Times New Roman"/>
          <w:color w:val="auto"/>
          <w:sz w:val="21"/>
          <w:szCs w:val="21"/>
          <w:highlight w:val="none"/>
          <w:lang w:eastAsia="zh-CN"/>
        </w:rPr>
        <w:t>庆先水库</w:t>
      </w:r>
      <w:r>
        <w:rPr>
          <w:rFonts w:hint="default" w:ascii="Times New Roman" w:hAnsi="Times New Roman" w:cs="Times New Roman"/>
          <w:color w:val="auto"/>
          <w:sz w:val="21"/>
          <w:szCs w:val="21"/>
          <w:highlight w:val="none"/>
        </w:rPr>
        <w:t>运行中的安全隐患，保证下游防洪安全，属水库工程。根据《建设项目环境影响报告表编制技术指南（生态影响类）（试行）》关于评价</w:t>
      </w:r>
      <w:r>
        <w:rPr>
          <w:rFonts w:hint="default" w:ascii="Times New Roman" w:hAnsi="Times New Roman" w:cs="Times New Roman"/>
          <w:color w:val="auto"/>
          <w:sz w:val="21"/>
          <w:szCs w:val="21"/>
          <w:highlight w:val="none"/>
          <w:lang w:eastAsia="zh-CN"/>
        </w:rPr>
        <w:t>专项</w:t>
      </w:r>
      <w:r>
        <w:rPr>
          <w:rFonts w:hint="default" w:ascii="Times New Roman" w:hAnsi="Times New Roman" w:cs="Times New Roman"/>
          <w:color w:val="auto"/>
          <w:sz w:val="21"/>
          <w:szCs w:val="21"/>
          <w:highlight w:val="none"/>
        </w:rPr>
        <w:t>的设置条件，包含水库工程应编制地表水影响专项评价，因此，本项目需要设置地表水环境影响评价</w:t>
      </w:r>
      <w:r>
        <w:rPr>
          <w:rFonts w:hint="default" w:ascii="Times New Roman" w:hAnsi="Times New Roman" w:cs="Times New Roman"/>
          <w:color w:val="auto"/>
          <w:sz w:val="21"/>
          <w:szCs w:val="21"/>
          <w:highlight w:val="none"/>
          <w:lang w:eastAsia="zh-CN"/>
        </w:rPr>
        <w:t>专项</w:t>
      </w:r>
      <w:r>
        <w:rPr>
          <w:rFonts w:hint="default" w:ascii="Times New Roman" w:hAnsi="Times New Roman" w:cs="Times New Roman"/>
          <w:color w:val="auto"/>
          <w:sz w:val="21"/>
          <w:szCs w:val="21"/>
          <w:highlight w:val="none"/>
        </w:rPr>
        <w:t>。</w:t>
      </w:r>
    </w:p>
    <w:p w14:paraId="44239CBC">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sz w:val="24"/>
          <w:szCs w:val="24"/>
          <w:highlight w:val="none"/>
        </w:rPr>
      </w:pPr>
      <w:bookmarkStart w:id="113" w:name="_Toc6755"/>
      <w:r>
        <w:rPr>
          <w:rFonts w:hint="default" w:ascii="Times New Roman" w:hAnsi="Times New Roman" w:cs="Times New Roman"/>
          <w:color w:val="auto"/>
          <w:sz w:val="24"/>
          <w:szCs w:val="24"/>
          <w:highlight w:val="none"/>
        </w:rPr>
        <w:t>1.1项目基本情况</w:t>
      </w:r>
      <w:bookmarkEnd w:id="113"/>
    </w:p>
    <w:p w14:paraId="4E938F5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工程等级和</w:t>
      </w:r>
      <w:r>
        <w:rPr>
          <w:rFonts w:hint="default" w:ascii="Times New Roman" w:hAnsi="Times New Roman" w:eastAsia="宋体" w:cs="Times New Roman"/>
          <w:color w:val="auto"/>
          <w:kern w:val="0"/>
          <w:sz w:val="21"/>
          <w:szCs w:val="21"/>
          <w:highlight w:val="none"/>
          <w:lang w:val="en-US" w:eastAsia="zh-CN" w:bidi="ar"/>
        </w:rPr>
        <w:t>标准：按照《水利水电工程等级划分及洪水标准》（SL252-2017）的规定，</w:t>
      </w:r>
      <w:r>
        <w:rPr>
          <w:rFonts w:hint="eastAsia" w:cs="Times New Roman"/>
          <w:color w:val="auto"/>
          <w:kern w:val="0"/>
          <w:sz w:val="21"/>
          <w:szCs w:val="21"/>
          <w:highlight w:val="none"/>
          <w:lang w:val="en-US" w:eastAsia="zh-CN" w:bidi="ar"/>
        </w:rPr>
        <w:t>庆先</w:t>
      </w:r>
      <w:r>
        <w:rPr>
          <w:rFonts w:hint="default" w:ascii="Times New Roman" w:hAnsi="Times New Roman" w:cs="Times New Roman"/>
          <w:color w:val="auto"/>
          <w:kern w:val="0"/>
          <w:sz w:val="21"/>
          <w:szCs w:val="21"/>
          <w:highlight w:val="none"/>
          <w:lang w:val="en-US" w:eastAsia="zh-CN" w:bidi="ar"/>
        </w:rPr>
        <w:t>水库</w:t>
      </w:r>
      <w:r>
        <w:rPr>
          <w:rFonts w:hint="default" w:ascii="Times New Roman" w:hAnsi="Times New Roman" w:eastAsia="宋体" w:cs="Times New Roman"/>
          <w:color w:val="auto"/>
          <w:kern w:val="0"/>
          <w:sz w:val="21"/>
          <w:szCs w:val="21"/>
          <w:highlight w:val="none"/>
          <w:lang w:val="en-US" w:eastAsia="zh-CN" w:bidi="ar"/>
        </w:rPr>
        <w:t>为小</w:t>
      </w:r>
      <w:r>
        <w:rPr>
          <w:rFonts w:hint="default" w:ascii="Times New Roman" w:hAnsi="Times New Roman" w:cs="Times New Roman"/>
          <w:color w:val="auto"/>
          <w:kern w:val="0"/>
          <w:sz w:val="21"/>
          <w:szCs w:val="21"/>
          <w:highlight w:val="none"/>
          <w:lang w:val="en-US" w:eastAsia="zh-CN" w:bidi="ar"/>
        </w:rPr>
        <w:t>I</w:t>
      </w:r>
      <w:r>
        <w:rPr>
          <w:rFonts w:hint="default" w:ascii="Times New Roman" w:hAnsi="Times New Roman" w:eastAsia="宋体" w:cs="Times New Roman"/>
          <w:color w:val="auto"/>
          <w:kern w:val="0"/>
          <w:sz w:val="21"/>
          <w:szCs w:val="21"/>
          <w:highlight w:val="none"/>
          <w:lang w:val="en-US" w:eastAsia="zh-CN" w:bidi="ar"/>
        </w:rPr>
        <w:t>水库，</w:t>
      </w:r>
      <w:r>
        <w:rPr>
          <w:rFonts w:hint="default" w:ascii="Times New Roman" w:hAnsi="Times New Roman" w:cs="Times New Roman"/>
          <w:color w:val="auto"/>
          <w:kern w:val="0"/>
          <w:sz w:val="21"/>
          <w:szCs w:val="21"/>
          <w:highlight w:val="none"/>
          <w:lang w:val="en-US" w:eastAsia="zh-CN" w:bidi="ar"/>
        </w:rPr>
        <w:t>水工建筑物的级别为IV</w:t>
      </w:r>
      <w:r>
        <w:rPr>
          <w:rFonts w:hint="default" w:ascii="Times New Roman" w:hAnsi="Times New Roman" w:eastAsia="宋体" w:cs="Times New Roman"/>
          <w:color w:val="auto"/>
          <w:kern w:val="0"/>
          <w:sz w:val="21"/>
          <w:szCs w:val="21"/>
          <w:highlight w:val="none"/>
          <w:lang w:val="en-US" w:eastAsia="zh-CN" w:bidi="ar"/>
        </w:rPr>
        <w:t>，洪水标准按20年一遇洪水设计，100年一遇洪水校核。根据本次调洪成果，现状正常蓄水位</w:t>
      </w:r>
      <w:r>
        <w:rPr>
          <w:rFonts w:hint="default" w:ascii="Times New Roman" w:hAnsi="Times New Roman" w:cs="Times New Roman"/>
          <w:color w:val="auto"/>
          <w:sz w:val="21"/>
          <w:szCs w:val="21"/>
          <w:highlight w:val="none"/>
          <w:lang w:eastAsia="zh-CN"/>
        </w:rPr>
        <w:t>1</w:t>
      </w:r>
      <w:r>
        <w:rPr>
          <w:rFonts w:hint="default" w:ascii="Times New Roman" w:hAnsi="Times New Roman" w:cs="Times New Roman"/>
          <w:color w:val="auto"/>
          <w:sz w:val="21"/>
          <w:szCs w:val="21"/>
          <w:highlight w:val="none"/>
          <w:lang w:val="en-US" w:eastAsia="zh-CN"/>
        </w:rPr>
        <w:t>65.70</w:t>
      </w:r>
      <w:r>
        <w:rPr>
          <w:rFonts w:hint="default" w:ascii="Times New Roman" w:hAnsi="Times New Roman" w:cs="Times New Roman"/>
          <w:color w:val="auto"/>
          <w:sz w:val="21"/>
          <w:szCs w:val="21"/>
          <w:highlight w:val="none"/>
          <w:lang w:eastAsia="zh-CN"/>
        </w:rPr>
        <w:t>m</w:t>
      </w:r>
      <w:r>
        <w:rPr>
          <w:rFonts w:hint="default" w:ascii="Times New Roman" w:hAnsi="Times New Roman" w:eastAsia="宋体" w:cs="Times New Roman"/>
          <w:color w:val="auto"/>
          <w:kern w:val="0"/>
          <w:sz w:val="21"/>
          <w:szCs w:val="21"/>
          <w:highlight w:val="none"/>
          <w:lang w:val="en-US" w:eastAsia="zh-CN" w:bidi="ar"/>
        </w:rPr>
        <w:t>，本次仍采用实际正常蓄水位</w:t>
      </w:r>
      <w:r>
        <w:rPr>
          <w:rFonts w:hint="default" w:ascii="Times New Roman" w:hAnsi="Times New Roman" w:cs="Times New Roman"/>
          <w:color w:val="auto"/>
          <w:sz w:val="21"/>
          <w:szCs w:val="21"/>
          <w:highlight w:val="none"/>
          <w:lang w:eastAsia="zh-CN"/>
        </w:rPr>
        <w:t>1</w:t>
      </w:r>
      <w:r>
        <w:rPr>
          <w:rFonts w:hint="default" w:ascii="Times New Roman" w:hAnsi="Times New Roman" w:cs="Times New Roman"/>
          <w:color w:val="auto"/>
          <w:sz w:val="21"/>
          <w:szCs w:val="21"/>
          <w:highlight w:val="none"/>
          <w:lang w:val="en-US" w:eastAsia="zh-CN"/>
        </w:rPr>
        <w:t>65.70</w:t>
      </w:r>
      <w:r>
        <w:rPr>
          <w:rFonts w:hint="default" w:ascii="Times New Roman" w:hAnsi="Times New Roman" w:cs="Times New Roman"/>
          <w:color w:val="auto"/>
          <w:sz w:val="21"/>
          <w:szCs w:val="21"/>
          <w:highlight w:val="none"/>
          <w:lang w:eastAsia="zh-CN"/>
        </w:rPr>
        <w:t>m</w:t>
      </w:r>
      <w:r>
        <w:rPr>
          <w:rFonts w:hint="default" w:ascii="Times New Roman" w:hAnsi="Times New Roman" w:eastAsia="宋体" w:cs="Times New Roman"/>
          <w:color w:val="auto"/>
          <w:kern w:val="0"/>
          <w:sz w:val="21"/>
          <w:szCs w:val="21"/>
          <w:highlight w:val="none"/>
          <w:lang w:val="en-US" w:eastAsia="zh-CN" w:bidi="ar"/>
        </w:rPr>
        <w:t>不变，正常蓄水位相应库容为</w:t>
      </w:r>
      <w:r>
        <w:rPr>
          <w:rFonts w:hint="default" w:ascii="Times New Roman" w:hAnsi="Times New Roman" w:cs="Times New Roman"/>
          <w:color w:val="auto"/>
          <w:sz w:val="21"/>
          <w:szCs w:val="21"/>
          <w:highlight w:val="none"/>
          <w:lang w:val="en-US" w:eastAsia="zh-CN"/>
        </w:rPr>
        <w:t>109.93</w:t>
      </w:r>
      <m:oMath>
        <m:r>
          <m:rPr>
            <m:nor/>
            <m:sty m:val="p"/>
          </m:rPr>
          <w:rPr>
            <w:rFonts w:hint="default" w:ascii="Times New Roman" w:hAnsi="Times New Roman" w:cs="Times New Roman"/>
            <w:b w:val="0"/>
            <w:i w:val="0"/>
            <w:color w:val="auto"/>
            <w:sz w:val="21"/>
            <w:szCs w:val="21"/>
            <w:highlight w:val="none"/>
            <w:lang w:eastAsia="zh-CN"/>
          </w:rPr>
          <m:t>×1</m:t>
        </m:r>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0</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4</m:t>
            </m:r>
            <m:ctrlPr>
              <w:rPr>
                <w:rFonts w:hint="default" w:ascii="Cambria Math" w:hAnsi="Cambria Math" w:cs="Times New Roman"/>
                <w:color w:val="auto"/>
                <w:sz w:val="21"/>
                <w:szCs w:val="21"/>
                <w:highlight w:val="none"/>
                <w:lang w:eastAsia="zh-CN"/>
              </w:rPr>
            </m:ctrlPr>
          </m:sup>
        </m:sSup>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m</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3</m:t>
            </m:r>
            <m:ctrlPr>
              <w:rPr>
                <w:rFonts w:hint="default" w:ascii="Cambria Math" w:hAnsi="Cambria Math" w:cs="Times New Roman"/>
                <w:color w:val="auto"/>
                <w:sz w:val="21"/>
                <w:szCs w:val="21"/>
                <w:highlight w:val="none"/>
                <w:lang w:eastAsia="zh-CN"/>
              </w:rPr>
            </m:ctrlPr>
          </m:sup>
        </m:sSup>
      </m:oMath>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cs="Times New Roman" w:eastAsiaTheme="minorEastAsia"/>
          <w:color w:val="auto"/>
          <w:sz w:val="21"/>
          <w:szCs w:val="21"/>
          <w:highlight w:val="none"/>
          <w:lang w:val="en-US" w:eastAsia="zh-CN"/>
        </w:rPr>
        <w:t>经复核后，仍然采用死水位</w:t>
      </w:r>
      <w:r>
        <w:rPr>
          <w:rFonts w:hint="default" w:ascii="Times New Roman" w:hAnsi="Times New Roman" w:cs="Times New Roman"/>
          <w:color w:val="auto"/>
          <w:sz w:val="21"/>
          <w:szCs w:val="21"/>
          <w:highlight w:val="none"/>
          <w:lang w:val="en-US" w:eastAsia="zh-CN"/>
        </w:rPr>
        <w:t>163.00</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eastAsiaTheme="minorEastAsia"/>
          <w:color w:val="auto"/>
          <w:sz w:val="21"/>
          <w:szCs w:val="21"/>
          <w:highlight w:val="none"/>
          <w:lang w:val="en-US" w:eastAsia="zh-CN"/>
        </w:rPr>
        <w:t>，相应死库容为</w:t>
      </w:r>
      <m:oMath>
        <m:r>
          <m:rPr>
            <m:nor/>
            <m:sty m:val="p"/>
          </m:rPr>
          <w:rPr>
            <w:rFonts w:hint="default" w:ascii="Times New Roman" w:hAnsi="Times New Roman" w:cs="Times New Roman"/>
            <w:b w:val="0"/>
            <w:i w:val="0"/>
            <w:color w:val="auto"/>
            <w:sz w:val="21"/>
            <w:szCs w:val="21"/>
            <w:highlight w:val="none"/>
            <w:lang w:val="en-US" w:eastAsia="zh-CN"/>
          </w:rPr>
          <m:t>11.06</m:t>
        </m:r>
        <m:r>
          <m:rPr>
            <m:nor/>
            <m:sty m:val="p"/>
          </m:rPr>
          <w:rPr>
            <w:rFonts w:hint="default" w:ascii="Times New Roman" w:hAnsi="Times New Roman" w:cs="Times New Roman"/>
            <w:b w:val="0"/>
            <w:i w:val="0"/>
            <w:color w:val="auto"/>
            <w:sz w:val="21"/>
            <w:szCs w:val="21"/>
            <w:highlight w:val="none"/>
            <w:lang w:eastAsia="zh-CN"/>
          </w:rPr>
          <m:t>×1</m:t>
        </m:r>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0</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4</m:t>
            </m:r>
            <m:ctrlPr>
              <w:rPr>
                <w:rFonts w:hint="default" w:ascii="Cambria Math" w:hAnsi="Cambria Math" w:cs="Times New Roman"/>
                <w:color w:val="auto"/>
                <w:sz w:val="21"/>
                <w:szCs w:val="21"/>
                <w:highlight w:val="none"/>
                <w:lang w:eastAsia="zh-CN"/>
              </w:rPr>
            </m:ctrlPr>
          </m:sup>
        </m:sSup>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m</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3</m:t>
            </m:r>
            <m:ctrlPr>
              <w:rPr>
                <w:rFonts w:hint="default" w:ascii="Cambria Math" w:hAnsi="Cambria Math" w:cs="Times New Roman"/>
                <w:color w:val="auto"/>
                <w:sz w:val="21"/>
                <w:szCs w:val="21"/>
                <w:highlight w:val="none"/>
                <w:lang w:eastAsia="zh-CN"/>
              </w:rPr>
            </m:ctrlPr>
          </m:sup>
        </m:sSup>
      </m:oMath>
      <w:r>
        <w:rPr>
          <w:rFonts w:hint="default" w:ascii="Times New Roman" w:hAnsi="Times New Roman" w:cs="Times New Roman" w:eastAsiaTheme="minorEastAsia"/>
          <w:color w:val="auto"/>
          <w:sz w:val="21"/>
          <w:szCs w:val="21"/>
          <w:highlight w:val="none"/>
          <w:lang w:val="en-US" w:eastAsia="zh-CN"/>
        </w:rPr>
        <w:t>。</w:t>
      </w:r>
    </w:p>
    <w:p w14:paraId="6950A86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eastAsia="zh-CN"/>
        </w:rPr>
        <w:t>主要</w:t>
      </w:r>
      <w:r>
        <w:rPr>
          <w:rFonts w:hint="default" w:ascii="Times New Roman" w:hAnsi="Times New Roman" w:cs="Times New Roman" w:eastAsiaTheme="minorEastAsia"/>
          <w:color w:val="auto"/>
          <w:sz w:val="21"/>
          <w:szCs w:val="21"/>
          <w:highlight w:val="none"/>
        </w:rPr>
        <w:t>建设内容：</w:t>
      </w:r>
      <w:r>
        <w:rPr>
          <w:rFonts w:hint="default" w:ascii="Times New Roman" w:hAnsi="Times New Roman" w:eastAsia="宋体" w:cs="Times New Roman"/>
          <w:color w:val="auto"/>
          <w:sz w:val="21"/>
          <w:szCs w:val="21"/>
          <w:highlight w:val="none"/>
          <w:lang w:val="en-US" w:eastAsia="zh-CN"/>
        </w:rPr>
        <w:t>包括大坝坝顶路硬化，大坝背水侧增设碎石护坡及排水体。修复溢洪道溢流堰堰体，维修海漫段。输水洞闸室段及工作桥拆除重建，维修输水洞海漫段等</w:t>
      </w:r>
      <w:r>
        <w:rPr>
          <w:rFonts w:hint="default" w:ascii="Times New Roman" w:hAnsi="Times New Roman" w:cs="Times New Roman" w:eastAsiaTheme="minorEastAsia"/>
          <w:color w:val="auto"/>
          <w:sz w:val="21"/>
          <w:szCs w:val="21"/>
          <w:highlight w:val="none"/>
        </w:rPr>
        <w:t>。</w:t>
      </w:r>
    </w:p>
    <w:p w14:paraId="74154FFD">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sz w:val="24"/>
          <w:szCs w:val="24"/>
          <w:highlight w:val="none"/>
        </w:rPr>
      </w:pPr>
      <w:bookmarkStart w:id="114" w:name="_Toc8585"/>
      <w:r>
        <w:rPr>
          <w:rFonts w:hint="default" w:ascii="Times New Roman" w:hAnsi="Times New Roman" w:cs="Times New Roman"/>
          <w:color w:val="auto"/>
          <w:sz w:val="24"/>
          <w:szCs w:val="24"/>
          <w:highlight w:val="none"/>
        </w:rPr>
        <w:t>1.2编制依据</w:t>
      </w:r>
      <w:bookmarkEnd w:id="114"/>
    </w:p>
    <w:p w14:paraId="55E586D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1、法律法规及部门规章</w:t>
      </w:r>
    </w:p>
    <w:p w14:paraId="12A6EBC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（1）《中华人民共和国环境保护法（修正）》（2015.1.1）；</w:t>
      </w:r>
    </w:p>
    <w:p w14:paraId="6F5BD3C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（2）《中华人民共和国环境影响评价法（修正）》（2018.12.29）；</w:t>
      </w:r>
    </w:p>
    <w:p w14:paraId="07F6D01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（3）《中华人民共和国水污染防治法》（2017.6.27）；</w:t>
      </w:r>
    </w:p>
    <w:p w14:paraId="513925C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（4）</w:t>
      </w:r>
      <w:r>
        <w:rPr>
          <w:rFonts w:hint="default" w:ascii="Times New Roman" w:hAnsi="Times New Roman" w:cs="Times New Roman" w:eastAsiaTheme="minorEastAsia"/>
          <w:color w:val="auto"/>
          <w:sz w:val="21"/>
          <w:szCs w:val="21"/>
          <w:highlight w:val="none"/>
          <w:lang w:val="en-US" w:eastAsia="zh-CN"/>
        </w:rPr>
        <w:t>《生态环境分区管控管理暂行规定》</w:t>
      </w:r>
      <w:r>
        <w:rPr>
          <w:rFonts w:hint="eastAsia" w:ascii="Times New Roman" w:hAnsi="Times New Roman" w:cs="Times New Roman" w:eastAsiaTheme="minorEastAsia"/>
          <w:color w:val="auto"/>
          <w:sz w:val="21"/>
          <w:szCs w:val="21"/>
          <w:highlight w:val="none"/>
        </w:rPr>
        <w:t>环环评〔2024〕41号</w:t>
      </w:r>
      <w:r>
        <w:rPr>
          <w:rFonts w:hint="eastAsia" w:cs="Times New Roman" w:eastAsiaTheme="minorEastAsia"/>
          <w:color w:val="auto"/>
          <w:sz w:val="21"/>
          <w:szCs w:val="21"/>
          <w:highlight w:val="none"/>
          <w:lang w:eastAsia="zh-CN"/>
        </w:rPr>
        <w:t>；</w:t>
      </w:r>
    </w:p>
    <w:p w14:paraId="2E7E1BA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（5）</w:t>
      </w:r>
      <w:r>
        <w:rPr>
          <w:rFonts w:hint="default" w:ascii="Times New Roman" w:hAnsi="Times New Roman" w:cs="Times New Roman" w:eastAsiaTheme="minorEastAsia"/>
          <w:color w:val="auto"/>
          <w:sz w:val="21"/>
          <w:szCs w:val="21"/>
          <w:highlight w:val="none"/>
          <w:lang w:val="en-US" w:eastAsia="zh-CN"/>
        </w:rPr>
        <w:t>《黑龙江省水污染防治条例》</w:t>
      </w:r>
      <w:r>
        <w:rPr>
          <w:rFonts w:hint="eastAsia" w:ascii="Times New Roman" w:hAnsi="Times New Roman" w:cs="Times New Roman" w:eastAsiaTheme="minorEastAsia"/>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rPr>
        <w:t>2023年12月1日</w:t>
      </w: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w:t>
      </w:r>
    </w:p>
    <w:p w14:paraId="4741B84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lang w:val="en-US" w:eastAsia="zh-CN"/>
        </w:rPr>
        <w:t>有关标准技术规范</w:t>
      </w:r>
    </w:p>
    <w:p w14:paraId="3A130A5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《建设项目环境影响评价技术导则总纲》（HJ2.1-2016）；</w:t>
      </w:r>
    </w:p>
    <w:p w14:paraId="365649C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2</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《环境影响评价技术导则地表水环境》（HJ2.3-2018）；</w:t>
      </w:r>
    </w:p>
    <w:p w14:paraId="63EAC0E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r>
        <w:rPr>
          <w:rFonts w:hint="eastAsia" w:cs="Times New Roman" w:eastAsiaTheme="minorEastAsia"/>
          <w:color w:val="auto"/>
          <w:sz w:val="21"/>
          <w:szCs w:val="21"/>
          <w:highlight w:val="none"/>
          <w:lang w:val="en-US" w:eastAsia="zh-CN"/>
        </w:rPr>
        <w:t>3</w:t>
      </w:r>
      <w:r>
        <w:rPr>
          <w:rFonts w:hint="default" w:ascii="Times New Roman" w:hAnsi="Times New Roman" w:cs="Times New Roman" w:eastAsiaTheme="minorEastAsia"/>
          <w:color w:val="auto"/>
          <w:sz w:val="21"/>
          <w:szCs w:val="21"/>
          <w:highlight w:val="none"/>
        </w:rPr>
        <w:t>）《环境影响评价技术导则水利水电工程》（HJ/T88-2003）；</w:t>
      </w:r>
    </w:p>
    <w:p w14:paraId="774D103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w:t>
      </w:r>
      <w:r>
        <w:rPr>
          <w:rFonts w:hint="eastAsia"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rPr>
        <w:t>）</w:t>
      </w:r>
      <w:r>
        <w:rPr>
          <w:rFonts w:hint="default" w:ascii="Times New Roman" w:hAnsi="Times New Roman" w:eastAsia="宋体" w:cs="Times New Roman"/>
          <w:snapToGrid w:val="0"/>
          <w:color w:val="auto"/>
          <w:kern w:val="0"/>
          <w:sz w:val="21"/>
          <w:szCs w:val="21"/>
          <w:highlight w:val="none"/>
          <w:lang w:val="en-US" w:eastAsia="zh-CN" w:bidi="ar-SA"/>
        </w:rPr>
        <w:t>《水利水电工程环境保护设计规范》（SL/T4922-2025）</w:t>
      </w:r>
      <w:r>
        <w:rPr>
          <w:rFonts w:hint="eastAsia" w:cs="Times New Roman" w:eastAsiaTheme="minorEastAsia"/>
          <w:color w:val="auto"/>
          <w:sz w:val="21"/>
          <w:szCs w:val="21"/>
          <w:highlight w:val="none"/>
          <w:lang w:eastAsia="zh-CN"/>
        </w:rPr>
        <w:t>；</w:t>
      </w:r>
    </w:p>
    <w:p w14:paraId="051308E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snapToGrid w:val="0"/>
          <w:color w:val="auto"/>
          <w:kern w:val="0"/>
          <w:sz w:val="21"/>
          <w:szCs w:val="21"/>
          <w:highlight w:val="none"/>
          <w:lang w:val="en-US" w:eastAsia="zh-CN" w:bidi="ar-SA"/>
        </w:rPr>
        <w:t>（5</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《水库生态流量泄放规程》（SL/T819-2023）</w:t>
      </w:r>
      <w:r>
        <w:rPr>
          <w:rFonts w:hint="eastAsia" w:cs="Times New Roman" w:eastAsiaTheme="minorEastAsia"/>
          <w:color w:val="auto"/>
          <w:sz w:val="21"/>
          <w:szCs w:val="21"/>
          <w:highlight w:val="none"/>
          <w:lang w:val="en-US" w:eastAsia="zh-CN"/>
        </w:rPr>
        <w:t>；</w:t>
      </w:r>
    </w:p>
    <w:p w14:paraId="0A1937E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（6）</w:t>
      </w:r>
      <w:r>
        <w:rPr>
          <w:rFonts w:hint="default" w:ascii="Times New Roman" w:hAnsi="Times New Roman" w:cs="Times New Roman" w:eastAsiaTheme="minorEastAsia"/>
          <w:color w:val="auto"/>
          <w:sz w:val="21"/>
          <w:szCs w:val="21"/>
          <w:highlight w:val="none"/>
          <w:lang w:val="en-US" w:eastAsia="zh-CN"/>
        </w:rPr>
        <w:t>《水利水电工程生态流量计算与泄放设计规范》（SL/T820-2023）</w:t>
      </w:r>
      <w:r>
        <w:rPr>
          <w:rFonts w:hint="eastAsia" w:cs="Times New Roman" w:eastAsiaTheme="minorEastAsia"/>
          <w:color w:val="auto"/>
          <w:sz w:val="21"/>
          <w:szCs w:val="21"/>
          <w:highlight w:val="none"/>
          <w:lang w:val="en-US" w:eastAsia="zh-CN"/>
        </w:rPr>
        <w:t>。</w:t>
      </w:r>
    </w:p>
    <w:p w14:paraId="1A63F4D3">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评价等级及评价范围</w:t>
      </w:r>
    </w:p>
    <w:p w14:paraId="2AD5EDA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cs="Times New Roman" w:eastAsiaTheme="minorEastAsia"/>
          <w:color w:val="auto"/>
          <w:sz w:val="21"/>
          <w:szCs w:val="21"/>
          <w:highlight w:val="none"/>
          <w:lang w:val="en-US" w:eastAsia="zh-CN"/>
        </w:rPr>
      </w:pPr>
    </w:p>
    <w:p w14:paraId="47B43726">
      <w:pPr>
        <w:pStyle w:val="4"/>
        <w:keepNext w:val="0"/>
        <w:keepLines w:val="0"/>
        <w:pageBreakBefore w:val="0"/>
        <w:widowControl/>
        <w:numPr>
          <w:ilvl w:val="2"/>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.1评价等级</w:t>
      </w:r>
    </w:p>
    <w:p w14:paraId="223EA12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根据《环境影响评价技术导则地表水环境》（HJ2.3-2018），建设项目的地表水环境影响主要包括水污染影响与水文要素影响，本工程属于水污染影响及水文要素影响类兼有的复合影响型项目。</w:t>
      </w:r>
    </w:p>
    <w:p w14:paraId="2E169ED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（1）水污染影响型建设项目评价等级确定</w:t>
      </w:r>
    </w:p>
    <w:p w14:paraId="3573380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1"/>
          <w:szCs w:val="21"/>
          <w:highlight w:val="none"/>
        </w:rPr>
        <w:t>根据《环境影响评价技术导则地表水环境》（HJ2.3-2018）相关规定，建设项目地表水环境影响评价等级按照影响类型、排放方式、排放量或影响情况、受纳水体环境质量现状、水环境保护目标等综合确定。水污染影响型建设项目根据排放方式和废水排放量划分评价等级。</w:t>
      </w:r>
    </w:p>
    <w:p w14:paraId="750AE0F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4"/>
          <w:highlight w:val="none"/>
        </w:rPr>
      </w:pPr>
      <w:bookmarkStart w:id="115" w:name="_Ref107751402"/>
      <w:r>
        <w:rPr>
          <w:rFonts w:hint="default" w:ascii="Times New Roman" w:hAnsi="Times New Roman" w:cs="Times New Roman"/>
          <w:b/>
          <w:bCs/>
          <w:color w:val="auto"/>
          <w:sz w:val="21"/>
          <w:szCs w:val="21"/>
          <w:highlight w:val="none"/>
        </w:rPr>
        <w:t>表</w:t>
      </w:r>
      <w:bookmarkEnd w:id="115"/>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rPr>
        <w:t>水污染型评价等级判定表</w:t>
      </w:r>
    </w:p>
    <w:tbl>
      <w:tblPr>
        <w:tblStyle w:val="24"/>
        <w:tblW w:w="487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3"/>
        <w:gridCol w:w="1612"/>
        <w:gridCol w:w="4641"/>
      </w:tblGrid>
      <w:tr w14:paraId="3A128A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pct"/>
            <w:vMerge w:val="restart"/>
            <w:vAlign w:val="center"/>
          </w:tcPr>
          <w:p w14:paraId="4E43C339">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评价工作等级</w:t>
            </w:r>
          </w:p>
        </w:tc>
        <w:tc>
          <w:tcPr>
            <w:tcW w:w="3763" w:type="pct"/>
            <w:gridSpan w:val="2"/>
            <w:vAlign w:val="center"/>
          </w:tcPr>
          <w:p w14:paraId="29CFC64A">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评价工作分级判据</w:t>
            </w:r>
          </w:p>
        </w:tc>
      </w:tr>
      <w:tr w14:paraId="780A06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pct"/>
            <w:vMerge w:val="continue"/>
            <w:vAlign w:val="center"/>
          </w:tcPr>
          <w:p w14:paraId="0455C164">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p>
        </w:tc>
        <w:tc>
          <w:tcPr>
            <w:tcW w:w="970" w:type="pct"/>
            <w:vAlign w:val="center"/>
          </w:tcPr>
          <w:p w14:paraId="7AD427E2">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排放方式</w:t>
            </w:r>
          </w:p>
        </w:tc>
        <w:tc>
          <w:tcPr>
            <w:tcW w:w="2793" w:type="pct"/>
            <w:vAlign w:val="center"/>
          </w:tcPr>
          <w:p w14:paraId="36FA703D">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废水排放量Q/（m</w:t>
            </w:r>
            <w:r>
              <w:rPr>
                <w:rFonts w:hint="default" w:ascii="Times New Roman" w:hAnsi="Times New Roman" w:cs="Times New Roman" w:eastAsiaTheme="minorEastAsia"/>
                <w:color w:val="auto"/>
                <w:sz w:val="18"/>
                <w:szCs w:val="18"/>
                <w:highlight w:val="none"/>
                <w:vertAlign w:val="superscript"/>
              </w:rPr>
              <w:t>3</w:t>
            </w:r>
            <w:r>
              <w:rPr>
                <w:rFonts w:hint="default" w:ascii="Times New Roman" w:hAnsi="Times New Roman" w:cs="Times New Roman" w:eastAsiaTheme="minorEastAsia"/>
                <w:color w:val="auto"/>
                <w:sz w:val="18"/>
                <w:szCs w:val="18"/>
                <w:highlight w:val="none"/>
              </w:rPr>
              <w:t>/d）；</w:t>
            </w:r>
          </w:p>
          <w:p w14:paraId="0BDBD428">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水污染物当量数W/（无量纲）</w:t>
            </w:r>
          </w:p>
        </w:tc>
      </w:tr>
      <w:tr w14:paraId="395A03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pct"/>
            <w:vAlign w:val="center"/>
          </w:tcPr>
          <w:p w14:paraId="3E8CD537">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一级</w:t>
            </w:r>
          </w:p>
        </w:tc>
        <w:tc>
          <w:tcPr>
            <w:tcW w:w="970" w:type="pct"/>
            <w:vAlign w:val="center"/>
          </w:tcPr>
          <w:p w14:paraId="18F5A530">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直接排放</w:t>
            </w:r>
          </w:p>
        </w:tc>
        <w:tc>
          <w:tcPr>
            <w:tcW w:w="2793" w:type="pct"/>
            <w:vAlign w:val="center"/>
          </w:tcPr>
          <w:p w14:paraId="71709F3C">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Q≥20000或W≥600000</w:t>
            </w:r>
          </w:p>
        </w:tc>
      </w:tr>
      <w:tr w14:paraId="1B49CA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pct"/>
            <w:vAlign w:val="center"/>
          </w:tcPr>
          <w:p w14:paraId="03A311F1">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二级</w:t>
            </w:r>
          </w:p>
        </w:tc>
        <w:tc>
          <w:tcPr>
            <w:tcW w:w="970" w:type="pct"/>
            <w:vAlign w:val="center"/>
          </w:tcPr>
          <w:p w14:paraId="6E76DA36">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直接排放</w:t>
            </w:r>
          </w:p>
        </w:tc>
        <w:tc>
          <w:tcPr>
            <w:tcW w:w="2793" w:type="pct"/>
            <w:vAlign w:val="center"/>
          </w:tcPr>
          <w:p w14:paraId="76A97495">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其他</w:t>
            </w:r>
          </w:p>
        </w:tc>
      </w:tr>
      <w:tr w14:paraId="6549D8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pct"/>
            <w:vAlign w:val="center"/>
          </w:tcPr>
          <w:p w14:paraId="409AC709">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三级A</w:t>
            </w:r>
          </w:p>
        </w:tc>
        <w:tc>
          <w:tcPr>
            <w:tcW w:w="970" w:type="pct"/>
            <w:vAlign w:val="center"/>
          </w:tcPr>
          <w:p w14:paraId="683708BE">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直接排放</w:t>
            </w:r>
          </w:p>
        </w:tc>
        <w:tc>
          <w:tcPr>
            <w:tcW w:w="2793" w:type="pct"/>
            <w:vAlign w:val="center"/>
          </w:tcPr>
          <w:p w14:paraId="2D796957">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Q＜200且W＜6000</w:t>
            </w:r>
          </w:p>
        </w:tc>
      </w:tr>
      <w:tr w14:paraId="2BA3B1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pct"/>
            <w:vAlign w:val="center"/>
          </w:tcPr>
          <w:p w14:paraId="521A6678">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三级B</w:t>
            </w:r>
          </w:p>
        </w:tc>
        <w:tc>
          <w:tcPr>
            <w:tcW w:w="970" w:type="pct"/>
            <w:vAlign w:val="center"/>
          </w:tcPr>
          <w:p w14:paraId="0516A2EE">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间接排放</w:t>
            </w:r>
          </w:p>
        </w:tc>
        <w:tc>
          <w:tcPr>
            <w:tcW w:w="2793" w:type="pct"/>
            <w:vAlign w:val="center"/>
          </w:tcPr>
          <w:p w14:paraId="29E6C131">
            <w:pPr>
              <w:pStyle w:val="40"/>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w:t>
            </w:r>
          </w:p>
        </w:tc>
      </w:tr>
    </w:tbl>
    <w:p w14:paraId="7924857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本项目施工期生产废水和生活污水均收集处理不外排。依据《环境影响评价技术导则地表水环境》（HJ2.3-2018），水污染型评价工作等级为三级B。</w:t>
      </w:r>
    </w:p>
    <w:p w14:paraId="4C61808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（2）水文要素影响型建设项目评价等级确定</w:t>
      </w:r>
    </w:p>
    <w:p w14:paraId="3A2D4EE9">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水文要素影响型建设项目评价等级划分根据水温、径流与受影响地表水域等三类水文要素的影响程度判定。</w:t>
      </w:r>
    </w:p>
    <w:p w14:paraId="235F914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bookmarkStart w:id="116" w:name="_Ref107752110"/>
      <w:r>
        <w:rPr>
          <w:rFonts w:hint="default" w:ascii="Times New Roman" w:hAnsi="Times New Roman" w:cs="Times New Roman"/>
          <w:b/>
          <w:bCs/>
          <w:color w:val="auto"/>
          <w:sz w:val="21"/>
          <w:szCs w:val="21"/>
          <w:highlight w:val="none"/>
        </w:rPr>
        <w:t>表</w:t>
      </w:r>
      <w:bookmarkEnd w:id="116"/>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水文要素影响型建设项目评价等级判定</w:t>
      </w:r>
    </w:p>
    <w:tbl>
      <w:tblPr>
        <w:tblStyle w:val="24"/>
        <w:tblW w:w="852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2"/>
        <w:gridCol w:w="1139"/>
        <w:gridCol w:w="1091"/>
        <w:gridCol w:w="978"/>
        <w:gridCol w:w="1451"/>
        <w:gridCol w:w="1256"/>
        <w:gridCol w:w="2041"/>
      </w:tblGrid>
      <w:tr w14:paraId="50F8E9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Merge w:val="restart"/>
            <w:vAlign w:val="center"/>
          </w:tcPr>
          <w:p w14:paraId="671E6CC0">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评价等级</w:t>
            </w:r>
          </w:p>
        </w:tc>
        <w:tc>
          <w:tcPr>
            <w:tcW w:w="1139" w:type="dxa"/>
            <w:vAlign w:val="center"/>
          </w:tcPr>
          <w:p w14:paraId="4EEA8769">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水温</w:t>
            </w:r>
          </w:p>
        </w:tc>
        <w:tc>
          <w:tcPr>
            <w:tcW w:w="2069" w:type="dxa"/>
            <w:gridSpan w:val="2"/>
            <w:vAlign w:val="center"/>
          </w:tcPr>
          <w:p w14:paraId="153F9573">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径流</w:t>
            </w:r>
          </w:p>
        </w:tc>
        <w:tc>
          <w:tcPr>
            <w:tcW w:w="4748" w:type="dxa"/>
            <w:gridSpan w:val="3"/>
            <w:vAlign w:val="center"/>
          </w:tcPr>
          <w:p w14:paraId="42D85E21">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受影响地表水域</w:t>
            </w:r>
          </w:p>
        </w:tc>
      </w:tr>
      <w:tr w14:paraId="61BD98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Merge w:val="continue"/>
            <w:vAlign w:val="center"/>
          </w:tcPr>
          <w:p w14:paraId="33D0286C">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p>
        </w:tc>
        <w:tc>
          <w:tcPr>
            <w:tcW w:w="1139" w:type="dxa"/>
            <w:vMerge w:val="restart"/>
            <w:vAlign w:val="center"/>
          </w:tcPr>
          <w:p w14:paraId="309C9C34">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年径流量与总库容百分比α/%</w:t>
            </w:r>
          </w:p>
        </w:tc>
        <w:tc>
          <w:tcPr>
            <w:tcW w:w="1091" w:type="dxa"/>
            <w:vMerge w:val="restart"/>
            <w:vAlign w:val="center"/>
          </w:tcPr>
          <w:p w14:paraId="42FCEA7E">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兴利库容与年径流量百</w:t>
            </w:r>
          </w:p>
          <w:p w14:paraId="43921736">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分比β/%</w:t>
            </w:r>
          </w:p>
        </w:tc>
        <w:tc>
          <w:tcPr>
            <w:tcW w:w="978" w:type="dxa"/>
            <w:vMerge w:val="restart"/>
            <w:vAlign w:val="center"/>
          </w:tcPr>
          <w:p w14:paraId="39259460">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取水量占多年平均径流量百分比γ/%</w:t>
            </w:r>
          </w:p>
        </w:tc>
        <w:tc>
          <w:tcPr>
            <w:tcW w:w="2707" w:type="dxa"/>
            <w:gridSpan w:val="2"/>
            <w:vAlign w:val="center"/>
          </w:tcPr>
          <w:p w14:paraId="19B65145">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工程垂直投影面积及外扩范围A</w:t>
            </w:r>
            <w:r>
              <w:rPr>
                <w:rFonts w:hint="default" w:ascii="Times New Roman" w:hAnsi="Times New Roman" w:cs="Times New Roman" w:eastAsiaTheme="minorEastAsia"/>
                <w:smallCaps w:val="0"/>
                <w:color w:val="auto"/>
                <w:sz w:val="18"/>
                <w:szCs w:val="18"/>
                <w:highlight w:val="none"/>
                <w:vertAlign w:val="subscript"/>
              </w:rPr>
              <w:t>1</w:t>
            </w:r>
            <w:r>
              <w:rPr>
                <w:rFonts w:hint="default" w:ascii="Times New Roman" w:hAnsi="Times New Roman" w:cs="Times New Roman" w:eastAsiaTheme="minorEastAsia"/>
                <w:smallCaps w:val="0"/>
                <w:color w:val="auto"/>
                <w:sz w:val="18"/>
                <w:szCs w:val="18"/>
                <w:highlight w:val="none"/>
              </w:rPr>
              <w:t>/km</w:t>
            </w:r>
            <w:r>
              <w:rPr>
                <w:rFonts w:hint="default" w:ascii="Times New Roman" w:hAnsi="Times New Roman" w:cs="Times New Roman" w:eastAsiaTheme="minorEastAsia"/>
                <w:smallCaps w:val="0"/>
                <w:color w:val="auto"/>
                <w:sz w:val="18"/>
                <w:szCs w:val="18"/>
                <w:highlight w:val="none"/>
                <w:vertAlign w:val="superscript"/>
              </w:rPr>
              <w:t>2</w:t>
            </w:r>
            <w:r>
              <w:rPr>
                <w:rFonts w:hint="default" w:ascii="Times New Roman" w:hAnsi="Times New Roman" w:cs="Times New Roman" w:eastAsiaTheme="minorEastAsia"/>
                <w:smallCaps w:val="0"/>
                <w:color w:val="auto"/>
                <w:sz w:val="18"/>
                <w:szCs w:val="18"/>
                <w:highlight w:val="none"/>
              </w:rPr>
              <w:t>；工程扰动水底面积A</w:t>
            </w:r>
            <w:r>
              <w:rPr>
                <w:rFonts w:hint="default" w:ascii="Times New Roman" w:hAnsi="Times New Roman" w:cs="Times New Roman" w:eastAsiaTheme="minorEastAsia"/>
                <w:smallCaps w:val="0"/>
                <w:color w:val="auto"/>
                <w:sz w:val="18"/>
                <w:szCs w:val="18"/>
                <w:highlight w:val="none"/>
                <w:vertAlign w:val="subscript"/>
              </w:rPr>
              <w:t>2</w:t>
            </w:r>
            <w:r>
              <w:rPr>
                <w:rFonts w:hint="default" w:ascii="Times New Roman" w:hAnsi="Times New Roman" w:cs="Times New Roman" w:eastAsiaTheme="minorEastAsia"/>
                <w:smallCaps w:val="0"/>
                <w:color w:val="auto"/>
                <w:sz w:val="18"/>
                <w:szCs w:val="18"/>
                <w:highlight w:val="none"/>
              </w:rPr>
              <w:t>/km</w:t>
            </w:r>
            <w:r>
              <w:rPr>
                <w:rFonts w:hint="default" w:ascii="Times New Roman" w:hAnsi="Times New Roman" w:cs="Times New Roman" w:eastAsiaTheme="minorEastAsia"/>
                <w:smallCaps w:val="0"/>
                <w:color w:val="auto"/>
                <w:sz w:val="18"/>
                <w:szCs w:val="18"/>
                <w:highlight w:val="none"/>
                <w:vertAlign w:val="superscript"/>
              </w:rPr>
              <w:t>2</w:t>
            </w:r>
            <w:r>
              <w:rPr>
                <w:rFonts w:hint="default" w:ascii="Times New Roman" w:hAnsi="Times New Roman" w:cs="Times New Roman" w:eastAsiaTheme="minorEastAsia"/>
                <w:smallCaps w:val="0"/>
                <w:color w:val="auto"/>
                <w:sz w:val="18"/>
                <w:szCs w:val="18"/>
                <w:highlight w:val="none"/>
              </w:rPr>
              <w:t>；过水断面宽度占用比例或占用水域面积比例R/%</w:t>
            </w:r>
          </w:p>
        </w:tc>
        <w:tc>
          <w:tcPr>
            <w:tcW w:w="2041" w:type="dxa"/>
            <w:vAlign w:val="center"/>
          </w:tcPr>
          <w:p w14:paraId="13CDEC30">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工程垂直投影面积及外扩范围A</w:t>
            </w:r>
            <w:r>
              <w:rPr>
                <w:rFonts w:hint="default" w:ascii="Times New Roman" w:hAnsi="Times New Roman" w:cs="Times New Roman" w:eastAsiaTheme="minorEastAsia"/>
                <w:smallCaps w:val="0"/>
                <w:color w:val="auto"/>
                <w:sz w:val="18"/>
                <w:szCs w:val="18"/>
                <w:highlight w:val="none"/>
                <w:vertAlign w:val="subscript"/>
              </w:rPr>
              <w:t>1</w:t>
            </w:r>
            <w:r>
              <w:rPr>
                <w:rFonts w:hint="default" w:ascii="Times New Roman" w:hAnsi="Times New Roman" w:cs="Times New Roman" w:eastAsiaTheme="minorEastAsia"/>
                <w:smallCaps w:val="0"/>
                <w:color w:val="auto"/>
                <w:sz w:val="18"/>
                <w:szCs w:val="18"/>
                <w:highlight w:val="none"/>
              </w:rPr>
              <w:t>/km</w:t>
            </w:r>
            <w:r>
              <w:rPr>
                <w:rFonts w:hint="default" w:ascii="Times New Roman" w:hAnsi="Times New Roman" w:cs="Times New Roman" w:eastAsiaTheme="minorEastAsia"/>
                <w:smallCaps w:val="0"/>
                <w:color w:val="auto"/>
                <w:sz w:val="18"/>
                <w:szCs w:val="18"/>
                <w:highlight w:val="none"/>
                <w:vertAlign w:val="superscript"/>
              </w:rPr>
              <w:t>2</w:t>
            </w:r>
            <w:r>
              <w:rPr>
                <w:rFonts w:hint="default" w:ascii="Times New Roman" w:hAnsi="Times New Roman" w:cs="Times New Roman" w:eastAsiaTheme="minorEastAsia"/>
                <w:smallCaps w:val="0"/>
                <w:color w:val="auto"/>
                <w:sz w:val="18"/>
                <w:szCs w:val="18"/>
                <w:highlight w:val="none"/>
              </w:rPr>
              <w:t>；工程扰动水底面积A</w:t>
            </w:r>
            <w:r>
              <w:rPr>
                <w:rFonts w:hint="default" w:ascii="Times New Roman" w:hAnsi="Times New Roman" w:cs="Times New Roman" w:eastAsiaTheme="minorEastAsia"/>
                <w:smallCaps w:val="0"/>
                <w:color w:val="auto"/>
                <w:sz w:val="18"/>
                <w:szCs w:val="18"/>
                <w:highlight w:val="none"/>
                <w:vertAlign w:val="subscript"/>
              </w:rPr>
              <w:t>2</w:t>
            </w:r>
            <w:r>
              <w:rPr>
                <w:rFonts w:hint="default" w:ascii="Times New Roman" w:hAnsi="Times New Roman" w:cs="Times New Roman" w:eastAsiaTheme="minorEastAsia"/>
                <w:smallCaps w:val="0"/>
                <w:color w:val="auto"/>
                <w:sz w:val="18"/>
                <w:szCs w:val="18"/>
                <w:highlight w:val="none"/>
              </w:rPr>
              <w:t>/km</w:t>
            </w:r>
            <w:r>
              <w:rPr>
                <w:rFonts w:hint="default" w:ascii="Times New Roman" w:hAnsi="Times New Roman" w:cs="Times New Roman" w:eastAsiaTheme="minorEastAsia"/>
                <w:smallCaps w:val="0"/>
                <w:color w:val="auto"/>
                <w:sz w:val="18"/>
                <w:szCs w:val="18"/>
                <w:highlight w:val="none"/>
                <w:vertAlign w:val="superscript"/>
              </w:rPr>
              <w:t>2</w:t>
            </w:r>
          </w:p>
        </w:tc>
      </w:tr>
      <w:tr w14:paraId="668FC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Merge w:val="continue"/>
            <w:vAlign w:val="center"/>
          </w:tcPr>
          <w:p w14:paraId="035EAB27">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p>
        </w:tc>
        <w:tc>
          <w:tcPr>
            <w:tcW w:w="1139" w:type="dxa"/>
            <w:vMerge w:val="continue"/>
            <w:vAlign w:val="center"/>
          </w:tcPr>
          <w:p w14:paraId="7AB80B7C">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p>
        </w:tc>
        <w:tc>
          <w:tcPr>
            <w:tcW w:w="1091" w:type="dxa"/>
            <w:vMerge w:val="continue"/>
            <w:vAlign w:val="center"/>
          </w:tcPr>
          <w:p w14:paraId="643E23AE">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p>
        </w:tc>
        <w:tc>
          <w:tcPr>
            <w:tcW w:w="978" w:type="dxa"/>
            <w:vMerge w:val="continue"/>
            <w:vAlign w:val="center"/>
          </w:tcPr>
          <w:p w14:paraId="0936BFD8">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p>
        </w:tc>
        <w:tc>
          <w:tcPr>
            <w:tcW w:w="1451" w:type="dxa"/>
            <w:vAlign w:val="center"/>
          </w:tcPr>
          <w:p w14:paraId="65BA5E9A">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河流</w:t>
            </w:r>
          </w:p>
        </w:tc>
        <w:tc>
          <w:tcPr>
            <w:tcW w:w="1256" w:type="dxa"/>
            <w:vAlign w:val="center"/>
          </w:tcPr>
          <w:p w14:paraId="6960661D">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湖库</w:t>
            </w:r>
          </w:p>
        </w:tc>
        <w:tc>
          <w:tcPr>
            <w:tcW w:w="2041" w:type="dxa"/>
            <w:vAlign w:val="center"/>
          </w:tcPr>
          <w:p w14:paraId="68977B2B">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入海河口、近岸海域</w:t>
            </w:r>
          </w:p>
        </w:tc>
      </w:tr>
      <w:tr w14:paraId="66C419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Align w:val="center"/>
          </w:tcPr>
          <w:p w14:paraId="5AFCE317">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一级</w:t>
            </w:r>
          </w:p>
        </w:tc>
        <w:tc>
          <w:tcPr>
            <w:tcW w:w="1139" w:type="dxa"/>
            <w:vAlign w:val="center"/>
          </w:tcPr>
          <w:p w14:paraId="3105F43F">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α≤10；或稳定分层</w:t>
            </w:r>
          </w:p>
        </w:tc>
        <w:tc>
          <w:tcPr>
            <w:tcW w:w="1091" w:type="dxa"/>
            <w:vAlign w:val="center"/>
          </w:tcPr>
          <w:p w14:paraId="27F8B110">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β≥20；或完全年调节与多年调节</w:t>
            </w:r>
          </w:p>
        </w:tc>
        <w:tc>
          <w:tcPr>
            <w:tcW w:w="978" w:type="dxa"/>
            <w:vAlign w:val="center"/>
          </w:tcPr>
          <w:p w14:paraId="3DC79C0B">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γ≥30</w:t>
            </w:r>
          </w:p>
        </w:tc>
        <w:tc>
          <w:tcPr>
            <w:tcW w:w="1451" w:type="dxa"/>
            <w:vAlign w:val="center"/>
          </w:tcPr>
          <w:p w14:paraId="6067058F">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A1≥0.3；或A2≥1.5；或R≥10</w:t>
            </w:r>
          </w:p>
        </w:tc>
        <w:tc>
          <w:tcPr>
            <w:tcW w:w="1256" w:type="dxa"/>
            <w:vAlign w:val="center"/>
          </w:tcPr>
          <w:p w14:paraId="0F086492">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A1≥0.3；或A2≥1.5；或R≥20</w:t>
            </w:r>
          </w:p>
        </w:tc>
        <w:tc>
          <w:tcPr>
            <w:tcW w:w="2041" w:type="dxa"/>
            <w:vAlign w:val="center"/>
          </w:tcPr>
          <w:p w14:paraId="1B28AF5D">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A1≥0.5；或A2≥3</w:t>
            </w:r>
          </w:p>
        </w:tc>
      </w:tr>
      <w:tr w14:paraId="441357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Align w:val="center"/>
          </w:tcPr>
          <w:p w14:paraId="7E253E86">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二级</w:t>
            </w:r>
          </w:p>
        </w:tc>
        <w:tc>
          <w:tcPr>
            <w:tcW w:w="1139" w:type="dxa"/>
            <w:vAlign w:val="center"/>
          </w:tcPr>
          <w:p w14:paraId="4B346C22">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20&gt;α&gt;10；或不稳定分层</w:t>
            </w:r>
          </w:p>
        </w:tc>
        <w:tc>
          <w:tcPr>
            <w:tcW w:w="1091" w:type="dxa"/>
            <w:vAlign w:val="center"/>
          </w:tcPr>
          <w:p w14:paraId="4B081F14">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20&gt;β&gt;2；或季调节与不完全年调节</w:t>
            </w:r>
          </w:p>
        </w:tc>
        <w:tc>
          <w:tcPr>
            <w:tcW w:w="978" w:type="dxa"/>
            <w:vAlign w:val="center"/>
          </w:tcPr>
          <w:p w14:paraId="745241AD">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30&gt;γ&gt;10</w:t>
            </w:r>
          </w:p>
        </w:tc>
        <w:tc>
          <w:tcPr>
            <w:tcW w:w="1451" w:type="dxa"/>
            <w:vAlign w:val="center"/>
          </w:tcPr>
          <w:p w14:paraId="027577E6">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0.3&gt;A1&gt;0.05；或1.5&gt;A2&gt;0.2；或10&gt;R&gt;5</w:t>
            </w:r>
          </w:p>
        </w:tc>
        <w:tc>
          <w:tcPr>
            <w:tcW w:w="1256" w:type="dxa"/>
            <w:vAlign w:val="center"/>
          </w:tcPr>
          <w:p w14:paraId="54CCE73D">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0.3&gt;A1&gt;0.05；或1.5&gt;A2&gt;0.2；或20&gt;R&gt;5</w:t>
            </w:r>
          </w:p>
        </w:tc>
        <w:tc>
          <w:tcPr>
            <w:tcW w:w="2041" w:type="dxa"/>
            <w:vAlign w:val="center"/>
          </w:tcPr>
          <w:p w14:paraId="5864F446">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0.5&gt;A1&gt;0.15；或3&gt;A2&gt;0.5</w:t>
            </w:r>
          </w:p>
        </w:tc>
      </w:tr>
      <w:tr w14:paraId="7DAA0F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Align w:val="center"/>
          </w:tcPr>
          <w:p w14:paraId="22CB0B92">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三级</w:t>
            </w:r>
          </w:p>
        </w:tc>
        <w:tc>
          <w:tcPr>
            <w:tcW w:w="1139" w:type="dxa"/>
            <w:vAlign w:val="center"/>
          </w:tcPr>
          <w:p w14:paraId="4EE9B12D">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α≥20；或混合型</w:t>
            </w:r>
          </w:p>
        </w:tc>
        <w:tc>
          <w:tcPr>
            <w:tcW w:w="1091" w:type="dxa"/>
            <w:vAlign w:val="center"/>
          </w:tcPr>
          <w:p w14:paraId="69F107BD">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β≤2；或无调节</w:t>
            </w:r>
          </w:p>
        </w:tc>
        <w:tc>
          <w:tcPr>
            <w:tcW w:w="978" w:type="dxa"/>
            <w:vAlign w:val="center"/>
          </w:tcPr>
          <w:p w14:paraId="3FE17F22">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γ≤10</w:t>
            </w:r>
          </w:p>
        </w:tc>
        <w:tc>
          <w:tcPr>
            <w:tcW w:w="1451" w:type="dxa"/>
            <w:vAlign w:val="center"/>
          </w:tcPr>
          <w:p w14:paraId="44B1958B">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A1≤0.05；或A2≤0.2；或R≤5</w:t>
            </w:r>
          </w:p>
        </w:tc>
        <w:tc>
          <w:tcPr>
            <w:tcW w:w="1256" w:type="dxa"/>
            <w:vAlign w:val="center"/>
          </w:tcPr>
          <w:p w14:paraId="0B088B74">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A1≤0.05；或A2≤0.2；或R≤5</w:t>
            </w:r>
          </w:p>
        </w:tc>
        <w:tc>
          <w:tcPr>
            <w:tcW w:w="2041" w:type="dxa"/>
            <w:vAlign w:val="center"/>
          </w:tcPr>
          <w:p w14:paraId="647FE199">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A1≤0.15；或A2≤0.5</w:t>
            </w:r>
          </w:p>
        </w:tc>
      </w:tr>
      <w:tr w14:paraId="42F1F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8" w:type="dxa"/>
            <w:gridSpan w:val="7"/>
            <w:vAlign w:val="center"/>
          </w:tcPr>
          <w:p w14:paraId="6A51D2A8">
            <w:pPr>
              <w:pStyle w:val="4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注1：影响范围涉及饮用水水源保护区、重点保护与珍稀水生生物的栖息地、重要水生生物的自然产卵场、自然保护区等保护目标，评价等级应不低于二级。</w:t>
            </w:r>
          </w:p>
          <w:p w14:paraId="5557C493">
            <w:pPr>
              <w:pStyle w:val="4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注2：跨流域调水、引水式电站、可能受到河流感潮河段影响，评价等级不低于二级。</w:t>
            </w:r>
          </w:p>
          <w:p w14:paraId="70535990">
            <w:pPr>
              <w:pStyle w:val="4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注3：造成入海河口（湾口）宽度束窄（束窄尺度达到原宽度的5%以上），评价等级应不低于二级。</w:t>
            </w:r>
          </w:p>
          <w:p w14:paraId="08BC39C1">
            <w:pPr>
              <w:pStyle w:val="4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注4：对不透水的单方向建筑尺度较长的水工建筑物（如防波堤、导流堤等），其与潮流活水流主流向切线垂直方向投影长度大于2km时，评价等级应不低于二级。</w:t>
            </w:r>
          </w:p>
          <w:p w14:paraId="0258EEFB">
            <w:pPr>
              <w:pStyle w:val="4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注5：允许在一类海域建设的项目，评价等级为一级。</w:t>
            </w:r>
          </w:p>
          <w:p w14:paraId="6E62E500">
            <w:pPr>
              <w:pStyle w:val="4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smallCaps w:val="0"/>
                <w:color w:val="auto"/>
                <w:sz w:val="18"/>
                <w:szCs w:val="18"/>
                <w:highlight w:val="none"/>
              </w:rPr>
            </w:pPr>
            <w:r>
              <w:rPr>
                <w:rFonts w:hint="default" w:ascii="Times New Roman" w:hAnsi="Times New Roman" w:cs="Times New Roman" w:eastAsiaTheme="minorEastAsia"/>
                <w:smallCaps w:val="0"/>
                <w:color w:val="auto"/>
                <w:sz w:val="18"/>
                <w:szCs w:val="18"/>
                <w:highlight w:val="none"/>
              </w:rPr>
              <w:t>注6：同时存在多个水文要素影响的建设项目，分别判定各水文要素影响评价等级，并取其中最高等级作为水文要素影响型建设项目评价等级。</w:t>
            </w:r>
          </w:p>
        </w:tc>
      </w:tr>
    </w:tbl>
    <w:p w14:paraId="5055522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rPr>
        <w:t>按水文要素型建设项目评价等级划分，工程主要对水库进行除险加固，不改变原坝址，水库除险加固后，水库取水量</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正常蓄水位、死水位不变，相应库容不变</w:t>
      </w:r>
      <w:r>
        <w:rPr>
          <w:rFonts w:hint="eastAsia" w:cs="Times New Roman" w:eastAsiaTheme="minorEastAsia"/>
          <w:color w:val="auto"/>
          <w:sz w:val="21"/>
          <w:szCs w:val="21"/>
          <w:highlight w:val="none"/>
          <w:lang w:val="en-US" w:eastAsia="zh-CN"/>
        </w:rPr>
        <w:t>，不会对</w:t>
      </w:r>
      <w:r>
        <w:rPr>
          <w:rFonts w:hint="default" w:ascii="Times New Roman" w:hAnsi="Times New Roman" w:cs="Times New Roman" w:eastAsiaTheme="minorEastAsia"/>
          <w:color w:val="auto"/>
          <w:sz w:val="21"/>
          <w:szCs w:val="21"/>
          <w:highlight w:val="none"/>
        </w:rPr>
        <w:t>水库水温、径流产生影响</w:t>
      </w:r>
      <w:r>
        <w:rPr>
          <w:rFonts w:hint="eastAsia" w:ascii="Times New Roman" w:hAnsi="Times New Roman" w:cs="Times New Roman" w:eastAsiaTheme="minorEastAsia"/>
          <w:color w:val="auto"/>
          <w:sz w:val="21"/>
          <w:szCs w:val="21"/>
          <w:highlight w:val="none"/>
          <w:lang w:eastAsia="zh-CN"/>
        </w:rPr>
        <w:t>。</w:t>
      </w:r>
    </w:p>
    <w:p w14:paraId="5D0A60E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因此本次评价根据工程垂直投影面积及外扩范围A1判定评价等级</w:t>
      </w:r>
      <w:r>
        <w:rPr>
          <w:rFonts w:hint="eastAsia" w:ascii="Times New Roman" w:hAnsi="Times New Roman"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eastAsia="zh-CN"/>
        </w:rPr>
        <w:t>庆先水库</w:t>
      </w:r>
      <w:r>
        <w:rPr>
          <w:rFonts w:hint="default" w:ascii="Times New Roman" w:hAnsi="Times New Roman" w:cs="Times New Roman" w:eastAsiaTheme="minorEastAsia"/>
          <w:color w:val="auto"/>
          <w:sz w:val="21"/>
          <w:szCs w:val="21"/>
          <w:highlight w:val="none"/>
        </w:rPr>
        <w:t>大坝坝体长度为</w:t>
      </w:r>
      <w:r>
        <w:rPr>
          <w:rFonts w:hint="eastAsia" w:ascii="Times New Roman" w:hAnsi="Times New Roman" w:cs="Times New Roman" w:eastAsiaTheme="minorEastAsia"/>
          <w:color w:val="auto"/>
          <w:sz w:val="21"/>
          <w:szCs w:val="21"/>
          <w:highlight w:val="none"/>
          <w:lang w:val="en-US" w:eastAsia="zh-CN"/>
        </w:rPr>
        <w:t>5</w:t>
      </w:r>
      <w:r>
        <w:rPr>
          <w:rFonts w:hint="eastAsia" w:cs="Times New Roman" w:eastAsiaTheme="minorEastAsia"/>
          <w:color w:val="auto"/>
          <w:sz w:val="21"/>
          <w:szCs w:val="21"/>
          <w:highlight w:val="none"/>
          <w:lang w:val="en-US" w:eastAsia="zh-CN"/>
        </w:rPr>
        <w:t>83</w:t>
      </w:r>
      <w:r>
        <w:rPr>
          <w:rFonts w:hint="default" w:ascii="Times New Roman" w:hAnsi="Times New Roman" w:cs="Times New Roman" w:eastAsiaTheme="minorEastAsia"/>
          <w:color w:val="auto"/>
          <w:sz w:val="21"/>
          <w:szCs w:val="21"/>
          <w:highlight w:val="none"/>
        </w:rPr>
        <w:t>m，坝顶宽度为</w:t>
      </w:r>
      <w:r>
        <w:rPr>
          <w:rFonts w:hint="eastAsia" w:ascii="Times New Roman" w:hAnsi="Times New Roman"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rPr>
        <w:t>m，A1</w:t>
      </w:r>
      <w:r>
        <w:rPr>
          <w:rFonts w:hint="eastAsia" w:ascii="Times New Roman" w:hAnsi="Times New Roman" w:cs="Times New Roman" w:eastAsiaTheme="minorEastAsia"/>
          <w:color w:val="auto"/>
          <w:sz w:val="21"/>
          <w:szCs w:val="21"/>
          <w:highlight w:val="none"/>
          <w:lang w:val="en-US" w:eastAsia="zh-CN"/>
        </w:rPr>
        <w:t>=5</w:t>
      </w:r>
      <w:r>
        <w:rPr>
          <w:rFonts w:hint="eastAsia" w:cs="Times New Roman" w:eastAsiaTheme="minorEastAsia"/>
          <w:color w:val="auto"/>
          <w:sz w:val="21"/>
          <w:szCs w:val="21"/>
          <w:highlight w:val="none"/>
          <w:lang w:val="en-US" w:eastAsia="zh-CN"/>
        </w:rPr>
        <w:t>83</w:t>
      </w:r>
      <w:r>
        <w:rPr>
          <w:rFonts w:hint="eastAsia" w:ascii="Times New Roman" w:hAnsi="Times New Roman" w:cs="Times New Roman" w:eastAsiaTheme="minorEastAsia"/>
          <w:color w:val="auto"/>
          <w:sz w:val="21"/>
          <w:szCs w:val="21"/>
          <w:highlight w:val="none"/>
          <w:lang w:val="en-US" w:eastAsia="zh-CN"/>
        </w:rPr>
        <w:t>×5×</w:t>
      </w:r>
      <w:r>
        <w:rPr>
          <w:rFonts w:hint="eastAsia" w:cs="Times New Roman" w:eastAsiaTheme="minorEastAsia"/>
          <w:color w:val="auto"/>
          <w:sz w:val="21"/>
          <w:szCs w:val="21"/>
          <w:highlight w:val="none"/>
          <w:lang w:val="en-US" w:eastAsia="zh-CN"/>
        </w:rPr>
        <w:t>10</w:t>
      </w:r>
      <w:r>
        <w:rPr>
          <w:rFonts w:hint="eastAsia" w:cs="Times New Roman" w:eastAsiaTheme="minorEastAsia"/>
          <w:color w:val="auto"/>
          <w:sz w:val="21"/>
          <w:szCs w:val="21"/>
          <w:highlight w:val="none"/>
          <w:vertAlign w:val="superscript"/>
          <w:lang w:val="en-US" w:eastAsia="zh-CN"/>
        </w:rPr>
        <w:t>-6</w:t>
      </w:r>
      <w:r>
        <w:rPr>
          <w:rFonts w:hint="default" w:ascii="Times New Roman" w:hAnsi="Times New Roman" w:cs="Times New Roman" w:eastAsiaTheme="minorEastAsia"/>
          <w:color w:val="auto"/>
          <w:sz w:val="21"/>
          <w:szCs w:val="21"/>
          <w:highlight w:val="none"/>
        </w:rPr>
        <w:t>=</w:t>
      </w:r>
      <w:r>
        <w:rPr>
          <w:rFonts w:hint="eastAsia" w:ascii="Times New Roman" w:hAnsi="Times New Roman" w:cs="Times New Roman" w:eastAsiaTheme="minorEastAsia"/>
          <w:color w:val="auto"/>
          <w:sz w:val="21"/>
          <w:szCs w:val="21"/>
          <w:highlight w:val="none"/>
          <w:lang w:val="en-US" w:eastAsia="zh-CN"/>
        </w:rPr>
        <w:t>0.002</w:t>
      </w:r>
      <w:r>
        <w:rPr>
          <w:rFonts w:hint="eastAsia" w:cs="Times New Roman" w:eastAsiaTheme="minorEastAsia"/>
          <w:color w:val="auto"/>
          <w:sz w:val="21"/>
          <w:szCs w:val="21"/>
          <w:highlight w:val="none"/>
          <w:lang w:val="en-US" w:eastAsia="zh-CN"/>
        </w:rPr>
        <w:t>9</w:t>
      </w:r>
      <w:r>
        <w:rPr>
          <w:rFonts w:hint="default" w:ascii="Times New Roman" w:hAnsi="Times New Roman" w:cs="Times New Roman" w:eastAsiaTheme="minorEastAsia"/>
          <w:color w:val="auto"/>
          <w:sz w:val="21"/>
          <w:szCs w:val="21"/>
          <w:highlight w:val="none"/>
        </w:rPr>
        <w:t>km</w:t>
      </w:r>
      <w:r>
        <w:rPr>
          <w:rFonts w:hint="default" w:ascii="Times New Roman" w:hAnsi="Times New Roman" w:cs="Times New Roman" w:eastAsiaTheme="minorEastAsia"/>
          <w:color w:val="auto"/>
          <w:sz w:val="21"/>
          <w:szCs w:val="21"/>
          <w:highlight w:val="none"/>
          <w:vertAlign w:val="superscript"/>
        </w:rPr>
        <w:t>2</w:t>
      </w:r>
      <w:r>
        <w:rPr>
          <w:rFonts w:hint="default" w:ascii="Times New Roman" w:hAnsi="Times New Roman" w:cs="Times New Roman" w:eastAsiaTheme="minorEastAsia"/>
          <w:color w:val="auto"/>
          <w:sz w:val="21"/>
          <w:szCs w:val="21"/>
          <w:highlight w:val="none"/>
        </w:rPr>
        <w:t>。A1≤0.05</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故水文要素影响型评价工作等级为三级。</w:t>
      </w:r>
    </w:p>
    <w:p w14:paraId="7F8CBEE4">
      <w:pPr>
        <w:pStyle w:val="4"/>
        <w:keepNext w:val="0"/>
        <w:keepLines w:val="0"/>
        <w:pageBreakBefore w:val="0"/>
        <w:widowControl/>
        <w:numPr>
          <w:ilvl w:val="2"/>
          <w:numId w:val="0"/>
        </w:numPr>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.2评价范围</w:t>
      </w:r>
    </w:p>
    <w:p w14:paraId="112A3FC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根据《环境影响评价技术导则地表水环境》（HJ2.3-2018），本项目不涉及自然保护区、饮用水水源保护区、重要水生生物栖息地等环境敏感区域，施工期间</w:t>
      </w:r>
      <w:r>
        <w:rPr>
          <w:rFonts w:hint="eastAsia" w:cs="Times New Roman"/>
          <w:color w:val="auto"/>
          <w:sz w:val="21"/>
          <w:szCs w:val="21"/>
          <w:highlight w:val="none"/>
          <w:lang w:val="en-US" w:eastAsia="zh-CN"/>
        </w:rPr>
        <w:t>废污水</w:t>
      </w:r>
      <w:r>
        <w:rPr>
          <w:rFonts w:hint="default" w:ascii="Times New Roman" w:hAnsi="Times New Roman" w:eastAsia="宋体" w:cs="Times New Roman"/>
          <w:color w:val="auto"/>
          <w:sz w:val="21"/>
          <w:szCs w:val="21"/>
          <w:highlight w:val="none"/>
        </w:rPr>
        <w:t>不</w:t>
      </w:r>
      <w:r>
        <w:rPr>
          <w:rFonts w:hint="eastAsia" w:cs="Times New Roman"/>
          <w:color w:val="auto"/>
          <w:sz w:val="21"/>
          <w:szCs w:val="21"/>
          <w:highlight w:val="none"/>
          <w:lang w:val="en-US" w:eastAsia="zh-CN"/>
        </w:rPr>
        <w:t>外</w:t>
      </w:r>
      <w:r>
        <w:rPr>
          <w:rFonts w:hint="default" w:ascii="Times New Roman" w:hAnsi="Times New Roman" w:eastAsia="宋体" w:cs="Times New Roman"/>
          <w:color w:val="auto"/>
          <w:sz w:val="21"/>
          <w:szCs w:val="21"/>
          <w:highlight w:val="none"/>
        </w:rPr>
        <w:t>排，且工程运行期运行水位、供水任务及供水对象均未发生变化，综合考虑工程建成前后水环境及水文情势均未发生变化，因此本次评价范围为</w:t>
      </w:r>
      <w:r>
        <w:rPr>
          <w:rFonts w:hint="eastAsia" w:cs="Times New Roman"/>
          <w:color w:val="auto"/>
          <w:sz w:val="21"/>
          <w:szCs w:val="21"/>
          <w:highlight w:val="none"/>
          <w:lang w:val="en-US" w:eastAsia="zh-CN"/>
        </w:rPr>
        <w:t>庆先</w:t>
      </w:r>
      <w:r>
        <w:rPr>
          <w:rFonts w:hint="default" w:ascii="Times New Roman" w:hAnsi="Times New Roman" w:eastAsia="宋体" w:cs="Times New Roman"/>
          <w:color w:val="auto"/>
          <w:sz w:val="21"/>
          <w:szCs w:val="21"/>
          <w:highlight w:val="none"/>
        </w:rPr>
        <w:t>水库</w:t>
      </w:r>
      <w:r>
        <w:rPr>
          <w:snapToGrid w:val="0"/>
          <w:color w:val="auto"/>
          <w:spacing w:val="-1"/>
          <w:kern w:val="0"/>
          <w:szCs w:val="21"/>
        </w:rPr>
        <w:t>库区</w:t>
      </w:r>
      <w:r>
        <w:rPr>
          <w:rFonts w:hint="eastAsia"/>
          <w:snapToGrid w:val="0"/>
          <w:color w:val="auto"/>
          <w:spacing w:val="-1"/>
          <w:kern w:val="0"/>
          <w:szCs w:val="21"/>
        </w:rPr>
        <w:t>及</w:t>
      </w:r>
      <w:r>
        <w:rPr>
          <w:rFonts w:hint="default" w:ascii="Times New Roman" w:hAnsi="Times New Roman" w:eastAsia="宋体" w:cs="Times New Roman"/>
          <w:color w:val="auto"/>
          <w:sz w:val="21"/>
          <w:szCs w:val="21"/>
          <w:highlight w:val="none"/>
          <w:lang w:val="en-US" w:eastAsia="zh-CN"/>
        </w:rPr>
        <w:t>水库</w:t>
      </w:r>
      <w:r>
        <w:rPr>
          <w:snapToGrid w:val="0"/>
          <w:color w:val="auto"/>
          <w:spacing w:val="-1"/>
          <w:kern w:val="0"/>
          <w:szCs w:val="21"/>
        </w:rPr>
        <w:t>库区</w:t>
      </w:r>
      <w:r>
        <w:rPr>
          <w:rFonts w:hint="default" w:ascii="Times New Roman" w:hAnsi="Times New Roman" w:eastAsia="宋体" w:cs="Times New Roman"/>
          <w:color w:val="auto"/>
          <w:sz w:val="21"/>
          <w:szCs w:val="21"/>
          <w:highlight w:val="none"/>
          <w:lang w:val="en-US" w:eastAsia="zh-CN"/>
        </w:rPr>
        <w:t>下游。</w:t>
      </w:r>
    </w:p>
    <w:p w14:paraId="3EDDCCC7">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highlight w:val="none"/>
        </w:rPr>
      </w:pPr>
      <w:bookmarkStart w:id="117" w:name="_Toc18729"/>
      <w:r>
        <w:rPr>
          <w:rFonts w:hint="default" w:ascii="Times New Roman" w:hAnsi="Times New Roman" w:cs="Times New Roman"/>
          <w:b/>
          <w:bCs/>
          <w:color w:val="auto"/>
          <w:sz w:val="24"/>
          <w:szCs w:val="24"/>
          <w:highlight w:val="none"/>
        </w:rPr>
        <w:t>1.</w:t>
      </w: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lang w:eastAsia="zh-CN"/>
        </w:rPr>
        <w:t>环境影响识别与</w:t>
      </w:r>
      <w:r>
        <w:rPr>
          <w:rFonts w:hint="default" w:ascii="Times New Roman" w:hAnsi="Times New Roman" w:cs="Times New Roman"/>
          <w:b/>
          <w:bCs/>
          <w:color w:val="auto"/>
          <w:sz w:val="24"/>
          <w:szCs w:val="24"/>
          <w:highlight w:val="none"/>
        </w:rPr>
        <w:t>评价因子</w:t>
      </w:r>
      <w:bookmarkEnd w:id="117"/>
    </w:p>
    <w:p w14:paraId="66C3588B">
      <w:pPr>
        <w:pStyle w:val="4"/>
        <w:keepNext w:val="0"/>
        <w:keepLines w:val="0"/>
        <w:pageBreakBefore w:val="0"/>
        <w:widowControl/>
        <w:numPr>
          <w:ilvl w:val="2"/>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.1</w:t>
      </w:r>
      <w:r>
        <w:rPr>
          <w:rFonts w:hint="default" w:ascii="Times New Roman" w:hAnsi="Times New Roman" w:cs="Times New Roman"/>
          <w:b/>
          <w:bCs/>
          <w:color w:val="auto"/>
          <w:sz w:val="21"/>
          <w:szCs w:val="21"/>
          <w:highlight w:val="none"/>
          <w:lang w:eastAsia="zh-CN"/>
        </w:rPr>
        <w:t>环境影响识别</w:t>
      </w:r>
    </w:p>
    <w:p w14:paraId="45A3A55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本次工程为已有水库的除险加固工程，主要水环境影响为施工期和运营期，具体包括以下几方面：</w:t>
      </w:r>
    </w:p>
    <w:p w14:paraId="2D182C3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施工期</w:t>
      </w:r>
    </w:p>
    <w:p w14:paraId="50835186">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施工期生活污水：排入防渗旱厕，定期清掏外运做农肥。</w:t>
      </w:r>
    </w:p>
    <w:p w14:paraId="080BA08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机械轮胎冲洗废水：项目施工场地不设置机械、车辆维修厂，不产生机械维修废水，机械维修依靠周边社会设施。机械冲洗业务外协委托，在工地仅设置轮胎冲洗，主要承担进出厂机械车轮污泥的冲洗，这部分废水经沉淀池收集沉淀后回用于洒水降尘，不产生含油废水。</w:t>
      </w:r>
    </w:p>
    <w:p w14:paraId="2AF2165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基坑废水：基坑废水直接产生在围堰内，静置沉淀后用于洒水降尘，不外排。本项目不设置混凝土</w:t>
      </w:r>
      <w:r>
        <w:rPr>
          <w:rFonts w:hint="eastAsia" w:cs="Times New Roman"/>
          <w:color w:val="auto"/>
          <w:sz w:val="21"/>
          <w:szCs w:val="21"/>
          <w:highlight w:val="none"/>
          <w:lang w:eastAsia="zh-CN"/>
        </w:rPr>
        <w:t>拌和站</w:t>
      </w:r>
      <w:r>
        <w:rPr>
          <w:rFonts w:hint="default" w:ascii="Times New Roman" w:hAnsi="Times New Roman" w:cs="Times New Roman"/>
          <w:color w:val="auto"/>
          <w:sz w:val="21"/>
          <w:szCs w:val="21"/>
          <w:highlight w:val="none"/>
        </w:rPr>
        <w:t>，不产生混凝土拌和、养护废水。</w:t>
      </w:r>
    </w:p>
    <w:p w14:paraId="774480C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（2）运营期</w:t>
      </w:r>
    </w:p>
    <w:p w14:paraId="00AC101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运营期管理站房不新增工作人员，无新增生活污水；水库运行无废水排放。</w:t>
      </w:r>
    </w:p>
    <w:p w14:paraId="7E3D902B">
      <w:pPr>
        <w:pStyle w:val="4"/>
        <w:keepNext w:val="0"/>
        <w:keepLines w:val="0"/>
        <w:pageBreakBefore w:val="0"/>
        <w:widowControl/>
        <w:numPr>
          <w:ilvl w:val="2"/>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w:t>
      </w:r>
      <w:r>
        <w:rPr>
          <w:rFonts w:hint="eastAsia"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评价因子</w:t>
      </w:r>
    </w:p>
    <w:p w14:paraId="368B195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根据本项目的特点确定评价因子见</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REF _Ref107753084 \h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表1</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fldChar w:fldCharType="end"/>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bookmarkStart w:id="118" w:name="_Ref107753084"/>
    </w:p>
    <w:p w14:paraId="73A0DBA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bookmarkEnd w:id="118"/>
      <w:r>
        <w:rPr>
          <w:rFonts w:hint="eastAsia" w:cs="Times New Roman"/>
          <w:b/>
          <w:bCs/>
          <w:color w:val="auto"/>
          <w:sz w:val="21"/>
          <w:szCs w:val="21"/>
          <w:highlight w:val="none"/>
          <w:lang w:val="en-US" w:eastAsia="zh-CN"/>
        </w:rPr>
        <w:t>1-3</w:t>
      </w:r>
      <w:r>
        <w:rPr>
          <w:rFonts w:hint="default" w:ascii="Times New Roman" w:hAnsi="Times New Roman" w:cs="Times New Roman"/>
          <w:b/>
          <w:bCs/>
          <w:color w:val="auto"/>
          <w:sz w:val="21"/>
          <w:szCs w:val="21"/>
          <w:highlight w:val="none"/>
        </w:rPr>
        <w:t>评价因子一览表</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4593"/>
        <w:gridCol w:w="1978"/>
      </w:tblGrid>
      <w:tr w14:paraId="266419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5" w:type="pct"/>
            <w:tcBorders>
              <w:tl2br w:val="single" w:color="auto" w:sz="4" w:space="0"/>
            </w:tcBorders>
            <w:vAlign w:val="center"/>
          </w:tcPr>
          <w:p w14:paraId="240F1662">
            <w:pPr>
              <w:keepNext w:val="0"/>
              <w:keepLines w:val="0"/>
              <w:pageBreakBefore w:val="0"/>
              <w:widowControl/>
              <w:kinsoku/>
              <w:wordWrap/>
              <w:overflowPunct/>
              <w:topLinePunct w:val="0"/>
              <w:autoSpaceDE/>
              <w:autoSpaceDN/>
              <w:bidi w:val="0"/>
              <w:adjustRightInd/>
              <w:snapToGrid/>
              <w:jc w:val="righ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评价因子</w:t>
            </w:r>
          </w:p>
          <w:p w14:paraId="39F4FC60">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特征分类</w:t>
            </w:r>
          </w:p>
        </w:tc>
        <w:tc>
          <w:tcPr>
            <w:tcW w:w="2694" w:type="pct"/>
            <w:vAlign w:val="center"/>
          </w:tcPr>
          <w:p w14:paraId="1E29108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现状评价因子</w:t>
            </w:r>
          </w:p>
        </w:tc>
        <w:tc>
          <w:tcPr>
            <w:tcW w:w="1160" w:type="pct"/>
            <w:vAlign w:val="center"/>
          </w:tcPr>
          <w:p w14:paraId="48CC271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影响评价因子</w:t>
            </w:r>
          </w:p>
        </w:tc>
      </w:tr>
      <w:tr w14:paraId="40CA9F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5" w:type="pct"/>
            <w:vAlign w:val="center"/>
          </w:tcPr>
          <w:p w14:paraId="76B4C01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基本水质因子</w:t>
            </w:r>
          </w:p>
        </w:tc>
        <w:tc>
          <w:tcPr>
            <w:tcW w:w="2694" w:type="pct"/>
            <w:vAlign w:val="center"/>
          </w:tcPr>
          <w:p w14:paraId="094ADD2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bCs/>
                <w:color w:val="auto"/>
                <w:sz w:val="18"/>
                <w:szCs w:val="18"/>
                <w:highlight w:val="none"/>
              </w:rPr>
            </w:pPr>
            <w:r>
              <w:rPr>
                <w:rFonts w:hint="eastAsia"/>
                <w:color w:val="auto"/>
                <w:sz w:val="18"/>
                <w:szCs w:val="18"/>
                <w:highlight w:val="none"/>
                <w:lang w:val="en-US" w:eastAsia="zh-CN"/>
              </w:rPr>
              <w:t>pH、</w:t>
            </w:r>
            <w:r>
              <w:rPr>
                <w:rFonts w:hint="eastAsia" w:ascii="Times New Roman" w:hAnsi="Times New Roman" w:eastAsia="宋体" w:cs="Times New Roman"/>
                <w:color w:val="auto"/>
                <w:sz w:val="18"/>
                <w:szCs w:val="18"/>
                <w:highlight w:val="none"/>
                <w:lang w:val="en-US" w:eastAsia="zh-CN"/>
              </w:rPr>
              <w:t>溶解氧</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氨氮</w:t>
            </w:r>
            <w:r>
              <w:rPr>
                <w:rFonts w:hint="eastAsia"/>
                <w:color w:val="auto"/>
                <w:sz w:val="18"/>
                <w:szCs w:val="18"/>
                <w:highlight w:val="none"/>
                <w:lang w:val="en-US" w:eastAsia="zh-CN"/>
              </w:rPr>
              <w:t>、</w:t>
            </w:r>
            <w:r>
              <w:rPr>
                <w:rFonts w:hint="default" w:ascii="Times New Roman" w:hAnsi="Times New Roman" w:eastAsia="宋体" w:cs="Times New Roman"/>
                <w:color w:val="auto"/>
                <w:kern w:val="2"/>
                <w:sz w:val="18"/>
                <w:szCs w:val="18"/>
                <w:highlight w:val="none"/>
                <w:lang w:val="en-US" w:eastAsia="zh-CN" w:bidi="ar"/>
              </w:rPr>
              <w:t>高锰酸盐指数</w:t>
            </w:r>
            <w:r>
              <w:rPr>
                <w:rFonts w:hint="eastAsia"/>
                <w:color w:val="auto"/>
                <w:sz w:val="18"/>
                <w:szCs w:val="18"/>
                <w:highlight w:val="none"/>
                <w:lang w:val="en-US" w:eastAsia="zh-CN"/>
              </w:rPr>
              <w:t>、</w:t>
            </w:r>
            <w:r>
              <w:rPr>
                <w:rFonts w:hint="eastAsia" w:ascii="Times New Roman" w:hAnsi="Times New Roman" w:eastAsia="宋体" w:cs="Times New Roman"/>
                <w:color w:val="auto"/>
                <w:kern w:val="2"/>
                <w:sz w:val="18"/>
                <w:szCs w:val="18"/>
                <w:highlight w:val="none"/>
                <w:lang w:val="en-US" w:eastAsia="zh-CN" w:bidi="ar-SA"/>
              </w:rPr>
              <w:t>化学需氧量</w:t>
            </w:r>
            <w:r>
              <w:rPr>
                <w:rFonts w:hint="eastAsia"/>
                <w:color w:val="auto"/>
                <w:sz w:val="18"/>
                <w:szCs w:val="18"/>
                <w:highlight w:val="none"/>
                <w:lang w:val="en-US" w:eastAsia="zh-CN"/>
              </w:rPr>
              <w:t>、</w:t>
            </w:r>
            <w:r>
              <w:rPr>
                <w:rFonts w:hint="eastAsia" w:ascii="Times New Roman" w:hAnsi="Times New Roman" w:eastAsia="宋体" w:cs="Times New Roman"/>
                <w:color w:val="auto"/>
                <w:kern w:val="2"/>
                <w:sz w:val="18"/>
                <w:szCs w:val="18"/>
                <w:highlight w:val="none"/>
                <w:lang w:val="en-US" w:eastAsia="zh-CN" w:bidi="ar-SA"/>
              </w:rPr>
              <w:t>五日生化需氧量</w:t>
            </w:r>
            <w:r>
              <w:rPr>
                <w:rFonts w:hint="eastAsia"/>
                <w:color w:val="auto"/>
                <w:sz w:val="18"/>
                <w:szCs w:val="18"/>
                <w:highlight w:val="none"/>
                <w:lang w:val="en-US" w:eastAsia="zh-CN"/>
              </w:rPr>
              <w:t>、总磷、总氮、铜、锌、氟化物、</w:t>
            </w:r>
            <w:r>
              <w:rPr>
                <w:rFonts w:hint="eastAsia" w:ascii="Times New Roman" w:hAnsi="Times New Roman" w:eastAsia="宋体" w:cs="Times New Roman"/>
                <w:color w:val="auto"/>
                <w:sz w:val="18"/>
                <w:szCs w:val="18"/>
                <w:highlight w:val="none"/>
                <w:lang w:val="en-US" w:eastAsia="zh-CN"/>
              </w:rPr>
              <w:t>氰化物</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挥发酚、硒、</w:t>
            </w:r>
            <w:r>
              <w:rPr>
                <w:rFonts w:hint="eastAsia"/>
                <w:color w:val="auto"/>
                <w:sz w:val="18"/>
                <w:szCs w:val="18"/>
                <w:highlight w:val="none"/>
                <w:lang w:val="en-US" w:eastAsia="zh-CN"/>
              </w:rPr>
              <w:t>砷、汞、镉、六价铬、</w:t>
            </w:r>
            <w:r>
              <w:rPr>
                <w:rFonts w:hint="eastAsia" w:ascii="Times New Roman" w:hAnsi="Times New Roman" w:eastAsia="宋体" w:cs="Times New Roman"/>
                <w:color w:val="auto"/>
                <w:sz w:val="18"/>
                <w:szCs w:val="18"/>
                <w:highlight w:val="none"/>
                <w:lang w:val="en-US" w:eastAsia="zh-CN"/>
              </w:rPr>
              <w:t>铅、石油类</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硫化物</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阴离子表面活性剂</w:t>
            </w:r>
            <w:r>
              <w:rPr>
                <w:rFonts w:hint="eastAsia"/>
                <w:color w:val="auto"/>
                <w:sz w:val="18"/>
                <w:szCs w:val="18"/>
                <w:highlight w:val="none"/>
                <w:lang w:val="en-US" w:eastAsia="zh-CN"/>
              </w:rPr>
              <w:t>、</w:t>
            </w:r>
            <w:r>
              <w:rPr>
                <w:rFonts w:hint="eastAsia" w:ascii="Times New Roman" w:hAnsi="Times New Roman" w:eastAsia="宋体" w:cs="Times New Roman"/>
                <w:color w:val="auto"/>
                <w:kern w:val="2"/>
                <w:sz w:val="18"/>
                <w:szCs w:val="18"/>
                <w:highlight w:val="none"/>
                <w:lang w:val="en-US" w:eastAsia="zh-CN" w:bidi="ar"/>
              </w:rPr>
              <w:t>粪大肠菌群</w:t>
            </w:r>
            <w:r>
              <w:rPr>
                <w:rFonts w:hint="eastAsia"/>
                <w:color w:val="auto"/>
                <w:sz w:val="18"/>
                <w:szCs w:val="18"/>
                <w:highlight w:val="none"/>
                <w:lang w:val="en-US" w:eastAsia="zh-CN"/>
              </w:rPr>
              <w:t>、透明度、叶绿素a、</w:t>
            </w:r>
            <w:r>
              <w:rPr>
                <w:rFonts w:hint="default" w:ascii="Times New Roman" w:hAnsi="Times New Roman" w:cs="Times New Roman"/>
                <w:bCs/>
                <w:color w:val="auto"/>
                <w:sz w:val="18"/>
                <w:szCs w:val="18"/>
                <w:highlight w:val="none"/>
              </w:rPr>
              <w:t>水文情势</w:t>
            </w:r>
          </w:p>
        </w:tc>
        <w:tc>
          <w:tcPr>
            <w:tcW w:w="1160" w:type="pct"/>
            <w:vAlign w:val="center"/>
          </w:tcPr>
          <w:p w14:paraId="1731584C">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bCs/>
                <w:color w:val="auto"/>
                <w:sz w:val="18"/>
                <w:szCs w:val="18"/>
                <w:highlight w:val="none"/>
              </w:rPr>
              <w:t>COD、</w:t>
            </w:r>
            <w:r>
              <w:rPr>
                <w:rStyle w:val="60"/>
                <w:rFonts w:hint="default" w:ascii="Times New Roman" w:hAnsi="Times New Roman" w:cs="Times New Roman"/>
                <w:color w:val="auto"/>
                <w:sz w:val="18"/>
                <w:szCs w:val="18"/>
              </w:rPr>
              <w:t>BOD</w:t>
            </w:r>
            <w:r>
              <w:rPr>
                <w:rStyle w:val="60"/>
                <w:rFonts w:hint="default" w:ascii="Times New Roman" w:hAnsi="Times New Roman" w:cs="Times New Roman"/>
                <w:color w:val="auto"/>
                <w:sz w:val="18"/>
                <w:szCs w:val="18"/>
                <w:vertAlign w:val="subscript"/>
              </w:rPr>
              <w:t>5</w:t>
            </w:r>
            <w:r>
              <w:rPr>
                <w:rStyle w:val="60"/>
                <w:rFonts w:hint="default" w:ascii="Times New Roman" w:hAnsi="Times New Roman" w:cs="Times New Roman"/>
                <w:color w:val="auto"/>
                <w:sz w:val="18"/>
                <w:szCs w:val="18"/>
              </w:rPr>
              <w:t>、</w:t>
            </w:r>
            <w:r>
              <w:rPr>
                <w:rFonts w:hint="default" w:ascii="Times New Roman" w:hAnsi="Times New Roman" w:cs="Times New Roman"/>
                <w:bCs/>
                <w:color w:val="auto"/>
                <w:sz w:val="18"/>
                <w:szCs w:val="18"/>
                <w:highlight w:val="none"/>
              </w:rPr>
              <w:t>氨氮、pH、SS、水文情势</w:t>
            </w:r>
          </w:p>
        </w:tc>
      </w:tr>
    </w:tbl>
    <w:p w14:paraId="50368C94">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auto"/>
          <w:sz w:val="24"/>
          <w:szCs w:val="24"/>
          <w:highlight w:val="none"/>
          <w:lang w:val="en-US" w:eastAsia="zh-CN"/>
        </w:rPr>
      </w:pPr>
      <w:bookmarkStart w:id="119" w:name="_Toc32584"/>
      <w:r>
        <w:rPr>
          <w:rFonts w:hint="eastAsia"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地表水保护目标</w:t>
      </w:r>
    </w:p>
    <w:p w14:paraId="22D4F01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4"/>
          <w:highlight w:val="none"/>
          <w:lang w:val="en-US" w:eastAsia="zh-CN"/>
        </w:rPr>
      </w:pPr>
      <w:r>
        <w:rPr>
          <w:rFonts w:hint="default" w:ascii="Times New Roman" w:hAnsi="Times New Roman" w:eastAsia="宋体" w:cs="Times New Roman"/>
          <w:color w:val="auto"/>
          <w:sz w:val="21"/>
          <w:szCs w:val="21"/>
          <w:highlight w:val="none"/>
          <w:lang w:val="en-US" w:eastAsia="zh-CN"/>
        </w:rPr>
        <w:t>根据《环境影响评价技术导则</w:t>
      </w:r>
      <w:r>
        <w:rPr>
          <w:rFonts w:hint="eastAsia"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lang w:val="en-US" w:eastAsia="zh-CN"/>
        </w:rPr>
        <w:t>地表水环境》（HJ2.3-2018），水环境保护目标包括饮用水水源保护区、饮用水取水口，涉水的自然保护区、风景名胜区，重要湿地、重点保护与珍稀水生生物的栖息地、重要水生生物的自然产卵场及索饵场、越冬场和洄游通道，天然渔场等渔业水体，以及水产种质资源保护区等。本工程不涉及上述情况，</w:t>
      </w:r>
      <w:r>
        <w:rPr>
          <w:rFonts w:hint="default" w:ascii="Times New Roman" w:hAnsi="Times New Roman" w:cs="Times New Roman" w:eastAsiaTheme="minorEastAsia"/>
          <w:color w:val="auto"/>
          <w:sz w:val="21"/>
          <w:szCs w:val="21"/>
          <w:highlight w:val="none"/>
        </w:rPr>
        <w:t>本项目主要环境保护目标为庆先水库、庆先水库下游锅盔河。保护目标见表</w:t>
      </w:r>
      <w:r>
        <w:rPr>
          <w:rFonts w:hint="default" w:ascii="Times New Roman" w:hAnsi="Times New Roman"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lang w:val="en-US" w:eastAsia="zh-CN"/>
        </w:rPr>
        <w:t>。</w:t>
      </w:r>
    </w:p>
    <w:p w14:paraId="422D16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bCs/>
          <w:color w:val="auto"/>
          <w:sz w:val="21"/>
          <w:szCs w:val="21"/>
          <w:highlight w:val="none"/>
        </w:rPr>
        <w:t>表</w:t>
      </w:r>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工程环境保护目标一览表</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609"/>
        <w:gridCol w:w="1705"/>
        <w:gridCol w:w="1882"/>
        <w:gridCol w:w="2133"/>
      </w:tblGrid>
      <w:tr w14:paraId="08043F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4" w:type="dxa"/>
            <w:noWrap w:val="0"/>
            <w:vAlign w:val="center"/>
          </w:tcPr>
          <w:p w14:paraId="7D23EC6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环境因子</w:t>
            </w:r>
          </w:p>
        </w:tc>
        <w:tc>
          <w:tcPr>
            <w:tcW w:w="1609" w:type="dxa"/>
            <w:noWrap w:val="0"/>
            <w:vAlign w:val="center"/>
          </w:tcPr>
          <w:p w14:paraId="566C002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敏感点名称</w:t>
            </w:r>
          </w:p>
        </w:tc>
        <w:tc>
          <w:tcPr>
            <w:tcW w:w="1705" w:type="dxa"/>
            <w:noWrap w:val="0"/>
            <w:vAlign w:val="center"/>
          </w:tcPr>
          <w:p w14:paraId="5FF28CE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保护内容</w:t>
            </w:r>
          </w:p>
        </w:tc>
        <w:tc>
          <w:tcPr>
            <w:tcW w:w="1882" w:type="dxa"/>
            <w:noWrap w:val="0"/>
            <w:vAlign w:val="center"/>
          </w:tcPr>
          <w:p w14:paraId="5D9B070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与工程的位置及距离</w:t>
            </w:r>
          </w:p>
        </w:tc>
        <w:tc>
          <w:tcPr>
            <w:tcW w:w="2133" w:type="dxa"/>
            <w:noWrap w:val="0"/>
            <w:vAlign w:val="center"/>
          </w:tcPr>
          <w:p w14:paraId="77032E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保护目标</w:t>
            </w:r>
          </w:p>
        </w:tc>
      </w:tr>
      <w:tr w14:paraId="2AD417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4" w:type="dxa"/>
            <w:vMerge w:val="restart"/>
            <w:noWrap w:val="0"/>
            <w:vAlign w:val="center"/>
          </w:tcPr>
          <w:p w14:paraId="7564439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eastAsia="宋体" w:cs="Times New Roman"/>
                <w:b w:val="0"/>
                <w:bCs/>
                <w:color w:val="auto"/>
                <w:sz w:val="18"/>
                <w:szCs w:val="18"/>
                <w:highlight w:val="none"/>
                <w:lang w:val="en-US" w:eastAsia="zh-CN"/>
              </w:rPr>
              <w:t>地表水环境</w:t>
            </w:r>
          </w:p>
        </w:tc>
        <w:tc>
          <w:tcPr>
            <w:tcW w:w="1609" w:type="dxa"/>
            <w:shd w:val="clear" w:color="auto" w:fill="auto"/>
            <w:noWrap w:val="0"/>
            <w:vAlign w:val="center"/>
          </w:tcPr>
          <w:p w14:paraId="43DA4A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庆先</w:t>
            </w:r>
            <w:r>
              <w:rPr>
                <w:rFonts w:hint="default" w:ascii="Times New Roman" w:hAnsi="Times New Roman" w:eastAsia="宋体" w:cs="Times New Roman"/>
                <w:b w:val="0"/>
                <w:bCs/>
                <w:color w:val="auto"/>
                <w:sz w:val="18"/>
                <w:szCs w:val="18"/>
                <w:highlight w:val="none"/>
                <w:lang w:val="en-US" w:eastAsia="zh-CN"/>
              </w:rPr>
              <w:t>水库下游锅盔河</w:t>
            </w:r>
          </w:p>
        </w:tc>
        <w:tc>
          <w:tcPr>
            <w:tcW w:w="1705" w:type="dxa"/>
            <w:shd w:val="clear" w:color="auto" w:fill="auto"/>
            <w:noWrap w:val="0"/>
            <w:vAlign w:val="center"/>
          </w:tcPr>
          <w:p w14:paraId="4351B22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水质</w:t>
            </w:r>
          </w:p>
        </w:tc>
        <w:tc>
          <w:tcPr>
            <w:tcW w:w="1882" w:type="dxa"/>
            <w:shd w:val="clear" w:color="auto" w:fill="auto"/>
            <w:noWrap w:val="0"/>
            <w:vAlign w:val="center"/>
          </w:tcPr>
          <w:p w14:paraId="7F7E58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lang w:eastAsia="zh-CN"/>
              </w:rPr>
              <w:t>下游</w:t>
            </w:r>
          </w:p>
        </w:tc>
        <w:tc>
          <w:tcPr>
            <w:tcW w:w="2133" w:type="dxa"/>
            <w:vMerge w:val="restart"/>
            <w:noWrap w:val="0"/>
            <w:vAlign w:val="center"/>
          </w:tcPr>
          <w:p w14:paraId="35F1BB7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r>
              <w:rPr>
                <w:rFonts w:hint="default" w:ascii="Times New Roman" w:hAnsi="Times New Roman" w:eastAsia="宋体" w:cs="Times New Roman"/>
                <w:b w:val="0"/>
                <w:bCs/>
                <w:color w:val="auto"/>
                <w:sz w:val="18"/>
                <w:szCs w:val="18"/>
                <w:highlight w:val="none"/>
              </w:rPr>
              <w:t>《地表水环境质量》（GB3838-2002）中Ⅲ类</w:t>
            </w:r>
          </w:p>
        </w:tc>
      </w:tr>
      <w:tr w14:paraId="7881D6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94" w:type="dxa"/>
            <w:vMerge w:val="continue"/>
            <w:noWrap w:val="0"/>
            <w:vAlign w:val="center"/>
          </w:tcPr>
          <w:p w14:paraId="712D466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p>
        </w:tc>
        <w:tc>
          <w:tcPr>
            <w:tcW w:w="1609" w:type="dxa"/>
            <w:shd w:val="clear" w:color="auto" w:fill="auto"/>
            <w:noWrap w:val="0"/>
            <w:vAlign w:val="center"/>
          </w:tcPr>
          <w:p w14:paraId="77F79BF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庆先</w:t>
            </w:r>
            <w:r>
              <w:rPr>
                <w:rFonts w:hint="default" w:ascii="Times New Roman" w:hAnsi="Times New Roman" w:eastAsia="宋体" w:cs="Times New Roman"/>
                <w:b w:val="0"/>
                <w:bCs/>
                <w:color w:val="auto"/>
                <w:sz w:val="18"/>
                <w:szCs w:val="18"/>
                <w:highlight w:val="none"/>
                <w:lang w:val="en-US" w:eastAsia="zh-CN"/>
              </w:rPr>
              <w:t>水库</w:t>
            </w:r>
          </w:p>
        </w:tc>
        <w:tc>
          <w:tcPr>
            <w:tcW w:w="1705" w:type="dxa"/>
            <w:shd w:val="clear" w:color="auto" w:fill="auto"/>
            <w:noWrap w:val="0"/>
            <w:vAlign w:val="center"/>
          </w:tcPr>
          <w:p w14:paraId="10659A3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水质</w:t>
            </w:r>
          </w:p>
        </w:tc>
        <w:tc>
          <w:tcPr>
            <w:tcW w:w="1882" w:type="dxa"/>
            <w:shd w:val="clear" w:color="auto" w:fill="auto"/>
            <w:noWrap w:val="0"/>
            <w:vAlign w:val="center"/>
          </w:tcPr>
          <w:p w14:paraId="33D5FB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b w:val="0"/>
                <w:bCs/>
                <w:color w:val="auto"/>
                <w:sz w:val="18"/>
                <w:szCs w:val="18"/>
                <w:highlight w:val="none"/>
              </w:rPr>
              <w:t>在其中或近邻</w:t>
            </w:r>
          </w:p>
        </w:tc>
        <w:tc>
          <w:tcPr>
            <w:tcW w:w="2133" w:type="dxa"/>
            <w:vMerge w:val="continue"/>
            <w:noWrap w:val="0"/>
            <w:vAlign w:val="center"/>
          </w:tcPr>
          <w:p w14:paraId="44BFB66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18"/>
                <w:szCs w:val="18"/>
                <w:highlight w:val="none"/>
              </w:rPr>
            </w:pPr>
          </w:p>
        </w:tc>
      </w:tr>
    </w:tbl>
    <w:p w14:paraId="296E98B2">
      <w:pPr>
        <w:spacing w:line="360" w:lineRule="auto"/>
        <w:ind w:firstLine="480" w:firstLineChars="200"/>
        <w:rPr>
          <w:rFonts w:hint="default" w:ascii="Times New Roman" w:hAnsi="Times New Roman" w:cs="Times New Roman" w:eastAsiaTheme="minorEastAsia"/>
          <w:color w:val="auto"/>
          <w:sz w:val="24"/>
          <w:highlight w:val="none"/>
          <w:lang w:eastAsia="zh-CN"/>
        </w:rPr>
      </w:pPr>
    </w:p>
    <w:p w14:paraId="7DF75515">
      <w:pPr>
        <w:rPr>
          <w:rFonts w:hint="default"/>
          <w:color w:val="auto"/>
          <w:highlight w:val="none"/>
        </w:rPr>
      </w:pPr>
      <w:r>
        <w:rPr>
          <w:rFonts w:hint="default"/>
          <w:color w:val="auto"/>
          <w:highlight w:val="none"/>
        </w:rPr>
        <w:br w:type="page"/>
      </w:r>
    </w:p>
    <w:p w14:paraId="492E6935">
      <w:pPr>
        <w:pStyle w:val="2"/>
        <w:keepNext w:val="0"/>
        <w:keepLines w:val="0"/>
        <w:pageBreakBefore w:val="0"/>
        <w:widowControl/>
        <w:kinsoku/>
        <w:wordWrap/>
        <w:overflowPunct/>
        <w:topLinePunct w:val="0"/>
        <w:autoSpaceDE/>
        <w:autoSpaceDN/>
        <w:bidi w:val="0"/>
        <w:adjustRightInd/>
        <w:snapToGrid/>
        <w:spacing w:before="0" w:after="0" w:line="360" w:lineRule="auto"/>
        <w:ind w:left="0" w:firstLine="0"/>
        <w:textAlignment w:val="auto"/>
        <w:rPr>
          <w:rFonts w:hint="eastAsia" w:ascii="Times New Roman" w:hAnsi="Times New Roman" w:eastAsia="黑体" w:cs="Times New Roman"/>
          <w:b/>
          <w:bCs/>
          <w:color w:val="auto"/>
          <w:highlight w:val="none"/>
          <w:lang w:eastAsia="zh-CN"/>
        </w:rPr>
      </w:pPr>
      <w:bookmarkStart w:id="120" w:name="_Toc18811"/>
      <w:bookmarkStart w:id="121" w:name="_Toc10107"/>
      <w:bookmarkStart w:id="122" w:name="_Toc32045"/>
      <w:bookmarkStart w:id="123" w:name="_Toc15670"/>
      <w:bookmarkStart w:id="124" w:name="_Toc31571"/>
      <w:r>
        <w:rPr>
          <w:rFonts w:hint="default" w:ascii="Times New Roman" w:hAnsi="Times New Roman" w:cs="Times New Roman"/>
          <w:b/>
          <w:bCs/>
          <w:color w:val="auto"/>
          <w:highlight w:val="none"/>
        </w:rPr>
        <w:t>2</w:t>
      </w:r>
      <w:r>
        <w:rPr>
          <w:rFonts w:hint="eastAsia" w:cs="Times New Roman"/>
          <w:b/>
          <w:bCs/>
          <w:color w:val="auto"/>
          <w:highlight w:val="none"/>
          <w:lang w:eastAsia="zh-CN"/>
        </w:rPr>
        <w:t>建设项目工程概况</w:t>
      </w:r>
      <w:bookmarkEnd w:id="120"/>
      <w:bookmarkEnd w:id="121"/>
      <w:bookmarkEnd w:id="122"/>
      <w:bookmarkEnd w:id="123"/>
      <w:bookmarkEnd w:id="124"/>
    </w:p>
    <w:p w14:paraId="02617917">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highlight w:val="none"/>
          <w:lang w:eastAsia="zh-CN"/>
        </w:rPr>
      </w:pPr>
      <w:bookmarkStart w:id="125" w:name="_Toc9121"/>
      <w:r>
        <w:rPr>
          <w:rFonts w:hint="default" w:ascii="Times New Roman" w:hAnsi="Times New Roman" w:cs="Times New Roman"/>
          <w:b/>
          <w:bCs/>
          <w:color w:val="auto"/>
          <w:sz w:val="24"/>
          <w:szCs w:val="24"/>
          <w:highlight w:val="none"/>
        </w:rPr>
        <w:t>2.1</w:t>
      </w:r>
      <w:r>
        <w:rPr>
          <w:rFonts w:hint="eastAsia" w:cs="Times New Roman"/>
          <w:b/>
          <w:bCs/>
          <w:color w:val="auto"/>
          <w:sz w:val="24"/>
          <w:szCs w:val="24"/>
          <w:highlight w:val="none"/>
          <w:lang w:eastAsia="zh-CN"/>
        </w:rPr>
        <w:t>项目概况</w:t>
      </w:r>
      <w:bookmarkEnd w:id="125"/>
    </w:p>
    <w:p w14:paraId="48033C2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项目名称：</w:t>
      </w:r>
      <w:r>
        <w:rPr>
          <w:rFonts w:hint="default" w:ascii="Times New Roman" w:hAnsi="Times New Roman" w:eastAsia="宋体" w:cs="Times New Roman"/>
          <w:color w:val="auto"/>
          <w:kern w:val="21"/>
          <w:sz w:val="21"/>
          <w:szCs w:val="21"/>
          <w:highlight w:val="none"/>
          <w:lang w:val="en-US" w:eastAsia="zh-CN"/>
        </w:rPr>
        <w:t>黑龙江省密山市</w:t>
      </w:r>
      <w:r>
        <w:rPr>
          <w:rFonts w:hint="eastAsia" w:cs="Times New Roman"/>
          <w:color w:val="auto"/>
          <w:kern w:val="21"/>
          <w:sz w:val="21"/>
          <w:szCs w:val="21"/>
          <w:highlight w:val="none"/>
          <w:lang w:val="en-US" w:eastAsia="zh-CN"/>
        </w:rPr>
        <w:t>庆先</w:t>
      </w:r>
      <w:r>
        <w:rPr>
          <w:rFonts w:hint="default" w:ascii="Times New Roman" w:hAnsi="Times New Roman" w:eastAsia="宋体" w:cs="Times New Roman"/>
          <w:color w:val="auto"/>
          <w:kern w:val="21"/>
          <w:sz w:val="21"/>
          <w:szCs w:val="21"/>
          <w:highlight w:val="none"/>
          <w:lang w:val="en-US" w:eastAsia="zh-CN"/>
        </w:rPr>
        <w:t>水库除险加固工程</w:t>
      </w:r>
    </w:p>
    <w:p w14:paraId="38DDC09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i w:val="0"/>
          <w:iCs w:val="0"/>
          <w:color w:val="auto"/>
          <w:sz w:val="21"/>
          <w:szCs w:val="21"/>
          <w:highlight w:val="none"/>
          <w:u w:val="none"/>
        </w:rPr>
      </w:pPr>
      <w:r>
        <w:rPr>
          <w:rFonts w:hint="default" w:ascii="Times New Roman" w:hAnsi="Times New Roman" w:eastAsia="宋体" w:cs="Times New Roman"/>
          <w:color w:val="auto"/>
          <w:sz w:val="21"/>
          <w:szCs w:val="21"/>
          <w:highlight w:val="none"/>
        </w:rPr>
        <w:t>建设单位：</w:t>
      </w:r>
      <w:r>
        <w:rPr>
          <w:rFonts w:hint="eastAsia" w:ascii="宋体" w:hAnsi="宋体" w:eastAsia="宋体" w:cs="宋体"/>
          <w:i w:val="0"/>
          <w:iCs w:val="0"/>
          <w:color w:val="auto"/>
          <w:sz w:val="21"/>
          <w:szCs w:val="21"/>
          <w:highlight w:val="none"/>
          <w:u w:val="none"/>
          <w:lang w:eastAsia="zh-CN"/>
        </w:rPr>
        <w:t>密山市水务局</w:t>
      </w:r>
    </w:p>
    <w:p w14:paraId="5B571A8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建设地点：黑龙江省</w:t>
      </w:r>
      <w:r>
        <w:rPr>
          <w:rFonts w:hint="default" w:ascii="Times New Roman" w:hAnsi="Times New Roman" w:eastAsia="宋体" w:cs="Times New Roman"/>
          <w:color w:val="auto"/>
          <w:sz w:val="21"/>
          <w:szCs w:val="21"/>
          <w:highlight w:val="none"/>
          <w:lang w:eastAsia="zh-CN"/>
        </w:rPr>
        <w:t>鸡西市</w:t>
      </w:r>
      <w:r>
        <w:rPr>
          <w:rFonts w:hint="eastAsia" w:cs="Times New Roman"/>
          <w:color w:val="auto"/>
          <w:sz w:val="21"/>
          <w:szCs w:val="21"/>
          <w:highlight w:val="none"/>
          <w:lang w:val="en-US" w:eastAsia="zh-CN"/>
        </w:rPr>
        <w:t>密山市黑台镇北4.0km处庆先水库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水库大坝：东经131°</w:t>
      </w:r>
      <w:r>
        <w:rPr>
          <w:rFonts w:hint="default"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4"，北纬</w:t>
      </w:r>
      <w:r>
        <w:rPr>
          <w:rFonts w:hint="default" w:ascii="Times New Roman" w:hAnsi="Times New Roman" w:eastAsia="宋体" w:cs="Times New Roman"/>
          <w:color w:val="auto"/>
          <w:sz w:val="21"/>
          <w:szCs w:val="21"/>
          <w:highlight w:val="none"/>
          <w:lang w:val="en-US" w:eastAsia="zh-CN"/>
        </w:rPr>
        <w:t>45</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24.886</w:t>
      </w:r>
      <w:r>
        <w:rPr>
          <w:rFonts w:hint="default" w:ascii="Times New Roman" w:hAnsi="Times New Roman" w:eastAsia="宋体" w:cs="Times New Roman"/>
          <w:color w:val="auto"/>
          <w:sz w:val="21"/>
          <w:szCs w:val="21"/>
          <w:highlight w:val="none"/>
        </w:rPr>
        <w:t>"。</w:t>
      </w:r>
    </w:p>
    <w:p w14:paraId="00104BF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r>
        <w:rPr>
          <w:rFonts w:hint="default" w:ascii="Times New Roman" w:hAnsi="Times New Roman" w:eastAsia="宋体" w:cs="Times New Roman"/>
          <w:color w:val="auto"/>
          <w:sz w:val="21"/>
          <w:szCs w:val="21"/>
          <w:highlight w:val="none"/>
          <w:lang w:val="en-US" w:eastAsia="zh-CN"/>
        </w:rPr>
        <w:t>改</w:t>
      </w:r>
      <w:r>
        <w:rPr>
          <w:rFonts w:hint="default" w:ascii="Times New Roman" w:hAnsi="Times New Roman" w:eastAsia="宋体" w:cs="Times New Roman"/>
          <w:color w:val="auto"/>
          <w:sz w:val="21"/>
          <w:szCs w:val="21"/>
          <w:highlight w:val="none"/>
        </w:rPr>
        <w:t>建</w:t>
      </w:r>
    </w:p>
    <w:p w14:paraId="0CF5548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建设内容：</w:t>
      </w:r>
      <w:r>
        <w:rPr>
          <w:rFonts w:hint="default" w:ascii="Times New Roman" w:hAnsi="Times New Roman" w:eastAsia="宋体" w:cs="Times New Roman"/>
          <w:color w:val="auto"/>
          <w:sz w:val="21"/>
          <w:szCs w:val="21"/>
          <w:highlight w:val="none"/>
          <w:lang w:val="en-US" w:eastAsia="zh-CN"/>
        </w:rPr>
        <w:t>包括大坝坝顶路硬化，大坝背水侧增设碎石护坡及排水体。修复溢洪道溢流堰堰体，维修海漫段。输水洞闸室段及工作桥拆除重建，维修输水洞海漫段等</w:t>
      </w:r>
      <w:r>
        <w:rPr>
          <w:rFonts w:hint="eastAsia" w:cs="Times New Roman"/>
          <w:color w:val="auto"/>
          <w:sz w:val="21"/>
          <w:szCs w:val="21"/>
          <w:highlight w:val="none"/>
          <w:lang w:val="en-US" w:eastAsia="zh-CN"/>
        </w:rPr>
        <w:t>。</w:t>
      </w:r>
    </w:p>
    <w:p w14:paraId="1130BB64">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kern w:val="0"/>
          <w:sz w:val="21"/>
          <w:szCs w:val="21"/>
          <w:highlight w:val="none"/>
        </w:rPr>
        <w:t>大坝（均质坝）</w:t>
      </w:r>
    </w:p>
    <w:p w14:paraId="5E3D1190">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本次设计大坝坝长583m，坝顶宽度5m，坝的迎水坡坡比为1:3.0，背水坡坡比为1:2.5。迎水侧维持现有干砌石护坡；新增坝顶水泥混凝土硬化20cm厚下设水泥稳定碎石基层20cm厚，路面宽度4.5m，坝顶设0.25m宽0.7m高路缘石，高出坝顶路面0.20m；坝段背水侧碎石护坡20cm厚，坡脚0.5m宽排水沟，排水沟30cm厚干砌石下设10cm厚碎石垫层，碎石护坡及排水体整体下铺400g/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土工布。增加大坝表面变形监测设施，照明设施15座</w:t>
      </w:r>
      <w:r>
        <w:rPr>
          <w:rFonts w:hint="default" w:ascii="Times New Roman" w:hAnsi="Times New Roman" w:eastAsia="宋体" w:cs="Times New Roman"/>
          <w:color w:val="auto"/>
          <w:kern w:val="0"/>
          <w:sz w:val="21"/>
          <w:szCs w:val="21"/>
          <w:highlight w:val="none"/>
          <w:lang w:val="en-US" w:eastAsia="zh-CN"/>
        </w:rPr>
        <w:t>等</w:t>
      </w:r>
      <w:r>
        <w:rPr>
          <w:rFonts w:hint="default" w:ascii="Times New Roman" w:hAnsi="Times New Roman" w:eastAsia="宋体" w:cs="Times New Roman"/>
          <w:color w:val="auto"/>
          <w:sz w:val="21"/>
          <w:szCs w:val="21"/>
          <w:highlight w:val="none"/>
          <w:lang w:val="en-US" w:eastAsia="zh-CN"/>
        </w:rPr>
        <w:t>。</w:t>
      </w:r>
    </w:p>
    <w:p w14:paraId="1693AF16">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溢洪道</w:t>
      </w:r>
    </w:p>
    <w:p w14:paraId="03562979">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溢洪道位于坝段桩号0+577，溢洪道维持进口段不变，对控制段溢流堰堰体表面修复，出口段增加安全防护围栏，维修海漫段长48m，护坡、护底均为钢筋石笼结构，厚50cm，底宽15m，边坡坡比1:2，两侧设1m宽钢筋石笼压顶，整体下铺400g/m2土工布；海漫段尾部设干砌石防冲槽</w:t>
      </w:r>
      <w:r>
        <w:rPr>
          <w:rFonts w:hint="default" w:ascii="Times New Roman" w:hAnsi="Times New Roman" w:eastAsia="宋体" w:cs="Times New Roman"/>
          <w:color w:val="auto"/>
          <w:sz w:val="21"/>
          <w:szCs w:val="21"/>
          <w:highlight w:val="none"/>
          <w:lang w:val="en-US" w:eastAsia="zh-CN"/>
        </w:rPr>
        <w:t>。</w:t>
      </w:r>
    </w:p>
    <w:p w14:paraId="11435D7B">
      <w:pPr>
        <w:pStyle w:val="64"/>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输水洞</w:t>
      </w:r>
    </w:p>
    <w:p w14:paraId="589EBD9C">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本次</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rPr>
        <w:t>拆除重建闸室段及工作桥，维修海漫段。</w:t>
      </w:r>
    </w:p>
    <w:p w14:paraId="4ED437EA">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闸室段：闸室段为</w:t>
      </w:r>
      <w:r>
        <w:rPr>
          <w:rFonts w:hint="default" w:ascii="Times New Roman" w:hAnsi="Times New Roman" w:eastAsia="宋体" w:cs="Times New Roman"/>
          <w:color w:val="auto"/>
          <w:sz w:val="21"/>
          <w:szCs w:val="21"/>
          <w:highlight w:val="none"/>
        </w:rPr>
        <w:t>钢筋混凝土结构，净宽1.2m。输水洞设检修闸门及工作闸门各一道，闸门采用铸铁闸门，2扇，尺寸为1.2m×1.2m，进口设置拦污栅尺寸为1.2m×1.2m，闸门及拦污栅采用LQ-80KN螺杆启闭机启闭3台。启闭平台顶高程为168.72m，设置检修爬梯15m。涵洞段拆除重建8m，采用圆涵结构，孔口尺寸为1.2m×1.2m×1（宽×高×孔），进口段及闸室底铺设10cm厚素砼垫层，下铺设保温板一层。</w:t>
      </w:r>
    </w:p>
    <w:p w14:paraId="2D4E57F2">
      <w:pPr>
        <w:pStyle w:val="66"/>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消力池段：消力池段四周增设安全防护围栏。</w:t>
      </w:r>
    </w:p>
    <w:p w14:paraId="10B9EC97">
      <w:pPr>
        <w:pStyle w:val="66"/>
        <w:keepNext w:val="0"/>
        <w:keepLines w:val="0"/>
        <w:pageBreakBefore w:val="0"/>
        <w:widowControl/>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海漫段：出口海漫段长12.7m，沟道底宽由1.2m渐变到2m，底板顶高程为160.30m，两侧边坡为1:2.5，沟底和两侧边坡采用0.5m厚钢筋石笼防护，下设0.1m碎石垫层，垫层下铺设一层土工布，末端设抛石防冲槽。</w:t>
      </w:r>
    </w:p>
    <w:p w14:paraId="6A406DE0">
      <w:pPr>
        <w:pStyle w:val="64"/>
        <w:keepNext w:val="0"/>
        <w:keepLines w:val="0"/>
        <w:pageBreakBefore w:val="0"/>
        <w:widowControl/>
        <w:kinsoku/>
        <w:wordWrap/>
        <w:overflowPunct/>
        <w:topLinePunct w:val="0"/>
        <w:autoSpaceDE/>
        <w:autoSpaceDN/>
        <w:bidi w:val="0"/>
        <w:adjustRightInd/>
        <w:snapToGrid/>
        <w:ind w:firstLine="480"/>
        <w:textAlignment w:val="auto"/>
        <w:rPr>
          <w:rFonts w:hint="eastAsia" w:ascii="Times New Roman" w:hAnsi="Times New Roman" w:eastAsia="宋体" w:cs="Times New Roman"/>
          <w:snapToGrid w:val="0"/>
          <w:color w:val="auto"/>
          <w:kern w:val="0"/>
          <w:sz w:val="24"/>
          <w:szCs w:val="24"/>
          <w:highlight w:val="none"/>
          <w:lang w:eastAsia="zh-CN"/>
        </w:rPr>
      </w:pPr>
      <w:r>
        <w:rPr>
          <w:rFonts w:hint="default" w:ascii="Times New Roman" w:hAnsi="Times New Roman" w:eastAsia="宋体" w:cs="Times New Roman"/>
          <w:color w:val="auto"/>
          <w:sz w:val="21"/>
          <w:szCs w:val="21"/>
          <w:highlight w:val="none"/>
        </w:rPr>
        <w:t>尾水渠段：尾水渠边坡1:2.5，底宽2m，长度18.8 m，开挖尾水渠与下游渠道顺滑连接。</w:t>
      </w:r>
    </w:p>
    <w:p w14:paraId="3495A50A">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highlight w:val="none"/>
          <w:lang w:eastAsia="zh-CN"/>
        </w:rPr>
      </w:pPr>
      <w:bookmarkStart w:id="126" w:name="_Toc14752"/>
      <w:r>
        <w:rPr>
          <w:rFonts w:hint="default" w:ascii="Times New Roman" w:hAnsi="Times New Roman" w:cs="Times New Roman"/>
          <w:b/>
          <w:bCs/>
          <w:color w:val="auto"/>
          <w:sz w:val="24"/>
          <w:szCs w:val="24"/>
          <w:highlight w:val="none"/>
        </w:rPr>
        <w:t>2.</w:t>
      </w:r>
      <w:r>
        <w:rPr>
          <w:rFonts w:hint="eastAsia" w:ascii="Times New Roman" w:hAnsi="Times New Roman" w:cs="Times New Roman"/>
          <w:b/>
          <w:bCs/>
          <w:color w:val="auto"/>
          <w:sz w:val="24"/>
          <w:szCs w:val="24"/>
          <w:highlight w:val="none"/>
          <w:lang w:val="en-US" w:eastAsia="zh-CN"/>
        </w:rPr>
        <w:t>2施工期污染源分析</w:t>
      </w:r>
      <w:bookmarkEnd w:id="126"/>
    </w:p>
    <w:p w14:paraId="69B13787">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（1）生活污水</w:t>
      </w:r>
    </w:p>
    <w:p w14:paraId="62263039">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施工人员按高峰阶段计算，需劳动力人数60人，根据临时生活区环境条件和《用水定额》（DB23/T727-2025），参照农村环境用水标准，施工人员用水定额为80L/人·d，总用水量4.80m³/d，生活污水排放量为3.84m³/d。生活污水主要污染物有COD、氨氮等，施工过程中产生的生活污水需采用防渗旱厕集中收集，定期清掏堆肥，生活污水不外排。</w:t>
      </w:r>
    </w:p>
    <w:p w14:paraId="51491A93">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（2）施工机械轮胎冲洗废水</w:t>
      </w:r>
    </w:p>
    <w:p w14:paraId="4ECABA55">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项目施工场地不设置机械、车辆维修厂，不产生机械维修废水，机械维修依靠周边社会设施。机械冲洗业务外协委托，在工地仅设置轮胎冲洗，主要承担进出厂机械车轮污泥的冲洗，这部分废水经沉淀池收集沉淀后回用于洒水降尘，不会产生含油废水。本项目不设置混凝土</w:t>
      </w:r>
      <w:r>
        <w:rPr>
          <w:rFonts w:hint="eastAsia" w:cs="Times New Roman"/>
          <w:color w:val="auto"/>
          <w:sz w:val="21"/>
          <w:szCs w:val="21"/>
          <w:highlight w:val="none"/>
          <w:lang w:eastAsia="zh-CN"/>
        </w:rPr>
        <w:t>拌和站</w:t>
      </w:r>
      <w:r>
        <w:rPr>
          <w:rFonts w:hint="eastAsia" w:ascii="Times New Roman" w:hAnsi="Times New Roman" w:eastAsia="宋体" w:cs="Times New Roman"/>
          <w:color w:val="auto"/>
          <w:sz w:val="21"/>
          <w:szCs w:val="21"/>
          <w:highlight w:val="none"/>
          <w:lang w:eastAsia="zh-CN"/>
        </w:rPr>
        <w:t>，因此不会产生混凝土拌和、养护废水。</w:t>
      </w:r>
    </w:p>
    <w:p w14:paraId="7BB508CF">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（3）基坑排水</w:t>
      </w:r>
    </w:p>
    <w:p w14:paraId="6EABEA7B">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位于库区内的输水洞闸室段拆除重建在枯水期施工，为避免工程扰动水体，施工时于基坑外侧设置临时施工围堰，围堰采用土围堰型式，围堰顶宽2m，高度4m，长度约90m。</w:t>
      </w:r>
    </w:p>
    <w:p w14:paraId="234319D7">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基坑废水直接产生在围堰内，废水中主要污染物为悬浮物，一般浓度在2000mg/L，静置沉淀后用于洒水降尘，不外排。</w:t>
      </w:r>
    </w:p>
    <w:p w14:paraId="6E55F75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bCs/>
          <w:color w:val="auto"/>
          <w:sz w:val="21"/>
          <w:szCs w:val="21"/>
          <w:highlight w:val="none"/>
        </w:rPr>
        <w:t>对水生生态的影响</w:t>
      </w:r>
    </w:p>
    <w:p w14:paraId="7738D60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施工时会造成一定程度的水体扰动及噪声，本工程输水洞闸室段拆除重建在枯水期施工，为避免工程扰动水体，施工时于基坑外侧设置临时施工围堰，围堰采用土围堰型式，围堰施工造成工程区局部悬浮物浓度增加，水体透明度下降，底栖生物损失，鱼类栖息、浮游生物活动受干扰等影响，本工程围堰施工位于岸边基坑外侧，围堰施工期、拆除期较短，对水体扰动时间短，围堰施工结束，水体将恢复原有状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且本项目施工期为枯水期，对水体产生的扰动较小，这些影响都是暂时的，随着施工结束而逐渐恢复。</w:t>
      </w:r>
    </w:p>
    <w:p w14:paraId="230CFD5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水库除险加固工程的施工，会对水库的环境造成一定的影响</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本工程是非污染型项目，工程运营期不产生污染，工程建设后不改变水库原功能</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正常蓄水位，实际运行时库区内库容、水深</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较工程实施前基本没有变化，水生生境基本维持原状。因此本次除险加固工程实施后对水生生态影响较小。</w:t>
      </w:r>
    </w:p>
    <w:p w14:paraId="20528354">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5</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eastAsia="zh-CN"/>
        </w:rPr>
        <w:t>对库区水文情势影响</w:t>
      </w:r>
    </w:p>
    <w:p w14:paraId="247E0626">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根据施工设计，本项目主体工程大都在原址基础上进行除险加固，不改变水库设计正常蓄水位，不进行增容，不改变水库流量、水位等工程特性；水库除险加固工程施工期</w:t>
      </w:r>
      <w:r>
        <w:rPr>
          <w:rFonts w:hint="default" w:ascii="Times New Roman" w:hAnsi="Times New Roman" w:cs="Times New Roman"/>
          <w:bCs/>
          <w:color w:val="auto"/>
          <w:szCs w:val="20"/>
        </w:rPr>
        <w:t>对水文情势的影响主要为</w:t>
      </w:r>
      <w:r>
        <w:rPr>
          <w:rFonts w:hint="default" w:ascii="Times New Roman" w:hAnsi="Times New Roman" w:cs="Times New Roman"/>
          <w:color w:val="auto"/>
        </w:rPr>
        <w:t>施工</w:t>
      </w:r>
      <w:r>
        <w:rPr>
          <w:rFonts w:hint="default" w:ascii="Times New Roman" w:hAnsi="Times New Roman" w:cs="Times New Roman"/>
          <w:bCs/>
          <w:color w:val="auto"/>
          <w:szCs w:val="20"/>
        </w:rPr>
        <w:t>围堰对水流流向和流量的改变，</w:t>
      </w:r>
      <w:r>
        <w:rPr>
          <w:rFonts w:hint="default" w:ascii="Times New Roman" w:hAnsi="Times New Roman" w:cs="Times New Roman"/>
          <w:color w:val="auto"/>
        </w:rPr>
        <w:t>施工</w:t>
      </w:r>
      <w:r>
        <w:rPr>
          <w:rFonts w:hint="default" w:ascii="Times New Roman" w:hAnsi="Times New Roman" w:cs="Times New Roman"/>
          <w:bCs/>
          <w:color w:val="auto"/>
          <w:szCs w:val="20"/>
        </w:rPr>
        <w:t>围堰是临时施工措施，工程完成后该影响即可恢复</w:t>
      </w:r>
      <w:r>
        <w:rPr>
          <w:rFonts w:hint="eastAsia"/>
          <w:color w:val="auto"/>
        </w:rPr>
        <w:t>，</w:t>
      </w:r>
      <w:r>
        <w:rPr>
          <w:rFonts w:hint="eastAsia" w:ascii="Times New Roman" w:hAnsi="Times New Roman" w:eastAsia="宋体" w:cs="Times New Roman"/>
          <w:color w:val="auto"/>
          <w:sz w:val="21"/>
          <w:szCs w:val="21"/>
          <w:highlight w:val="none"/>
          <w:lang w:eastAsia="zh-CN"/>
        </w:rPr>
        <w:t>影响也将随之消失，</w:t>
      </w:r>
      <w:r>
        <w:rPr>
          <w:rFonts w:hint="eastAsia"/>
          <w:color w:val="auto"/>
        </w:rPr>
        <w:t>因此，对</w:t>
      </w:r>
      <w:r>
        <w:rPr>
          <w:rFonts w:hint="eastAsia"/>
          <w:color w:val="auto"/>
          <w:lang w:val="en-US" w:eastAsia="zh-CN"/>
        </w:rPr>
        <w:t>水库</w:t>
      </w:r>
      <w:r>
        <w:rPr>
          <w:rFonts w:hint="eastAsia"/>
          <w:color w:val="auto"/>
        </w:rPr>
        <w:t>的水文情势影响较小。</w:t>
      </w:r>
    </w:p>
    <w:p w14:paraId="0E3BFB3C">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ind w:firstLine="0" w:firstLineChars="0"/>
        <w:textAlignment w:val="auto"/>
        <w:rPr>
          <w:rFonts w:hint="eastAsia" w:ascii="Times New Roman" w:hAnsi="Times New Roman" w:eastAsia="宋体" w:cs="Times New Roman"/>
          <w:color w:val="auto"/>
          <w:highlight w:val="none"/>
          <w:lang w:eastAsia="zh-CN"/>
        </w:rPr>
      </w:pPr>
      <w:bookmarkStart w:id="127" w:name="_Toc29417"/>
      <w:r>
        <w:rPr>
          <w:rFonts w:hint="default" w:ascii="Times New Roman" w:hAnsi="Times New Roman" w:cs="Times New Roman"/>
          <w:b/>
          <w:bCs/>
          <w:color w:val="auto"/>
          <w:sz w:val="24"/>
          <w:szCs w:val="24"/>
          <w:highlight w:val="none"/>
        </w:rPr>
        <w:t>2.</w:t>
      </w:r>
      <w:r>
        <w:rPr>
          <w:rFonts w:hint="eastAsia" w:ascii="Times New Roman" w:hAnsi="Times New Roman" w:cs="Times New Roman"/>
          <w:b/>
          <w:bCs/>
          <w:color w:val="auto"/>
          <w:sz w:val="24"/>
          <w:szCs w:val="24"/>
          <w:highlight w:val="none"/>
          <w:lang w:val="en-US" w:eastAsia="zh-CN"/>
        </w:rPr>
        <w:t>3运营期污染源分析</w:t>
      </w:r>
      <w:bookmarkEnd w:id="127"/>
    </w:p>
    <w:p w14:paraId="61C4EE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pacing w:val="0"/>
          <w:kern w:val="0"/>
          <w:sz w:val="21"/>
          <w:szCs w:val="21"/>
          <w:highlight w:val="none"/>
        </w:rPr>
      </w:pPr>
      <w:r>
        <w:rPr>
          <w:rFonts w:hint="default" w:ascii="Times New Roman" w:hAnsi="Times New Roman" w:cs="Times New Roman" w:eastAsiaTheme="minorEastAsia"/>
          <w:b w:val="0"/>
          <w:bCs w:val="0"/>
          <w:color w:val="auto"/>
          <w:spacing w:val="0"/>
          <w:kern w:val="0"/>
          <w:sz w:val="21"/>
          <w:szCs w:val="21"/>
          <w:highlight w:val="none"/>
          <w:lang w:eastAsia="zh-CN"/>
        </w:rPr>
        <w:t>（</w:t>
      </w:r>
      <w:r>
        <w:rPr>
          <w:rFonts w:hint="default" w:ascii="Times New Roman" w:hAnsi="Times New Roman" w:cs="Times New Roman" w:eastAsiaTheme="minorEastAsia"/>
          <w:b w:val="0"/>
          <w:bCs w:val="0"/>
          <w:color w:val="auto"/>
          <w:spacing w:val="0"/>
          <w:kern w:val="0"/>
          <w:sz w:val="21"/>
          <w:szCs w:val="21"/>
          <w:highlight w:val="none"/>
          <w:lang w:val="en-US" w:eastAsia="zh-CN"/>
        </w:rPr>
        <w:t>1</w:t>
      </w:r>
      <w:r>
        <w:rPr>
          <w:rFonts w:hint="default" w:ascii="Times New Roman" w:hAnsi="Times New Roman" w:cs="Times New Roman" w:eastAsiaTheme="minorEastAsia"/>
          <w:b w:val="0"/>
          <w:bCs w:val="0"/>
          <w:color w:val="auto"/>
          <w:spacing w:val="0"/>
          <w:kern w:val="0"/>
          <w:sz w:val="21"/>
          <w:szCs w:val="21"/>
          <w:highlight w:val="none"/>
          <w:lang w:eastAsia="zh-CN"/>
        </w:rPr>
        <w:t>）</w:t>
      </w:r>
      <w:r>
        <w:rPr>
          <w:rFonts w:hint="default" w:ascii="Times New Roman" w:hAnsi="Times New Roman" w:cs="Times New Roman" w:eastAsiaTheme="minorEastAsia"/>
          <w:color w:val="auto"/>
          <w:spacing w:val="0"/>
          <w:kern w:val="0"/>
          <w:sz w:val="21"/>
          <w:szCs w:val="21"/>
          <w:highlight w:val="none"/>
        </w:rPr>
        <w:t>水文情势影响</w:t>
      </w:r>
    </w:p>
    <w:p w14:paraId="00F3152E">
      <w:pPr>
        <w:pStyle w:val="68"/>
        <w:ind w:firstLine="420"/>
        <w:rPr>
          <w:color w:val="auto"/>
          <w:highlight w:val="none"/>
        </w:rPr>
      </w:pPr>
      <w:r>
        <w:rPr>
          <w:rFonts w:hint="eastAsia"/>
          <w:color w:val="auto"/>
          <w:highlight w:val="none"/>
        </w:rPr>
        <w:t>本次除险加固工程实施后，</w:t>
      </w:r>
      <w:r>
        <w:rPr>
          <w:color w:val="auto"/>
          <w:highlight w:val="none"/>
        </w:rPr>
        <w:t>运行期未改变水库的库容、流量、水位等工程特性，对水库的水利调度情况无影响，因而对库区的流速等水文特性影响较小。此外，项目完工后，将更好的保障水库下游的防洪、灌溉等功能，对下游水位、流速等水文情势也无影响。本项目主体工程大都在原址基础上进行除险加固，不改变水库设计正常蓄水位，不进行增容，不改变水库流量、水位等工程特性，除险加固工程后防洪调度运用原则与现状调度运用原则基本一致，因</w:t>
      </w:r>
      <w:r>
        <w:rPr>
          <w:rFonts w:hint="eastAsia"/>
          <w:color w:val="auto"/>
          <w:highlight w:val="none"/>
          <w:lang w:val="en-US" w:eastAsia="zh-CN"/>
        </w:rPr>
        <w:t>此，</w:t>
      </w:r>
      <w:r>
        <w:rPr>
          <w:color w:val="auto"/>
          <w:highlight w:val="none"/>
        </w:rPr>
        <w:t>运行期对库区上下游水文情势</w:t>
      </w:r>
      <w:r>
        <w:rPr>
          <w:rFonts w:hint="default" w:ascii="Times New Roman" w:hAnsi="Times New Roman" w:cs="Times New Roman" w:eastAsiaTheme="minorEastAsia"/>
          <w:color w:val="auto"/>
          <w:spacing w:val="0"/>
          <w:kern w:val="0"/>
          <w:sz w:val="21"/>
          <w:szCs w:val="21"/>
          <w:highlight w:val="none"/>
        </w:rPr>
        <w:t>不会产生</w:t>
      </w:r>
      <w:r>
        <w:rPr>
          <w:color w:val="auto"/>
          <w:highlight w:val="none"/>
        </w:rPr>
        <w:t>影响。</w:t>
      </w:r>
    </w:p>
    <w:p w14:paraId="5B74A17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（2）地表水水质</w:t>
      </w:r>
    </w:p>
    <w:p w14:paraId="16D9F2C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eastAsiaTheme="minorEastAsia"/>
          <w:color w:val="auto"/>
          <w:kern w:val="0"/>
          <w:sz w:val="21"/>
          <w:szCs w:val="21"/>
          <w:highlight w:val="none"/>
        </w:rPr>
        <w:t>水库除险加固实施后，水库运行本身不产生水污染物，不会对地表水环境产生不利影响。</w:t>
      </w:r>
      <w:r>
        <w:rPr>
          <w:rFonts w:hint="eastAsia" w:ascii="Times New Roman" w:hAnsi="Times New Roman" w:eastAsia="宋体" w:cs="Times New Roman"/>
          <w:color w:val="auto"/>
          <w:sz w:val="21"/>
          <w:szCs w:val="21"/>
          <w:highlight w:val="none"/>
          <w:lang w:eastAsia="zh-CN"/>
        </w:rPr>
        <w:t>运营期管理站房不新增工作人员，无新增生活污水，</w:t>
      </w:r>
      <w:r>
        <w:rPr>
          <w:rFonts w:hint="eastAsia" w:ascii="Times New Roman" w:hAnsi="Times New Roman" w:eastAsia="宋体" w:cs="Times New Roman"/>
          <w:color w:val="auto"/>
          <w:sz w:val="21"/>
          <w:szCs w:val="21"/>
          <w:highlight w:val="none"/>
          <w:lang w:val="en-US" w:eastAsia="zh-CN"/>
        </w:rPr>
        <w:t>不会对地表水环境产生不利影响。</w:t>
      </w:r>
    </w:p>
    <w:p w14:paraId="57A0DA27">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4现有工程回顾</w:t>
      </w:r>
    </w:p>
    <w:p w14:paraId="4694B21D">
      <w:pPr>
        <w:pStyle w:val="22"/>
        <w:keepNext w:val="0"/>
        <w:keepLines w:val="0"/>
        <w:pageBreakBefore w:val="0"/>
        <w:widowControl w:val="0"/>
        <w:kinsoku/>
        <w:wordWrap/>
        <w:overflowPunct/>
        <w:topLinePunct w:val="0"/>
        <w:autoSpaceDE/>
        <w:autoSpaceDN/>
        <w:bidi w:val="0"/>
        <w:adjustRightInd/>
        <w:snapToGrid/>
        <w:spacing w:after="0" w:afterLines="0" w:line="360" w:lineRule="auto"/>
        <w:ind w:left="0" w:leftChars="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bCs/>
          <w:color w:val="auto"/>
          <w:sz w:val="21"/>
          <w:szCs w:val="21"/>
          <w:highlight w:val="none"/>
          <w:lang w:val="en-US" w:eastAsia="zh-CN"/>
        </w:rPr>
        <w:t>水库基本情况：</w:t>
      </w:r>
    </w:p>
    <w:p w14:paraId="5FE6C8C6">
      <w:pPr>
        <w:pStyle w:val="22"/>
        <w:keepNext w:val="0"/>
        <w:keepLines w:val="0"/>
        <w:pageBreakBefore w:val="0"/>
        <w:kinsoku/>
        <w:wordWrap/>
        <w:overflowPunct/>
        <w:topLinePunct w:val="0"/>
        <w:autoSpaceDE/>
        <w:autoSpaceDN/>
        <w:bidi w:val="0"/>
        <w:adjustRightInd/>
        <w:snapToGrid/>
        <w:spacing w:after="0" w:afterLines="0" w:line="360" w:lineRule="auto"/>
        <w:ind w:left="0" w:left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庆先水库是以灌溉、防洪为主，结合养鱼等综合利用的小（I）型水库。2008年除险加固后水库总库容254.00×10</w:t>
      </w:r>
      <w:r>
        <w:rPr>
          <w:rFonts w:hint="default" w:ascii="Times New Roman" w:hAnsi="Times New Roman" w:cs="Times New Roman"/>
          <w:color w:val="auto"/>
          <w:sz w:val="21"/>
          <w:szCs w:val="21"/>
          <w:vertAlign w:val="superscript"/>
          <w:lang w:val="en-US" w:eastAsia="zh-CN"/>
        </w:rPr>
        <w:t>4</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，兴利库容140.00×10</w:t>
      </w:r>
      <w:r>
        <w:rPr>
          <w:rFonts w:hint="default" w:ascii="Times New Roman" w:hAnsi="Times New Roman" w:cs="Times New Roman"/>
          <w:color w:val="auto"/>
          <w:sz w:val="21"/>
          <w:szCs w:val="21"/>
          <w:vertAlign w:val="superscript"/>
          <w:lang w:val="en-US" w:eastAsia="zh-CN"/>
        </w:rPr>
        <w:t>4</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水库设计灌溉水田1993亩，防洪保护耕地3.0万亩，保护黑台镇及庆先、黑台、复兴等七个村屯，人口2.5万，保护方虎公路、鸡密铁路大桥各一座。水库是一座以灌为主兼顾防洪、养鱼等综合利用的小（I）型水库。庆先水库主要任务为农田灌溉供水，根据规范要求和灌区实际情况，农业灌溉设计保证率采用P=75%，</w:t>
      </w:r>
      <w:r>
        <w:rPr>
          <w:rFonts w:hint="default" w:ascii="Times New Roman" w:hAnsi="Times New Roman" w:eastAsia="宋体" w:cs="Times New Roman"/>
          <w:color w:val="auto"/>
          <w:sz w:val="21"/>
          <w:szCs w:val="21"/>
          <w:highlight w:val="none"/>
        </w:rPr>
        <w:t>灌溉定额</w:t>
      </w:r>
      <w:r>
        <w:rPr>
          <w:rFonts w:hint="default" w:ascii="Times New Roman" w:hAnsi="Times New Roman" w:eastAsia="宋体" w:cs="Times New Roman"/>
          <w:color w:val="auto"/>
          <w:sz w:val="21"/>
          <w:szCs w:val="21"/>
          <w:highlight w:val="none"/>
          <w:lang w:eastAsia="zh-CN"/>
        </w:rPr>
        <w:t>为</w:t>
      </w:r>
      <w:r>
        <w:rPr>
          <w:rFonts w:hint="default" w:ascii="Times New Roman" w:hAnsi="Times New Roman" w:eastAsia="Calibri" w:cs="Times New Roman"/>
          <w:color w:val="auto"/>
          <w:sz w:val="21"/>
          <w:szCs w:val="21"/>
          <w:highlight w:val="none"/>
        </w:rPr>
        <w:t>615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lang w:val="en-US" w:eastAsia="zh-CN"/>
        </w:rPr>
        <w:t>亩，设计供水量为123</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lang w:val="en-US" w:eastAsia="zh-CN"/>
        </w:rPr>
        <w:t>。</w:t>
      </w:r>
    </w:p>
    <w:p w14:paraId="469A1FBA">
      <w:pPr>
        <w:pStyle w:val="22"/>
        <w:keepNext w:val="0"/>
        <w:keepLines w:val="0"/>
        <w:pageBreakBefore w:val="0"/>
        <w:widowControl w:val="0"/>
        <w:kinsoku/>
        <w:wordWrap/>
        <w:overflowPunct/>
        <w:topLinePunct w:val="0"/>
        <w:autoSpaceDE/>
        <w:autoSpaceDN/>
        <w:bidi w:val="0"/>
        <w:adjustRightInd/>
        <w:snapToGrid/>
        <w:spacing w:after="0" w:afterLines="0" w:line="360" w:lineRule="auto"/>
        <w:ind w:left="0" w:left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庆先水库于1975年竣工，2008年除险加固。溢洪道、输水洞于2012年除险加固，溢洪道位于土坝左侧，为无闸开敞式，为WES堰型，堰顶高程为165.70m，堰顶净宽15m；消能为底流消能，消力池长15m，池深1.6m，底板顶高程为159.9m；海漫长28m，干砌石结构，末端设深度2.5m防冲槽。输水洞位于大坝右侧，为坝下埋管。进口为塔式进水口，闸门为1.0×1.0m钢闸门，5t螺杆启闭机。闸室段长3.1m，洞身长23.3m，为D=1.0m水泥管；出口采用底流消能，钢筋砼U型槽结构，长10m，深0.5m，宽度由1m渐变至2m，池底高程为161.35m；海漫采用干砌石结构，长10m。</w:t>
      </w:r>
    </w:p>
    <w:p w14:paraId="4676EF47">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b/>
          <w:bCs/>
          <w:color w:val="auto"/>
          <w:sz w:val="21"/>
          <w:szCs w:val="21"/>
          <w:lang w:val="en-US" w:eastAsia="zh-CN"/>
        </w:rPr>
      </w:pPr>
      <w:r>
        <w:rPr>
          <w:rFonts w:hint="eastAsia"/>
          <w:b/>
          <w:bCs/>
          <w:color w:val="auto"/>
          <w:sz w:val="21"/>
          <w:szCs w:val="21"/>
          <w:lang w:val="en-US" w:eastAsia="zh-CN"/>
        </w:rPr>
        <w:t>水库现有调度：</w:t>
      </w:r>
    </w:p>
    <w:p w14:paraId="062DB2C6">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（1）正常来水或丰水年份的调度原则及调度方式</w:t>
      </w:r>
    </w:p>
    <w:p w14:paraId="1202E1C5">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水库坝址多年平均来水量为</w:t>
      </w:r>
      <w:r>
        <w:rPr>
          <w:rFonts w:hint="default" w:ascii="Times New Roman" w:hAnsi="Times New Roman" w:eastAsia="宋体" w:cs="Times New Roman"/>
          <w:color w:val="auto"/>
          <w:sz w:val="21"/>
          <w:szCs w:val="21"/>
          <w:highlight w:val="none"/>
          <w:lang w:val="zh-CN" w:eastAsia="zh-CN"/>
        </w:rPr>
        <w:t>297</w:t>
      </w:r>
      <w:r>
        <w:rPr>
          <w:rFonts w:hint="eastAsia"/>
          <w:color w:val="auto"/>
          <w:sz w:val="21"/>
          <w:szCs w:val="21"/>
          <w:highlight w:val="none"/>
          <w:lang w:val="en-US" w:eastAsia="zh-CN"/>
        </w:rPr>
        <w:t>万m</w:t>
      </w:r>
      <w:r>
        <w:rPr>
          <w:rFonts w:hint="eastAsia"/>
          <w:color w:val="auto"/>
          <w:sz w:val="21"/>
          <w:szCs w:val="21"/>
          <w:highlight w:val="none"/>
          <w:vertAlign w:val="superscript"/>
          <w:lang w:val="en-US" w:eastAsia="zh-CN"/>
        </w:rPr>
        <w:t>3</w:t>
      </w:r>
      <w:r>
        <w:rPr>
          <w:rFonts w:hint="eastAsia"/>
          <w:color w:val="auto"/>
          <w:sz w:val="21"/>
          <w:szCs w:val="21"/>
          <w:lang w:val="en-US" w:eastAsia="zh-CN"/>
        </w:rPr>
        <w:t>，所以正常来水或丰水年份，水库水量较为丰沛，能够在规定时间内使库水位维持在要求的范围内，水库可以满足灌溉用水要求。</w:t>
      </w:r>
    </w:p>
    <w:p w14:paraId="029FD2FF">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（2）枯水年份的调度原则及调度方式</w:t>
      </w:r>
    </w:p>
    <w:p w14:paraId="6F445A7A">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color w:val="auto"/>
          <w:sz w:val="21"/>
          <w:szCs w:val="21"/>
          <w:lang w:val="en-US" w:eastAsia="zh-CN"/>
        </w:rPr>
      </w:pPr>
      <w:r>
        <w:rPr>
          <w:rFonts w:hint="eastAsia"/>
          <w:color w:val="auto"/>
          <w:sz w:val="21"/>
          <w:szCs w:val="21"/>
          <w:lang w:val="en-US" w:eastAsia="zh-CN"/>
        </w:rPr>
        <w:t>当遇河川径流量小于或显著小于多年平均净流量的枯水年份，水库的综合调度应按照区分主次、保证重点、兼顾其他、减少损失的原则进行。要严格按照“一线两区”调度原则综合调度。</w:t>
      </w:r>
    </w:p>
    <w:p w14:paraId="02659755">
      <w:pPr>
        <w:pStyle w:val="22"/>
        <w:keepNext w:val="0"/>
        <w:keepLines w:val="0"/>
        <w:pageBreakBefore w:val="0"/>
        <w:kinsoku/>
        <w:wordWrap/>
        <w:overflowPunct/>
        <w:topLinePunct w:val="0"/>
        <w:autoSpaceDE/>
        <w:autoSpaceDN/>
        <w:bidi w:val="0"/>
        <w:adjustRightInd/>
        <w:snapToGrid/>
        <w:spacing w:after="0" w:afterLines="0"/>
        <w:ind w:left="0" w:leftChars="0"/>
        <w:textAlignment w:val="auto"/>
        <w:rPr>
          <w:rFonts w:hint="eastAsia"/>
          <w:b/>
          <w:bCs/>
          <w:color w:val="auto"/>
          <w:sz w:val="21"/>
          <w:szCs w:val="21"/>
          <w:lang w:val="en-US" w:eastAsia="zh-CN"/>
        </w:rPr>
      </w:pPr>
      <w:r>
        <w:rPr>
          <w:rFonts w:hint="eastAsia"/>
          <w:b/>
          <w:bCs/>
          <w:color w:val="auto"/>
          <w:sz w:val="21"/>
          <w:szCs w:val="21"/>
          <w:lang w:val="en-US" w:eastAsia="zh-CN"/>
        </w:rPr>
        <w:t>水库现有运行方案：</w:t>
      </w:r>
    </w:p>
    <w:p w14:paraId="391E7B9B">
      <w:pPr>
        <w:spacing w:line="360" w:lineRule="auto"/>
        <w:ind w:firstLine="420" w:firstLineChars="200"/>
        <w:rPr>
          <w:rFonts w:hint="eastAsia" w:ascii="宋体" w:hAnsi="宋体" w:eastAsia="宋体" w:cs="宋体"/>
          <w:color w:val="auto"/>
          <w:lang w:eastAsia="zh-CN"/>
        </w:rPr>
      </w:pPr>
      <w:r>
        <w:rPr>
          <w:rFonts w:hint="eastAsia" w:ascii="宋体" w:hAnsi="宋体" w:eastAsia="宋体" w:cs="宋体"/>
          <w:color w:val="auto"/>
          <w:sz w:val="21"/>
          <w:szCs w:val="21"/>
          <w:highlight w:val="none"/>
          <w:lang w:val="zh-CN" w:eastAsia="zh-CN"/>
        </w:rPr>
        <w:t>庆先</w:t>
      </w:r>
      <w:r>
        <w:rPr>
          <w:rFonts w:hint="eastAsia" w:ascii="宋体" w:hAnsi="宋体" w:eastAsia="宋体" w:cs="宋体"/>
          <w:color w:val="auto"/>
          <w:lang w:eastAsia="zh-CN"/>
        </w:rPr>
        <w:t>水库灌</w:t>
      </w:r>
      <w:r>
        <w:rPr>
          <w:rFonts w:hint="default" w:ascii="Times New Roman" w:hAnsi="Times New Roman" w:eastAsia="宋体" w:cs="Times New Roman"/>
          <w:color w:val="auto"/>
          <w:lang w:eastAsia="zh-CN"/>
        </w:rPr>
        <w:t>溉调度为全年调度，75%保证率灌溉用水量为</w:t>
      </w:r>
      <w:r>
        <w:rPr>
          <w:rFonts w:hint="default" w:ascii="Times New Roman" w:hAnsi="Times New Roman" w:eastAsia="宋体" w:cs="Times New Roman"/>
          <w:color w:val="auto"/>
          <w:sz w:val="21"/>
          <w:szCs w:val="21"/>
          <w:highlight w:val="none"/>
          <w:lang w:val="en-US" w:eastAsia="zh-CN"/>
        </w:rPr>
        <w:t>123</w:t>
      </w:r>
      <w:r>
        <w:rPr>
          <w:rFonts w:hint="default" w:ascii="Times New Roman" w:hAnsi="Times New Roman" w:eastAsia="宋体" w:cs="Times New Roman"/>
          <w:color w:val="auto"/>
          <w:lang w:eastAsia="zh-CN"/>
        </w:rPr>
        <w:t>万m</w:t>
      </w:r>
      <w:r>
        <w:rPr>
          <w:rFonts w:hint="default" w:ascii="Times New Roman" w:hAnsi="Times New Roman" w:eastAsia="宋体" w:cs="Times New Roman"/>
          <w:color w:val="auto"/>
          <w:vertAlign w:val="superscript"/>
          <w:lang w:eastAsia="zh-CN"/>
        </w:rPr>
        <w:t>3</w:t>
      </w:r>
      <w:r>
        <w:rPr>
          <w:rFonts w:hint="default" w:ascii="Times New Roman" w:hAnsi="Times New Roman" w:eastAsia="宋体" w:cs="Times New Roman"/>
          <w:color w:val="auto"/>
          <w:lang w:eastAsia="zh-CN"/>
        </w:rPr>
        <w:t>，取水水位在死水位以上。当入库流量小于溢洪道泄洪能力，控制泄量等于入库流量，使库水位维持在正常蓄水位</w:t>
      </w:r>
      <w:r>
        <w:rPr>
          <w:rFonts w:hint="default" w:ascii="Times New Roman" w:hAnsi="Times New Roman" w:eastAsia="宋体" w:cs="Times New Roman"/>
          <w:color w:val="auto"/>
          <w:sz w:val="21"/>
          <w:szCs w:val="21"/>
          <w:highlight w:val="none"/>
          <w:lang w:val="en-US" w:eastAsia="zh-CN"/>
        </w:rPr>
        <w:t>165.70</w:t>
      </w:r>
      <w:r>
        <w:rPr>
          <w:rFonts w:hint="default" w:ascii="Times New Roman" w:hAnsi="Times New Roman" w:eastAsia="宋体" w:cs="Times New Roman"/>
          <w:color w:val="auto"/>
          <w:highlight w:val="none"/>
          <w:lang w:eastAsia="zh-CN"/>
        </w:rPr>
        <w:t>m</w:t>
      </w:r>
      <w:r>
        <w:rPr>
          <w:rFonts w:hint="default" w:ascii="Times New Roman" w:hAnsi="Times New Roman" w:eastAsia="宋体" w:cs="Times New Roman"/>
          <w:color w:val="auto"/>
          <w:lang w:eastAsia="zh-CN"/>
        </w:rPr>
        <w:t>，</w:t>
      </w:r>
      <w:r>
        <w:rPr>
          <w:rFonts w:hint="eastAsia" w:ascii="宋体" w:hAnsi="宋体" w:eastAsia="宋体" w:cs="宋体"/>
          <w:color w:val="auto"/>
          <w:lang w:eastAsia="zh-CN"/>
        </w:rPr>
        <w:t>当入库流量大于溢洪道泄洪能力，水位持续升高则打开闸门，溢洪道自由出流。灌溉调度属于兴利调度，设一条灌溉供水控制线，将调度区域划分为两个区，即水库调度采用“一线两区”调度，两区为正常供水区和灌溉供水削减区。当水库水位在灌溉供水控制线以上时，即在正常供水区内时，水库正常供水；当水库水位在灌溉供水控制线以下时，即在灌溉供水削减区内时，水库削减灌溉供水量。</w:t>
      </w:r>
    </w:p>
    <w:p w14:paraId="652D7D76">
      <w:pPr>
        <w:pStyle w:val="55"/>
        <w:spacing w:line="360" w:lineRule="auto"/>
        <w:ind w:firstLine="422" w:firstLineChars="200"/>
        <w:jc w:val="both"/>
        <w:rPr>
          <w:rFonts w:hint="eastAsia"/>
          <w:b/>
          <w:bCs/>
          <w:color w:val="auto"/>
          <w:lang w:val="zh-CN" w:eastAsia="zh-CN"/>
        </w:rPr>
      </w:pPr>
      <w:r>
        <w:rPr>
          <w:rFonts w:hint="eastAsia"/>
          <w:b/>
          <w:bCs/>
          <w:color w:val="auto"/>
          <w:sz w:val="21"/>
          <w:szCs w:val="21"/>
          <w:lang w:val="en-US" w:eastAsia="zh-CN"/>
        </w:rPr>
        <w:t>水库现有</w:t>
      </w:r>
      <w:r>
        <w:rPr>
          <w:rFonts w:hint="default"/>
          <w:b/>
          <w:bCs/>
          <w:color w:val="auto"/>
          <w:lang w:val="zh-CN" w:eastAsia="zh-CN"/>
        </w:rPr>
        <w:t>水文情势</w:t>
      </w:r>
      <w:r>
        <w:rPr>
          <w:rFonts w:hint="eastAsia"/>
          <w:b/>
          <w:bCs/>
          <w:color w:val="auto"/>
          <w:lang w:val="zh-CN" w:eastAsia="zh-CN"/>
        </w:rPr>
        <w:t>：</w:t>
      </w:r>
    </w:p>
    <w:p w14:paraId="478DB553">
      <w:pPr>
        <w:spacing w:line="360" w:lineRule="auto"/>
        <w:ind w:firstLine="420" w:firstLineChars="20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highlight w:val="none"/>
        </w:rPr>
        <w:t>按照《水利水电工程等级划分及洪水标准》（SL252-2017），水库工程规模为</w:t>
      </w:r>
      <w:r>
        <w:rPr>
          <w:rFonts w:hint="default" w:ascii="Times New Roman" w:hAnsi="Times New Roman" w:cs="Times New Roman"/>
          <w:color w:val="auto"/>
          <w:highlight w:val="none"/>
          <w:lang w:eastAsia="zh-CN"/>
        </w:rPr>
        <w:t>小（I）</w:t>
      </w:r>
      <w:r>
        <w:rPr>
          <w:rFonts w:hint="default" w:ascii="Times New Roman" w:hAnsi="Times New Roman" w:cs="Times New Roman"/>
          <w:color w:val="auto"/>
          <w:szCs w:val="24"/>
          <w:highlight w:val="none"/>
        </w:rPr>
        <w:t>型，工程等别为</w:t>
      </w:r>
      <w:r>
        <w:rPr>
          <w:rFonts w:hint="default" w:ascii="Times New Roman" w:hAnsi="Times New Roman" w:cs="Times New Roman"/>
          <w:color w:val="auto"/>
          <w:highlight w:val="none"/>
          <w:lang w:eastAsia="zh-CN"/>
        </w:rPr>
        <w:t>Ⅳ</w:t>
      </w:r>
      <w:r>
        <w:rPr>
          <w:rFonts w:hint="default" w:ascii="Times New Roman" w:hAnsi="Times New Roman" w:cs="Times New Roman"/>
          <w:color w:val="auto"/>
          <w:szCs w:val="24"/>
          <w:highlight w:val="none"/>
        </w:rPr>
        <w:t>等，主要建筑物级别为</w:t>
      </w:r>
      <w:r>
        <w:rPr>
          <w:rFonts w:hint="eastAsia" w:cs="Times New Roman"/>
          <w:color w:val="auto"/>
          <w:szCs w:val="24"/>
          <w:highlight w:val="none"/>
          <w:lang w:val="en-US" w:eastAsia="zh-CN"/>
        </w:rPr>
        <w:t>4</w:t>
      </w:r>
      <w:r>
        <w:rPr>
          <w:rFonts w:hint="default" w:ascii="Times New Roman" w:hAnsi="Times New Roman" w:cs="Times New Roman"/>
          <w:color w:val="auto"/>
          <w:szCs w:val="24"/>
          <w:highlight w:val="none"/>
        </w:rPr>
        <w:t>级，设计洪水标准采用</w:t>
      </w:r>
      <w:r>
        <w:rPr>
          <w:rFonts w:hint="eastAsia" w:cs="Times New Roman"/>
          <w:color w:val="auto"/>
          <w:szCs w:val="24"/>
          <w:highlight w:val="none"/>
          <w:lang w:val="en-US" w:eastAsia="zh-CN"/>
        </w:rPr>
        <w:t>2</w:t>
      </w:r>
      <w:r>
        <w:rPr>
          <w:rFonts w:hint="default" w:ascii="Times New Roman" w:hAnsi="Times New Roman" w:cs="Times New Roman"/>
          <w:color w:val="auto"/>
          <w:szCs w:val="24"/>
          <w:highlight w:val="none"/>
        </w:rPr>
        <w:t>0年一遇、校核洪水标准采用</w:t>
      </w:r>
      <w:r>
        <w:rPr>
          <w:rFonts w:hint="eastAsia" w:cs="Times New Roman"/>
          <w:color w:val="auto"/>
          <w:szCs w:val="24"/>
          <w:highlight w:val="none"/>
          <w:lang w:val="en-US" w:eastAsia="zh-CN"/>
        </w:rPr>
        <w:t>1</w:t>
      </w:r>
      <w:r>
        <w:rPr>
          <w:rFonts w:hint="default" w:ascii="Times New Roman" w:hAnsi="Times New Roman" w:cs="Times New Roman"/>
          <w:color w:val="auto"/>
          <w:szCs w:val="24"/>
          <w:highlight w:val="none"/>
        </w:rPr>
        <w:t>00年一遇。水库正常蓄水位</w:t>
      </w:r>
      <w:r>
        <w:rPr>
          <w:rFonts w:hint="default" w:ascii="Times New Roman" w:hAnsi="Times New Roman" w:cs="Times New Roman"/>
          <w:color w:val="auto"/>
          <w:highlight w:val="none"/>
          <w:lang w:val="en-US" w:eastAsia="zh-CN"/>
        </w:rPr>
        <w:t>165.70m</w:t>
      </w:r>
      <w:r>
        <w:rPr>
          <w:rFonts w:hint="default" w:ascii="Times New Roman" w:hAnsi="Times New Roman" w:cs="Times New Roman"/>
          <w:color w:val="auto"/>
          <w:szCs w:val="24"/>
          <w:highlight w:val="none"/>
        </w:rPr>
        <w:t>，相应库容</w:t>
      </w:r>
      <w:r>
        <w:rPr>
          <w:rFonts w:hint="eastAsia" w:cs="Times New Roman"/>
          <w:color w:val="auto"/>
          <w:szCs w:val="24"/>
          <w:highlight w:val="none"/>
          <w:lang w:val="en-US" w:eastAsia="zh-CN"/>
        </w:rPr>
        <w:t>109.93</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3</w:t>
      </w:r>
      <w:r>
        <w:rPr>
          <w:rFonts w:hint="default" w:ascii="Times New Roman" w:hAnsi="Times New Roman" w:cs="Times New Roman"/>
          <w:color w:val="auto"/>
          <w:szCs w:val="24"/>
          <w:highlight w:val="none"/>
        </w:rPr>
        <w:t>；死水位1</w:t>
      </w:r>
      <w:r>
        <w:rPr>
          <w:rFonts w:hint="eastAsia" w:cs="Times New Roman"/>
          <w:color w:val="auto"/>
          <w:szCs w:val="24"/>
          <w:highlight w:val="none"/>
          <w:lang w:val="en-US" w:eastAsia="zh-CN"/>
        </w:rPr>
        <w:t>63.</w:t>
      </w:r>
      <w:r>
        <w:rPr>
          <w:rFonts w:hint="default" w:ascii="Times New Roman" w:hAnsi="Times New Roman" w:cs="Times New Roman"/>
          <w:color w:val="auto"/>
          <w:szCs w:val="24"/>
          <w:highlight w:val="none"/>
        </w:rPr>
        <w:t>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szCs w:val="24"/>
          <w:highlight w:val="none"/>
        </w:rPr>
        <w:t>，相应库容</w:t>
      </w:r>
      <w:r>
        <w:rPr>
          <w:rFonts w:hint="eastAsia" w:cs="Times New Roman"/>
          <w:color w:val="auto"/>
          <w:szCs w:val="24"/>
          <w:highlight w:val="none"/>
          <w:lang w:val="en-US" w:eastAsia="zh-CN"/>
        </w:rPr>
        <w:t>11.06</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3</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2</w:t>
      </w:r>
      <w:r>
        <w:rPr>
          <w:rFonts w:hint="default" w:ascii="Times New Roman" w:hAnsi="Times New Roman" w:cs="Times New Roman"/>
          <w:color w:val="auto"/>
          <w:szCs w:val="24"/>
          <w:highlight w:val="none"/>
        </w:rPr>
        <w:t>0年一遇洪水标准设计，设计洪水位</w:t>
      </w:r>
      <w:r>
        <w:rPr>
          <w:rFonts w:hint="default" w:ascii="Times New Roman" w:hAnsi="Times New Roman" w:cs="Times New Roman"/>
          <w:color w:val="auto"/>
          <w:highlight w:val="none"/>
          <w:lang w:val="en-US"/>
        </w:rPr>
        <w:t>167.23</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szCs w:val="24"/>
          <w:highlight w:val="none"/>
        </w:rPr>
        <w:t>，相应库容</w:t>
      </w:r>
      <w:r>
        <w:rPr>
          <w:rFonts w:hint="default" w:ascii="Times New Roman" w:hAnsi="Times New Roman" w:cs="Times New Roman"/>
          <w:color w:val="auto"/>
          <w:highlight w:val="none"/>
          <w:lang w:val="en-US"/>
        </w:rPr>
        <w:t>169.76</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eastAsia" w:cs="Times New Roman"/>
          <w:color w:val="auto"/>
          <w:szCs w:val="24"/>
          <w:highlight w:val="none"/>
          <w:lang w:eastAsia="zh-CN"/>
        </w:rPr>
        <w:t>，</w:t>
      </w:r>
      <w:r>
        <w:rPr>
          <w:rFonts w:hint="default" w:ascii="Times New Roman" w:hAnsi="Times New Roman" w:cs="Times New Roman"/>
          <w:color w:val="auto"/>
          <w:highlight w:val="none"/>
        </w:rPr>
        <w:t>相应最大泄量为</w:t>
      </w:r>
      <w:r>
        <w:rPr>
          <w:rFonts w:hint="default" w:ascii="Times New Roman" w:hAnsi="Times New Roman" w:cs="Times New Roman"/>
          <w:color w:val="auto"/>
          <w:highlight w:val="none"/>
          <w:lang w:val="en-US"/>
        </w:rPr>
        <w:t>27.52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1</w:t>
      </w:r>
      <w:r>
        <w:rPr>
          <w:rFonts w:hint="default" w:ascii="Times New Roman" w:hAnsi="Times New Roman" w:cs="Times New Roman"/>
          <w:color w:val="auto"/>
          <w:szCs w:val="24"/>
          <w:highlight w:val="none"/>
        </w:rPr>
        <w:t>00年一遇洪水标准校核，校核洪水位</w:t>
      </w:r>
      <w:r>
        <w:rPr>
          <w:rFonts w:hint="default" w:ascii="Times New Roman" w:hAnsi="Times New Roman" w:cs="Times New Roman"/>
          <w:color w:val="auto"/>
          <w:highlight w:val="none"/>
        </w:rPr>
        <w:t>167.88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szCs w:val="24"/>
          <w:highlight w:val="none"/>
        </w:rPr>
        <w:t>，校核总库容</w:t>
      </w:r>
      <w:r>
        <w:rPr>
          <w:rFonts w:hint="eastAsia" w:cs="Times New Roman"/>
          <w:color w:val="auto"/>
          <w:highlight w:val="none"/>
          <w:lang w:val="en-US" w:eastAsia="zh-CN"/>
        </w:rPr>
        <w:t>207.00</w:t>
      </w:r>
      <w:r>
        <w:rPr>
          <w:rFonts w:hint="default" w:ascii="Times New Roman" w:hAnsi="Times New Roman" w:cs="Times New Roman"/>
          <w:color w:val="auto"/>
          <w:szCs w:val="24"/>
          <w:highlight w:val="none"/>
        </w:rPr>
        <w:t>万</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eastAsia" w:ascii="Times New Roman" w:hAnsi="Times New Roman" w:eastAsia="宋体" w:cs="Times New Roman"/>
          <w:color w:val="auto"/>
          <w:szCs w:val="24"/>
          <w:highlight w:val="none"/>
          <w:lang w:eastAsia="zh-CN"/>
        </w:rPr>
        <w:t>，</w:t>
      </w:r>
      <w:r>
        <w:rPr>
          <w:rFonts w:hint="default" w:ascii="Times New Roman" w:hAnsi="Times New Roman" w:cs="Times New Roman"/>
          <w:color w:val="auto"/>
          <w:highlight w:val="none"/>
        </w:rPr>
        <w:t>相应最大泄量为</w:t>
      </w:r>
      <w:r>
        <w:rPr>
          <w:rFonts w:hint="default" w:ascii="Times New Roman" w:hAnsi="Times New Roman" w:cs="Times New Roman"/>
          <w:color w:val="auto"/>
          <w:highlight w:val="none"/>
          <w:lang w:val="en-US"/>
        </w:rPr>
        <w:t>59.43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eastAsia" w:ascii="Times New Roman" w:hAnsi="Times New Roman" w:eastAsia="宋体" w:cs="Times New Roman"/>
          <w:color w:val="auto"/>
          <w:szCs w:val="24"/>
          <w:highlight w:val="none"/>
          <w:lang w:val="en-US" w:eastAsia="zh-CN"/>
        </w:rPr>
        <w:t>。水库自建设以来</w:t>
      </w:r>
      <w:r>
        <w:rPr>
          <w:rFonts w:hint="eastAsia" w:cs="Times New Roman"/>
          <w:color w:val="auto"/>
          <w:szCs w:val="24"/>
          <w:highlight w:val="none"/>
          <w:lang w:val="en-US" w:eastAsia="zh-CN"/>
        </w:rPr>
        <w:t>未</w:t>
      </w:r>
      <w:r>
        <w:rPr>
          <w:rFonts w:hint="eastAsia" w:ascii="Times New Roman" w:hAnsi="Times New Roman" w:eastAsia="宋体" w:cs="Times New Roman"/>
          <w:color w:val="auto"/>
          <w:szCs w:val="24"/>
          <w:highlight w:val="none"/>
          <w:lang w:val="en-US" w:eastAsia="zh-CN"/>
        </w:rPr>
        <w:t>改变</w:t>
      </w:r>
      <w:r>
        <w:rPr>
          <w:rFonts w:hint="eastAsia" w:cs="Times New Roman"/>
          <w:color w:val="auto"/>
          <w:szCs w:val="24"/>
          <w:highlight w:val="none"/>
          <w:lang w:val="en-US" w:eastAsia="zh-CN"/>
        </w:rPr>
        <w:t>水库</w:t>
      </w:r>
      <w:r>
        <w:rPr>
          <w:rFonts w:hint="eastAsia" w:ascii="Times New Roman" w:hAnsi="Times New Roman" w:eastAsia="宋体" w:cs="Times New Roman"/>
          <w:color w:val="auto"/>
          <w:szCs w:val="24"/>
          <w:highlight w:val="none"/>
          <w:lang w:val="en-US" w:eastAsia="zh-CN"/>
        </w:rPr>
        <w:t>下游水文情势，</w:t>
      </w:r>
      <w:r>
        <w:rPr>
          <w:rFonts w:hint="eastAsia" w:cs="Times New Roman"/>
          <w:color w:val="auto"/>
          <w:szCs w:val="24"/>
          <w:highlight w:val="none"/>
          <w:lang w:val="en-US" w:eastAsia="zh-CN"/>
        </w:rPr>
        <w:t>未</w:t>
      </w:r>
      <w:r>
        <w:rPr>
          <w:rFonts w:hint="eastAsia" w:ascii="Times New Roman" w:hAnsi="Times New Roman" w:eastAsia="宋体" w:cs="Times New Roman"/>
          <w:color w:val="auto"/>
          <w:szCs w:val="24"/>
          <w:highlight w:val="none"/>
          <w:lang w:val="en-US" w:eastAsia="zh-CN"/>
        </w:rPr>
        <w:t>造成不利生态环境影响</w:t>
      </w:r>
      <w:r>
        <w:rPr>
          <w:rFonts w:hint="eastAsia" w:cs="Times New Roman"/>
          <w:color w:val="auto"/>
          <w:szCs w:val="24"/>
          <w:highlight w:val="none"/>
          <w:lang w:val="en-US" w:eastAsia="zh-CN"/>
        </w:rPr>
        <w:t>。</w:t>
      </w:r>
    </w:p>
    <w:p w14:paraId="2E567D65">
      <w:pPr>
        <w:pStyle w:val="56"/>
        <w:keepNext w:val="0"/>
        <w:keepLines w:val="0"/>
        <w:pageBreakBefore w:val="0"/>
        <w:widowControl w:val="0"/>
        <w:kinsoku/>
        <w:wordWrap/>
        <w:overflowPunct/>
        <w:topLinePunct w:val="0"/>
        <w:autoSpaceDE/>
        <w:autoSpaceDN/>
        <w:bidi w:val="0"/>
        <w:adjustRightInd/>
        <w:snapToGrid/>
        <w:ind w:left="0" w:leftChars="0" w:firstLine="422" w:firstLineChars="200"/>
        <w:jc w:val="both"/>
        <w:textAlignment w:val="auto"/>
        <w:rPr>
          <w:rFonts w:hint="eastAsia" w:ascii="Times New Roman" w:hAnsi="Times New Roman" w:cs="Times New Roman" w:eastAsiaTheme="minorEastAsia"/>
          <w:color w:val="auto"/>
          <w:sz w:val="21"/>
          <w:szCs w:val="21"/>
          <w:lang w:val="zh-CN" w:eastAsia="zh-CN"/>
        </w:rPr>
      </w:pPr>
      <w:r>
        <w:rPr>
          <w:rFonts w:hint="eastAsia" w:asciiTheme="minorEastAsia" w:hAnsiTheme="minorEastAsia" w:eastAsiaTheme="minorEastAsia" w:cstheme="minorEastAsia"/>
          <w:b/>
          <w:bCs/>
          <w:color w:val="auto"/>
          <w:sz w:val="21"/>
          <w:szCs w:val="21"/>
          <w:highlight w:val="none"/>
          <w:lang w:val="en-US" w:eastAsia="zh-CN"/>
        </w:rPr>
        <w:t>水库</w:t>
      </w:r>
      <w:r>
        <w:rPr>
          <w:rFonts w:hint="eastAsia" w:asciiTheme="minorEastAsia" w:hAnsiTheme="minorEastAsia" w:eastAsiaTheme="minorEastAsia" w:cstheme="minorEastAsia"/>
          <w:b/>
          <w:bCs/>
          <w:color w:val="auto"/>
          <w:sz w:val="21"/>
          <w:szCs w:val="21"/>
          <w:highlight w:val="none"/>
        </w:rPr>
        <w:t>生态流量</w:t>
      </w:r>
      <w:r>
        <w:rPr>
          <w:rFonts w:hint="eastAsia" w:asciiTheme="minorEastAsia" w:hAnsiTheme="minorEastAsia" w:eastAsiaTheme="minorEastAsia" w:cstheme="minorEastAsia"/>
          <w:b/>
          <w:bCs/>
          <w:color w:val="auto"/>
          <w:sz w:val="21"/>
          <w:szCs w:val="21"/>
          <w:highlight w:val="none"/>
          <w:lang w:eastAsia="zh-CN"/>
        </w:rPr>
        <w:t>：</w:t>
      </w:r>
    </w:p>
    <w:p w14:paraId="013EC83E">
      <w:pPr>
        <w:pStyle w:val="56"/>
        <w:keepNext w:val="0"/>
        <w:keepLines w:val="0"/>
        <w:pageBreakBefore w:val="0"/>
        <w:widowControl w:val="0"/>
        <w:kinsoku/>
        <w:wordWrap/>
        <w:overflowPunct/>
        <w:topLinePunct w:val="0"/>
        <w:autoSpaceDE/>
        <w:autoSpaceDN/>
        <w:bidi w:val="0"/>
        <w:adjustRightInd/>
        <w:snapToGrid/>
        <w:ind w:left="0" w:leftChars="0"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庆先水库在</w:t>
      </w:r>
      <w:r>
        <w:rPr>
          <w:rFonts w:hint="default" w:ascii="Times New Roman" w:hAnsi="Times New Roman" w:eastAsia="宋体" w:cs="Times New Roman"/>
          <w:color w:val="auto"/>
          <w:sz w:val="21"/>
          <w:szCs w:val="21"/>
          <w:highlight w:val="none"/>
        </w:rPr>
        <w:t>正常水位情况下165.70m，现状输水洞过流能力为Q=4.82m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/s，丰水期生态流量为0.455m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/s，枯水期生态流量为0.275m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kern w:val="0"/>
          <w:sz w:val="21"/>
          <w:szCs w:val="21"/>
          <w:highlight w:val="none"/>
          <w:lang w:val="en-US" w:eastAsia="zh-CN"/>
        </w:rPr>
        <w:t>多年平均</w:t>
      </w:r>
      <w:r>
        <w:rPr>
          <w:rFonts w:hint="default" w:ascii="Times New Roman" w:hAnsi="Times New Roman" w:eastAsia="宋体" w:cs="Times New Roman"/>
          <w:color w:val="auto"/>
          <w:sz w:val="21"/>
          <w:szCs w:val="21"/>
          <w:highlight w:val="none"/>
          <w:lang w:val="zh-CN" w:eastAsia="zh-CN"/>
        </w:rPr>
        <w:t>径流</w:t>
      </w:r>
      <w:r>
        <w:rPr>
          <w:rFonts w:hint="default" w:ascii="Times New Roman" w:hAnsi="Times New Roman" w:eastAsia="宋体" w:cs="Times New Roman"/>
          <w:color w:val="auto"/>
          <w:kern w:val="0"/>
          <w:sz w:val="21"/>
          <w:szCs w:val="21"/>
          <w:highlight w:val="none"/>
          <w:lang w:val="en-US" w:eastAsia="zh-CN"/>
        </w:rPr>
        <w:t>量为0.75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sz w:val="21"/>
          <w:szCs w:val="21"/>
          <w:highlight w:val="none"/>
          <w:lang w:val="zh-CN" w:eastAsia="zh-CN"/>
        </w:rPr>
        <w:t>现状下泄水量能够满足最小生态流量要求，未造成水库下游生态环境破坏</w:t>
      </w:r>
      <w:r>
        <w:rPr>
          <w:rFonts w:hint="eastAsia" w:ascii="Times New Roman" w:hAnsi="Times New Roman" w:eastAsia="宋体" w:cs="Times New Roman"/>
          <w:color w:val="auto"/>
          <w:sz w:val="21"/>
          <w:szCs w:val="21"/>
          <w:highlight w:val="none"/>
          <w:lang w:val="zh-CN" w:eastAsia="zh-CN"/>
        </w:rPr>
        <w:t>。</w:t>
      </w:r>
    </w:p>
    <w:p w14:paraId="6ED28689">
      <w:pPr>
        <w:pStyle w:val="55"/>
        <w:spacing w:line="360" w:lineRule="auto"/>
        <w:ind w:firstLine="422" w:firstLineChars="200"/>
        <w:jc w:val="both"/>
        <w:rPr>
          <w:rFonts w:hint="eastAsia"/>
          <w:b/>
          <w:bCs/>
          <w:color w:val="auto"/>
          <w:sz w:val="21"/>
          <w:szCs w:val="21"/>
          <w:highlight w:val="none"/>
          <w:lang w:val="en-US" w:eastAsia="zh-CN"/>
        </w:rPr>
      </w:pPr>
      <w:r>
        <w:rPr>
          <w:rFonts w:hint="eastAsia"/>
          <w:b/>
          <w:bCs/>
          <w:color w:val="auto"/>
          <w:sz w:val="21"/>
          <w:szCs w:val="21"/>
          <w:highlight w:val="none"/>
          <w:lang w:val="en-US" w:eastAsia="zh-CN"/>
        </w:rPr>
        <w:t>原有工程环保手续履行情况：</w:t>
      </w:r>
    </w:p>
    <w:p w14:paraId="2396F797">
      <w:pPr>
        <w:pStyle w:val="64"/>
        <w:keepNext w:val="0"/>
        <w:keepLines w:val="0"/>
        <w:pageBreakBefore w:val="0"/>
        <w:widowControl/>
        <w:kinsoku/>
        <w:wordWrap/>
        <w:overflowPunct/>
        <w:topLinePunct w:val="0"/>
        <w:autoSpaceDE/>
        <w:autoSpaceDN/>
        <w:bidi w:val="0"/>
        <w:adjustRightInd/>
        <w:snapToGrid/>
        <w:ind w:firstLine="480"/>
        <w:textAlignment w:val="auto"/>
        <w:rPr>
          <w:color w:val="auto"/>
          <w:kern w:val="0"/>
          <w:sz w:val="21"/>
          <w:szCs w:val="21"/>
          <w:highlight w:val="none"/>
        </w:rPr>
      </w:pPr>
      <w:r>
        <w:rPr>
          <w:color w:val="auto"/>
          <w:kern w:val="0"/>
          <w:sz w:val="21"/>
          <w:szCs w:val="21"/>
          <w:highlight w:val="none"/>
        </w:rPr>
        <w:t>由于</w:t>
      </w:r>
      <w:r>
        <w:rPr>
          <w:rFonts w:hint="default" w:ascii="Times New Roman" w:hAnsi="Times New Roman" w:eastAsia="宋体" w:cs="Times New Roman"/>
          <w:color w:val="auto"/>
          <w:sz w:val="21"/>
          <w:szCs w:val="21"/>
          <w:highlight w:val="none"/>
          <w:lang w:val="zh-CN" w:eastAsia="zh-CN"/>
        </w:rPr>
        <w:t>庆先</w:t>
      </w:r>
      <w:r>
        <w:rPr>
          <w:color w:val="auto"/>
          <w:kern w:val="0"/>
          <w:sz w:val="21"/>
          <w:szCs w:val="21"/>
          <w:highlight w:val="none"/>
        </w:rPr>
        <w:t>水库建设早于《中华人民共和国环境保护法》的实施时间，未进行环境影响评价，未单独履行竣工环保验收手续。</w:t>
      </w:r>
    </w:p>
    <w:p w14:paraId="45110D7F">
      <w:pPr>
        <w:pStyle w:val="64"/>
        <w:keepNext w:val="0"/>
        <w:keepLines w:val="0"/>
        <w:pageBreakBefore w:val="0"/>
        <w:widowControl/>
        <w:kinsoku/>
        <w:wordWrap/>
        <w:overflowPunct/>
        <w:topLinePunct w:val="0"/>
        <w:autoSpaceDE/>
        <w:autoSpaceDN/>
        <w:bidi w:val="0"/>
        <w:adjustRightInd/>
        <w:snapToGrid/>
        <w:ind w:firstLine="480"/>
        <w:textAlignment w:val="auto"/>
        <w:rPr>
          <w:color w:val="auto"/>
          <w:kern w:val="0"/>
          <w:sz w:val="21"/>
          <w:szCs w:val="21"/>
          <w:highlight w:val="none"/>
        </w:rPr>
      </w:pPr>
      <w:r>
        <w:rPr>
          <w:rFonts w:hint="eastAsia"/>
          <w:b/>
          <w:bCs/>
          <w:color w:val="auto"/>
          <w:sz w:val="21"/>
          <w:szCs w:val="21"/>
          <w:highlight w:val="none"/>
          <w:lang w:val="en-US" w:eastAsia="zh-CN"/>
        </w:rPr>
        <w:t>原有工程现状及主要问题：</w:t>
      </w:r>
    </w:p>
    <w:p w14:paraId="15E57E97">
      <w:pPr>
        <w:pStyle w:val="64"/>
        <w:keepNext w:val="0"/>
        <w:keepLines w:val="0"/>
        <w:pageBreakBefore w:val="0"/>
        <w:widowControl/>
        <w:kinsoku/>
        <w:wordWrap/>
        <w:overflowPunct/>
        <w:topLinePunct w:val="0"/>
        <w:autoSpaceDE/>
        <w:autoSpaceDN/>
        <w:bidi w:val="0"/>
        <w:adjustRightInd/>
        <w:snapToGrid/>
        <w:ind w:firstLine="480"/>
        <w:textAlignment w:val="auto"/>
        <w:rPr>
          <w:color w:val="auto"/>
          <w:kern w:val="0"/>
          <w:sz w:val="21"/>
          <w:szCs w:val="21"/>
          <w:highlight w:val="none"/>
        </w:rPr>
      </w:pPr>
      <w:r>
        <w:rPr>
          <w:color w:val="auto"/>
          <w:kern w:val="0"/>
          <w:sz w:val="21"/>
          <w:szCs w:val="21"/>
          <w:highlight w:val="none"/>
        </w:rPr>
        <w:t>根据现场调查和收集到的资料，水库所在地区为农村地区，库区及坝址上游汇水范围内无工业污染源、畜禽养殖污染源、集中式污水处理厂尾水污染源等，在水库运行过程中无噪声产生，</w:t>
      </w:r>
      <w:r>
        <w:rPr>
          <w:rFonts w:hint="eastAsia"/>
          <w:color w:val="auto"/>
          <w:kern w:val="0"/>
          <w:sz w:val="21"/>
          <w:szCs w:val="21"/>
          <w:highlight w:val="none"/>
        </w:rPr>
        <w:t>管理站房不设置供热锅炉，不设置食堂，不涉及相关污染源。</w:t>
      </w:r>
      <w:r>
        <w:rPr>
          <w:color w:val="auto"/>
          <w:kern w:val="0"/>
          <w:sz w:val="21"/>
          <w:szCs w:val="21"/>
          <w:highlight w:val="none"/>
        </w:rPr>
        <w:t>水库现状营运期生活垃圾交环卫部门处理，生活污水</w:t>
      </w:r>
      <w:r>
        <w:rPr>
          <w:rFonts w:hint="default" w:ascii="Times New Roman" w:hAnsi="Times New Roman" w:cs="Times New Roman" w:eastAsiaTheme="minorEastAsia"/>
          <w:color w:val="auto"/>
          <w:kern w:val="0"/>
          <w:sz w:val="21"/>
          <w:szCs w:val="21"/>
          <w:highlight w:val="none"/>
          <w:lang w:eastAsia="zh-CN"/>
        </w:rPr>
        <w:t>排入防渗旱厕</w:t>
      </w:r>
      <w:r>
        <w:rPr>
          <w:rFonts w:hint="default" w:ascii="Times New Roman" w:hAnsi="Times New Roman" w:cs="Times New Roman" w:eastAsiaTheme="minorEastAsia"/>
          <w:color w:val="auto"/>
          <w:kern w:val="0"/>
          <w:sz w:val="21"/>
          <w:szCs w:val="21"/>
          <w:highlight w:val="none"/>
          <w:lang w:val="en-US" w:eastAsia="zh-CN"/>
        </w:rPr>
        <w:t>，</w:t>
      </w:r>
      <w:r>
        <w:rPr>
          <w:rFonts w:hint="default" w:ascii="Times New Roman" w:hAnsi="Times New Roman" w:cs="Times New Roman" w:eastAsiaTheme="minorEastAsia"/>
          <w:color w:val="auto"/>
          <w:kern w:val="0"/>
          <w:sz w:val="21"/>
          <w:szCs w:val="21"/>
          <w:highlight w:val="none"/>
        </w:rPr>
        <w:t>定期清掏外运做农肥</w:t>
      </w:r>
      <w:r>
        <w:rPr>
          <w:color w:val="auto"/>
          <w:kern w:val="0"/>
          <w:sz w:val="21"/>
          <w:szCs w:val="21"/>
          <w:highlight w:val="none"/>
        </w:rPr>
        <w:t>。</w:t>
      </w:r>
      <w:r>
        <w:rPr>
          <w:rFonts w:hint="eastAsia"/>
          <w:color w:val="auto"/>
          <w:kern w:val="0"/>
          <w:sz w:val="21"/>
          <w:szCs w:val="21"/>
          <w:highlight w:val="none"/>
        </w:rPr>
        <w:t>本</w:t>
      </w:r>
      <w:r>
        <w:rPr>
          <w:rFonts w:hint="eastAsia"/>
          <w:color w:val="auto"/>
          <w:kern w:val="0"/>
          <w:sz w:val="21"/>
          <w:szCs w:val="21"/>
          <w:highlight w:val="none"/>
          <w:lang w:val="en-US" w:eastAsia="zh-CN"/>
        </w:rPr>
        <w:t>次工程不建设</w:t>
      </w:r>
      <w:r>
        <w:rPr>
          <w:rFonts w:hint="eastAsia"/>
          <w:color w:val="auto"/>
          <w:kern w:val="0"/>
          <w:sz w:val="21"/>
          <w:szCs w:val="21"/>
          <w:highlight w:val="none"/>
        </w:rPr>
        <w:t>相关基础设施，不涉及</w:t>
      </w:r>
      <w:r>
        <w:rPr>
          <w:rFonts w:hint="eastAsia"/>
          <w:color w:val="auto"/>
          <w:kern w:val="0"/>
          <w:sz w:val="21"/>
          <w:szCs w:val="21"/>
          <w:highlight w:val="none"/>
          <w:lang w:eastAsia="zh-CN"/>
        </w:rPr>
        <w:t>“</w:t>
      </w:r>
      <w:r>
        <w:rPr>
          <w:rFonts w:hint="eastAsia"/>
          <w:color w:val="auto"/>
          <w:kern w:val="0"/>
          <w:sz w:val="21"/>
          <w:szCs w:val="21"/>
          <w:highlight w:val="none"/>
        </w:rPr>
        <w:t>以新带老</w:t>
      </w:r>
      <w:r>
        <w:rPr>
          <w:rFonts w:hint="eastAsia"/>
          <w:color w:val="auto"/>
          <w:kern w:val="0"/>
          <w:sz w:val="21"/>
          <w:szCs w:val="21"/>
          <w:highlight w:val="none"/>
          <w:lang w:eastAsia="zh-CN"/>
        </w:rPr>
        <w:t>”</w:t>
      </w:r>
      <w:r>
        <w:rPr>
          <w:rFonts w:hint="eastAsia"/>
          <w:color w:val="auto"/>
          <w:kern w:val="0"/>
          <w:sz w:val="21"/>
          <w:szCs w:val="21"/>
          <w:highlight w:val="none"/>
        </w:rPr>
        <w:t>相关内容。</w:t>
      </w:r>
    </w:p>
    <w:p w14:paraId="198D145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目前水库周边生态环境良好，无生态破坏现象。根据环境质量数据，地表水环境质量现状良好，无水质污染现象。不存在与项目有关的原有环境污染和生态破坏问题</w:t>
      </w:r>
      <w:r>
        <w:rPr>
          <w:rFonts w:hint="eastAsia" w:cs="Times New Roman"/>
          <w:color w:val="auto"/>
          <w:kern w:val="0"/>
          <w:sz w:val="21"/>
          <w:szCs w:val="21"/>
          <w:highlight w:val="none"/>
          <w:lang w:val="en-US" w:eastAsia="zh-CN"/>
        </w:rPr>
        <w:t>。</w:t>
      </w:r>
    </w:p>
    <w:p w14:paraId="7290B29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color w:val="auto"/>
          <w:highlight w:val="none"/>
        </w:rPr>
      </w:pPr>
      <w:r>
        <w:rPr>
          <w:rFonts w:hint="default" w:ascii="Times New Roman" w:hAnsi="Times New Roman" w:eastAsia="宋体" w:cs="Times New Roman"/>
          <w:b w:val="0"/>
          <w:bCs w:val="0"/>
          <w:color w:val="auto"/>
          <w:spacing w:val="0"/>
          <w:kern w:val="0"/>
          <w:sz w:val="21"/>
          <w:szCs w:val="21"/>
          <w:highlight w:val="none"/>
        </w:rPr>
        <w:t>目前存在的主要问题有大坝防洪能力不足</w:t>
      </w:r>
      <w:r>
        <w:rPr>
          <w:rFonts w:hint="default" w:ascii="Times New Roman" w:hAnsi="Times New Roman" w:cs="Times New Roman"/>
          <w:color w:val="auto"/>
          <w:kern w:val="0"/>
          <w:sz w:val="21"/>
          <w:szCs w:val="21"/>
          <w:highlight w:val="none"/>
          <w:lang w:val="en-US" w:eastAsia="zh-CN"/>
        </w:rPr>
        <w:t>，大坝下游排水系统不完善，下游护坡存在雨冲沟</w:t>
      </w:r>
      <w:r>
        <w:rPr>
          <w:rFonts w:hint="eastAsia" w:cs="Times New Roman"/>
          <w:color w:val="auto"/>
          <w:kern w:val="0"/>
          <w:sz w:val="21"/>
          <w:szCs w:val="21"/>
          <w:highlight w:val="none"/>
          <w:lang w:val="en-US" w:eastAsia="zh-CN"/>
        </w:rPr>
        <w:t>；溢洪道堰体露筋、剥蚀；</w:t>
      </w:r>
      <w:r>
        <w:rPr>
          <w:rFonts w:hint="default" w:ascii="Times New Roman" w:hAnsi="Times New Roman" w:cs="Times New Roman"/>
          <w:color w:val="auto"/>
          <w:kern w:val="0"/>
          <w:sz w:val="21"/>
          <w:szCs w:val="21"/>
          <w:highlight w:val="none"/>
          <w:lang w:val="en-US" w:eastAsia="zh-CN"/>
        </w:rPr>
        <w:t>输水洞进水塔倾斜严重，启闭螺杆弯曲变形，闸门及启闭机等局部变形、锈蚀</w:t>
      </w:r>
      <w:r>
        <w:rPr>
          <w:rFonts w:hint="eastAsia" w:cs="Times New Roman"/>
          <w:color w:val="auto"/>
          <w:kern w:val="0"/>
          <w:sz w:val="21"/>
          <w:szCs w:val="21"/>
          <w:highlight w:val="none"/>
          <w:lang w:val="en-US" w:eastAsia="zh-CN"/>
        </w:rPr>
        <w:t>；坝顶未硬化</w:t>
      </w:r>
      <w:r>
        <w:rPr>
          <w:rFonts w:hint="default"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庆先</w:t>
      </w:r>
      <w:r>
        <w:rPr>
          <w:rFonts w:hint="default" w:ascii="Times New Roman" w:hAnsi="Times New Roman" w:cs="Times New Roman"/>
          <w:color w:val="auto"/>
          <w:kern w:val="0"/>
          <w:sz w:val="21"/>
          <w:szCs w:val="21"/>
          <w:highlight w:val="none"/>
          <w:lang w:val="en-US" w:eastAsia="zh-CN"/>
        </w:rPr>
        <w:t>水库大坝安全分类为“三类坝”，应开展除险加固消除险情和安全隐患。</w:t>
      </w:r>
      <w:r>
        <w:rPr>
          <w:rFonts w:hint="eastAsia" w:ascii="Times New Roman" w:hAnsi="Times New Roman" w:cs="Times New Roman"/>
          <w:color w:val="auto"/>
          <w:kern w:val="0"/>
          <w:sz w:val="21"/>
          <w:szCs w:val="21"/>
          <w:highlight w:val="none"/>
          <w:lang w:val="en-US" w:eastAsia="zh-CN"/>
        </w:rPr>
        <w:t>本</w:t>
      </w:r>
      <w:r>
        <w:rPr>
          <w:color w:val="auto"/>
          <w:kern w:val="0"/>
          <w:sz w:val="21"/>
          <w:szCs w:val="21"/>
          <w:highlight w:val="none"/>
        </w:rPr>
        <w:t>项目水库除险加固工程的实施可消除各种工程隐患，确保现状水库的安全运行及下游人民生命财产的安全，并使其发挥正常的防洪、灌溉等效益，对区域环境产生的正面效益显著</w:t>
      </w:r>
      <w:r>
        <w:rPr>
          <w:rFonts w:hint="eastAsia"/>
          <w:color w:val="auto"/>
          <w:kern w:val="0"/>
          <w:sz w:val="21"/>
          <w:szCs w:val="21"/>
          <w:highlight w:val="none"/>
          <w:lang w:eastAsia="zh-CN"/>
        </w:rPr>
        <w:t>。</w:t>
      </w:r>
    </w:p>
    <w:p w14:paraId="63135A74">
      <w:pPr>
        <w:rPr>
          <w:rFonts w:hint="default"/>
          <w:color w:val="auto"/>
          <w:highlight w:val="none"/>
        </w:rPr>
      </w:pPr>
    </w:p>
    <w:p w14:paraId="6347972E">
      <w:pPr>
        <w:rPr>
          <w:rFonts w:hint="default"/>
          <w:color w:val="auto"/>
          <w:highlight w:val="none"/>
        </w:rPr>
      </w:pPr>
      <w:r>
        <w:rPr>
          <w:rFonts w:hint="default"/>
          <w:color w:val="auto"/>
          <w:highlight w:val="none"/>
        </w:rPr>
        <w:br w:type="page"/>
      </w:r>
    </w:p>
    <w:p w14:paraId="3D82CFA7">
      <w:pPr>
        <w:pStyle w:val="2"/>
        <w:ind w:left="0" w:firstLine="0"/>
        <w:rPr>
          <w:rFonts w:hint="default" w:ascii="Times New Roman" w:hAnsi="Times New Roman" w:cs="Times New Roman"/>
          <w:color w:val="auto"/>
          <w:highlight w:val="none"/>
        </w:rPr>
      </w:pPr>
      <w:bookmarkStart w:id="128" w:name="_Toc7428"/>
      <w:bookmarkStart w:id="129" w:name="_Toc25054"/>
      <w:bookmarkStart w:id="130" w:name="_Toc7607"/>
      <w:bookmarkStart w:id="131" w:name="_Toc12517"/>
      <w:bookmarkStart w:id="132" w:name="_Toc32532"/>
      <w:r>
        <w:rPr>
          <w:rFonts w:hint="eastAsia" w:cs="Times New Roman"/>
          <w:color w:val="auto"/>
          <w:highlight w:val="none"/>
          <w:lang w:val="en-US" w:eastAsia="zh-CN"/>
        </w:rPr>
        <w:t>3</w:t>
      </w:r>
      <w:bookmarkEnd w:id="119"/>
      <w:r>
        <w:rPr>
          <w:rFonts w:hint="eastAsia" w:cs="Times New Roman"/>
          <w:color w:val="auto"/>
          <w:highlight w:val="none"/>
          <w:lang w:val="en-US" w:eastAsia="zh-CN"/>
        </w:rPr>
        <w:t>环境现状调查与评价</w:t>
      </w:r>
      <w:bookmarkEnd w:id="128"/>
      <w:bookmarkEnd w:id="129"/>
      <w:bookmarkEnd w:id="130"/>
      <w:bookmarkEnd w:id="131"/>
      <w:bookmarkEnd w:id="132"/>
    </w:p>
    <w:p w14:paraId="75A91D16">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b/>
          <w:bCs/>
          <w:color w:val="auto"/>
          <w:sz w:val="24"/>
          <w:szCs w:val="24"/>
          <w:highlight w:val="none"/>
        </w:rPr>
      </w:pPr>
      <w:bookmarkStart w:id="133" w:name="_Toc27532"/>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.1自然环境概况</w:t>
      </w:r>
      <w:bookmarkEnd w:id="133"/>
    </w:p>
    <w:p w14:paraId="40545A3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（1）地形地貌</w:t>
      </w:r>
    </w:p>
    <w:p w14:paraId="0C95C31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工程区地处兴凯湖平原区</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海拔高程100m～600m之间。区内地表水系主要为穆棱河及其十余条支流</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河谷多呈不规则的“U”字型。区内大部分地区为构造剥蚀地形</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仅沿河谷水系发育有条带状堆积地形及山前坡脚处断续发育的剥蚀堆积地形。微地貌景观较发育</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主要有冲沟、洼地、沼泡等。地表组成物质为：低液限粘土(粉土)、级配不良砂等。</w:t>
      </w:r>
    </w:p>
    <w:p w14:paraId="78D408B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（2）气象气候</w:t>
      </w:r>
    </w:p>
    <w:p w14:paraId="07D31F3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eastAsia" w:cs="Times New Roman" w:eastAsiaTheme="minorEastAsia"/>
          <w:color w:val="auto"/>
          <w:sz w:val="21"/>
          <w:szCs w:val="21"/>
          <w:highlight w:val="none"/>
          <w:lang w:eastAsia="zh-CN"/>
        </w:rPr>
        <w:t>庆先</w:t>
      </w:r>
      <w:r>
        <w:rPr>
          <w:rFonts w:hint="default" w:ascii="Times New Roman" w:hAnsi="Times New Roman" w:cs="Times New Roman" w:eastAsiaTheme="minorEastAsia"/>
          <w:color w:val="auto"/>
          <w:sz w:val="21"/>
          <w:szCs w:val="21"/>
          <w:highlight w:val="none"/>
          <w:lang w:eastAsia="zh-CN"/>
        </w:rPr>
        <w:t>水库</w:t>
      </w:r>
      <w:r>
        <w:rPr>
          <w:rFonts w:hint="default" w:ascii="Times New Roman" w:hAnsi="Times New Roman" w:cs="Times New Roman" w:eastAsiaTheme="minorEastAsia"/>
          <w:color w:val="auto"/>
          <w:sz w:val="21"/>
          <w:szCs w:val="21"/>
          <w:highlight w:val="none"/>
        </w:rPr>
        <w:t>地处</w:t>
      </w:r>
      <w:r>
        <w:rPr>
          <w:rFonts w:hint="default" w:ascii="Times New Roman" w:hAnsi="Times New Roman" w:cs="Times New Roman"/>
          <w:bCs/>
          <w:color w:val="auto"/>
          <w:sz w:val="21"/>
          <w:szCs w:val="21"/>
          <w:highlight w:val="none"/>
        </w:rPr>
        <w:t>兴凯湖平原区</w:t>
      </w:r>
      <w:r>
        <w:rPr>
          <w:rFonts w:hint="default" w:ascii="Times New Roman" w:hAnsi="Times New Roman" w:cs="Times New Roman" w:eastAsiaTheme="minorEastAsia"/>
          <w:color w:val="auto"/>
          <w:sz w:val="21"/>
          <w:szCs w:val="21"/>
          <w:highlight w:val="none"/>
        </w:rPr>
        <w:t>。本区属温带大陆性季风气候，无霜期120天左右，年平均气温为2.3℃，1月最冷，平均气温-20.5℃，7月最热，平均气温21.6℃。年平均蒸发量1056-1128毫米，年平均降雨量666.1毫米，年平均相对湿度为72%。主要风向春季多为西南风，冬季多为西北风，融雪在3月下旬，结冻期约150-180天，全年日照2450-2600小时。场地季节性冻结标准冻深1.75m，需要考虑防冰冻措施。</w:t>
      </w:r>
    </w:p>
    <w:p w14:paraId="4AF9A0A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（3）植被</w:t>
      </w:r>
    </w:p>
    <w:p w14:paraId="015562F6">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rPr>
        <w:t>本项目位于密山市，</w:t>
      </w:r>
      <w:r>
        <w:rPr>
          <w:rFonts w:hint="default" w:ascii="Times New Roman" w:hAnsi="Times New Roman" w:cs="Times New Roman"/>
          <w:color w:val="auto"/>
          <w:kern w:val="0"/>
          <w:sz w:val="21"/>
          <w:szCs w:val="21"/>
          <w:highlight w:val="none"/>
          <w:lang w:eastAsia="zh-CN"/>
        </w:rPr>
        <w:t>密山市区域属于温带针阔叶混交林区，植物种类有300多种</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主要乔木树种有红松、云杉、赤松、樟子松、落叶松、柞树、椴树、水曲柳、黄菠萝、山杨、白桦、榆树、胡桃楸、唐槭、槐树、水冬瓜等。灌木有榛柴、杨树、杜鹃、丁香等上百种。藤本类有山葡萄、五味子等</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此外还有龙胆草、刺五加等名贵中草药及蕨菜、薇菜等山野菜和榛蘑、元蘑等菌类，资源十分丰富。</w:t>
      </w:r>
    </w:p>
    <w:p w14:paraId="16D62C8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r>
        <w:rPr>
          <w:rFonts w:hint="eastAsia" w:ascii="Times New Roman" w:hAnsi="Times New Roman" w:eastAsia="宋体" w:cs="Times New Roman"/>
          <w:color w:val="auto"/>
          <w:highlight w:val="none"/>
        </w:rPr>
        <w:t>动物</w:t>
      </w:r>
    </w:p>
    <w:p w14:paraId="0CF317A9">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highlight w:val="none"/>
        </w:rPr>
        <w:t>密山市野生动物资源种类繁多</w:t>
      </w:r>
      <w:r>
        <w:rPr>
          <w:rFonts w:hint="eastAsia" w:cs="Times New Roman"/>
          <w:color w:val="auto"/>
          <w:highlight w:val="none"/>
          <w:lang w:eastAsia="zh-CN"/>
        </w:rPr>
        <w:t>，</w:t>
      </w:r>
      <w:r>
        <w:rPr>
          <w:rFonts w:hint="eastAsia" w:ascii="Times New Roman" w:hAnsi="Times New Roman" w:eastAsia="宋体" w:cs="Times New Roman"/>
          <w:color w:val="auto"/>
          <w:highlight w:val="none"/>
        </w:rPr>
        <w:t>哺乳类动物有熊、鹿、獐子、狍子、狐、兔、野猪等</w:t>
      </w:r>
      <w:r>
        <w:rPr>
          <w:rFonts w:hint="eastAsia" w:cs="Times New Roman"/>
          <w:color w:val="auto"/>
          <w:highlight w:val="none"/>
          <w:lang w:val="en-US" w:eastAsia="zh-CN"/>
        </w:rPr>
        <w:t>20余</w:t>
      </w:r>
      <w:r>
        <w:rPr>
          <w:rFonts w:hint="eastAsia" w:ascii="Times New Roman" w:hAnsi="Times New Roman" w:eastAsia="宋体" w:cs="Times New Roman"/>
          <w:color w:val="auto"/>
          <w:highlight w:val="none"/>
        </w:rPr>
        <w:t>种。两栖动物主要有</w:t>
      </w:r>
      <w:r>
        <w:rPr>
          <w:rFonts w:hint="default" w:ascii="Times New Roman" w:hAnsi="Times New Roman" w:cs="Times New Roman"/>
          <w:color w:val="auto"/>
          <w:kern w:val="0"/>
          <w:sz w:val="21"/>
          <w:szCs w:val="21"/>
          <w:highlight w:val="none"/>
        </w:rPr>
        <w:t>中国林蛙、黑龙江林蛙</w:t>
      </w:r>
      <w:r>
        <w:rPr>
          <w:rFonts w:hint="eastAsia" w:ascii="Times New Roman" w:hAnsi="Times New Roman" w:cs="Times New Roman"/>
          <w:color w:val="auto"/>
          <w:kern w:val="0"/>
          <w:sz w:val="21"/>
          <w:szCs w:val="21"/>
          <w:highlight w:val="none"/>
          <w:lang w:eastAsia="zh-CN"/>
        </w:rPr>
        <w:t>、蟾蜍、蝌蚪、青蛙、蚓螈</w:t>
      </w:r>
      <w:r>
        <w:rPr>
          <w:rFonts w:hint="eastAsia" w:ascii="Times New Roman" w:hAnsi="Times New Roman" w:eastAsia="宋体" w:cs="Times New Roman"/>
          <w:color w:val="auto"/>
          <w:highlight w:val="none"/>
        </w:rPr>
        <w:t>等。</w:t>
      </w:r>
      <w:r>
        <w:rPr>
          <w:rFonts w:hint="default" w:ascii="Times New Roman" w:hAnsi="Times New Roman" w:cs="Times New Roman"/>
          <w:color w:val="auto"/>
          <w:kern w:val="0"/>
          <w:sz w:val="21"/>
          <w:szCs w:val="21"/>
          <w:highlight w:val="none"/>
        </w:rPr>
        <w:t>爬行类常见有黄脊游蛇、蝮蛇等。</w:t>
      </w:r>
      <w:r>
        <w:rPr>
          <w:rFonts w:hint="eastAsia" w:ascii="Times New Roman" w:hAnsi="Times New Roman" w:eastAsia="宋体" w:cs="Times New Roman"/>
          <w:color w:val="auto"/>
          <w:highlight w:val="none"/>
        </w:rPr>
        <w:t>鸟类</w:t>
      </w:r>
      <w:r>
        <w:rPr>
          <w:rFonts w:hint="default" w:ascii="Times New Roman" w:hAnsi="Times New Roman" w:cs="Times New Roman"/>
          <w:color w:val="auto"/>
          <w:kern w:val="0"/>
          <w:sz w:val="21"/>
          <w:szCs w:val="21"/>
          <w:highlight w:val="none"/>
        </w:rPr>
        <w:t>资源非常丰富</w:t>
      </w:r>
      <w:r>
        <w:rPr>
          <w:rFonts w:hint="eastAsia" w:ascii="Times New Roman" w:hAnsi="Times New Roman" w:eastAsia="宋体" w:cs="Times New Roman"/>
          <w:color w:val="auto"/>
          <w:highlight w:val="none"/>
        </w:rPr>
        <w:t>主要有</w:t>
      </w:r>
      <w:r>
        <w:rPr>
          <w:rFonts w:hint="default" w:ascii="Times New Roman" w:hAnsi="Times New Roman" w:cs="Times New Roman"/>
          <w:color w:val="auto"/>
          <w:kern w:val="0"/>
          <w:sz w:val="21"/>
          <w:szCs w:val="21"/>
          <w:highlight w:val="none"/>
        </w:rPr>
        <w:t>金雕、丹顶鹤、白鹤、中华秋沙鸭</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天鹅、鸳鸯、</w:t>
      </w:r>
      <w:r>
        <w:rPr>
          <w:rFonts w:hint="eastAsia" w:ascii="Times New Roman" w:hAnsi="Times New Roman" w:eastAsia="宋体" w:cs="Times New Roman"/>
          <w:color w:val="auto"/>
          <w:highlight w:val="none"/>
        </w:rPr>
        <w:t>灰鹳、麻雀、喜鹊、家燕等</w:t>
      </w:r>
      <w:r>
        <w:rPr>
          <w:rFonts w:hint="default" w:ascii="Times New Roman" w:hAnsi="Times New Roman" w:cs="Times New Roman"/>
          <w:color w:val="auto"/>
          <w:kern w:val="0"/>
          <w:sz w:val="21"/>
          <w:szCs w:val="21"/>
          <w:highlight w:val="none"/>
        </w:rPr>
        <w:t>200多种</w:t>
      </w:r>
      <w:r>
        <w:rPr>
          <w:rFonts w:hint="eastAsia" w:ascii="Times New Roman" w:hAnsi="Times New Roman" w:eastAsia="宋体" w:cs="Times New Roman"/>
          <w:color w:val="auto"/>
          <w:highlight w:val="none"/>
        </w:rPr>
        <w:t>。</w:t>
      </w:r>
    </w:p>
    <w:p w14:paraId="5D62AC94">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highlight w:val="none"/>
        </w:rPr>
      </w:pPr>
      <w:bookmarkStart w:id="134" w:name="_Toc12377"/>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w:t>
      </w:r>
      <w:r>
        <w:rPr>
          <w:rFonts w:hint="eastAsia" w:ascii="Times New Roman" w:hAnsi="Times New Roman" w:cs="Times New Roman"/>
          <w:b/>
          <w:bCs/>
          <w:color w:val="auto"/>
          <w:sz w:val="24"/>
          <w:szCs w:val="24"/>
          <w:highlight w:val="none"/>
          <w:lang w:val="en-US" w:eastAsia="zh-CN"/>
        </w:rPr>
        <w:t>2区域水污染源调查</w:t>
      </w:r>
      <w:bookmarkEnd w:id="134"/>
    </w:p>
    <w:p w14:paraId="15FDEC47">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cs="Times New Roman"/>
          <w:color w:val="auto"/>
          <w:spacing w:val="0"/>
          <w:sz w:val="21"/>
          <w:szCs w:val="21"/>
          <w:highlight w:val="none"/>
        </w:rPr>
      </w:pPr>
      <w:r>
        <w:rPr>
          <w:rFonts w:hint="eastAsia" w:cs="Times New Roman"/>
          <w:color w:val="auto"/>
          <w:spacing w:val="0"/>
          <w:sz w:val="21"/>
          <w:szCs w:val="21"/>
          <w:highlight w:val="none"/>
          <w:lang w:eastAsia="zh-CN"/>
        </w:rPr>
        <w:t>庆先水库</w:t>
      </w:r>
      <w:r>
        <w:rPr>
          <w:rFonts w:hint="default" w:ascii="Times New Roman" w:hAnsi="Times New Roman" w:cs="Times New Roman"/>
          <w:color w:val="auto"/>
          <w:spacing w:val="0"/>
          <w:sz w:val="21"/>
          <w:szCs w:val="21"/>
          <w:highlight w:val="none"/>
        </w:rPr>
        <w:t>坝址上游区域无大型企事业单位，区域污染源以面源污染为主。</w:t>
      </w:r>
    </w:p>
    <w:p w14:paraId="1F1B4E42">
      <w:pPr>
        <w:keepNext w:val="0"/>
        <w:keepLines w:val="0"/>
        <w:pageBreakBefore w:val="0"/>
        <w:widowControl/>
        <w:numPr>
          <w:ilvl w:val="0"/>
          <w:numId w:val="8"/>
        </w:numPr>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农业生产</w:t>
      </w:r>
    </w:p>
    <w:p w14:paraId="2CF1449E">
      <w:pPr>
        <w:keepNext w:val="0"/>
        <w:keepLines w:val="0"/>
        <w:pageBreakBefore w:val="0"/>
        <w:widowControl/>
        <w:numPr>
          <w:ilvl w:val="0"/>
          <w:numId w:val="0"/>
        </w:numPr>
        <w:kinsoku/>
        <w:wordWrap/>
        <w:overflowPunct/>
        <w:topLinePunct w:val="0"/>
        <w:autoSpaceDE/>
        <w:autoSpaceDN/>
        <w:bidi w:val="0"/>
        <w:adjustRightInd/>
        <w:snapToGrid/>
        <w:spacing w:line="360" w:lineRule="auto"/>
        <w:ind w:right="0" w:rightChars="0" w:firstLine="420" w:firstLineChars="200"/>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坝址上游汇水区域内分布有大量的耕地，农田面源、水土流失现象仍然存在，化肥、农药等农业投入品的使用，农作物秸秆和农田残膜等农业废弃物不合理利用，农业面源污染仍然存在。</w:t>
      </w:r>
    </w:p>
    <w:p w14:paraId="289459E6">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（2）畜禽养殖</w:t>
      </w:r>
    </w:p>
    <w:p w14:paraId="2FD7B701">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rPr>
        <w:t>坝址上游汇水区域内畜禽养殖方式基本是农村散养，缺少粪便无害化处理设施，粪污的收集、贮存、处理等方式并不科学、环保，多数为随意堆放，堆积还田，污水无处理排放。</w:t>
      </w:r>
    </w:p>
    <w:p w14:paraId="69BEEFA6">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auto"/>
          <w:sz w:val="24"/>
          <w:szCs w:val="24"/>
          <w:highlight w:val="none"/>
          <w:lang w:val="en-US" w:eastAsia="zh-CN"/>
        </w:rPr>
      </w:pPr>
      <w:bookmarkStart w:id="135" w:name="_Toc19442"/>
      <w:r>
        <w:rPr>
          <w:rFonts w:hint="default" w:ascii="Times New Roman" w:hAnsi="Times New Roman" w:eastAsia="宋体" w:cs="Times New Roman"/>
          <w:b/>
          <w:bCs/>
          <w:color w:val="auto"/>
          <w:sz w:val="24"/>
          <w:szCs w:val="24"/>
          <w:highlight w:val="none"/>
          <w:lang w:val="en-US" w:eastAsia="zh-CN"/>
        </w:rPr>
        <w:t>3.3水文情势调查</w:t>
      </w:r>
      <w:bookmarkEnd w:id="135"/>
    </w:p>
    <w:p w14:paraId="1C6DD3AD">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（1）径流特征</w:t>
      </w:r>
    </w:p>
    <w:p w14:paraId="48DDFC3A">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流域的径流成因主要是降雨和融雪。融雪径流一般发生在3月中旬至5月上旬，占年径流量较小，期间降水产生的径流很少，河川径流主要来源于融冰融雪，径流量主要取决于冬季降雪量的大小。降雨径流主要在5月中旬至10月末，占年径流量的70％以上，其年内分配与降水分配基本一致。径流主要由地下水补给，径流量很小。</w:t>
      </w:r>
    </w:p>
    <w:p w14:paraId="49B12405">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设计</w:t>
      </w:r>
      <w:r>
        <w:rPr>
          <w:rFonts w:hint="default" w:ascii="Times New Roman" w:hAnsi="Times New Roman" w:eastAsia="宋体" w:cs="Times New Roman"/>
          <w:color w:val="auto"/>
          <w:sz w:val="21"/>
          <w:szCs w:val="21"/>
          <w:highlight w:val="none"/>
          <w:lang w:val="en-US" w:eastAsia="zh-CN"/>
        </w:rPr>
        <w:t>年径流</w:t>
      </w:r>
    </w:p>
    <w:p w14:paraId="56D6B2C9">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根据《黑龙江省密山市</w:t>
      </w:r>
      <w:r>
        <w:rPr>
          <w:rFonts w:hint="eastAsia" w:cs="Times New Roman"/>
          <w:color w:val="auto"/>
          <w:sz w:val="21"/>
          <w:szCs w:val="21"/>
          <w:highlight w:val="none"/>
          <w:lang w:val="en-US" w:eastAsia="zh-CN"/>
        </w:rPr>
        <w:t>庆先</w:t>
      </w:r>
      <w:r>
        <w:rPr>
          <w:rFonts w:hint="default" w:ascii="Times New Roman" w:hAnsi="Times New Roman" w:cs="Times New Roman"/>
          <w:color w:val="auto"/>
          <w:sz w:val="21"/>
          <w:szCs w:val="21"/>
          <w:highlight w:val="none"/>
          <w:lang w:val="en-US" w:eastAsia="zh-CN"/>
        </w:rPr>
        <w:t>水库</w:t>
      </w:r>
      <w:r>
        <w:rPr>
          <w:rFonts w:hint="default" w:ascii="Times New Roman" w:hAnsi="Times New Roman" w:eastAsia="宋体" w:cs="Times New Roman"/>
          <w:color w:val="auto"/>
          <w:sz w:val="21"/>
          <w:szCs w:val="21"/>
          <w:highlight w:val="none"/>
          <w:lang w:val="en-US" w:eastAsia="zh-CN"/>
        </w:rPr>
        <w:t>除险加固工程初步设计报告》，</w:t>
      </w:r>
      <w:r>
        <w:rPr>
          <w:rFonts w:hint="default" w:ascii="Times New Roman" w:hAnsi="Times New Roman" w:eastAsia="宋体" w:cs="Times New Roman"/>
          <w:color w:val="auto"/>
          <w:highlight w:val="none"/>
          <w:lang w:eastAsia="zh-CN"/>
        </w:rPr>
        <w:t>庆先</w:t>
      </w:r>
      <w:r>
        <w:rPr>
          <w:rFonts w:hint="default" w:ascii="Times New Roman" w:hAnsi="Times New Roman" w:eastAsia="宋体" w:cs="Times New Roman"/>
          <w:color w:val="auto"/>
          <w:highlight w:val="none"/>
        </w:rPr>
        <w:t>水库多年平均径流量</w:t>
      </w:r>
      <w:r>
        <w:rPr>
          <w:rFonts w:hint="default" w:ascii="Times New Roman" w:hAnsi="Times New Roman" w:eastAsia="宋体" w:cs="Times New Roman"/>
          <w:color w:val="auto"/>
          <w:highlight w:val="none"/>
          <w:lang w:val="en-US" w:eastAsia="zh-CN"/>
        </w:rPr>
        <w:t>297</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P=75%枯水年径流量为</w:t>
      </w:r>
      <w:r>
        <w:rPr>
          <w:rFonts w:hint="default" w:ascii="Times New Roman" w:hAnsi="Times New Roman" w:eastAsia="宋体" w:cs="Times New Roman"/>
          <w:color w:val="auto"/>
          <w:highlight w:val="none"/>
          <w:lang w:val="en-US" w:eastAsia="zh-CN"/>
        </w:rPr>
        <w:t>104.6</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kern w:val="0"/>
          <w:sz w:val="21"/>
          <w:szCs w:val="21"/>
          <w:highlight w:val="none"/>
          <w:lang w:val="en-US" w:eastAsia="zh-CN" w:bidi="ar"/>
        </w:rPr>
        <w:t>。</w:t>
      </w:r>
    </w:p>
    <w:p w14:paraId="04BFC0C1">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）冰情</w:t>
      </w:r>
    </w:p>
    <w:p w14:paraId="14F3D458">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据穆棱河鸡西站冰情观测资料统计，本地区封冻期一般在11月中旬，解冻期在4月上旬，封冻天数平均137d左右，平均最大冰厚1.08m。</w:t>
      </w:r>
    </w:p>
    <w:p w14:paraId="7F0F4EB1">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eastAsia="zh-CN"/>
        </w:rPr>
        <w:t>）温排水</w:t>
      </w:r>
    </w:p>
    <w:p w14:paraId="410028AA">
      <w:pPr>
        <w:keepNext w:val="0"/>
        <w:keepLines w:val="0"/>
        <w:pageBreakBefore w:val="0"/>
        <w:widowControl/>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cs="Times New Roman" w:eastAsiaTheme="minorEastAsia"/>
          <w:color w:val="auto"/>
          <w:kern w:val="0"/>
          <w:sz w:val="21"/>
          <w:szCs w:val="21"/>
          <w:highlight w:val="none"/>
          <w:lang w:eastAsia="zh-CN"/>
        </w:rPr>
      </w:pPr>
      <w:r>
        <w:rPr>
          <w:rFonts w:hint="eastAsia" w:cs="Times New Roman" w:eastAsiaTheme="minorEastAsia"/>
          <w:color w:val="auto"/>
          <w:kern w:val="0"/>
          <w:sz w:val="21"/>
          <w:szCs w:val="21"/>
          <w:highlight w:val="none"/>
          <w:lang w:eastAsia="zh-CN"/>
        </w:rPr>
        <w:t>庆先</w:t>
      </w:r>
      <w:r>
        <w:rPr>
          <w:rFonts w:hint="default" w:ascii="Times New Roman" w:hAnsi="Times New Roman" w:cs="Times New Roman" w:eastAsiaTheme="minorEastAsia"/>
          <w:color w:val="auto"/>
          <w:kern w:val="0"/>
          <w:sz w:val="21"/>
          <w:szCs w:val="21"/>
          <w:highlight w:val="none"/>
          <w:lang w:eastAsia="zh-CN"/>
        </w:rPr>
        <w:t>水库</w:t>
      </w:r>
      <w:r>
        <w:rPr>
          <w:rFonts w:hint="default" w:ascii="Times New Roman" w:hAnsi="Times New Roman" w:cs="Times New Roman" w:eastAsiaTheme="minorEastAsia"/>
          <w:color w:val="auto"/>
          <w:kern w:val="0"/>
          <w:sz w:val="21"/>
          <w:szCs w:val="21"/>
          <w:highlight w:val="none"/>
        </w:rPr>
        <w:t>是一座以灌溉为主，兼顾防洪、养鱼等综合利用的小(</w:t>
      </w:r>
      <w:r>
        <w:rPr>
          <w:rFonts w:hint="default" w:ascii="Times New Roman" w:hAnsi="Times New Roman" w:cs="Times New Roman" w:eastAsiaTheme="minorEastAsia"/>
          <w:color w:val="auto"/>
          <w:kern w:val="0"/>
          <w:sz w:val="21"/>
          <w:szCs w:val="21"/>
          <w:highlight w:val="none"/>
          <w:lang w:val="en-US" w:eastAsia="zh-CN"/>
        </w:rPr>
        <w:t>I</w:t>
      </w:r>
      <w:r>
        <w:rPr>
          <w:rFonts w:hint="default" w:ascii="Times New Roman" w:hAnsi="Times New Roman" w:cs="Times New Roman" w:eastAsiaTheme="minorEastAsia"/>
          <w:color w:val="auto"/>
          <w:kern w:val="0"/>
          <w:sz w:val="21"/>
          <w:szCs w:val="21"/>
          <w:highlight w:val="none"/>
        </w:rPr>
        <w:t>)型水库，</w:t>
      </w:r>
      <w:r>
        <w:rPr>
          <w:rFonts w:hint="default" w:ascii="Times New Roman" w:hAnsi="Times New Roman" w:cs="Times New Roman" w:eastAsiaTheme="minorEastAsia"/>
          <w:color w:val="auto"/>
          <w:kern w:val="0"/>
          <w:sz w:val="21"/>
          <w:szCs w:val="21"/>
          <w:highlight w:val="none"/>
          <w:lang w:eastAsia="zh-CN"/>
        </w:rPr>
        <w:t>无分层情况，最小下泄生态流量为上部取水，上部分与外环境紧密联系，与外界温度一致，无温差，因此本项目无温排水或冷排水情况。</w:t>
      </w:r>
    </w:p>
    <w:p w14:paraId="5D94E1FB">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eastAsiaTheme="minorEastAsia"/>
          <w:color w:val="auto"/>
          <w:kern w:val="0"/>
          <w:sz w:val="21"/>
          <w:szCs w:val="21"/>
          <w:highlight w:val="none"/>
          <w:lang w:eastAsia="zh-CN"/>
        </w:rPr>
        <w:t>输水洞</w:t>
      </w:r>
    </w:p>
    <w:p w14:paraId="62DC2AF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根据《黑龙江省密山市庆先水库除险加固工程初步设计报告》，</w:t>
      </w:r>
      <w:r>
        <w:rPr>
          <w:rFonts w:hint="default" w:ascii="Times New Roman" w:hAnsi="Times New Roman" w:eastAsia="宋体" w:cs="Times New Roman"/>
          <w:color w:val="auto"/>
          <w:sz w:val="21"/>
          <w:szCs w:val="21"/>
          <w:highlight w:val="none"/>
          <w:lang w:val="zh-CN" w:eastAsia="zh-CN"/>
        </w:rPr>
        <w:t>庆先水库</w:t>
      </w:r>
      <w:r>
        <w:rPr>
          <w:rFonts w:hint="eastAsia" w:cs="Times New Roman"/>
          <w:snapToGrid w:val="0"/>
          <w:color w:val="auto"/>
          <w:kern w:val="0"/>
          <w:sz w:val="21"/>
          <w:szCs w:val="21"/>
          <w:highlight w:val="none"/>
          <w:lang w:val="en-US" w:eastAsia="zh-CN" w:bidi="ar-SA"/>
        </w:rPr>
        <w:t>输水洞位于大坝右侧，为坝下埋管。进口为塔式进水口，本次除险加固拆除重建闸室段及工作桥，闸门更换为1.2m×1.2m铸铁闸门，启闭机更换为LQ-80KN螺杆启闭机。进口底高程为162.47m，洞身长42.9m，为圆涵结构，孔口尺寸为1.2m×1.2m。除险加固重建输水洞闸室段及维修海漫段。本项目对输水洞输水能力进行复核，根据《水利水电工程生态流量计算与泄放设计规范》（SL/T820-2023）与《水库生态流量泄放规程》（SL/T819-2023）。</w:t>
      </w:r>
    </w:p>
    <w:p w14:paraId="416EF99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cs="Times New Roman"/>
          <w:snapToGrid w:val="0"/>
          <w:color w:val="auto"/>
          <w:kern w:val="0"/>
          <w:sz w:val="21"/>
          <w:szCs w:val="21"/>
          <w:highlight w:val="yellow"/>
          <w:lang w:val="en-US" w:eastAsia="zh-CN" w:bidi="ar-SA"/>
        </w:rPr>
      </w:pPr>
    </w:p>
    <w:p w14:paraId="75ED846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color w:val="auto"/>
        </w:rPr>
      </w:pPr>
      <w:r>
        <w:rPr>
          <w:color w:val="auto"/>
        </w:rPr>
        <w:drawing>
          <wp:inline distT="0" distB="0" distL="114300" distR="114300">
            <wp:extent cx="1574800" cy="458470"/>
            <wp:effectExtent l="0" t="0" r="6350" b="177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3"/>
                    <a:stretch>
                      <a:fillRect/>
                    </a:stretch>
                  </pic:blipFill>
                  <pic:spPr>
                    <a:xfrm>
                      <a:off x="0" y="0"/>
                      <a:ext cx="1574800" cy="458470"/>
                    </a:xfrm>
                    <a:prstGeom prst="rect">
                      <a:avLst/>
                    </a:prstGeom>
                    <a:noFill/>
                    <a:ln>
                      <a:noFill/>
                    </a:ln>
                  </pic:spPr>
                </pic:pic>
              </a:graphicData>
            </a:graphic>
          </wp:inline>
        </w:drawing>
      </w:r>
    </w:p>
    <w:p w14:paraId="658C5A1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color w:val="auto"/>
          <w:sz w:val="21"/>
          <w:szCs w:val="21"/>
        </w:rPr>
      </w:pPr>
      <w:r>
        <w:rPr>
          <w:rFonts w:hint="eastAsia" w:ascii="宋体" w:hAnsi="宋体" w:eastAsia="宋体" w:cs="宋体"/>
          <w:color w:val="auto"/>
          <w:kern w:val="0"/>
          <w:sz w:val="21"/>
          <w:szCs w:val="21"/>
          <w:lang w:val="en-US" w:eastAsia="zh-CN" w:bidi="ar"/>
        </w:rPr>
        <w:t>式中：</w:t>
      </w:r>
      <w:r>
        <w:rPr>
          <w:rFonts w:hint="default" w:ascii="Times New Roman" w:hAnsi="Times New Roman" w:eastAsia="宋体" w:cs="Times New Roman"/>
          <w:color w:val="auto"/>
          <w:kern w:val="0"/>
          <w:sz w:val="21"/>
          <w:szCs w:val="21"/>
          <w:lang w:val="en-US" w:eastAsia="zh-CN" w:bidi="ar"/>
        </w:rPr>
        <w:t>B</w:t>
      </w:r>
      <w:r>
        <w:rPr>
          <w:rFonts w:hint="eastAsia" w:ascii="宋体" w:hAnsi="宋体" w:eastAsia="宋体" w:cs="宋体"/>
          <w:color w:val="auto"/>
          <w:kern w:val="0"/>
          <w:sz w:val="21"/>
          <w:szCs w:val="21"/>
          <w:lang w:val="en-US" w:eastAsia="zh-CN" w:bidi="ar"/>
        </w:rPr>
        <w:t>—输水洞总净宽，</w:t>
      </w:r>
      <w:r>
        <w:rPr>
          <w:rFonts w:hint="default" w:ascii="Times New Roman" w:hAnsi="Times New Roman" w:eastAsia="宋体" w:cs="Times New Roman"/>
          <w:color w:val="auto"/>
          <w:kern w:val="0"/>
          <w:sz w:val="21"/>
          <w:szCs w:val="21"/>
          <w:lang w:val="en-US" w:eastAsia="zh-CN" w:bidi="ar"/>
        </w:rPr>
        <w:t>1.</w:t>
      </w:r>
      <w:r>
        <w:rPr>
          <w:rFonts w:hint="eastAsia" w:ascii="Times New Roman" w:hAnsi="Times New Roman" w:eastAsia="宋体" w:cs="Times New Roman"/>
          <w:color w:val="auto"/>
          <w:kern w:val="0"/>
          <w:sz w:val="21"/>
          <w:szCs w:val="21"/>
          <w:lang w:val="en-US" w:eastAsia="zh-CN" w:bidi="ar"/>
        </w:rPr>
        <w:t>2</w:t>
      </w:r>
      <w:r>
        <w:rPr>
          <w:rFonts w:hint="default" w:ascii="Times New Roman" w:hAnsi="Times New Roman" w:eastAsia="宋体" w:cs="Times New Roman"/>
          <w:color w:val="auto"/>
          <w:kern w:val="0"/>
          <w:sz w:val="21"/>
          <w:szCs w:val="21"/>
          <w:lang w:val="en-US" w:eastAsia="zh-CN" w:bidi="ar"/>
        </w:rPr>
        <w:t>m</w:t>
      </w:r>
      <w:r>
        <w:rPr>
          <w:rFonts w:hint="eastAsia" w:ascii="宋体" w:hAnsi="宋体" w:eastAsia="宋体" w:cs="宋体"/>
          <w:color w:val="auto"/>
          <w:kern w:val="0"/>
          <w:sz w:val="21"/>
          <w:szCs w:val="21"/>
          <w:lang w:val="en-US" w:eastAsia="zh-CN" w:bidi="ar"/>
        </w:rPr>
        <w:t>；</w:t>
      </w:r>
    </w:p>
    <w:p w14:paraId="0B52C53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rPr>
      </w:pPr>
      <w:r>
        <w:rPr>
          <w:rFonts w:hint="default" w:ascii="Times New Roman" w:hAnsi="Times New Roman" w:eastAsia="宋体" w:cs="Times New Roman"/>
          <w:color w:val="auto"/>
          <w:kern w:val="0"/>
          <w:sz w:val="21"/>
          <w:szCs w:val="21"/>
          <w:lang w:val="en-US" w:eastAsia="zh-CN" w:bidi="ar"/>
        </w:rPr>
        <w:t>H0</w:t>
      </w:r>
      <w:r>
        <w:rPr>
          <w:rFonts w:hint="eastAsia" w:ascii="宋体" w:hAnsi="宋体" w:eastAsia="宋体" w:cs="宋体"/>
          <w:color w:val="auto"/>
          <w:kern w:val="0"/>
          <w:sz w:val="21"/>
          <w:szCs w:val="21"/>
          <w:lang w:val="en-US" w:eastAsia="zh-CN" w:bidi="ar"/>
        </w:rPr>
        <w:t>—计入行近流速的堰上水头；</w:t>
      </w:r>
    </w:p>
    <w:p w14:paraId="0D25A86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rPr>
      </w:pPr>
      <w:r>
        <w:rPr>
          <w:rFonts w:ascii="Cambria Math" w:hAnsi="Cambria Math" w:eastAsia="Cambria Math" w:cs="Cambria Math"/>
          <w:color w:val="auto"/>
          <w:kern w:val="0"/>
          <w:sz w:val="21"/>
          <w:szCs w:val="21"/>
          <w:lang w:val="en-US" w:eastAsia="zh-CN" w:bidi="ar"/>
        </w:rPr>
        <w:t>𝜀</w:t>
      </w:r>
      <w:r>
        <w:rPr>
          <w:rFonts w:hint="eastAsia" w:ascii="宋体" w:hAnsi="宋体" w:eastAsia="宋体" w:cs="宋体"/>
          <w:color w:val="auto"/>
          <w:kern w:val="0"/>
          <w:sz w:val="21"/>
          <w:szCs w:val="21"/>
          <w:lang w:val="en-US" w:eastAsia="zh-CN" w:bidi="ar"/>
        </w:rPr>
        <w:t>—侧面收缩系数；</w:t>
      </w:r>
    </w:p>
    <w:p w14:paraId="69B9B62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rPr>
      </w:pPr>
      <w:r>
        <w:rPr>
          <w:rFonts w:hint="default" w:ascii="Times New Roman" w:hAnsi="Times New Roman" w:eastAsia="宋体" w:cs="Times New Roman"/>
          <w:color w:val="auto"/>
          <w:kern w:val="0"/>
          <w:sz w:val="21"/>
          <w:szCs w:val="21"/>
          <w:lang w:val="en-US" w:eastAsia="zh-CN" w:bidi="ar"/>
        </w:rPr>
        <w:t>m</w:t>
      </w:r>
      <w:r>
        <w:rPr>
          <w:rFonts w:hint="eastAsia" w:ascii="宋体" w:hAnsi="宋体" w:eastAsia="宋体" w:cs="宋体"/>
          <w:color w:val="auto"/>
          <w:kern w:val="0"/>
          <w:sz w:val="21"/>
          <w:szCs w:val="21"/>
          <w:lang w:val="en-US" w:eastAsia="zh-CN" w:bidi="ar"/>
        </w:rPr>
        <w:t>—流量系数；</w:t>
      </w:r>
    </w:p>
    <w:p w14:paraId="014011A0">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auto"/>
          <w:sz w:val="21"/>
          <w:szCs w:val="21"/>
        </w:rPr>
      </w:pPr>
      <w:r>
        <w:rPr>
          <w:rFonts w:hint="default" w:ascii="Cambria Math" w:hAnsi="Cambria Math" w:eastAsia="Cambria Math" w:cs="Cambria Math"/>
          <w:color w:val="auto"/>
          <w:kern w:val="0"/>
          <w:sz w:val="21"/>
          <w:szCs w:val="21"/>
          <w:lang w:val="en-US" w:eastAsia="zh-CN" w:bidi="ar"/>
        </w:rPr>
        <w:t>σs</w:t>
      </w:r>
      <w:r>
        <w:rPr>
          <w:rFonts w:hint="eastAsia" w:ascii="宋体" w:hAnsi="宋体" w:eastAsia="宋体" w:cs="宋体"/>
          <w:color w:val="auto"/>
          <w:kern w:val="0"/>
          <w:sz w:val="21"/>
          <w:szCs w:val="21"/>
          <w:lang w:val="en-US" w:eastAsia="zh-CN" w:bidi="ar"/>
        </w:rPr>
        <w:t>—淹没系数；</w:t>
      </w:r>
    </w:p>
    <w:p w14:paraId="6505CEB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
        </w:rPr>
        <w:t>m-</w:t>
      </w:r>
      <w:r>
        <w:rPr>
          <w:rFonts w:hint="eastAsia" w:ascii="宋体" w:hAnsi="宋体" w:eastAsia="宋体" w:cs="宋体"/>
          <w:color w:val="auto"/>
          <w:kern w:val="0"/>
          <w:sz w:val="21"/>
          <w:szCs w:val="21"/>
          <w:lang w:val="en-US" w:eastAsia="zh-CN" w:bidi="ar"/>
        </w:rPr>
        <w:t>流量系数。</w:t>
      </w:r>
    </w:p>
    <w:p w14:paraId="19D671E2">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color w:val="auto"/>
          <w:sz w:val="21"/>
          <w:szCs w:val="21"/>
        </w:rPr>
      </w:pPr>
      <w:r>
        <w:rPr>
          <w:rFonts w:hint="default" w:ascii="Times New Roman" w:hAnsi="Times New Roman" w:eastAsia="宋体" w:cs="Times New Roman"/>
          <w:color w:val="auto"/>
          <w:sz w:val="21"/>
          <w:szCs w:val="21"/>
          <w:highlight w:val="none"/>
        </w:rPr>
        <w:t>经计算正常水位情况下165.70m，现状输水洞过流能力为Q=4.82m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/s，经过现场踏查，输水洞基本完好，具备相应输水能力。根据专项4.2章节可知，本项目丰水期生态流量为0.455m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/s，枯水期生态流量为0.275m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/s，以及多年平均流量为0.75m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/s，因此可满足水库下泄生态流量，且庆先水库主要功能为灌溉，根据《水库生态流量泄放规程》（SL/T819-2023）庆先水库人员对水工建筑定期进行安全检查，具备泄水安全运行条件，因此现输水洞设置合理。</w:t>
      </w:r>
    </w:p>
    <w:p w14:paraId="568AB238">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b/>
          <w:bCs/>
          <w:color w:val="auto"/>
          <w:sz w:val="24"/>
          <w:szCs w:val="24"/>
          <w:highlight w:val="none"/>
        </w:rPr>
      </w:pPr>
      <w:bookmarkStart w:id="136" w:name="_Toc29714"/>
      <w:r>
        <w:rPr>
          <w:rFonts w:hint="default" w:ascii="Times New Roman" w:hAnsi="Times New Roman" w:cs="Times New Roman"/>
          <w:b/>
          <w:bCs/>
          <w:color w:val="auto"/>
          <w:sz w:val="24"/>
          <w:szCs w:val="24"/>
          <w:highlight w:val="none"/>
        </w:rPr>
        <w:t>3.</w:t>
      </w: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水质管理目标</w:t>
      </w:r>
      <w:bookmarkEnd w:id="136"/>
    </w:p>
    <w:p w14:paraId="0D6235D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庆先水库</w:t>
      </w:r>
      <w:r>
        <w:rPr>
          <w:rFonts w:hint="default" w:ascii="Times New Roman" w:hAnsi="Times New Roman" w:eastAsia="宋体" w:cs="Times New Roman"/>
          <w:color w:val="auto"/>
          <w:sz w:val="21"/>
          <w:szCs w:val="21"/>
          <w:highlight w:val="none"/>
        </w:rPr>
        <w:t>所在支流并未划分水功能区，也并无国控水质监测断面</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但其为</w:t>
      </w:r>
      <w:r>
        <w:rPr>
          <w:rFonts w:hint="eastAsia" w:ascii="Times New Roman" w:hAnsi="Times New Roman" w:eastAsia="宋体" w:cs="Times New Roman"/>
          <w:color w:val="auto"/>
          <w:sz w:val="21"/>
          <w:szCs w:val="21"/>
          <w:highlight w:val="none"/>
          <w:lang w:eastAsia="zh-CN"/>
        </w:rPr>
        <w:t>穆棱</w:t>
      </w:r>
      <w:r>
        <w:rPr>
          <w:rFonts w:hint="default" w:ascii="Times New Roman" w:hAnsi="Times New Roman" w:eastAsia="宋体" w:cs="Times New Roman"/>
          <w:color w:val="auto"/>
          <w:sz w:val="21"/>
          <w:szCs w:val="21"/>
          <w:highlight w:val="none"/>
        </w:rPr>
        <w:t>河一级支流，所涉及的功能区为</w:t>
      </w:r>
      <w:r>
        <w:rPr>
          <w:rFonts w:hint="default" w:ascii="Times New Roman" w:hAnsi="Times New Roman" w:cs="Times New Roman" w:eastAsiaTheme="minorEastAsia"/>
          <w:color w:val="auto"/>
          <w:sz w:val="21"/>
          <w:szCs w:val="21"/>
          <w:highlight w:val="none"/>
        </w:rPr>
        <w:t>为穆棱河鸡西市开发利用区</w:t>
      </w:r>
      <w:r>
        <w:rPr>
          <w:rFonts w:hint="default" w:ascii="Times New Roman" w:hAnsi="Times New Roman" w:eastAsia="宋体" w:cs="Times New Roman"/>
          <w:color w:val="auto"/>
          <w:sz w:val="21"/>
          <w:szCs w:val="21"/>
          <w:highlight w:val="none"/>
        </w:rPr>
        <w:t>。按照支流不低于干流水质的原则，本次评价对</w:t>
      </w:r>
      <w:r>
        <w:rPr>
          <w:rFonts w:hint="eastAsia" w:cs="Times New Roman"/>
          <w:color w:val="auto"/>
          <w:sz w:val="21"/>
          <w:szCs w:val="21"/>
          <w:highlight w:val="none"/>
          <w:lang w:eastAsia="zh-CN"/>
        </w:rPr>
        <w:t>庆先水库</w:t>
      </w:r>
      <w:r>
        <w:rPr>
          <w:rFonts w:hint="default" w:ascii="Times New Roman" w:hAnsi="Times New Roman" w:eastAsia="宋体" w:cs="Times New Roman"/>
          <w:color w:val="auto"/>
          <w:sz w:val="21"/>
          <w:szCs w:val="21"/>
          <w:highlight w:val="none"/>
        </w:rPr>
        <w:t>水质按Ⅲ类标准执行。</w:t>
      </w:r>
    </w:p>
    <w:p w14:paraId="09068495">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sz w:val="24"/>
          <w:szCs w:val="24"/>
          <w:highlight w:val="none"/>
        </w:rPr>
      </w:pPr>
      <w:bookmarkStart w:id="137" w:name="_Toc3158"/>
      <w:r>
        <w:rPr>
          <w:rFonts w:hint="default" w:ascii="Times New Roman" w:hAnsi="Times New Roman" w:cs="Times New Roman"/>
          <w:color w:val="auto"/>
          <w:sz w:val="24"/>
          <w:szCs w:val="24"/>
          <w:highlight w:val="none"/>
        </w:rPr>
        <w:t>3.</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水质现状</w:t>
      </w:r>
      <w:bookmarkEnd w:id="137"/>
    </w:p>
    <w:p w14:paraId="68E808F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）水质评价</w:t>
      </w:r>
    </w:p>
    <w:p w14:paraId="3D366A5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）监测点位及监测因子</w:t>
      </w:r>
    </w:p>
    <w:p w14:paraId="1ECB8BF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b/>
          <w:bCs/>
          <w:color w:val="auto"/>
          <w:kern w:val="2"/>
          <w:sz w:val="24"/>
          <w:szCs w:val="24"/>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根据项目所在区域环境特征及项目特点，在3个点位处进行地表水环境质量现状监测，详见表3-</w:t>
      </w:r>
      <w:r>
        <w:rPr>
          <w:rFonts w:hint="eastAsia" w:cs="Times New Roman"/>
          <w:color w:val="auto"/>
          <w:kern w:val="2"/>
          <w:sz w:val="21"/>
          <w:szCs w:val="21"/>
          <w:highlight w:val="none"/>
          <w:lang w:val="en-US" w:eastAsia="zh-CN" w:bidi="ar"/>
        </w:rPr>
        <w:t>1</w:t>
      </w:r>
      <w:r>
        <w:rPr>
          <w:rFonts w:hint="eastAsia" w:ascii="Times New Roman" w:hAnsi="Times New Roman" w:eastAsia="宋体" w:cs="Times New Roman"/>
          <w:color w:val="auto"/>
          <w:kern w:val="2"/>
          <w:sz w:val="21"/>
          <w:szCs w:val="21"/>
          <w:highlight w:val="none"/>
          <w:lang w:val="en-US" w:eastAsia="zh-CN" w:bidi="ar"/>
        </w:rPr>
        <w:t>。</w:t>
      </w:r>
    </w:p>
    <w:p w14:paraId="15CC061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b/>
          <w:bCs/>
          <w:color w:val="auto"/>
          <w:kern w:val="2"/>
          <w:sz w:val="21"/>
          <w:szCs w:val="21"/>
          <w:highlight w:val="none"/>
          <w:lang w:val="en-US" w:eastAsia="zh-CN" w:bidi="ar"/>
        </w:rPr>
      </w:pPr>
      <w:r>
        <w:rPr>
          <w:rFonts w:hint="eastAsia" w:cs="Times New Roman"/>
          <w:b/>
          <w:bCs/>
          <w:color w:val="auto"/>
          <w:kern w:val="2"/>
          <w:sz w:val="21"/>
          <w:szCs w:val="21"/>
          <w:highlight w:val="none"/>
          <w:lang w:val="en-US" w:eastAsia="zh-CN" w:bidi="ar"/>
        </w:rPr>
        <w:t>表3-1监测点位监测因子一览表</w:t>
      </w:r>
    </w:p>
    <w:tbl>
      <w:tblPr>
        <w:tblStyle w:val="24"/>
        <w:tblW w:w="5000" w:type="pct"/>
        <w:jc w:val="center"/>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33"/>
        <w:gridCol w:w="2063"/>
        <w:gridCol w:w="3750"/>
        <w:gridCol w:w="1776"/>
      </w:tblGrid>
      <w:tr w14:paraId="59FEC828">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7" w:hRule="atLeast"/>
          <w:tblHeader/>
          <w:jc w:val="center"/>
        </w:trPr>
        <w:tc>
          <w:tcPr>
            <w:tcW w:w="547" w:type="pct"/>
            <w:noWrap w:val="0"/>
            <w:vAlign w:val="center"/>
          </w:tcPr>
          <w:p w14:paraId="2EEEFEBA">
            <w:pPr>
              <w:pStyle w:val="52"/>
              <w:keepNext w:val="0"/>
              <w:keepLines w:val="0"/>
              <w:pageBreakBefore w:val="0"/>
              <w:widowControl/>
              <w:kinsoku/>
              <w:wordWrap/>
              <w:overflowPunct/>
              <w:topLinePunct w:val="0"/>
              <w:autoSpaceDE/>
              <w:autoSpaceDN/>
              <w:bidi w:val="0"/>
              <w:adjustRightInd/>
              <w:snapToGrid/>
              <w:textAlignment w:val="auto"/>
              <w:rPr>
                <w:color w:val="auto"/>
                <w:sz w:val="18"/>
                <w:szCs w:val="18"/>
                <w:highlight w:val="none"/>
              </w:rPr>
            </w:pPr>
            <w:r>
              <w:rPr>
                <w:color w:val="auto"/>
                <w:sz w:val="18"/>
                <w:szCs w:val="18"/>
                <w:highlight w:val="none"/>
              </w:rPr>
              <w:t>序号</w:t>
            </w:r>
          </w:p>
        </w:tc>
        <w:tc>
          <w:tcPr>
            <w:tcW w:w="1210" w:type="pct"/>
            <w:noWrap w:val="0"/>
            <w:vAlign w:val="center"/>
          </w:tcPr>
          <w:p w14:paraId="5EEC6B70">
            <w:pPr>
              <w:pStyle w:val="52"/>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点位名称</w:t>
            </w:r>
          </w:p>
        </w:tc>
        <w:tc>
          <w:tcPr>
            <w:tcW w:w="2200" w:type="pct"/>
            <w:tcBorders>
              <w:right w:val="single" w:color="auto" w:sz="4" w:space="0"/>
            </w:tcBorders>
            <w:noWrap w:val="0"/>
            <w:vAlign w:val="center"/>
          </w:tcPr>
          <w:p w14:paraId="5D61C04C">
            <w:pPr>
              <w:pStyle w:val="52"/>
              <w:keepNext w:val="0"/>
              <w:keepLines w:val="0"/>
              <w:pageBreakBefore w:val="0"/>
              <w:widowControl/>
              <w:kinsoku/>
              <w:wordWrap/>
              <w:overflowPunct/>
              <w:topLinePunct w:val="0"/>
              <w:autoSpaceDE/>
              <w:autoSpaceDN/>
              <w:bidi w:val="0"/>
              <w:adjustRightInd/>
              <w:snapToGrid/>
              <w:textAlignment w:val="auto"/>
              <w:rPr>
                <w:rFonts w:hint="eastAsia"/>
                <w:color w:val="auto"/>
                <w:sz w:val="18"/>
                <w:szCs w:val="18"/>
                <w:highlight w:val="none"/>
                <w:lang w:val="en-US" w:eastAsia="zh-CN"/>
              </w:rPr>
            </w:pPr>
            <w:r>
              <w:rPr>
                <w:rFonts w:hint="eastAsia"/>
                <w:color w:val="auto"/>
                <w:sz w:val="18"/>
                <w:szCs w:val="18"/>
                <w:highlight w:val="none"/>
                <w:lang w:val="en-US" w:eastAsia="zh-CN"/>
              </w:rPr>
              <w:t>监测因子</w:t>
            </w:r>
          </w:p>
        </w:tc>
        <w:tc>
          <w:tcPr>
            <w:tcW w:w="1042" w:type="pct"/>
            <w:tcBorders>
              <w:left w:val="single" w:color="auto" w:sz="4" w:space="0"/>
            </w:tcBorders>
            <w:noWrap w:val="0"/>
            <w:vAlign w:val="center"/>
          </w:tcPr>
          <w:p w14:paraId="0E31DE7A">
            <w:pPr>
              <w:pStyle w:val="52"/>
              <w:keepNext w:val="0"/>
              <w:keepLines w:val="0"/>
              <w:pageBreakBefore w:val="0"/>
              <w:widowControl/>
              <w:kinsoku/>
              <w:wordWrap/>
              <w:overflowPunct/>
              <w:topLinePunct w:val="0"/>
              <w:autoSpaceDE/>
              <w:autoSpaceDN/>
              <w:bidi w:val="0"/>
              <w:adjustRightInd/>
              <w:snapToGrid/>
              <w:textAlignment w:val="auto"/>
              <w:rPr>
                <w:rFonts w:hint="eastAsia"/>
                <w:color w:val="auto"/>
                <w:sz w:val="18"/>
                <w:szCs w:val="18"/>
                <w:highlight w:val="none"/>
                <w:lang w:val="en-US" w:eastAsia="zh-CN"/>
              </w:rPr>
            </w:pPr>
            <w:r>
              <w:rPr>
                <w:rFonts w:hint="eastAsia"/>
                <w:color w:val="auto"/>
                <w:sz w:val="18"/>
                <w:szCs w:val="18"/>
                <w:highlight w:val="none"/>
                <w:lang w:val="en-US" w:eastAsia="zh-CN"/>
              </w:rPr>
              <w:t>频次</w:t>
            </w:r>
          </w:p>
        </w:tc>
      </w:tr>
      <w:tr w14:paraId="28CD32D2">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7" w:hRule="atLeast"/>
          <w:jc w:val="center"/>
        </w:trPr>
        <w:tc>
          <w:tcPr>
            <w:tcW w:w="547" w:type="pct"/>
            <w:vMerge w:val="restart"/>
            <w:noWrap/>
            <w:vAlign w:val="center"/>
          </w:tcPr>
          <w:p w14:paraId="67B2B65F">
            <w:pPr>
              <w:pStyle w:val="52"/>
              <w:keepNext w:val="0"/>
              <w:keepLines w:val="0"/>
              <w:pageBreakBefore w:val="0"/>
              <w:widowControl/>
              <w:kinsoku/>
              <w:wordWrap/>
              <w:overflowPunct/>
              <w:topLinePunct w:val="0"/>
              <w:autoSpaceDE/>
              <w:autoSpaceDN/>
              <w:bidi w:val="0"/>
              <w:adjustRightInd/>
              <w:snapToGrid/>
              <w:textAlignment w:val="auto"/>
              <w:rPr>
                <w:rFonts w:hint="default"/>
                <w:color w:val="auto"/>
                <w:sz w:val="18"/>
                <w:szCs w:val="18"/>
                <w:highlight w:val="none"/>
              </w:rPr>
            </w:pPr>
            <w:r>
              <w:rPr>
                <w:rFonts w:hint="eastAsia" w:cs="Times New Roman"/>
                <w:color w:val="auto"/>
                <w:sz w:val="18"/>
                <w:szCs w:val="18"/>
                <w:highlight w:val="none"/>
                <w:lang w:val="en-US" w:eastAsia="zh-CN"/>
              </w:rPr>
              <w:t>1#</w:t>
            </w:r>
          </w:p>
        </w:tc>
        <w:tc>
          <w:tcPr>
            <w:tcW w:w="1210" w:type="pct"/>
            <w:vMerge w:val="restart"/>
            <w:noWrap/>
            <w:vAlign w:val="center"/>
          </w:tcPr>
          <w:p w14:paraId="2CCD5137">
            <w:pPr>
              <w:pStyle w:val="52"/>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庆先水库</w:t>
            </w:r>
          </w:p>
        </w:tc>
        <w:tc>
          <w:tcPr>
            <w:tcW w:w="2200" w:type="pct"/>
            <w:tcBorders>
              <w:right w:val="single" w:color="auto" w:sz="4" w:space="0"/>
            </w:tcBorders>
            <w:noWrap/>
            <w:vAlign w:val="center"/>
          </w:tcPr>
          <w:p w14:paraId="279498F6">
            <w:pPr>
              <w:pStyle w:val="52"/>
              <w:keepNext w:val="0"/>
              <w:keepLines w:val="0"/>
              <w:pageBreakBefore w:val="0"/>
              <w:widowControl/>
              <w:kinsoku/>
              <w:wordWrap/>
              <w:overflowPunct/>
              <w:topLinePunct w:val="0"/>
              <w:autoSpaceDE/>
              <w:autoSpaceDN/>
              <w:bidi w:val="0"/>
              <w:adjustRightInd/>
              <w:snapToGrid/>
              <w:textAlignment w:val="auto"/>
              <w:rPr>
                <w:rFonts w:hint="default"/>
                <w:color w:val="auto"/>
                <w:sz w:val="18"/>
                <w:szCs w:val="18"/>
                <w:highlight w:val="none"/>
                <w:lang w:val="en-US" w:eastAsia="zh-CN"/>
              </w:rPr>
            </w:pPr>
            <w:r>
              <w:rPr>
                <w:rFonts w:hint="default"/>
                <w:color w:val="auto"/>
                <w:sz w:val="18"/>
                <w:szCs w:val="18"/>
                <w:highlight w:val="none"/>
                <w:lang w:val="en-US" w:eastAsia="zh-CN"/>
              </w:rPr>
              <w:t>透明度</w:t>
            </w:r>
            <w:r>
              <w:rPr>
                <w:rFonts w:hint="eastAsia"/>
                <w:color w:val="auto"/>
                <w:sz w:val="18"/>
                <w:szCs w:val="18"/>
                <w:highlight w:val="none"/>
                <w:lang w:val="en-US" w:eastAsia="zh-CN"/>
              </w:rPr>
              <w:t>、</w:t>
            </w:r>
            <w:r>
              <w:rPr>
                <w:rFonts w:hint="default"/>
                <w:color w:val="auto"/>
                <w:sz w:val="18"/>
                <w:szCs w:val="18"/>
                <w:highlight w:val="none"/>
                <w:lang w:val="en-US" w:eastAsia="zh-CN"/>
              </w:rPr>
              <w:t>叶绿素a</w:t>
            </w:r>
          </w:p>
        </w:tc>
        <w:tc>
          <w:tcPr>
            <w:tcW w:w="1042" w:type="pct"/>
            <w:vMerge w:val="restart"/>
            <w:tcBorders>
              <w:left w:val="single" w:color="auto" w:sz="4" w:space="0"/>
            </w:tcBorders>
            <w:noWrap/>
            <w:vAlign w:val="center"/>
          </w:tcPr>
          <w:p w14:paraId="278ADCE2">
            <w:pPr>
              <w:pStyle w:val="52"/>
              <w:keepNext w:val="0"/>
              <w:keepLines w:val="0"/>
              <w:pageBreakBefore w:val="0"/>
              <w:widowControl/>
              <w:kinsoku/>
              <w:wordWrap/>
              <w:overflowPunct/>
              <w:topLinePunct w:val="0"/>
              <w:autoSpaceDE/>
              <w:autoSpaceDN/>
              <w:bidi w:val="0"/>
              <w:adjustRightInd/>
              <w:snapToGrid/>
              <w:textAlignment w:val="auto"/>
              <w:rPr>
                <w:rFonts w:hint="default"/>
                <w:color w:val="auto"/>
                <w:sz w:val="18"/>
                <w:szCs w:val="18"/>
                <w:highlight w:val="none"/>
                <w:lang w:val="en-US" w:eastAsia="zh-CN"/>
              </w:rPr>
            </w:pPr>
            <w:r>
              <w:rPr>
                <w:rFonts w:hint="eastAsia"/>
                <w:color w:val="auto"/>
                <w:sz w:val="18"/>
                <w:szCs w:val="18"/>
                <w:highlight w:val="none"/>
                <w:lang w:val="en-US" w:eastAsia="zh-CN"/>
              </w:rPr>
              <w:t>检测1日，每日一次</w:t>
            </w:r>
          </w:p>
        </w:tc>
      </w:tr>
      <w:tr w14:paraId="4A037CEB">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12" w:hRule="atLeast"/>
          <w:jc w:val="center"/>
        </w:trPr>
        <w:tc>
          <w:tcPr>
            <w:tcW w:w="547" w:type="pct"/>
            <w:vMerge w:val="continue"/>
            <w:noWrap/>
            <w:vAlign w:val="center"/>
          </w:tcPr>
          <w:p w14:paraId="6B9E53A5">
            <w:pPr>
              <w:pStyle w:val="52"/>
              <w:keepNext w:val="0"/>
              <w:keepLines w:val="0"/>
              <w:pageBreakBefore w:val="0"/>
              <w:widowControl/>
              <w:kinsoku/>
              <w:wordWrap/>
              <w:overflowPunct/>
              <w:topLinePunct w:val="0"/>
              <w:autoSpaceDE/>
              <w:autoSpaceDN/>
              <w:bidi w:val="0"/>
              <w:adjustRightInd/>
              <w:snapToGrid/>
              <w:textAlignment w:val="auto"/>
              <w:rPr>
                <w:color w:val="auto"/>
                <w:sz w:val="18"/>
                <w:szCs w:val="18"/>
              </w:rPr>
            </w:pPr>
          </w:p>
        </w:tc>
        <w:tc>
          <w:tcPr>
            <w:tcW w:w="1210" w:type="pct"/>
            <w:vMerge w:val="continue"/>
            <w:noWrap/>
            <w:vAlign w:val="center"/>
          </w:tcPr>
          <w:p w14:paraId="34E618CD">
            <w:pPr>
              <w:pStyle w:val="52"/>
              <w:keepNext w:val="0"/>
              <w:keepLines w:val="0"/>
              <w:pageBreakBefore w:val="0"/>
              <w:widowControl/>
              <w:kinsoku/>
              <w:wordWrap/>
              <w:overflowPunct/>
              <w:topLinePunct w:val="0"/>
              <w:autoSpaceDE/>
              <w:autoSpaceDN/>
              <w:bidi w:val="0"/>
              <w:adjustRightInd/>
              <w:snapToGrid/>
              <w:textAlignment w:val="auto"/>
              <w:rPr>
                <w:color w:val="auto"/>
                <w:sz w:val="18"/>
                <w:szCs w:val="18"/>
              </w:rPr>
            </w:pPr>
          </w:p>
        </w:tc>
        <w:tc>
          <w:tcPr>
            <w:tcW w:w="2200" w:type="pct"/>
            <w:vMerge w:val="restart"/>
            <w:tcBorders>
              <w:right w:val="single" w:color="auto" w:sz="4" w:space="0"/>
            </w:tcBorders>
            <w:noWrap/>
            <w:vAlign w:val="center"/>
          </w:tcPr>
          <w:p w14:paraId="7EC3FBFD">
            <w:pPr>
              <w:pStyle w:val="52"/>
              <w:keepNext w:val="0"/>
              <w:keepLines w:val="0"/>
              <w:pageBreakBefore w:val="0"/>
              <w:widowControl/>
              <w:kinsoku/>
              <w:wordWrap/>
              <w:overflowPunct/>
              <w:topLinePunct w:val="0"/>
              <w:autoSpaceDE/>
              <w:autoSpaceDN/>
              <w:bidi w:val="0"/>
              <w:adjustRightInd/>
              <w:snapToGrid/>
              <w:textAlignment w:val="auto"/>
              <w:rPr>
                <w:rFonts w:hint="eastAsia"/>
                <w:color w:val="auto"/>
                <w:sz w:val="18"/>
                <w:szCs w:val="18"/>
                <w:highlight w:val="none"/>
                <w:lang w:val="en-US" w:eastAsia="zh-CN"/>
              </w:rPr>
            </w:pPr>
            <w:r>
              <w:rPr>
                <w:rFonts w:hint="eastAsia"/>
                <w:color w:val="auto"/>
                <w:sz w:val="18"/>
                <w:szCs w:val="18"/>
                <w:highlight w:val="none"/>
                <w:lang w:val="en-US" w:eastAsia="zh-CN"/>
              </w:rPr>
              <w:t>pH、</w:t>
            </w:r>
            <w:r>
              <w:rPr>
                <w:rFonts w:hint="eastAsia" w:ascii="Times New Roman" w:hAnsi="Times New Roman" w:eastAsia="宋体" w:cs="Times New Roman"/>
                <w:color w:val="auto"/>
                <w:sz w:val="18"/>
                <w:szCs w:val="18"/>
                <w:highlight w:val="none"/>
                <w:lang w:val="en-US" w:eastAsia="zh-CN"/>
              </w:rPr>
              <w:t>溶解氧</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氨氮</w:t>
            </w:r>
            <w:r>
              <w:rPr>
                <w:rFonts w:hint="eastAsia"/>
                <w:color w:val="auto"/>
                <w:sz w:val="18"/>
                <w:szCs w:val="18"/>
                <w:highlight w:val="none"/>
                <w:lang w:val="en-US" w:eastAsia="zh-CN"/>
              </w:rPr>
              <w:t>、</w:t>
            </w:r>
            <w:r>
              <w:rPr>
                <w:rFonts w:hint="default" w:ascii="Times New Roman" w:hAnsi="Times New Roman" w:eastAsia="宋体" w:cs="Times New Roman"/>
                <w:color w:val="auto"/>
                <w:kern w:val="2"/>
                <w:sz w:val="18"/>
                <w:szCs w:val="18"/>
                <w:highlight w:val="none"/>
                <w:lang w:val="en-US" w:eastAsia="zh-CN" w:bidi="ar"/>
              </w:rPr>
              <w:t>高锰酸盐指数</w:t>
            </w:r>
            <w:r>
              <w:rPr>
                <w:rFonts w:hint="eastAsia"/>
                <w:color w:val="auto"/>
                <w:sz w:val="18"/>
                <w:szCs w:val="18"/>
                <w:highlight w:val="none"/>
                <w:lang w:val="en-US" w:eastAsia="zh-CN"/>
              </w:rPr>
              <w:t>、</w:t>
            </w:r>
            <w:r>
              <w:rPr>
                <w:rFonts w:hint="eastAsia" w:ascii="Times New Roman" w:hAnsi="Times New Roman" w:eastAsia="宋体" w:cs="Times New Roman"/>
                <w:color w:val="auto"/>
                <w:kern w:val="2"/>
                <w:sz w:val="18"/>
                <w:szCs w:val="18"/>
                <w:highlight w:val="none"/>
                <w:lang w:val="en-US" w:eastAsia="zh-CN" w:bidi="ar-SA"/>
              </w:rPr>
              <w:t>化学需氧量</w:t>
            </w:r>
            <w:r>
              <w:rPr>
                <w:rFonts w:hint="eastAsia"/>
                <w:color w:val="auto"/>
                <w:sz w:val="18"/>
                <w:szCs w:val="18"/>
                <w:highlight w:val="none"/>
                <w:lang w:val="en-US" w:eastAsia="zh-CN"/>
              </w:rPr>
              <w:t>、</w:t>
            </w:r>
            <w:r>
              <w:rPr>
                <w:rFonts w:hint="eastAsia" w:ascii="Times New Roman" w:hAnsi="Times New Roman" w:eastAsia="宋体" w:cs="Times New Roman"/>
                <w:color w:val="auto"/>
                <w:kern w:val="2"/>
                <w:sz w:val="18"/>
                <w:szCs w:val="18"/>
                <w:highlight w:val="none"/>
                <w:lang w:val="en-US" w:eastAsia="zh-CN" w:bidi="ar-SA"/>
              </w:rPr>
              <w:t>五日生化需氧量</w:t>
            </w:r>
            <w:r>
              <w:rPr>
                <w:rFonts w:hint="eastAsia"/>
                <w:color w:val="auto"/>
                <w:sz w:val="18"/>
                <w:szCs w:val="18"/>
                <w:highlight w:val="none"/>
                <w:lang w:val="en-US" w:eastAsia="zh-CN"/>
              </w:rPr>
              <w:t>、总磷、总氮、铜、锌、氟化物、</w:t>
            </w:r>
            <w:r>
              <w:rPr>
                <w:rFonts w:hint="eastAsia" w:ascii="Times New Roman" w:hAnsi="Times New Roman" w:eastAsia="宋体" w:cs="Times New Roman"/>
                <w:color w:val="auto"/>
                <w:sz w:val="18"/>
                <w:szCs w:val="18"/>
                <w:highlight w:val="none"/>
                <w:lang w:val="en-US" w:eastAsia="zh-CN"/>
              </w:rPr>
              <w:t>氰化物</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挥发酚、硒、</w:t>
            </w:r>
            <w:r>
              <w:rPr>
                <w:rFonts w:hint="eastAsia"/>
                <w:color w:val="auto"/>
                <w:sz w:val="18"/>
                <w:szCs w:val="18"/>
                <w:highlight w:val="none"/>
                <w:lang w:val="en-US" w:eastAsia="zh-CN"/>
              </w:rPr>
              <w:t>砷、汞、镉、六价铬、</w:t>
            </w:r>
            <w:r>
              <w:rPr>
                <w:rFonts w:hint="eastAsia" w:ascii="Times New Roman" w:hAnsi="Times New Roman" w:eastAsia="宋体" w:cs="Times New Roman"/>
                <w:color w:val="auto"/>
                <w:sz w:val="18"/>
                <w:szCs w:val="18"/>
                <w:highlight w:val="none"/>
                <w:lang w:val="en-US" w:eastAsia="zh-CN"/>
              </w:rPr>
              <w:t>铅、石油类</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硫化物</w:t>
            </w:r>
            <w:r>
              <w:rPr>
                <w:rFonts w:hint="eastAsia"/>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阴离子表面活性剂</w:t>
            </w:r>
            <w:r>
              <w:rPr>
                <w:rFonts w:hint="eastAsia"/>
                <w:color w:val="auto"/>
                <w:sz w:val="18"/>
                <w:szCs w:val="18"/>
                <w:highlight w:val="none"/>
                <w:lang w:val="en-US" w:eastAsia="zh-CN"/>
              </w:rPr>
              <w:t>、</w:t>
            </w:r>
            <w:r>
              <w:rPr>
                <w:rFonts w:hint="eastAsia" w:ascii="Times New Roman" w:hAnsi="Times New Roman" w:eastAsia="宋体" w:cs="Times New Roman"/>
                <w:color w:val="auto"/>
                <w:kern w:val="2"/>
                <w:sz w:val="18"/>
                <w:szCs w:val="18"/>
                <w:highlight w:val="none"/>
                <w:lang w:val="en-US" w:eastAsia="zh-CN" w:bidi="ar"/>
              </w:rPr>
              <w:t>粪大肠菌群</w:t>
            </w:r>
          </w:p>
        </w:tc>
        <w:tc>
          <w:tcPr>
            <w:tcW w:w="1042" w:type="pct"/>
            <w:vMerge w:val="continue"/>
            <w:tcBorders>
              <w:left w:val="single" w:color="auto" w:sz="4" w:space="0"/>
            </w:tcBorders>
            <w:noWrap/>
            <w:vAlign w:val="center"/>
          </w:tcPr>
          <w:p w14:paraId="2EBA8398">
            <w:pPr>
              <w:pStyle w:val="52"/>
              <w:keepNext w:val="0"/>
              <w:keepLines w:val="0"/>
              <w:pageBreakBefore w:val="0"/>
              <w:widowControl/>
              <w:kinsoku/>
              <w:wordWrap/>
              <w:overflowPunct/>
              <w:topLinePunct w:val="0"/>
              <w:autoSpaceDE/>
              <w:autoSpaceDN/>
              <w:bidi w:val="0"/>
              <w:adjustRightInd/>
              <w:snapToGrid/>
              <w:textAlignment w:val="auto"/>
              <w:rPr>
                <w:rFonts w:hint="eastAsia"/>
                <w:color w:val="auto"/>
                <w:sz w:val="18"/>
                <w:szCs w:val="18"/>
                <w:highlight w:val="none"/>
                <w:lang w:val="en-US" w:eastAsia="zh-CN"/>
              </w:rPr>
            </w:pPr>
          </w:p>
        </w:tc>
      </w:tr>
      <w:tr w14:paraId="6DC39E38">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7" w:hRule="atLeast"/>
          <w:jc w:val="center"/>
        </w:trPr>
        <w:tc>
          <w:tcPr>
            <w:tcW w:w="547" w:type="pct"/>
            <w:noWrap/>
            <w:vAlign w:val="center"/>
          </w:tcPr>
          <w:p w14:paraId="13D77FFC">
            <w:pPr>
              <w:pStyle w:val="52"/>
              <w:keepNext w:val="0"/>
              <w:keepLines w:val="0"/>
              <w:pageBreakBefore w:val="0"/>
              <w:widowControl/>
              <w:kinsoku/>
              <w:wordWrap/>
              <w:overflowPunct/>
              <w:topLinePunct w:val="0"/>
              <w:autoSpaceDE/>
              <w:autoSpaceDN/>
              <w:bidi w:val="0"/>
              <w:adjustRightInd/>
              <w:snapToGrid/>
              <w:textAlignment w:val="auto"/>
              <w:rPr>
                <w:rFonts w:hint="default" w:eastAsia="宋体"/>
                <w:color w:val="auto"/>
                <w:sz w:val="18"/>
                <w:szCs w:val="18"/>
                <w:highlight w:val="none"/>
                <w:lang w:val="en-US" w:eastAsia="zh-CN"/>
              </w:rPr>
            </w:pPr>
            <w:r>
              <w:rPr>
                <w:rFonts w:hint="eastAsia" w:cs="Times New Roman"/>
                <w:color w:val="auto"/>
                <w:sz w:val="18"/>
                <w:szCs w:val="18"/>
                <w:highlight w:val="none"/>
                <w:lang w:val="en-US" w:eastAsia="zh-CN"/>
              </w:rPr>
              <w:t>2#</w:t>
            </w:r>
          </w:p>
        </w:tc>
        <w:tc>
          <w:tcPr>
            <w:tcW w:w="1210" w:type="pct"/>
            <w:noWrap/>
            <w:vAlign w:val="center"/>
          </w:tcPr>
          <w:p w14:paraId="59965E69">
            <w:pPr>
              <w:pStyle w:val="52"/>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水库</w:t>
            </w:r>
            <w:r>
              <w:rPr>
                <w:rFonts w:hint="eastAsia" w:cs="Times New Roman"/>
                <w:color w:val="auto"/>
                <w:sz w:val="18"/>
                <w:szCs w:val="18"/>
                <w:highlight w:val="none"/>
                <w:lang w:val="en-US" w:eastAsia="zh-CN"/>
              </w:rPr>
              <w:t>下</w:t>
            </w:r>
            <w:r>
              <w:rPr>
                <w:rFonts w:hint="eastAsia" w:ascii="Times New Roman" w:hAnsi="Times New Roman" w:eastAsia="宋体" w:cs="Times New Roman"/>
                <w:color w:val="auto"/>
                <w:sz w:val="18"/>
                <w:szCs w:val="18"/>
                <w:highlight w:val="none"/>
                <w:lang w:val="en-US" w:eastAsia="zh-CN"/>
              </w:rPr>
              <w:t>游汇入锅盔河处</w:t>
            </w:r>
          </w:p>
        </w:tc>
        <w:tc>
          <w:tcPr>
            <w:tcW w:w="2200" w:type="pct"/>
            <w:vMerge w:val="continue"/>
            <w:tcBorders>
              <w:right w:val="single" w:color="auto" w:sz="4" w:space="0"/>
            </w:tcBorders>
            <w:noWrap/>
            <w:vAlign w:val="center"/>
          </w:tcPr>
          <w:p w14:paraId="26C94C06">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sz w:val="18"/>
                <w:szCs w:val="18"/>
                <w:highlight w:val="none"/>
              </w:rPr>
            </w:pPr>
          </w:p>
        </w:tc>
        <w:tc>
          <w:tcPr>
            <w:tcW w:w="1042" w:type="pct"/>
            <w:vMerge w:val="continue"/>
            <w:tcBorders>
              <w:left w:val="single" w:color="auto" w:sz="4" w:space="0"/>
            </w:tcBorders>
            <w:shd w:val="clear" w:color="auto" w:fill="auto"/>
            <w:noWrap/>
            <w:vAlign w:val="center"/>
          </w:tcPr>
          <w:p w14:paraId="1E62C2F5">
            <w:pPr>
              <w:pStyle w:val="52"/>
              <w:keepNext w:val="0"/>
              <w:keepLines w:val="0"/>
              <w:pageBreakBefore w:val="0"/>
              <w:widowControl/>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auto"/>
                <w:kern w:val="2"/>
                <w:sz w:val="18"/>
                <w:szCs w:val="18"/>
                <w:highlight w:val="none"/>
                <w:lang w:val="en-US" w:eastAsia="zh-CN" w:bidi="ar-SA"/>
              </w:rPr>
            </w:pPr>
          </w:p>
        </w:tc>
      </w:tr>
      <w:tr w14:paraId="55BF27CF">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7" w:hRule="atLeast"/>
          <w:jc w:val="center"/>
        </w:trPr>
        <w:tc>
          <w:tcPr>
            <w:tcW w:w="547" w:type="pct"/>
            <w:noWrap/>
            <w:vAlign w:val="center"/>
          </w:tcPr>
          <w:p w14:paraId="4AF863FF">
            <w:pPr>
              <w:pStyle w:val="52"/>
              <w:keepNext w:val="0"/>
              <w:keepLines w:val="0"/>
              <w:pageBreakBefore w:val="0"/>
              <w:widowControl/>
              <w:kinsoku/>
              <w:wordWrap/>
              <w:overflowPunct/>
              <w:topLinePunct w:val="0"/>
              <w:autoSpaceDE/>
              <w:autoSpaceDN/>
              <w:bidi w:val="0"/>
              <w:adjustRightInd/>
              <w:snapToGrid/>
              <w:textAlignment w:val="auto"/>
              <w:rPr>
                <w:rFonts w:hint="eastAsia"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w:t>
            </w:r>
          </w:p>
        </w:tc>
        <w:tc>
          <w:tcPr>
            <w:tcW w:w="1210" w:type="pct"/>
            <w:noWrap/>
            <w:vAlign w:val="center"/>
          </w:tcPr>
          <w:p w14:paraId="1CFB2A86">
            <w:pPr>
              <w:pStyle w:val="52"/>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锅盔河汇入穆棱河处</w:t>
            </w:r>
          </w:p>
        </w:tc>
        <w:tc>
          <w:tcPr>
            <w:tcW w:w="2200" w:type="pct"/>
            <w:vMerge w:val="continue"/>
            <w:tcBorders>
              <w:right w:val="single" w:color="auto" w:sz="4" w:space="0"/>
            </w:tcBorders>
            <w:noWrap/>
            <w:vAlign w:val="center"/>
          </w:tcPr>
          <w:p w14:paraId="65AA4BC8">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sz w:val="18"/>
                <w:szCs w:val="18"/>
                <w:highlight w:val="none"/>
              </w:rPr>
            </w:pPr>
          </w:p>
        </w:tc>
        <w:tc>
          <w:tcPr>
            <w:tcW w:w="1042" w:type="pct"/>
            <w:vMerge w:val="continue"/>
            <w:tcBorders>
              <w:left w:val="single" w:color="auto" w:sz="4" w:space="0"/>
            </w:tcBorders>
            <w:shd w:val="clear" w:color="auto" w:fill="auto"/>
            <w:noWrap/>
            <w:vAlign w:val="center"/>
          </w:tcPr>
          <w:p w14:paraId="601665C9">
            <w:pPr>
              <w:pStyle w:val="52"/>
              <w:keepNext w:val="0"/>
              <w:keepLines w:val="0"/>
              <w:pageBreakBefore w:val="0"/>
              <w:widowControl/>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auto"/>
                <w:kern w:val="2"/>
                <w:sz w:val="18"/>
                <w:szCs w:val="18"/>
                <w:highlight w:val="none"/>
                <w:lang w:val="en-US" w:eastAsia="zh-CN" w:bidi="ar-SA"/>
              </w:rPr>
            </w:pPr>
          </w:p>
        </w:tc>
      </w:tr>
    </w:tbl>
    <w:p w14:paraId="0AA2F21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评价方法</w:t>
      </w:r>
    </w:p>
    <w:p w14:paraId="4EDE72C2">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采用水质指数法，一般性水质因子的指数计算公式：</w:t>
      </w:r>
    </w:p>
    <w:p w14:paraId="53069151">
      <w:pPr>
        <w:spacing w:line="360" w:lineRule="auto"/>
        <w:ind w:firstLine="420" w:firstLineChars="200"/>
        <w:jc w:val="center"/>
        <w:rPr>
          <w:rFonts w:hint="default" w:ascii="Times New Roman" w:hAnsi="Times New Roman" w:cs="Times New Roman"/>
          <w:color w:val="auto"/>
          <w:sz w:val="24"/>
          <w:highlight w:val="none"/>
        </w:rPr>
      </w:pPr>
      <w:r>
        <w:rPr>
          <w:color w:val="auto"/>
          <w:highlight w:val="none"/>
        </w:rPr>
        <w:drawing>
          <wp:inline distT="0" distB="0" distL="114300" distR="114300">
            <wp:extent cx="1343025" cy="552450"/>
            <wp:effectExtent l="0" t="0" r="9525" b="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4"/>
                    <a:stretch>
                      <a:fillRect/>
                    </a:stretch>
                  </pic:blipFill>
                  <pic:spPr>
                    <a:xfrm>
                      <a:off x="0" y="0"/>
                      <a:ext cx="1343025" cy="552450"/>
                    </a:xfrm>
                    <a:prstGeom prst="rect">
                      <a:avLst/>
                    </a:prstGeom>
                    <a:noFill/>
                    <a:ln>
                      <a:noFill/>
                    </a:ln>
                  </pic:spPr>
                </pic:pic>
              </a:graphicData>
            </a:graphic>
          </wp:inline>
        </w:drawing>
      </w:r>
    </w:p>
    <w:p w14:paraId="797F0E1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Si，j——评价因子i的水质指数，大于1表明水质因子超标；</w:t>
      </w:r>
    </w:p>
    <w:p w14:paraId="2E2DF51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Ci，j——评价因子i在j点的实测统计代表值，mg/L；</w:t>
      </w:r>
    </w:p>
    <w:p w14:paraId="498E7A0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Csi——评价因子i的水质评价标准限值，mg/L；</w:t>
      </w:r>
    </w:p>
    <w:p w14:paraId="03855B1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1"/>
          <w:szCs w:val="21"/>
          <w:highlight w:val="none"/>
          <w:lang w:val="en-US" w:eastAsia="zh-CN"/>
        </w:rPr>
        <w:t>pH值的指数计算公式：</w:t>
      </w:r>
    </w:p>
    <w:p w14:paraId="66CB9495">
      <w:pPr>
        <w:spacing w:line="360" w:lineRule="auto"/>
        <w:ind w:firstLine="420" w:firstLineChars="200"/>
        <w:jc w:val="center"/>
        <w:rPr>
          <w:rFonts w:hint="default" w:ascii="Times New Roman" w:hAnsi="Times New Roman" w:cs="Times New Roman"/>
          <w:color w:val="auto"/>
          <w:sz w:val="24"/>
          <w:highlight w:val="none"/>
        </w:rPr>
      </w:pPr>
      <w:r>
        <w:rPr>
          <w:color w:val="auto"/>
          <w:highlight w:val="none"/>
        </w:rPr>
        <w:drawing>
          <wp:inline distT="0" distB="0" distL="114300" distR="114300">
            <wp:extent cx="3166745" cy="1259840"/>
            <wp:effectExtent l="0" t="0" r="14605" b="1651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5"/>
                    <a:stretch>
                      <a:fillRect/>
                    </a:stretch>
                  </pic:blipFill>
                  <pic:spPr>
                    <a:xfrm>
                      <a:off x="0" y="0"/>
                      <a:ext cx="3166745" cy="1259840"/>
                    </a:xfrm>
                    <a:prstGeom prst="rect">
                      <a:avLst/>
                    </a:prstGeom>
                    <a:noFill/>
                    <a:ln>
                      <a:noFill/>
                    </a:ln>
                  </pic:spPr>
                </pic:pic>
              </a:graphicData>
            </a:graphic>
          </wp:inline>
        </w:drawing>
      </w:r>
    </w:p>
    <w:p w14:paraId="21D683A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式中S</w:t>
      </w:r>
      <w:r>
        <w:rPr>
          <w:rFonts w:hint="default" w:ascii="Times New Roman" w:hAnsi="Times New Roman" w:cs="Times New Roman"/>
          <w:color w:val="auto"/>
          <w:sz w:val="21"/>
          <w:szCs w:val="21"/>
          <w:highlight w:val="none"/>
          <w:vertAlign w:val="subscript"/>
        </w:rPr>
        <w:t>pH</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vertAlign w:val="subscript"/>
        </w:rPr>
        <w:t>j</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pH值的指数，大于1表明该水质因子超标</w:t>
      </w:r>
      <w:r>
        <w:rPr>
          <w:rFonts w:hint="eastAsia" w:cs="Times New Roman"/>
          <w:color w:val="auto"/>
          <w:sz w:val="21"/>
          <w:szCs w:val="21"/>
          <w:highlight w:val="none"/>
          <w:lang w:eastAsia="zh-CN"/>
        </w:rPr>
        <w:t>；</w:t>
      </w:r>
    </w:p>
    <w:p w14:paraId="0B51179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pH</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pH值实测统计代表值</w:t>
      </w:r>
      <w:r>
        <w:rPr>
          <w:rFonts w:hint="eastAsia" w:cs="Times New Roman"/>
          <w:color w:val="auto"/>
          <w:sz w:val="21"/>
          <w:szCs w:val="21"/>
          <w:highlight w:val="none"/>
          <w:lang w:eastAsia="zh-CN"/>
        </w:rPr>
        <w:t>；</w:t>
      </w:r>
    </w:p>
    <w:p w14:paraId="04EEF04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pH</w:t>
      </w:r>
      <w:r>
        <w:rPr>
          <w:rFonts w:hint="eastAsia" w:cs="Times New Roman"/>
          <w:color w:val="auto"/>
          <w:sz w:val="21"/>
          <w:szCs w:val="21"/>
          <w:highlight w:val="none"/>
          <w:lang w:val="en-US" w:eastAsia="zh-CN"/>
        </w:rPr>
        <w:t>s</w:t>
      </w:r>
      <w:r>
        <w:rPr>
          <w:rFonts w:hint="default" w:ascii="Times New Roman" w:hAnsi="Times New Roman" w:cs="Times New Roman"/>
          <w:color w:val="auto"/>
          <w:sz w:val="21"/>
          <w:szCs w:val="21"/>
          <w:highlight w:val="none"/>
        </w:rPr>
        <w:t>u</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评价标准中pH值的下限值</w:t>
      </w:r>
      <w:r>
        <w:rPr>
          <w:rFonts w:hint="eastAsia" w:cs="Times New Roman"/>
          <w:color w:val="auto"/>
          <w:sz w:val="21"/>
          <w:szCs w:val="21"/>
          <w:highlight w:val="none"/>
          <w:lang w:eastAsia="zh-CN"/>
        </w:rPr>
        <w:t>；</w:t>
      </w:r>
    </w:p>
    <w:p w14:paraId="1AEA0D7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pH</w:t>
      </w:r>
      <w:r>
        <w:rPr>
          <w:rFonts w:hint="eastAsia" w:cs="Times New Roman"/>
          <w:color w:val="auto"/>
          <w:sz w:val="21"/>
          <w:szCs w:val="21"/>
          <w:highlight w:val="none"/>
          <w:lang w:val="en-US" w:eastAsia="zh-CN"/>
        </w:rPr>
        <w:t>sd</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评价标准中pH值的上限值。</w:t>
      </w:r>
    </w:p>
    <w:p w14:paraId="74836EA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1"/>
          <w:szCs w:val="21"/>
          <w:highlight w:val="none"/>
        </w:rPr>
        <w:t>若水质参数的标准指数&gt;1，表明该水质参数超过了规定的水质标准，已经不能满足使用要求。标准指数越大，污染程度越重</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标准指数越小，说明水体受污染的程度越轻</w:t>
      </w:r>
      <w:r>
        <w:rPr>
          <w:rFonts w:hint="eastAsia" w:cs="Times New Roman"/>
          <w:color w:val="auto"/>
          <w:sz w:val="21"/>
          <w:szCs w:val="21"/>
          <w:highlight w:val="none"/>
          <w:lang w:eastAsia="zh-CN"/>
        </w:rPr>
        <w:t>。</w:t>
      </w:r>
    </w:p>
    <w:p w14:paraId="6D6C62CF">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pacing w:val="0"/>
          <w:sz w:val="21"/>
          <w:szCs w:val="21"/>
          <w:highlight w:val="none"/>
        </w:rPr>
      </w:pPr>
      <w:r>
        <w:rPr>
          <w:rFonts w:hint="eastAsia" w:cs="Times New Roman"/>
          <w:color w:val="auto"/>
          <w:spacing w:val="0"/>
          <w:sz w:val="21"/>
          <w:szCs w:val="21"/>
          <w:highlight w:val="none"/>
          <w:lang w:val="en-US" w:eastAsia="zh-CN"/>
        </w:rPr>
        <w:t>3</w:t>
      </w:r>
      <w:r>
        <w:rPr>
          <w:rFonts w:hint="default" w:ascii="Times New Roman" w:hAnsi="Times New Roman" w:cs="Times New Roman"/>
          <w:color w:val="auto"/>
          <w:spacing w:val="0"/>
          <w:sz w:val="21"/>
          <w:szCs w:val="21"/>
          <w:highlight w:val="none"/>
        </w:rPr>
        <w:t>）水质评价结果</w:t>
      </w:r>
    </w:p>
    <w:p w14:paraId="20460851">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pacing w:val="0"/>
          <w:sz w:val="21"/>
          <w:szCs w:val="21"/>
          <w:highlight w:val="none"/>
        </w:rPr>
        <w:t>本次水质评价委</w:t>
      </w:r>
      <w:r>
        <w:rPr>
          <w:rFonts w:hint="default" w:ascii="Times New Roman" w:hAnsi="Times New Roman" w:eastAsia="宋体" w:cs="Times New Roman"/>
          <w:color w:val="auto"/>
          <w:spacing w:val="0"/>
          <w:sz w:val="21"/>
          <w:szCs w:val="21"/>
          <w:highlight w:val="none"/>
        </w:rPr>
        <w:t>托了</w:t>
      </w:r>
      <w:r>
        <w:rPr>
          <w:rFonts w:hint="eastAsia" w:ascii="Times New Roman" w:hAnsi="Times New Roman" w:cs="Times New Roman"/>
          <w:b w:val="0"/>
          <w:bCs/>
          <w:color w:val="auto"/>
          <w:spacing w:val="0"/>
          <w:sz w:val="21"/>
          <w:szCs w:val="21"/>
          <w:highlight w:val="none"/>
          <w:lang w:eastAsia="zh-CN"/>
        </w:rPr>
        <w:t>黑龙江省得凡检测有限公司哈尔滨分公司</w:t>
      </w:r>
      <w:r>
        <w:rPr>
          <w:rFonts w:hint="default" w:ascii="Times New Roman" w:hAnsi="Times New Roman" w:eastAsia="宋体" w:cs="Times New Roman"/>
          <w:color w:val="auto"/>
          <w:spacing w:val="0"/>
          <w:sz w:val="21"/>
          <w:szCs w:val="21"/>
          <w:highlight w:val="none"/>
        </w:rPr>
        <w:t>对</w:t>
      </w:r>
      <w:r>
        <w:rPr>
          <w:rFonts w:hint="eastAsia" w:cs="Times New Roman"/>
          <w:color w:val="auto"/>
          <w:spacing w:val="0"/>
          <w:sz w:val="21"/>
          <w:szCs w:val="21"/>
          <w:highlight w:val="none"/>
          <w:lang w:eastAsia="zh-CN"/>
        </w:rPr>
        <w:t>庆先水库</w:t>
      </w:r>
      <w:r>
        <w:rPr>
          <w:rFonts w:hint="default" w:ascii="Times New Roman" w:hAnsi="Times New Roman" w:eastAsia="宋体" w:cs="Times New Roman"/>
          <w:color w:val="auto"/>
          <w:spacing w:val="0"/>
          <w:sz w:val="21"/>
          <w:szCs w:val="21"/>
          <w:highlight w:val="none"/>
        </w:rPr>
        <w:t>进行检测，</w:t>
      </w:r>
      <w:r>
        <w:rPr>
          <w:rFonts w:hint="eastAsia" w:cs="Times New Roman"/>
          <w:color w:val="auto"/>
          <w:spacing w:val="0"/>
          <w:sz w:val="21"/>
          <w:szCs w:val="21"/>
          <w:highlight w:val="none"/>
          <w:lang w:val="en-US" w:eastAsia="zh-CN"/>
        </w:rPr>
        <w:t>检测时间为2026年2月12日，</w:t>
      </w:r>
      <w:r>
        <w:rPr>
          <w:rFonts w:hint="default" w:ascii="Times New Roman" w:hAnsi="Times New Roman" w:eastAsia="宋体" w:cs="Times New Roman"/>
          <w:color w:val="auto"/>
          <w:spacing w:val="0"/>
          <w:sz w:val="21"/>
          <w:szCs w:val="21"/>
          <w:highlight w:val="none"/>
        </w:rPr>
        <w:t>监测数据及评价结果</w:t>
      </w:r>
      <w:r>
        <w:rPr>
          <w:rFonts w:hint="default" w:ascii="Times New Roman" w:hAnsi="Times New Roman" w:cs="Times New Roman"/>
          <w:color w:val="auto"/>
          <w:spacing w:val="0"/>
          <w:sz w:val="21"/>
          <w:szCs w:val="21"/>
          <w:highlight w:val="none"/>
        </w:rPr>
        <w:t>见表3</w:t>
      </w:r>
      <w:r>
        <w:rPr>
          <w:rFonts w:hint="eastAsia" w:cs="Times New Roman"/>
          <w:color w:val="auto"/>
          <w:spacing w:val="0"/>
          <w:sz w:val="21"/>
          <w:szCs w:val="21"/>
          <w:highlight w:val="none"/>
          <w:lang w:val="en-US" w:eastAsia="zh-CN"/>
        </w:rPr>
        <w:t>-2</w:t>
      </w:r>
      <w:r>
        <w:rPr>
          <w:rFonts w:hint="default" w:ascii="Times New Roman" w:hAnsi="Times New Roman" w:cs="Times New Roman"/>
          <w:color w:val="auto"/>
          <w:spacing w:val="0"/>
          <w:sz w:val="21"/>
          <w:szCs w:val="21"/>
          <w:highlight w:val="none"/>
        </w:rPr>
        <w:t>。根据检测结果，</w:t>
      </w:r>
      <w:r>
        <w:rPr>
          <w:rFonts w:hint="eastAsia" w:cs="Times New Roman" w:eastAsiaTheme="minorEastAsia"/>
          <w:color w:val="auto"/>
          <w:spacing w:val="0"/>
          <w:sz w:val="21"/>
          <w:szCs w:val="21"/>
          <w:highlight w:val="none"/>
          <w:lang w:val="en-US" w:eastAsia="zh-CN"/>
        </w:rPr>
        <w:t>庆先</w:t>
      </w:r>
      <w:r>
        <w:rPr>
          <w:rFonts w:hint="default" w:ascii="Times New Roman" w:hAnsi="Times New Roman" w:cs="Times New Roman" w:eastAsiaTheme="minorEastAsia"/>
          <w:color w:val="auto"/>
          <w:spacing w:val="0"/>
          <w:sz w:val="21"/>
          <w:szCs w:val="21"/>
          <w:highlight w:val="none"/>
        </w:rPr>
        <w:t>水库</w:t>
      </w:r>
      <w:r>
        <w:rPr>
          <w:rFonts w:hint="eastAsia" w:cs="Times New Roman" w:eastAsiaTheme="minorEastAsia"/>
          <w:color w:val="auto"/>
          <w:spacing w:val="0"/>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水库</w:t>
      </w:r>
      <w:r>
        <w:rPr>
          <w:rFonts w:hint="default" w:ascii="Times New Roman" w:hAnsi="Times New Roman"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lang w:val="en-US" w:eastAsia="zh-CN"/>
        </w:rPr>
        <w:t>游汇入锅盔河处</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锅盔河汇入穆棱河处</w:t>
      </w:r>
      <w:r>
        <w:rPr>
          <w:rFonts w:hint="default" w:ascii="Times New Roman" w:hAnsi="Times New Roman" w:cs="Times New Roman" w:eastAsiaTheme="minorEastAsia"/>
          <w:color w:val="auto"/>
          <w:spacing w:val="0"/>
          <w:sz w:val="21"/>
          <w:szCs w:val="21"/>
          <w:highlight w:val="none"/>
        </w:rPr>
        <w:t>现状水质</w:t>
      </w:r>
      <w:r>
        <w:rPr>
          <w:rFonts w:hint="eastAsia" w:cs="Times New Roman" w:eastAsiaTheme="minorEastAsia"/>
          <w:color w:val="auto"/>
          <w:spacing w:val="0"/>
          <w:sz w:val="21"/>
          <w:szCs w:val="21"/>
          <w:highlight w:val="none"/>
          <w:lang w:val="en-US" w:eastAsia="zh-CN"/>
        </w:rPr>
        <w:t>均</w:t>
      </w:r>
      <w:r>
        <w:rPr>
          <w:rFonts w:hint="default" w:ascii="Times New Roman" w:hAnsi="Times New Roman" w:cs="Times New Roman" w:eastAsiaTheme="minorEastAsia"/>
          <w:color w:val="auto"/>
          <w:spacing w:val="0"/>
          <w:sz w:val="21"/>
          <w:szCs w:val="21"/>
          <w:highlight w:val="none"/>
        </w:rPr>
        <w:t>满足</w:t>
      </w:r>
      <w:r>
        <w:rPr>
          <w:rFonts w:hint="default" w:ascii="Times New Roman" w:hAnsi="Times New Roman" w:eastAsia="宋体" w:cs="Times New Roman"/>
          <w:color w:val="auto"/>
          <w:sz w:val="21"/>
          <w:highlight w:val="none"/>
          <w:lang w:eastAsia="zh-CN"/>
        </w:rPr>
        <w:t>《地表水环境质量标准》（GB3838-2002）Ⅲ类标准</w:t>
      </w:r>
      <w:r>
        <w:rPr>
          <w:rFonts w:hint="default" w:ascii="Times New Roman" w:hAnsi="Times New Roman" w:cs="Times New Roman" w:eastAsiaTheme="minorEastAsia"/>
          <w:color w:val="auto"/>
          <w:spacing w:val="0"/>
          <w:sz w:val="21"/>
          <w:szCs w:val="21"/>
          <w:highlight w:val="none"/>
        </w:rPr>
        <w:t>要求</w:t>
      </w:r>
      <w:r>
        <w:rPr>
          <w:rFonts w:hint="default" w:ascii="Times New Roman" w:hAnsi="Times New Roman" w:cs="Times New Roman"/>
          <w:color w:val="auto"/>
          <w:spacing w:val="0"/>
          <w:sz w:val="21"/>
          <w:szCs w:val="21"/>
          <w:highlight w:val="none"/>
        </w:rPr>
        <w:t>。</w:t>
      </w:r>
    </w:p>
    <w:p w14:paraId="4A26AC0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 xml:space="preserve">3-2 </w:t>
      </w:r>
      <w:r>
        <w:rPr>
          <w:rFonts w:hint="eastAsia" w:cs="Times New Roman"/>
          <w:b/>
          <w:bCs/>
          <w:color w:val="auto"/>
          <w:sz w:val="21"/>
          <w:szCs w:val="21"/>
          <w:highlight w:val="none"/>
          <w:lang w:eastAsia="zh-CN"/>
        </w:rPr>
        <w:t>庆先水库</w:t>
      </w:r>
      <w:r>
        <w:rPr>
          <w:rFonts w:hint="default" w:ascii="Times New Roman" w:hAnsi="Times New Roman" w:cs="Times New Roman"/>
          <w:b/>
          <w:bCs/>
          <w:color w:val="auto"/>
          <w:sz w:val="21"/>
          <w:szCs w:val="21"/>
          <w:highlight w:val="none"/>
        </w:rPr>
        <w:t>水质监测</w:t>
      </w:r>
      <w:r>
        <w:rPr>
          <w:rFonts w:hint="eastAsia" w:cs="Times New Roman"/>
          <w:b/>
          <w:bCs/>
          <w:color w:val="auto"/>
          <w:sz w:val="21"/>
          <w:szCs w:val="21"/>
          <w:highlight w:val="none"/>
          <w:lang w:val="en-US" w:eastAsia="zh-CN"/>
        </w:rPr>
        <w:t>及</w:t>
      </w:r>
      <w:r>
        <w:rPr>
          <w:rFonts w:hint="default" w:ascii="Times New Roman" w:hAnsi="Times New Roman" w:cs="Times New Roman"/>
          <w:b/>
          <w:bCs/>
          <w:color w:val="auto"/>
          <w:sz w:val="21"/>
          <w:szCs w:val="21"/>
          <w:highlight w:val="none"/>
        </w:rPr>
        <w:t>水质</w:t>
      </w:r>
      <w:r>
        <w:rPr>
          <w:rFonts w:hint="eastAsia" w:ascii="Times New Roman" w:hAnsi="Times New Roman" w:cs="Times New Roman"/>
          <w:b/>
          <w:bCs/>
          <w:color w:val="auto"/>
          <w:sz w:val="21"/>
          <w:szCs w:val="21"/>
          <w:highlight w:val="none"/>
          <w:lang w:eastAsia="zh-CN"/>
        </w:rPr>
        <w:t>评价</w:t>
      </w:r>
      <w:r>
        <w:rPr>
          <w:rFonts w:hint="default" w:ascii="Times New Roman" w:hAnsi="Times New Roman" w:cs="Times New Roman"/>
          <w:b/>
          <w:bCs/>
          <w:color w:val="auto"/>
          <w:sz w:val="21"/>
          <w:szCs w:val="21"/>
          <w:highlight w:val="none"/>
        </w:rPr>
        <w:t>结果</w:t>
      </w:r>
    </w:p>
    <w:tbl>
      <w:tblPr>
        <w:tblStyle w:val="24"/>
        <w:tblpPr w:leftFromText="180" w:rightFromText="180" w:vertAnchor="text" w:horzAnchor="page" w:tblpXSpec="center" w:tblpY="75"/>
        <w:tblOverlap w:val="never"/>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230"/>
        <w:gridCol w:w="2030"/>
        <w:gridCol w:w="2132"/>
      </w:tblGrid>
      <w:tr w14:paraId="344C49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restart"/>
            <w:vAlign w:val="center"/>
          </w:tcPr>
          <w:p w14:paraId="5E1089B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检测项目</w:t>
            </w:r>
          </w:p>
        </w:tc>
        <w:tc>
          <w:tcPr>
            <w:tcW w:w="1308" w:type="pct"/>
            <w:vAlign w:val="center"/>
          </w:tcPr>
          <w:p w14:paraId="58E1AA9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样品编号及点位</w:t>
            </w:r>
          </w:p>
        </w:tc>
        <w:tc>
          <w:tcPr>
            <w:tcW w:w="1191" w:type="pct"/>
            <w:vMerge w:val="restart"/>
            <w:vAlign w:val="center"/>
          </w:tcPr>
          <w:p w14:paraId="6659A8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单位</w:t>
            </w:r>
          </w:p>
        </w:tc>
        <w:tc>
          <w:tcPr>
            <w:tcW w:w="1250" w:type="pct"/>
            <w:vMerge w:val="restart"/>
            <w:vAlign w:val="center"/>
          </w:tcPr>
          <w:p w14:paraId="02D3CF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备注</w:t>
            </w:r>
          </w:p>
        </w:tc>
      </w:tr>
      <w:tr w14:paraId="24B36D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continue"/>
            <w:vAlign w:val="center"/>
          </w:tcPr>
          <w:p w14:paraId="1C0A6BF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308" w:type="pct"/>
            <w:vAlign w:val="center"/>
          </w:tcPr>
          <w:p w14:paraId="64791BA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庆先</w:t>
            </w:r>
            <w:r>
              <w:rPr>
                <w:rFonts w:hint="default" w:ascii="Times New Roman" w:hAnsi="Times New Roman" w:cs="Times New Roman" w:eastAsiaTheme="minorEastAsia"/>
                <w:color w:val="auto"/>
                <w:sz w:val="18"/>
                <w:szCs w:val="18"/>
                <w:highlight w:val="none"/>
              </w:rPr>
              <w:t>水库1#</w:t>
            </w:r>
          </w:p>
        </w:tc>
        <w:tc>
          <w:tcPr>
            <w:tcW w:w="1191" w:type="pct"/>
            <w:vMerge w:val="continue"/>
            <w:vAlign w:val="center"/>
          </w:tcPr>
          <w:p w14:paraId="4ECBD3C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250" w:type="pct"/>
            <w:vMerge w:val="continue"/>
            <w:vAlign w:val="center"/>
          </w:tcPr>
          <w:p w14:paraId="15A606C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65B707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continue"/>
            <w:vAlign w:val="center"/>
          </w:tcPr>
          <w:p w14:paraId="7C0D846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308" w:type="pct"/>
            <w:shd w:val="clear" w:color="auto" w:fill="auto"/>
            <w:vAlign w:val="center"/>
          </w:tcPr>
          <w:p w14:paraId="36A61E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val="0"/>
                <w:bCs/>
                <w:color w:val="auto"/>
                <w:spacing w:val="0"/>
                <w:sz w:val="18"/>
                <w:szCs w:val="18"/>
                <w:highlight w:val="none"/>
                <w:lang w:val="en-US" w:eastAsia="zh-CN"/>
              </w:rPr>
              <w:t>检测结果</w:t>
            </w:r>
          </w:p>
        </w:tc>
        <w:tc>
          <w:tcPr>
            <w:tcW w:w="1191" w:type="pct"/>
            <w:vMerge w:val="continue"/>
            <w:vAlign w:val="center"/>
          </w:tcPr>
          <w:p w14:paraId="7DAE7F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250" w:type="pct"/>
            <w:vMerge w:val="continue"/>
            <w:vAlign w:val="center"/>
          </w:tcPr>
          <w:p w14:paraId="4DDD822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36C9F6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23CCC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PH值</w:t>
            </w:r>
          </w:p>
        </w:tc>
        <w:tc>
          <w:tcPr>
            <w:tcW w:w="1308" w:type="pct"/>
            <w:shd w:val="clear" w:color="auto" w:fill="auto"/>
            <w:vAlign w:val="center"/>
          </w:tcPr>
          <w:p w14:paraId="1523D49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7.0</w:t>
            </w:r>
          </w:p>
        </w:tc>
        <w:tc>
          <w:tcPr>
            <w:tcW w:w="1191" w:type="pct"/>
            <w:shd w:val="clear" w:color="auto" w:fill="auto"/>
            <w:vAlign w:val="center"/>
          </w:tcPr>
          <w:p w14:paraId="6434165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cs="Times New Roman"/>
                <w:color w:val="auto"/>
                <w:kern w:val="0"/>
                <w:sz w:val="18"/>
                <w:szCs w:val="18"/>
                <w:highlight w:val="none"/>
              </w:rPr>
              <w:t>无量纲</w:t>
            </w:r>
          </w:p>
        </w:tc>
        <w:tc>
          <w:tcPr>
            <w:tcW w:w="1250" w:type="pct"/>
            <w:shd w:val="clear" w:color="auto" w:fill="auto"/>
            <w:vAlign w:val="center"/>
          </w:tcPr>
          <w:p w14:paraId="1D66B5A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达标</w:t>
            </w:r>
          </w:p>
        </w:tc>
      </w:tr>
      <w:tr w14:paraId="6BC221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2385EB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溶解氧</w:t>
            </w:r>
          </w:p>
        </w:tc>
        <w:tc>
          <w:tcPr>
            <w:tcW w:w="1308" w:type="pct"/>
            <w:shd w:val="clear" w:color="auto" w:fill="auto"/>
            <w:vAlign w:val="center"/>
          </w:tcPr>
          <w:p w14:paraId="4D2E62D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8.60</w:t>
            </w:r>
          </w:p>
        </w:tc>
        <w:tc>
          <w:tcPr>
            <w:tcW w:w="1191" w:type="pct"/>
            <w:shd w:val="clear" w:color="auto" w:fill="auto"/>
            <w:vAlign w:val="center"/>
          </w:tcPr>
          <w:p w14:paraId="216FF57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8A9F29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598E71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045A012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氨氮</w:t>
            </w:r>
          </w:p>
        </w:tc>
        <w:tc>
          <w:tcPr>
            <w:tcW w:w="1308" w:type="pct"/>
            <w:shd w:val="clear" w:color="auto" w:fill="auto"/>
            <w:vAlign w:val="center"/>
          </w:tcPr>
          <w:p w14:paraId="3C3462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0.142</w:t>
            </w:r>
          </w:p>
        </w:tc>
        <w:tc>
          <w:tcPr>
            <w:tcW w:w="1191" w:type="pct"/>
            <w:shd w:val="clear" w:color="auto" w:fill="auto"/>
            <w:vAlign w:val="center"/>
          </w:tcPr>
          <w:p w14:paraId="0BC923C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A70DF9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565E7D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9509CC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高锰酸盐指数</w:t>
            </w:r>
          </w:p>
        </w:tc>
        <w:tc>
          <w:tcPr>
            <w:tcW w:w="1308" w:type="pct"/>
            <w:shd w:val="clear" w:color="auto" w:fill="auto"/>
            <w:vAlign w:val="center"/>
          </w:tcPr>
          <w:p w14:paraId="6C7977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3.8</w:t>
            </w:r>
          </w:p>
        </w:tc>
        <w:tc>
          <w:tcPr>
            <w:tcW w:w="1191" w:type="pct"/>
            <w:shd w:val="clear" w:color="auto" w:fill="auto"/>
            <w:vAlign w:val="center"/>
          </w:tcPr>
          <w:p w14:paraId="2D91F1B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00B6606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202781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6D5E945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化学需氧量</w:t>
            </w:r>
          </w:p>
        </w:tc>
        <w:tc>
          <w:tcPr>
            <w:tcW w:w="1308" w:type="pct"/>
            <w:shd w:val="clear" w:color="auto" w:fill="auto"/>
            <w:vAlign w:val="center"/>
          </w:tcPr>
          <w:p w14:paraId="1E1AEE0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13</w:t>
            </w:r>
          </w:p>
        </w:tc>
        <w:tc>
          <w:tcPr>
            <w:tcW w:w="1191" w:type="pct"/>
            <w:shd w:val="clear" w:color="auto" w:fill="auto"/>
            <w:vAlign w:val="center"/>
          </w:tcPr>
          <w:p w14:paraId="722E065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014341F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1C42B9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BDF19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五日生化需氧量</w:t>
            </w:r>
          </w:p>
        </w:tc>
        <w:tc>
          <w:tcPr>
            <w:tcW w:w="1308" w:type="pct"/>
            <w:shd w:val="clear" w:color="auto" w:fill="auto"/>
            <w:vAlign w:val="center"/>
          </w:tcPr>
          <w:p w14:paraId="6E4BFEE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2.7</w:t>
            </w:r>
          </w:p>
        </w:tc>
        <w:tc>
          <w:tcPr>
            <w:tcW w:w="1191" w:type="pct"/>
            <w:shd w:val="clear" w:color="auto" w:fill="auto"/>
            <w:vAlign w:val="center"/>
          </w:tcPr>
          <w:p w14:paraId="2B24F39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0C6110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2615C9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0CDA5BA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总磷</w:t>
            </w:r>
          </w:p>
        </w:tc>
        <w:tc>
          <w:tcPr>
            <w:tcW w:w="1308" w:type="pct"/>
            <w:shd w:val="clear" w:color="auto" w:fill="auto"/>
            <w:vAlign w:val="center"/>
          </w:tcPr>
          <w:p w14:paraId="75886D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0.09</w:t>
            </w:r>
          </w:p>
        </w:tc>
        <w:tc>
          <w:tcPr>
            <w:tcW w:w="1191" w:type="pct"/>
            <w:shd w:val="clear" w:color="auto" w:fill="auto"/>
            <w:vAlign w:val="center"/>
          </w:tcPr>
          <w:p w14:paraId="7545C5C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5A3C4A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3A2294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4545904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总氮</w:t>
            </w:r>
          </w:p>
        </w:tc>
        <w:tc>
          <w:tcPr>
            <w:tcW w:w="1308" w:type="pct"/>
            <w:shd w:val="clear" w:color="auto" w:fill="auto"/>
            <w:vAlign w:val="center"/>
          </w:tcPr>
          <w:p w14:paraId="60610F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0.77</w:t>
            </w:r>
          </w:p>
        </w:tc>
        <w:tc>
          <w:tcPr>
            <w:tcW w:w="1191" w:type="pct"/>
            <w:shd w:val="clear" w:color="auto" w:fill="auto"/>
            <w:vAlign w:val="center"/>
          </w:tcPr>
          <w:p w14:paraId="1A30C14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53F984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204372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62B61F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铜</w:t>
            </w:r>
          </w:p>
        </w:tc>
        <w:tc>
          <w:tcPr>
            <w:tcW w:w="1308" w:type="pct"/>
            <w:shd w:val="clear" w:color="auto" w:fill="auto"/>
            <w:vAlign w:val="center"/>
          </w:tcPr>
          <w:p w14:paraId="413A35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191" w:type="pct"/>
            <w:shd w:val="clear" w:color="auto" w:fill="auto"/>
            <w:vAlign w:val="center"/>
          </w:tcPr>
          <w:p w14:paraId="7B3233D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6B2E243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3B7EC3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6A1BDC0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锌</w:t>
            </w:r>
          </w:p>
        </w:tc>
        <w:tc>
          <w:tcPr>
            <w:tcW w:w="1308" w:type="pct"/>
            <w:tcBorders>
              <w:left w:val="single" w:color="auto" w:sz="4" w:space="0"/>
              <w:bottom w:val="single" w:color="auto" w:sz="4" w:space="0"/>
              <w:right w:val="single" w:color="auto" w:sz="4" w:space="0"/>
            </w:tcBorders>
            <w:shd w:val="clear" w:color="auto" w:fill="auto"/>
            <w:vAlign w:val="center"/>
          </w:tcPr>
          <w:p w14:paraId="3498EC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191" w:type="pct"/>
            <w:tcBorders>
              <w:left w:val="single" w:color="auto" w:sz="4" w:space="0"/>
              <w:bottom w:val="single" w:color="auto" w:sz="4" w:space="0"/>
            </w:tcBorders>
            <w:shd w:val="clear" w:color="auto" w:fill="auto"/>
            <w:vAlign w:val="center"/>
          </w:tcPr>
          <w:p w14:paraId="16E5C7C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1EBBCDE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CE494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08C3E78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氟化物</w:t>
            </w:r>
          </w:p>
        </w:tc>
        <w:tc>
          <w:tcPr>
            <w:tcW w:w="1308" w:type="pct"/>
            <w:tcBorders>
              <w:left w:val="single" w:color="auto" w:sz="4" w:space="0"/>
              <w:bottom w:val="single" w:color="auto" w:sz="4" w:space="0"/>
              <w:right w:val="single" w:color="auto" w:sz="4" w:space="0"/>
            </w:tcBorders>
            <w:shd w:val="clear" w:color="auto" w:fill="auto"/>
            <w:vAlign w:val="center"/>
          </w:tcPr>
          <w:p w14:paraId="01C2AFF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0.006L</w:t>
            </w:r>
          </w:p>
        </w:tc>
        <w:tc>
          <w:tcPr>
            <w:tcW w:w="1191" w:type="pct"/>
            <w:tcBorders>
              <w:left w:val="single" w:color="auto" w:sz="4" w:space="0"/>
              <w:bottom w:val="single" w:color="auto" w:sz="4" w:space="0"/>
            </w:tcBorders>
            <w:shd w:val="clear" w:color="auto" w:fill="auto"/>
            <w:vAlign w:val="center"/>
          </w:tcPr>
          <w:p w14:paraId="3C5BCC8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3D29715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C3A86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12C566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氰化物</w:t>
            </w:r>
          </w:p>
        </w:tc>
        <w:tc>
          <w:tcPr>
            <w:tcW w:w="1308" w:type="pct"/>
            <w:tcBorders>
              <w:left w:val="single" w:color="auto" w:sz="4" w:space="0"/>
              <w:bottom w:val="single" w:color="auto" w:sz="4" w:space="0"/>
              <w:right w:val="single" w:color="auto" w:sz="4" w:space="0"/>
            </w:tcBorders>
            <w:shd w:val="clear" w:color="auto" w:fill="auto"/>
            <w:vAlign w:val="center"/>
          </w:tcPr>
          <w:p w14:paraId="288A6D7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0.004L</w:t>
            </w:r>
          </w:p>
        </w:tc>
        <w:tc>
          <w:tcPr>
            <w:tcW w:w="1191" w:type="pct"/>
            <w:tcBorders>
              <w:left w:val="single" w:color="auto" w:sz="4" w:space="0"/>
              <w:bottom w:val="single" w:color="auto" w:sz="4" w:space="0"/>
            </w:tcBorders>
            <w:shd w:val="clear" w:color="auto" w:fill="auto"/>
            <w:vAlign w:val="center"/>
          </w:tcPr>
          <w:p w14:paraId="6A4E195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34B0120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191B8F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01BAA25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挥发酚</w:t>
            </w:r>
          </w:p>
        </w:tc>
        <w:tc>
          <w:tcPr>
            <w:tcW w:w="1308" w:type="pct"/>
            <w:tcBorders>
              <w:left w:val="single" w:color="auto" w:sz="4" w:space="0"/>
              <w:bottom w:val="single" w:color="auto" w:sz="4" w:space="0"/>
              <w:right w:val="single" w:color="auto" w:sz="4" w:space="0"/>
            </w:tcBorders>
            <w:shd w:val="clear" w:color="auto" w:fill="auto"/>
            <w:vAlign w:val="center"/>
          </w:tcPr>
          <w:p w14:paraId="407BC4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0.0003L</w:t>
            </w:r>
          </w:p>
        </w:tc>
        <w:tc>
          <w:tcPr>
            <w:tcW w:w="1191" w:type="pct"/>
            <w:tcBorders>
              <w:left w:val="single" w:color="auto" w:sz="4" w:space="0"/>
              <w:bottom w:val="single" w:color="auto" w:sz="4" w:space="0"/>
            </w:tcBorders>
            <w:shd w:val="clear" w:color="auto" w:fill="auto"/>
            <w:vAlign w:val="center"/>
          </w:tcPr>
          <w:p w14:paraId="1E73347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37418C4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154CE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545ECD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硒</w:t>
            </w:r>
          </w:p>
        </w:tc>
        <w:tc>
          <w:tcPr>
            <w:tcW w:w="1308" w:type="pct"/>
            <w:tcBorders>
              <w:left w:val="single" w:color="auto" w:sz="4" w:space="0"/>
              <w:bottom w:val="single" w:color="auto" w:sz="4" w:space="0"/>
              <w:right w:val="single" w:color="auto" w:sz="4" w:space="0"/>
            </w:tcBorders>
            <w:shd w:val="clear" w:color="auto" w:fill="auto"/>
            <w:vAlign w:val="center"/>
          </w:tcPr>
          <w:p w14:paraId="5AFBB6C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0.0004L</w:t>
            </w:r>
          </w:p>
        </w:tc>
        <w:tc>
          <w:tcPr>
            <w:tcW w:w="1191" w:type="pct"/>
            <w:tcBorders>
              <w:left w:val="single" w:color="auto" w:sz="4" w:space="0"/>
              <w:bottom w:val="single" w:color="auto" w:sz="4" w:space="0"/>
            </w:tcBorders>
            <w:shd w:val="clear" w:color="auto" w:fill="auto"/>
            <w:vAlign w:val="center"/>
          </w:tcPr>
          <w:p w14:paraId="2A121D1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6E6DF25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015C99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5FBC359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砷</w:t>
            </w:r>
          </w:p>
        </w:tc>
        <w:tc>
          <w:tcPr>
            <w:tcW w:w="1308" w:type="pct"/>
            <w:tcBorders>
              <w:left w:val="single" w:color="auto" w:sz="4" w:space="0"/>
              <w:bottom w:val="single" w:color="auto" w:sz="4" w:space="0"/>
              <w:right w:val="single" w:color="auto" w:sz="4" w:space="0"/>
            </w:tcBorders>
            <w:shd w:val="clear" w:color="auto" w:fill="auto"/>
            <w:vAlign w:val="center"/>
          </w:tcPr>
          <w:p w14:paraId="4806B55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color w:val="auto"/>
                <w:spacing w:val="0"/>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0.0003L</w:t>
            </w:r>
          </w:p>
        </w:tc>
        <w:tc>
          <w:tcPr>
            <w:tcW w:w="1191" w:type="pct"/>
            <w:tcBorders>
              <w:left w:val="single" w:color="auto" w:sz="4" w:space="0"/>
              <w:bottom w:val="single" w:color="auto" w:sz="4" w:space="0"/>
            </w:tcBorders>
            <w:shd w:val="clear" w:color="auto" w:fill="auto"/>
            <w:vAlign w:val="center"/>
          </w:tcPr>
          <w:p w14:paraId="6480EF2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706AC50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590EF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2DE5A64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汞</w:t>
            </w:r>
          </w:p>
        </w:tc>
        <w:tc>
          <w:tcPr>
            <w:tcW w:w="1308" w:type="pct"/>
            <w:tcBorders>
              <w:left w:val="single" w:color="auto" w:sz="4" w:space="0"/>
              <w:bottom w:val="single" w:color="auto" w:sz="4" w:space="0"/>
              <w:right w:val="single" w:color="auto" w:sz="4" w:space="0"/>
            </w:tcBorders>
            <w:shd w:val="clear" w:color="auto" w:fill="auto"/>
            <w:vAlign w:val="center"/>
          </w:tcPr>
          <w:p w14:paraId="5EDF4B6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0.00004L</w:t>
            </w:r>
          </w:p>
        </w:tc>
        <w:tc>
          <w:tcPr>
            <w:tcW w:w="1191" w:type="pct"/>
            <w:tcBorders>
              <w:left w:val="single" w:color="auto" w:sz="4" w:space="0"/>
              <w:bottom w:val="single" w:color="auto" w:sz="4" w:space="0"/>
            </w:tcBorders>
            <w:shd w:val="clear" w:color="auto" w:fill="auto"/>
            <w:vAlign w:val="center"/>
          </w:tcPr>
          <w:p w14:paraId="6E655CF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6A6C1CC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C0910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24D4A1A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镉</w:t>
            </w:r>
          </w:p>
        </w:tc>
        <w:tc>
          <w:tcPr>
            <w:tcW w:w="1308" w:type="pct"/>
            <w:tcBorders>
              <w:left w:val="single" w:color="auto" w:sz="4" w:space="0"/>
              <w:bottom w:val="single" w:color="auto" w:sz="4" w:space="0"/>
              <w:right w:val="single" w:color="auto" w:sz="4" w:space="0"/>
            </w:tcBorders>
            <w:shd w:val="clear" w:color="auto" w:fill="auto"/>
            <w:vAlign w:val="center"/>
          </w:tcPr>
          <w:p w14:paraId="5FB56E8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0.001L</w:t>
            </w:r>
          </w:p>
        </w:tc>
        <w:tc>
          <w:tcPr>
            <w:tcW w:w="1191" w:type="pct"/>
            <w:tcBorders>
              <w:left w:val="single" w:color="auto" w:sz="4" w:space="0"/>
              <w:bottom w:val="single" w:color="auto" w:sz="4" w:space="0"/>
            </w:tcBorders>
            <w:shd w:val="clear" w:color="auto" w:fill="auto"/>
            <w:vAlign w:val="center"/>
          </w:tcPr>
          <w:p w14:paraId="2E3D9C4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1E1C340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00020E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54019C1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六价铬</w:t>
            </w:r>
          </w:p>
        </w:tc>
        <w:tc>
          <w:tcPr>
            <w:tcW w:w="1308" w:type="pct"/>
            <w:tcBorders>
              <w:left w:val="single" w:color="auto" w:sz="4" w:space="0"/>
              <w:bottom w:val="single" w:color="auto" w:sz="4" w:space="0"/>
              <w:right w:val="single" w:color="auto" w:sz="4" w:space="0"/>
            </w:tcBorders>
            <w:shd w:val="clear" w:color="auto" w:fill="auto"/>
            <w:vAlign w:val="center"/>
          </w:tcPr>
          <w:p w14:paraId="15E983E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0.004L</w:t>
            </w:r>
          </w:p>
        </w:tc>
        <w:tc>
          <w:tcPr>
            <w:tcW w:w="1191" w:type="pct"/>
            <w:tcBorders>
              <w:left w:val="single" w:color="auto" w:sz="4" w:space="0"/>
              <w:bottom w:val="single" w:color="auto" w:sz="4" w:space="0"/>
            </w:tcBorders>
            <w:shd w:val="clear" w:color="auto" w:fill="auto"/>
            <w:vAlign w:val="center"/>
          </w:tcPr>
          <w:p w14:paraId="6B5B6B8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7BAA0AC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63E0E7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51A866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铅</w:t>
            </w:r>
          </w:p>
        </w:tc>
        <w:tc>
          <w:tcPr>
            <w:tcW w:w="1308" w:type="pct"/>
            <w:tcBorders>
              <w:left w:val="single" w:color="auto" w:sz="4" w:space="0"/>
              <w:bottom w:val="single" w:color="auto" w:sz="4" w:space="0"/>
              <w:right w:val="single" w:color="auto" w:sz="4" w:space="0"/>
            </w:tcBorders>
            <w:shd w:val="clear" w:color="auto" w:fill="auto"/>
            <w:vAlign w:val="center"/>
          </w:tcPr>
          <w:p w14:paraId="3A2F26A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0.01L</w:t>
            </w:r>
          </w:p>
        </w:tc>
        <w:tc>
          <w:tcPr>
            <w:tcW w:w="1191" w:type="pct"/>
            <w:tcBorders>
              <w:left w:val="single" w:color="auto" w:sz="4" w:space="0"/>
              <w:bottom w:val="single" w:color="auto" w:sz="4" w:space="0"/>
            </w:tcBorders>
            <w:shd w:val="clear" w:color="auto" w:fill="auto"/>
            <w:vAlign w:val="center"/>
          </w:tcPr>
          <w:p w14:paraId="6D21B74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2681933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3918EF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5E801E0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石油类</w:t>
            </w:r>
          </w:p>
        </w:tc>
        <w:tc>
          <w:tcPr>
            <w:tcW w:w="1308" w:type="pct"/>
            <w:tcBorders>
              <w:left w:val="single" w:color="auto" w:sz="4" w:space="0"/>
              <w:bottom w:val="single" w:color="auto" w:sz="4" w:space="0"/>
              <w:right w:val="single" w:color="auto" w:sz="4" w:space="0"/>
            </w:tcBorders>
            <w:shd w:val="clear" w:color="auto" w:fill="auto"/>
            <w:vAlign w:val="center"/>
          </w:tcPr>
          <w:p w14:paraId="0575941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0.01L</w:t>
            </w:r>
          </w:p>
        </w:tc>
        <w:tc>
          <w:tcPr>
            <w:tcW w:w="1191" w:type="pct"/>
            <w:tcBorders>
              <w:left w:val="single" w:color="auto" w:sz="4" w:space="0"/>
              <w:bottom w:val="single" w:color="auto" w:sz="4" w:space="0"/>
            </w:tcBorders>
            <w:shd w:val="clear" w:color="auto" w:fill="auto"/>
            <w:vAlign w:val="center"/>
          </w:tcPr>
          <w:p w14:paraId="3EC18A1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25C7C25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688F48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410216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硫化物</w:t>
            </w:r>
          </w:p>
        </w:tc>
        <w:tc>
          <w:tcPr>
            <w:tcW w:w="1308" w:type="pct"/>
            <w:tcBorders>
              <w:left w:val="single" w:color="auto" w:sz="4" w:space="0"/>
              <w:bottom w:val="single" w:color="auto" w:sz="4" w:space="0"/>
              <w:right w:val="single" w:color="auto" w:sz="4" w:space="0"/>
            </w:tcBorders>
            <w:shd w:val="clear" w:color="auto" w:fill="auto"/>
            <w:vAlign w:val="center"/>
          </w:tcPr>
          <w:p w14:paraId="305EAF5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0.01L</w:t>
            </w:r>
          </w:p>
        </w:tc>
        <w:tc>
          <w:tcPr>
            <w:tcW w:w="1191" w:type="pct"/>
            <w:tcBorders>
              <w:left w:val="single" w:color="auto" w:sz="4" w:space="0"/>
              <w:bottom w:val="single" w:color="auto" w:sz="4" w:space="0"/>
            </w:tcBorders>
            <w:shd w:val="clear" w:color="auto" w:fill="auto"/>
            <w:vAlign w:val="center"/>
          </w:tcPr>
          <w:p w14:paraId="0F32652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3FEEACF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27CB85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480F714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阴离子表面活性剂</w:t>
            </w:r>
          </w:p>
        </w:tc>
        <w:tc>
          <w:tcPr>
            <w:tcW w:w="1308" w:type="pct"/>
            <w:tcBorders>
              <w:left w:val="single" w:color="auto" w:sz="4" w:space="0"/>
              <w:bottom w:val="single" w:color="auto" w:sz="4" w:space="0"/>
              <w:right w:val="single" w:color="auto" w:sz="4" w:space="0"/>
            </w:tcBorders>
            <w:shd w:val="clear" w:color="auto" w:fill="auto"/>
            <w:vAlign w:val="center"/>
          </w:tcPr>
          <w:p w14:paraId="6B247C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0.05L</w:t>
            </w:r>
          </w:p>
        </w:tc>
        <w:tc>
          <w:tcPr>
            <w:tcW w:w="1191" w:type="pct"/>
            <w:tcBorders>
              <w:left w:val="single" w:color="auto" w:sz="4" w:space="0"/>
              <w:bottom w:val="single" w:color="auto" w:sz="4" w:space="0"/>
            </w:tcBorders>
            <w:shd w:val="clear" w:color="auto" w:fill="auto"/>
            <w:vAlign w:val="center"/>
          </w:tcPr>
          <w:p w14:paraId="7DBCB32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63F6213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685F8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05E6410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粪大肠菌群</w:t>
            </w:r>
          </w:p>
        </w:tc>
        <w:tc>
          <w:tcPr>
            <w:tcW w:w="1308" w:type="pct"/>
            <w:tcBorders>
              <w:left w:val="single" w:color="auto" w:sz="4" w:space="0"/>
              <w:bottom w:val="single" w:color="auto" w:sz="4" w:space="0"/>
              <w:right w:val="single" w:color="auto" w:sz="4" w:space="0"/>
            </w:tcBorders>
            <w:shd w:val="clear" w:color="auto" w:fill="auto"/>
            <w:vAlign w:val="center"/>
          </w:tcPr>
          <w:p w14:paraId="09A765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1100</w:t>
            </w:r>
          </w:p>
        </w:tc>
        <w:tc>
          <w:tcPr>
            <w:tcW w:w="1191" w:type="pct"/>
            <w:tcBorders>
              <w:left w:val="single" w:color="auto" w:sz="4" w:space="0"/>
              <w:bottom w:val="single" w:color="auto" w:sz="4" w:space="0"/>
            </w:tcBorders>
            <w:shd w:val="clear" w:color="auto" w:fill="auto"/>
            <w:vAlign w:val="center"/>
          </w:tcPr>
          <w:p w14:paraId="74E0AF2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MPN/L</w:t>
            </w:r>
          </w:p>
        </w:tc>
        <w:tc>
          <w:tcPr>
            <w:tcW w:w="1250" w:type="pct"/>
            <w:tcBorders>
              <w:left w:val="single" w:color="auto" w:sz="4" w:space="0"/>
              <w:bottom w:val="single" w:color="auto" w:sz="4" w:space="0"/>
            </w:tcBorders>
            <w:shd w:val="clear" w:color="auto" w:fill="auto"/>
            <w:vAlign w:val="center"/>
          </w:tcPr>
          <w:p w14:paraId="0ABA741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达标</w:t>
            </w:r>
          </w:p>
        </w:tc>
      </w:tr>
      <w:tr w14:paraId="1A036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25D8FC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cs="Times New Roman"/>
                <w:color w:val="auto"/>
                <w:sz w:val="18"/>
                <w:szCs w:val="18"/>
                <w:highlight w:val="none"/>
                <w:lang w:val="en-US" w:eastAsia="zh-CN"/>
              </w:rPr>
              <w:t>叶绿素a</w:t>
            </w:r>
          </w:p>
        </w:tc>
        <w:tc>
          <w:tcPr>
            <w:tcW w:w="1308" w:type="pct"/>
            <w:tcBorders>
              <w:left w:val="single" w:color="auto" w:sz="4" w:space="0"/>
              <w:bottom w:val="single" w:color="auto" w:sz="4" w:space="0"/>
              <w:right w:val="single" w:color="auto" w:sz="4" w:space="0"/>
            </w:tcBorders>
            <w:shd w:val="clear" w:color="auto" w:fill="auto"/>
            <w:vAlign w:val="center"/>
          </w:tcPr>
          <w:p w14:paraId="1E29E01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0.002L</w:t>
            </w:r>
          </w:p>
        </w:tc>
        <w:tc>
          <w:tcPr>
            <w:tcW w:w="1191" w:type="pct"/>
            <w:tcBorders>
              <w:left w:val="single" w:color="auto" w:sz="4" w:space="0"/>
              <w:bottom w:val="single" w:color="auto" w:sz="4" w:space="0"/>
            </w:tcBorders>
            <w:shd w:val="clear" w:color="auto" w:fill="auto"/>
            <w:vAlign w:val="center"/>
          </w:tcPr>
          <w:p w14:paraId="433991B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tcBorders>
              <w:left w:val="single" w:color="auto" w:sz="4" w:space="0"/>
              <w:bottom w:val="single" w:color="auto" w:sz="4" w:space="0"/>
            </w:tcBorders>
            <w:shd w:val="clear" w:color="auto" w:fill="auto"/>
            <w:vAlign w:val="center"/>
          </w:tcPr>
          <w:p w14:paraId="1D7BBAA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cs="Times New Roman"/>
                <w:color w:val="auto"/>
                <w:kern w:val="0"/>
                <w:sz w:val="18"/>
                <w:szCs w:val="18"/>
                <w:highlight w:val="none"/>
                <w:lang w:val="en-US" w:eastAsia="zh-CN"/>
              </w:rPr>
            </w:pPr>
            <w:r>
              <w:rPr>
                <w:rFonts w:hint="eastAsia" w:ascii="Times New Roman" w:hAnsi="Times New Roman" w:eastAsia="宋体" w:cs="Times New Roman"/>
                <w:b w:val="0"/>
                <w:bCs/>
                <w:color w:val="auto"/>
                <w:spacing w:val="0"/>
                <w:sz w:val="18"/>
                <w:szCs w:val="18"/>
                <w:highlight w:val="none"/>
                <w:lang w:val="en-US" w:eastAsia="zh-CN"/>
              </w:rPr>
              <w:t>/</w:t>
            </w:r>
          </w:p>
        </w:tc>
      </w:tr>
      <w:tr w14:paraId="15BEAE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tcBorders>
              <w:bottom w:val="single" w:color="auto" w:sz="4" w:space="0"/>
              <w:right w:val="single" w:color="auto" w:sz="4" w:space="0"/>
            </w:tcBorders>
            <w:shd w:val="clear" w:color="auto" w:fill="auto"/>
            <w:vAlign w:val="center"/>
          </w:tcPr>
          <w:p w14:paraId="1ADB9AD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透明度</w:t>
            </w:r>
          </w:p>
        </w:tc>
        <w:tc>
          <w:tcPr>
            <w:tcW w:w="1308" w:type="pct"/>
            <w:tcBorders>
              <w:left w:val="single" w:color="auto" w:sz="4" w:space="0"/>
              <w:bottom w:val="single" w:color="auto" w:sz="4" w:space="0"/>
              <w:right w:val="single" w:color="auto" w:sz="4" w:space="0"/>
            </w:tcBorders>
            <w:shd w:val="clear" w:color="auto" w:fill="auto"/>
            <w:vAlign w:val="center"/>
          </w:tcPr>
          <w:p w14:paraId="308535C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81</w:t>
            </w:r>
          </w:p>
        </w:tc>
        <w:tc>
          <w:tcPr>
            <w:tcW w:w="1191" w:type="pct"/>
            <w:tcBorders>
              <w:left w:val="single" w:color="auto" w:sz="4" w:space="0"/>
              <w:bottom w:val="single" w:color="auto" w:sz="4" w:space="0"/>
            </w:tcBorders>
            <w:shd w:val="clear" w:color="auto" w:fill="auto"/>
            <w:vAlign w:val="center"/>
          </w:tcPr>
          <w:p w14:paraId="07DE6C6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cm</w:t>
            </w:r>
          </w:p>
        </w:tc>
        <w:tc>
          <w:tcPr>
            <w:tcW w:w="1250" w:type="pct"/>
            <w:tcBorders>
              <w:left w:val="single" w:color="auto" w:sz="4" w:space="0"/>
              <w:bottom w:val="single" w:color="auto" w:sz="4" w:space="0"/>
            </w:tcBorders>
            <w:shd w:val="clear" w:color="auto" w:fill="auto"/>
            <w:vAlign w:val="center"/>
          </w:tcPr>
          <w:p w14:paraId="74CE089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EA536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restart"/>
            <w:vAlign w:val="center"/>
          </w:tcPr>
          <w:p w14:paraId="524FFA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检测项目</w:t>
            </w:r>
          </w:p>
        </w:tc>
        <w:tc>
          <w:tcPr>
            <w:tcW w:w="1308" w:type="pct"/>
            <w:vAlign w:val="center"/>
          </w:tcPr>
          <w:p w14:paraId="79EDC3B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样品编号及点位</w:t>
            </w:r>
          </w:p>
        </w:tc>
        <w:tc>
          <w:tcPr>
            <w:tcW w:w="1191" w:type="pct"/>
            <w:vMerge w:val="restart"/>
            <w:vAlign w:val="center"/>
          </w:tcPr>
          <w:p w14:paraId="07EBCB9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单位</w:t>
            </w:r>
          </w:p>
        </w:tc>
        <w:tc>
          <w:tcPr>
            <w:tcW w:w="1250" w:type="pct"/>
            <w:vMerge w:val="restart"/>
            <w:vAlign w:val="center"/>
          </w:tcPr>
          <w:p w14:paraId="2E20252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备注</w:t>
            </w:r>
          </w:p>
        </w:tc>
      </w:tr>
      <w:tr w14:paraId="72EEA5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continue"/>
            <w:vAlign w:val="center"/>
          </w:tcPr>
          <w:p w14:paraId="39B6F32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308" w:type="pct"/>
            <w:vAlign w:val="center"/>
          </w:tcPr>
          <w:p w14:paraId="1C0B523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eastAsia="宋体" w:cs="Times New Roman"/>
                <w:color w:val="auto"/>
                <w:sz w:val="18"/>
                <w:szCs w:val="18"/>
                <w:highlight w:val="none"/>
                <w:lang w:val="en-US" w:eastAsia="zh-CN"/>
              </w:rPr>
              <w:t>水库</w:t>
            </w:r>
            <w:r>
              <w:rPr>
                <w:rFonts w:hint="default" w:ascii="Times New Roman" w:hAnsi="Times New Roman" w:cs="Times New Roman"/>
                <w:color w:val="auto"/>
                <w:sz w:val="18"/>
                <w:szCs w:val="18"/>
                <w:highlight w:val="none"/>
                <w:lang w:val="en-US" w:eastAsia="zh-CN"/>
              </w:rPr>
              <w:t>下</w:t>
            </w:r>
            <w:r>
              <w:rPr>
                <w:rFonts w:hint="default" w:ascii="Times New Roman" w:hAnsi="Times New Roman" w:eastAsia="宋体" w:cs="Times New Roman"/>
                <w:color w:val="auto"/>
                <w:sz w:val="18"/>
                <w:szCs w:val="18"/>
                <w:highlight w:val="none"/>
                <w:lang w:val="en-US" w:eastAsia="zh-CN"/>
              </w:rPr>
              <w:t>游汇入锅盔河处</w:t>
            </w:r>
            <w:r>
              <w:rPr>
                <w:rFonts w:hint="default" w:ascii="Times New Roman" w:hAnsi="Times New Roman" w:cs="Times New Roman" w:eastAsiaTheme="minorEastAsia"/>
                <w:color w:val="auto"/>
                <w:sz w:val="18"/>
                <w:szCs w:val="18"/>
                <w:highlight w:val="none"/>
              </w:rPr>
              <w:t>2#</w:t>
            </w:r>
          </w:p>
        </w:tc>
        <w:tc>
          <w:tcPr>
            <w:tcW w:w="1191" w:type="pct"/>
            <w:vMerge w:val="continue"/>
            <w:vAlign w:val="center"/>
          </w:tcPr>
          <w:p w14:paraId="7D5D3D6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250" w:type="pct"/>
            <w:vMerge w:val="continue"/>
            <w:vAlign w:val="center"/>
          </w:tcPr>
          <w:p w14:paraId="3AB1CAA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1AE94F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continue"/>
            <w:vAlign w:val="center"/>
          </w:tcPr>
          <w:p w14:paraId="1492E54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308" w:type="pct"/>
            <w:shd w:val="clear" w:color="auto" w:fill="auto"/>
            <w:vAlign w:val="center"/>
          </w:tcPr>
          <w:p w14:paraId="0E6FE9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val="0"/>
                <w:bCs/>
                <w:color w:val="auto"/>
                <w:spacing w:val="0"/>
                <w:sz w:val="18"/>
                <w:szCs w:val="18"/>
                <w:highlight w:val="none"/>
                <w:lang w:val="en-US" w:eastAsia="zh-CN"/>
              </w:rPr>
              <w:t>检测结果</w:t>
            </w:r>
          </w:p>
        </w:tc>
        <w:tc>
          <w:tcPr>
            <w:tcW w:w="1191" w:type="pct"/>
            <w:vMerge w:val="continue"/>
            <w:vAlign w:val="center"/>
          </w:tcPr>
          <w:p w14:paraId="06C02D6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1250" w:type="pct"/>
            <w:vMerge w:val="continue"/>
            <w:vAlign w:val="center"/>
          </w:tcPr>
          <w:p w14:paraId="3F73A5E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14:paraId="0BA22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76E16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PH值</w:t>
            </w:r>
          </w:p>
        </w:tc>
        <w:tc>
          <w:tcPr>
            <w:tcW w:w="1308" w:type="pct"/>
            <w:shd w:val="clear" w:color="auto" w:fill="auto"/>
            <w:vAlign w:val="center"/>
          </w:tcPr>
          <w:p w14:paraId="04EE40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7.2</w:t>
            </w:r>
          </w:p>
        </w:tc>
        <w:tc>
          <w:tcPr>
            <w:tcW w:w="1191" w:type="pct"/>
            <w:shd w:val="clear" w:color="auto" w:fill="auto"/>
            <w:vAlign w:val="center"/>
          </w:tcPr>
          <w:p w14:paraId="7D98C29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cs="Times New Roman"/>
                <w:color w:val="auto"/>
                <w:kern w:val="0"/>
                <w:sz w:val="18"/>
                <w:szCs w:val="18"/>
                <w:highlight w:val="none"/>
              </w:rPr>
              <w:t>无量纲</w:t>
            </w:r>
          </w:p>
        </w:tc>
        <w:tc>
          <w:tcPr>
            <w:tcW w:w="1250" w:type="pct"/>
            <w:shd w:val="clear" w:color="auto" w:fill="auto"/>
            <w:vAlign w:val="center"/>
          </w:tcPr>
          <w:p w14:paraId="69F48AC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val="en-US" w:eastAsia="zh-CN"/>
              </w:rPr>
              <w:t>达标</w:t>
            </w:r>
          </w:p>
        </w:tc>
      </w:tr>
      <w:tr w14:paraId="7E7BD7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DFE61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溶解氧</w:t>
            </w:r>
          </w:p>
        </w:tc>
        <w:tc>
          <w:tcPr>
            <w:tcW w:w="1308" w:type="pct"/>
            <w:shd w:val="clear" w:color="auto" w:fill="auto"/>
            <w:vAlign w:val="center"/>
          </w:tcPr>
          <w:p w14:paraId="74C87A5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8.63</w:t>
            </w:r>
          </w:p>
        </w:tc>
        <w:tc>
          <w:tcPr>
            <w:tcW w:w="1191" w:type="pct"/>
            <w:shd w:val="clear" w:color="auto" w:fill="auto"/>
            <w:vAlign w:val="center"/>
          </w:tcPr>
          <w:p w14:paraId="0B4D2C9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2909A6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6DAC2C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F4D19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氨氮</w:t>
            </w:r>
          </w:p>
        </w:tc>
        <w:tc>
          <w:tcPr>
            <w:tcW w:w="1308" w:type="pct"/>
            <w:shd w:val="clear" w:color="auto" w:fill="auto"/>
            <w:vAlign w:val="center"/>
          </w:tcPr>
          <w:p w14:paraId="3702D9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0.139</w:t>
            </w:r>
          </w:p>
        </w:tc>
        <w:tc>
          <w:tcPr>
            <w:tcW w:w="1191" w:type="pct"/>
            <w:shd w:val="clear" w:color="auto" w:fill="auto"/>
            <w:vAlign w:val="center"/>
          </w:tcPr>
          <w:p w14:paraId="061B87B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58012E0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1C23DA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93F7FC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高锰酸盐指数</w:t>
            </w:r>
          </w:p>
        </w:tc>
        <w:tc>
          <w:tcPr>
            <w:tcW w:w="1308" w:type="pct"/>
            <w:shd w:val="clear" w:color="auto" w:fill="auto"/>
            <w:vAlign w:val="center"/>
          </w:tcPr>
          <w:p w14:paraId="4A91C0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3.8</w:t>
            </w:r>
          </w:p>
        </w:tc>
        <w:tc>
          <w:tcPr>
            <w:tcW w:w="1191" w:type="pct"/>
            <w:shd w:val="clear" w:color="auto" w:fill="auto"/>
            <w:vAlign w:val="center"/>
          </w:tcPr>
          <w:p w14:paraId="0CA4C8E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C5B3F7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207602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19DBA5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化学需氧量</w:t>
            </w:r>
          </w:p>
        </w:tc>
        <w:tc>
          <w:tcPr>
            <w:tcW w:w="1308" w:type="pct"/>
            <w:shd w:val="clear" w:color="auto" w:fill="auto"/>
            <w:vAlign w:val="center"/>
          </w:tcPr>
          <w:p w14:paraId="5C2DBD2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14</w:t>
            </w:r>
          </w:p>
        </w:tc>
        <w:tc>
          <w:tcPr>
            <w:tcW w:w="1191" w:type="pct"/>
            <w:shd w:val="clear" w:color="auto" w:fill="auto"/>
            <w:vAlign w:val="center"/>
          </w:tcPr>
          <w:p w14:paraId="74F5126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C96EDD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277E37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DE9022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五日生化需氧量</w:t>
            </w:r>
          </w:p>
        </w:tc>
        <w:tc>
          <w:tcPr>
            <w:tcW w:w="1308" w:type="pct"/>
            <w:shd w:val="clear" w:color="auto" w:fill="auto"/>
            <w:vAlign w:val="center"/>
          </w:tcPr>
          <w:p w14:paraId="7F20E3B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2.8</w:t>
            </w:r>
          </w:p>
        </w:tc>
        <w:tc>
          <w:tcPr>
            <w:tcW w:w="1191" w:type="pct"/>
            <w:shd w:val="clear" w:color="auto" w:fill="auto"/>
            <w:vAlign w:val="center"/>
          </w:tcPr>
          <w:p w14:paraId="13F8914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ADEDB8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171C79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4FA8568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总磷</w:t>
            </w:r>
          </w:p>
        </w:tc>
        <w:tc>
          <w:tcPr>
            <w:tcW w:w="1308" w:type="pct"/>
            <w:shd w:val="clear" w:color="auto" w:fill="auto"/>
            <w:vAlign w:val="center"/>
          </w:tcPr>
          <w:p w14:paraId="349F3E1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0.08</w:t>
            </w:r>
          </w:p>
        </w:tc>
        <w:tc>
          <w:tcPr>
            <w:tcW w:w="1191" w:type="pct"/>
            <w:shd w:val="clear" w:color="auto" w:fill="auto"/>
            <w:vAlign w:val="center"/>
          </w:tcPr>
          <w:p w14:paraId="26B52CB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614841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41EA82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F26D02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总氮</w:t>
            </w:r>
          </w:p>
        </w:tc>
        <w:tc>
          <w:tcPr>
            <w:tcW w:w="1308" w:type="pct"/>
            <w:shd w:val="clear" w:color="auto" w:fill="auto"/>
            <w:vAlign w:val="center"/>
          </w:tcPr>
          <w:p w14:paraId="415AA03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0.74</w:t>
            </w:r>
          </w:p>
        </w:tc>
        <w:tc>
          <w:tcPr>
            <w:tcW w:w="1191" w:type="pct"/>
            <w:shd w:val="clear" w:color="auto" w:fill="auto"/>
            <w:vAlign w:val="center"/>
          </w:tcPr>
          <w:p w14:paraId="024C872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65305C9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73902F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1C3FB1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铜</w:t>
            </w:r>
          </w:p>
        </w:tc>
        <w:tc>
          <w:tcPr>
            <w:tcW w:w="1308" w:type="pct"/>
            <w:shd w:val="clear" w:color="auto" w:fill="auto"/>
            <w:vAlign w:val="center"/>
          </w:tcPr>
          <w:p w14:paraId="42793C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191" w:type="pct"/>
            <w:shd w:val="clear" w:color="auto" w:fill="auto"/>
            <w:vAlign w:val="center"/>
          </w:tcPr>
          <w:p w14:paraId="087AA29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90BF84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05073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6BA0D6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锌</w:t>
            </w:r>
          </w:p>
        </w:tc>
        <w:tc>
          <w:tcPr>
            <w:tcW w:w="1308" w:type="pct"/>
            <w:shd w:val="clear" w:color="auto" w:fill="auto"/>
            <w:vAlign w:val="center"/>
          </w:tcPr>
          <w:p w14:paraId="765F0A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191" w:type="pct"/>
            <w:shd w:val="clear" w:color="auto" w:fill="auto"/>
            <w:vAlign w:val="center"/>
          </w:tcPr>
          <w:p w14:paraId="16FA71F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635B420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0012A7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44C8B3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氟化物</w:t>
            </w:r>
          </w:p>
        </w:tc>
        <w:tc>
          <w:tcPr>
            <w:tcW w:w="1308" w:type="pct"/>
            <w:shd w:val="clear" w:color="auto" w:fill="auto"/>
            <w:vAlign w:val="center"/>
          </w:tcPr>
          <w:p w14:paraId="00618B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0.006L</w:t>
            </w:r>
          </w:p>
        </w:tc>
        <w:tc>
          <w:tcPr>
            <w:tcW w:w="1191" w:type="pct"/>
            <w:shd w:val="clear" w:color="auto" w:fill="auto"/>
            <w:vAlign w:val="center"/>
          </w:tcPr>
          <w:p w14:paraId="19CD4E9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6D9EB36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1FE173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2FD887F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氰化物</w:t>
            </w:r>
          </w:p>
        </w:tc>
        <w:tc>
          <w:tcPr>
            <w:tcW w:w="1308" w:type="pct"/>
            <w:shd w:val="clear" w:color="auto" w:fill="auto"/>
            <w:vAlign w:val="center"/>
          </w:tcPr>
          <w:p w14:paraId="6BEE948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0.004L</w:t>
            </w:r>
          </w:p>
        </w:tc>
        <w:tc>
          <w:tcPr>
            <w:tcW w:w="1191" w:type="pct"/>
            <w:shd w:val="clear" w:color="auto" w:fill="auto"/>
            <w:vAlign w:val="center"/>
          </w:tcPr>
          <w:p w14:paraId="5201B40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A40667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0EAF86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DAC61E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挥发酚</w:t>
            </w:r>
          </w:p>
        </w:tc>
        <w:tc>
          <w:tcPr>
            <w:tcW w:w="1308" w:type="pct"/>
            <w:shd w:val="clear" w:color="auto" w:fill="auto"/>
            <w:vAlign w:val="center"/>
          </w:tcPr>
          <w:p w14:paraId="6F1C36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0.0003L</w:t>
            </w:r>
          </w:p>
        </w:tc>
        <w:tc>
          <w:tcPr>
            <w:tcW w:w="1191" w:type="pct"/>
            <w:shd w:val="clear" w:color="auto" w:fill="auto"/>
            <w:vAlign w:val="center"/>
          </w:tcPr>
          <w:p w14:paraId="27E9FED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7512CC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E4351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572F0B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硒</w:t>
            </w:r>
          </w:p>
        </w:tc>
        <w:tc>
          <w:tcPr>
            <w:tcW w:w="1308" w:type="pct"/>
            <w:shd w:val="clear" w:color="auto" w:fill="auto"/>
            <w:vAlign w:val="center"/>
          </w:tcPr>
          <w:p w14:paraId="7B8B909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0.0004L</w:t>
            </w:r>
          </w:p>
        </w:tc>
        <w:tc>
          <w:tcPr>
            <w:tcW w:w="1191" w:type="pct"/>
            <w:shd w:val="clear" w:color="auto" w:fill="auto"/>
            <w:vAlign w:val="center"/>
          </w:tcPr>
          <w:p w14:paraId="675D62C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A00178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C9A6A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E7F49B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砷</w:t>
            </w:r>
          </w:p>
        </w:tc>
        <w:tc>
          <w:tcPr>
            <w:tcW w:w="1308" w:type="pct"/>
            <w:shd w:val="clear" w:color="auto" w:fill="auto"/>
            <w:vAlign w:val="center"/>
          </w:tcPr>
          <w:p w14:paraId="3FDDB2E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color w:val="auto"/>
                <w:spacing w:val="0"/>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0.0003L</w:t>
            </w:r>
          </w:p>
        </w:tc>
        <w:tc>
          <w:tcPr>
            <w:tcW w:w="1191" w:type="pct"/>
            <w:shd w:val="clear" w:color="auto" w:fill="auto"/>
            <w:vAlign w:val="center"/>
          </w:tcPr>
          <w:p w14:paraId="37F735C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03F143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926C9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2224614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汞</w:t>
            </w:r>
          </w:p>
        </w:tc>
        <w:tc>
          <w:tcPr>
            <w:tcW w:w="1308" w:type="pct"/>
            <w:shd w:val="clear" w:color="auto" w:fill="auto"/>
            <w:vAlign w:val="center"/>
          </w:tcPr>
          <w:p w14:paraId="47FA120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b w:val="0"/>
                <w:bCs w:val="0"/>
                <w:color w:val="auto"/>
                <w:sz w:val="18"/>
                <w:szCs w:val="18"/>
                <w:highlight w:val="none"/>
                <w:vertAlign w:val="baseline"/>
                <w:lang w:val="en-US" w:eastAsia="zh-CN"/>
              </w:rPr>
              <w:t>0.00004L</w:t>
            </w:r>
          </w:p>
        </w:tc>
        <w:tc>
          <w:tcPr>
            <w:tcW w:w="1191" w:type="pct"/>
            <w:shd w:val="clear" w:color="auto" w:fill="auto"/>
            <w:vAlign w:val="center"/>
          </w:tcPr>
          <w:p w14:paraId="345B3F8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6FA98DC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269951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01031A7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镉</w:t>
            </w:r>
          </w:p>
        </w:tc>
        <w:tc>
          <w:tcPr>
            <w:tcW w:w="1308" w:type="pct"/>
            <w:shd w:val="clear" w:color="auto" w:fill="auto"/>
            <w:vAlign w:val="center"/>
          </w:tcPr>
          <w:p w14:paraId="002BB5C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sz w:val="18"/>
                <w:szCs w:val="18"/>
                <w:highlight w:val="none"/>
                <w:vertAlign w:val="baseline"/>
                <w:lang w:val="en-US" w:eastAsia="zh-CN"/>
              </w:rPr>
              <w:t>0.001L</w:t>
            </w:r>
          </w:p>
        </w:tc>
        <w:tc>
          <w:tcPr>
            <w:tcW w:w="1191" w:type="pct"/>
            <w:shd w:val="clear" w:color="auto" w:fill="auto"/>
            <w:vAlign w:val="center"/>
          </w:tcPr>
          <w:p w14:paraId="468E85B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E1CD09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66AEBD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87C4B5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六价铬</w:t>
            </w:r>
          </w:p>
        </w:tc>
        <w:tc>
          <w:tcPr>
            <w:tcW w:w="1308" w:type="pct"/>
            <w:shd w:val="clear" w:color="auto" w:fill="auto"/>
            <w:vAlign w:val="center"/>
          </w:tcPr>
          <w:p w14:paraId="3057EDB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sz w:val="18"/>
                <w:szCs w:val="18"/>
                <w:highlight w:val="none"/>
                <w:vertAlign w:val="baseline"/>
                <w:lang w:val="en-US" w:eastAsia="zh-CN"/>
              </w:rPr>
              <w:t>0.004L</w:t>
            </w:r>
          </w:p>
        </w:tc>
        <w:tc>
          <w:tcPr>
            <w:tcW w:w="1191" w:type="pct"/>
            <w:shd w:val="clear" w:color="auto" w:fill="auto"/>
            <w:vAlign w:val="center"/>
          </w:tcPr>
          <w:p w14:paraId="7C1DF1E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21CA847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2113ED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3D18F9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铅</w:t>
            </w:r>
          </w:p>
        </w:tc>
        <w:tc>
          <w:tcPr>
            <w:tcW w:w="1308" w:type="pct"/>
            <w:shd w:val="clear" w:color="auto" w:fill="auto"/>
            <w:vAlign w:val="center"/>
          </w:tcPr>
          <w:p w14:paraId="68DCE7A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sz w:val="18"/>
                <w:szCs w:val="18"/>
                <w:highlight w:val="none"/>
                <w:vertAlign w:val="baseline"/>
                <w:lang w:val="en-US" w:eastAsia="zh-CN"/>
              </w:rPr>
              <w:t>0.01L</w:t>
            </w:r>
          </w:p>
        </w:tc>
        <w:tc>
          <w:tcPr>
            <w:tcW w:w="1191" w:type="pct"/>
            <w:shd w:val="clear" w:color="auto" w:fill="auto"/>
            <w:vAlign w:val="center"/>
          </w:tcPr>
          <w:p w14:paraId="25104A2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23BC6D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2EB82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910408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石油类</w:t>
            </w:r>
          </w:p>
        </w:tc>
        <w:tc>
          <w:tcPr>
            <w:tcW w:w="1308" w:type="pct"/>
            <w:shd w:val="clear" w:color="auto" w:fill="auto"/>
            <w:vAlign w:val="center"/>
          </w:tcPr>
          <w:p w14:paraId="62A772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0.01L</w:t>
            </w:r>
          </w:p>
        </w:tc>
        <w:tc>
          <w:tcPr>
            <w:tcW w:w="1191" w:type="pct"/>
            <w:shd w:val="clear" w:color="auto" w:fill="auto"/>
            <w:vAlign w:val="center"/>
          </w:tcPr>
          <w:p w14:paraId="48B46F7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3BAF68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1C291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7B64B4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硫化物</w:t>
            </w:r>
          </w:p>
        </w:tc>
        <w:tc>
          <w:tcPr>
            <w:tcW w:w="1308" w:type="pct"/>
            <w:shd w:val="clear" w:color="auto" w:fill="auto"/>
            <w:vAlign w:val="center"/>
          </w:tcPr>
          <w:p w14:paraId="57662FC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0.01L</w:t>
            </w:r>
          </w:p>
        </w:tc>
        <w:tc>
          <w:tcPr>
            <w:tcW w:w="1191" w:type="pct"/>
            <w:shd w:val="clear" w:color="auto" w:fill="auto"/>
            <w:vAlign w:val="center"/>
          </w:tcPr>
          <w:p w14:paraId="43EA418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688FB60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5E7542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88290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阴离子表面活性剂</w:t>
            </w:r>
          </w:p>
        </w:tc>
        <w:tc>
          <w:tcPr>
            <w:tcW w:w="1308" w:type="pct"/>
            <w:shd w:val="clear" w:color="auto" w:fill="auto"/>
            <w:vAlign w:val="center"/>
          </w:tcPr>
          <w:p w14:paraId="205A6E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0.05L</w:t>
            </w:r>
          </w:p>
        </w:tc>
        <w:tc>
          <w:tcPr>
            <w:tcW w:w="1191" w:type="pct"/>
            <w:shd w:val="clear" w:color="auto" w:fill="auto"/>
            <w:vAlign w:val="center"/>
          </w:tcPr>
          <w:p w14:paraId="29A3C0E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3D9085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196AA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AC42F4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
              </w:rPr>
              <w:t>粪大肠菌群</w:t>
            </w:r>
          </w:p>
        </w:tc>
        <w:tc>
          <w:tcPr>
            <w:tcW w:w="1308" w:type="pct"/>
            <w:shd w:val="clear" w:color="auto" w:fill="auto"/>
            <w:vAlign w:val="center"/>
          </w:tcPr>
          <w:p w14:paraId="759AD12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SA"/>
              </w:rPr>
              <w:t>1100</w:t>
            </w:r>
          </w:p>
        </w:tc>
        <w:tc>
          <w:tcPr>
            <w:tcW w:w="1191" w:type="pct"/>
            <w:shd w:val="clear" w:color="auto" w:fill="auto"/>
            <w:vAlign w:val="center"/>
          </w:tcPr>
          <w:p w14:paraId="678D522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MPN/L</w:t>
            </w:r>
          </w:p>
        </w:tc>
        <w:tc>
          <w:tcPr>
            <w:tcW w:w="1250" w:type="pct"/>
            <w:shd w:val="clear" w:color="auto" w:fill="auto"/>
            <w:vAlign w:val="center"/>
          </w:tcPr>
          <w:p w14:paraId="5FA4BBF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37DD4D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restart"/>
            <w:shd w:val="clear" w:color="auto" w:fill="auto"/>
            <w:vAlign w:val="center"/>
          </w:tcPr>
          <w:p w14:paraId="5C04A5E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cs="Times New Roman" w:eastAsiaTheme="minorEastAsia"/>
                <w:color w:val="auto"/>
                <w:sz w:val="18"/>
                <w:szCs w:val="18"/>
                <w:highlight w:val="none"/>
              </w:rPr>
              <w:t>检测项目</w:t>
            </w:r>
          </w:p>
        </w:tc>
        <w:tc>
          <w:tcPr>
            <w:tcW w:w="1308" w:type="pct"/>
            <w:shd w:val="clear" w:color="auto" w:fill="auto"/>
            <w:vAlign w:val="center"/>
          </w:tcPr>
          <w:p w14:paraId="18D1D11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样品编号及点位</w:t>
            </w:r>
          </w:p>
        </w:tc>
        <w:tc>
          <w:tcPr>
            <w:tcW w:w="1191" w:type="pct"/>
            <w:vMerge w:val="restart"/>
            <w:shd w:val="clear" w:color="auto" w:fill="auto"/>
            <w:vAlign w:val="center"/>
          </w:tcPr>
          <w:p w14:paraId="29CC3E9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单位</w:t>
            </w:r>
          </w:p>
        </w:tc>
        <w:tc>
          <w:tcPr>
            <w:tcW w:w="1250" w:type="pct"/>
            <w:vMerge w:val="restart"/>
            <w:shd w:val="clear" w:color="auto" w:fill="auto"/>
            <w:vAlign w:val="center"/>
          </w:tcPr>
          <w:p w14:paraId="0D1D68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eastAsiaTheme="minorEastAsia"/>
                <w:color w:val="auto"/>
                <w:sz w:val="18"/>
                <w:szCs w:val="18"/>
                <w:highlight w:val="none"/>
                <w:lang w:val="en-US" w:eastAsia="zh-CN"/>
              </w:rPr>
              <w:t>备注</w:t>
            </w:r>
          </w:p>
        </w:tc>
      </w:tr>
      <w:tr w14:paraId="7ABE63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continue"/>
            <w:shd w:val="clear" w:color="auto" w:fill="auto"/>
            <w:vAlign w:val="center"/>
          </w:tcPr>
          <w:p w14:paraId="7B85C9F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p>
        </w:tc>
        <w:tc>
          <w:tcPr>
            <w:tcW w:w="1308" w:type="pct"/>
            <w:shd w:val="clear" w:color="auto" w:fill="auto"/>
            <w:vAlign w:val="center"/>
          </w:tcPr>
          <w:p w14:paraId="1FAE39C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锅盔河汇入穆棱河处3</w:t>
            </w:r>
            <w:r>
              <w:rPr>
                <w:rFonts w:hint="default" w:ascii="Times New Roman" w:hAnsi="Times New Roman" w:cs="Times New Roman" w:eastAsiaTheme="minorEastAsia"/>
                <w:color w:val="auto"/>
                <w:sz w:val="18"/>
                <w:szCs w:val="18"/>
                <w:highlight w:val="none"/>
              </w:rPr>
              <w:t>#</w:t>
            </w:r>
          </w:p>
        </w:tc>
        <w:tc>
          <w:tcPr>
            <w:tcW w:w="1191" w:type="pct"/>
            <w:vMerge w:val="continue"/>
            <w:shd w:val="clear" w:color="auto" w:fill="auto"/>
            <w:vAlign w:val="center"/>
          </w:tcPr>
          <w:p w14:paraId="6B6B9DE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p>
        </w:tc>
        <w:tc>
          <w:tcPr>
            <w:tcW w:w="1250" w:type="pct"/>
            <w:vMerge w:val="continue"/>
            <w:shd w:val="clear" w:color="auto" w:fill="auto"/>
            <w:vAlign w:val="center"/>
          </w:tcPr>
          <w:p w14:paraId="31688CC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p>
        </w:tc>
      </w:tr>
      <w:tr w14:paraId="2773C4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vMerge w:val="continue"/>
            <w:shd w:val="clear" w:color="auto" w:fill="auto"/>
            <w:vAlign w:val="center"/>
          </w:tcPr>
          <w:p w14:paraId="1DFDB2A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p>
        </w:tc>
        <w:tc>
          <w:tcPr>
            <w:tcW w:w="1308" w:type="pct"/>
            <w:shd w:val="clear" w:color="auto" w:fill="auto"/>
            <w:vAlign w:val="center"/>
          </w:tcPr>
          <w:p w14:paraId="59225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color w:val="auto"/>
                <w:spacing w:val="0"/>
                <w:sz w:val="18"/>
                <w:szCs w:val="18"/>
                <w:highlight w:val="none"/>
                <w:lang w:val="en-US" w:eastAsia="zh-CN"/>
              </w:rPr>
              <w:t>检测结果</w:t>
            </w:r>
          </w:p>
        </w:tc>
        <w:tc>
          <w:tcPr>
            <w:tcW w:w="1191" w:type="pct"/>
            <w:vMerge w:val="continue"/>
            <w:shd w:val="clear" w:color="auto" w:fill="auto"/>
            <w:vAlign w:val="center"/>
          </w:tcPr>
          <w:p w14:paraId="32FC7FE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p>
        </w:tc>
        <w:tc>
          <w:tcPr>
            <w:tcW w:w="1250" w:type="pct"/>
            <w:vMerge w:val="continue"/>
            <w:shd w:val="clear" w:color="auto" w:fill="auto"/>
            <w:vAlign w:val="center"/>
          </w:tcPr>
          <w:p w14:paraId="52C5390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p>
        </w:tc>
      </w:tr>
      <w:tr w14:paraId="2BC70C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AF6B0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PH值</w:t>
            </w:r>
          </w:p>
        </w:tc>
        <w:tc>
          <w:tcPr>
            <w:tcW w:w="1308" w:type="pct"/>
            <w:shd w:val="clear" w:color="auto" w:fill="auto"/>
            <w:vAlign w:val="center"/>
          </w:tcPr>
          <w:p w14:paraId="212A7A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7.2</w:t>
            </w:r>
          </w:p>
        </w:tc>
        <w:tc>
          <w:tcPr>
            <w:tcW w:w="1191" w:type="pct"/>
            <w:shd w:val="clear" w:color="auto" w:fill="auto"/>
            <w:vAlign w:val="center"/>
          </w:tcPr>
          <w:p w14:paraId="4ED4A2F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rPr>
              <w:t>无量纲</w:t>
            </w:r>
          </w:p>
        </w:tc>
        <w:tc>
          <w:tcPr>
            <w:tcW w:w="1250" w:type="pct"/>
            <w:shd w:val="clear" w:color="auto" w:fill="auto"/>
            <w:vAlign w:val="center"/>
          </w:tcPr>
          <w:p w14:paraId="6478A65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val="en-US" w:eastAsia="zh-CN"/>
              </w:rPr>
              <w:t>达标</w:t>
            </w:r>
          </w:p>
        </w:tc>
      </w:tr>
      <w:tr w14:paraId="17865E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6AAB20B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溶解氧</w:t>
            </w:r>
          </w:p>
        </w:tc>
        <w:tc>
          <w:tcPr>
            <w:tcW w:w="1308" w:type="pct"/>
            <w:shd w:val="clear" w:color="auto" w:fill="auto"/>
            <w:vAlign w:val="center"/>
          </w:tcPr>
          <w:p w14:paraId="6281ABC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8.71</w:t>
            </w:r>
          </w:p>
        </w:tc>
        <w:tc>
          <w:tcPr>
            <w:tcW w:w="1191" w:type="pct"/>
            <w:shd w:val="clear" w:color="auto" w:fill="auto"/>
            <w:vAlign w:val="center"/>
          </w:tcPr>
          <w:p w14:paraId="5C68A92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58FAA8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BAFB3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6EACE9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氨氮</w:t>
            </w:r>
          </w:p>
        </w:tc>
        <w:tc>
          <w:tcPr>
            <w:tcW w:w="1308" w:type="pct"/>
            <w:shd w:val="clear" w:color="auto" w:fill="auto"/>
            <w:vAlign w:val="center"/>
          </w:tcPr>
          <w:p w14:paraId="3975020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0.157</w:t>
            </w:r>
          </w:p>
        </w:tc>
        <w:tc>
          <w:tcPr>
            <w:tcW w:w="1191" w:type="pct"/>
            <w:shd w:val="clear" w:color="auto" w:fill="auto"/>
            <w:vAlign w:val="center"/>
          </w:tcPr>
          <w:p w14:paraId="12C0597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27ABB5B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14A139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6CCA7A9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
              </w:rPr>
              <w:t>高锰酸盐指数</w:t>
            </w:r>
          </w:p>
        </w:tc>
        <w:tc>
          <w:tcPr>
            <w:tcW w:w="1308" w:type="pct"/>
            <w:shd w:val="clear" w:color="auto" w:fill="auto"/>
            <w:vAlign w:val="center"/>
          </w:tcPr>
          <w:p w14:paraId="1A3190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4.2</w:t>
            </w:r>
          </w:p>
        </w:tc>
        <w:tc>
          <w:tcPr>
            <w:tcW w:w="1191" w:type="pct"/>
            <w:shd w:val="clear" w:color="auto" w:fill="auto"/>
            <w:vAlign w:val="center"/>
          </w:tcPr>
          <w:p w14:paraId="27E3166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EA9B12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0531EC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A694F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SA"/>
              </w:rPr>
              <w:t>化学需氧量</w:t>
            </w:r>
          </w:p>
        </w:tc>
        <w:tc>
          <w:tcPr>
            <w:tcW w:w="1308" w:type="pct"/>
            <w:shd w:val="clear" w:color="auto" w:fill="auto"/>
            <w:vAlign w:val="center"/>
          </w:tcPr>
          <w:p w14:paraId="4E1A178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16</w:t>
            </w:r>
          </w:p>
        </w:tc>
        <w:tc>
          <w:tcPr>
            <w:tcW w:w="1191" w:type="pct"/>
            <w:shd w:val="clear" w:color="auto" w:fill="auto"/>
            <w:vAlign w:val="center"/>
          </w:tcPr>
          <w:p w14:paraId="607A883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175F7D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0C73D9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CB57E1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SA"/>
              </w:rPr>
              <w:t>五日生化需氧量</w:t>
            </w:r>
          </w:p>
        </w:tc>
        <w:tc>
          <w:tcPr>
            <w:tcW w:w="1308" w:type="pct"/>
            <w:shd w:val="clear" w:color="auto" w:fill="auto"/>
            <w:vAlign w:val="center"/>
          </w:tcPr>
          <w:p w14:paraId="48685F2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3.0</w:t>
            </w:r>
          </w:p>
        </w:tc>
        <w:tc>
          <w:tcPr>
            <w:tcW w:w="1191" w:type="pct"/>
            <w:shd w:val="clear" w:color="auto" w:fill="auto"/>
            <w:vAlign w:val="center"/>
          </w:tcPr>
          <w:p w14:paraId="5EF8EE5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1DCE3E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3887B8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A7BB07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总磷</w:t>
            </w:r>
          </w:p>
        </w:tc>
        <w:tc>
          <w:tcPr>
            <w:tcW w:w="1308" w:type="pct"/>
            <w:shd w:val="clear" w:color="auto" w:fill="auto"/>
            <w:vAlign w:val="center"/>
          </w:tcPr>
          <w:p w14:paraId="5BDADC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0.12</w:t>
            </w:r>
          </w:p>
        </w:tc>
        <w:tc>
          <w:tcPr>
            <w:tcW w:w="1191" w:type="pct"/>
            <w:shd w:val="clear" w:color="auto" w:fill="auto"/>
            <w:vAlign w:val="center"/>
          </w:tcPr>
          <w:p w14:paraId="3275B2F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E27F65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2EF9ED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3F59D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总氮</w:t>
            </w:r>
          </w:p>
        </w:tc>
        <w:tc>
          <w:tcPr>
            <w:tcW w:w="1308" w:type="pct"/>
            <w:shd w:val="clear" w:color="auto" w:fill="auto"/>
            <w:vAlign w:val="center"/>
          </w:tcPr>
          <w:p w14:paraId="2CEA79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0.90</w:t>
            </w:r>
          </w:p>
        </w:tc>
        <w:tc>
          <w:tcPr>
            <w:tcW w:w="1191" w:type="pct"/>
            <w:shd w:val="clear" w:color="auto" w:fill="auto"/>
            <w:vAlign w:val="center"/>
          </w:tcPr>
          <w:p w14:paraId="3B6A055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521F5E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r w14:paraId="081CD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0431F3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铜</w:t>
            </w:r>
          </w:p>
        </w:tc>
        <w:tc>
          <w:tcPr>
            <w:tcW w:w="1308" w:type="pct"/>
            <w:shd w:val="clear" w:color="auto" w:fill="auto"/>
            <w:vAlign w:val="center"/>
          </w:tcPr>
          <w:p w14:paraId="1613FC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191" w:type="pct"/>
            <w:shd w:val="clear" w:color="auto" w:fill="auto"/>
            <w:vAlign w:val="center"/>
          </w:tcPr>
          <w:p w14:paraId="0A720EC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88280A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2AE52B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FAEB59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锌</w:t>
            </w:r>
          </w:p>
        </w:tc>
        <w:tc>
          <w:tcPr>
            <w:tcW w:w="1308" w:type="pct"/>
            <w:shd w:val="clear" w:color="auto" w:fill="auto"/>
            <w:vAlign w:val="center"/>
          </w:tcPr>
          <w:p w14:paraId="6323A0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0.05L</w:t>
            </w:r>
          </w:p>
        </w:tc>
        <w:tc>
          <w:tcPr>
            <w:tcW w:w="1191" w:type="pct"/>
            <w:shd w:val="clear" w:color="auto" w:fill="auto"/>
            <w:vAlign w:val="center"/>
          </w:tcPr>
          <w:p w14:paraId="35F34D6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960D2E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150ACA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78F29C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氟化物</w:t>
            </w:r>
          </w:p>
        </w:tc>
        <w:tc>
          <w:tcPr>
            <w:tcW w:w="1308" w:type="pct"/>
            <w:shd w:val="clear" w:color="auto" w:fill="auto"/>
            <w:vAlign w:val="center"/>
          </w:tcPr>
          <w:p w14:paraId="11FD10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0.006L</w:t>
            </w:r>
          </w:p>
        </w:tc>
        <w:tc>
          <w:tcPr>
            <w:tcW w:w="1191" w:type="pct"/>
            <w:shd w:val="clear" w:color="auto" w:fill="auto"/>
            <w:vAlign w:val="center"/>
          </w:tcPr>
          <w:p w14:paraId="1A2FB8D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8304E6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0BC1C6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C89AF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氰化物</w:t>
            </w:r>
          </w:p>
        </w:tc>
        <w:tc>
          <w:tcPr>
            <w:tcW w:w="1308" w:type="pct"/>
            <w:shd w:val="clear" w:color="auto" w:fill="auto"/>
            <w:vAlign w:val="center"/>
          </w:tcPr>
          <w:p w14:paraId="07AE4EB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0.004L</w:t>
            </w:r>
          </w:p>
        </w:tc>
        <w:tc>
          <w:tcPr>
            <w:tcW w:w="1191" w:type="pct"/>
            <w:shd w:val="clear" w:color="auto" w:fill="auto"/>
            <w:vAlign w:val="center"/>
          </w:tcPr>
          <w:p w14:paraId="24F2395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2264873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392801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5A3B09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挥发酚</w:t>
            </w:r>
          </w:p>
        </w:tc>
        <w:tc>
          <w:tcPr>
            <w:tcW w:w="1308" w:type="pct"/>
            <w:shd w:val="clear" w:color="auto" w:fill="auto"/>
            <w:vAlign w:val="center"/>
          </w:tcPr>
          <w:p w14:paraId="6B970B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0.0003L</w:t>
            </w:r>
          </w:p>
        </w:tc>
        <w:tc>
          <w:tcPr>
            <w:tcW w:w="1191" w:type="pct"/>
            <w:shd w:val="clear" w:color="auto" w:fill="auto"/>
            <w:vAlign w:val="center"/>
          </w:tcPr>
          <w:p w14:paraId="1F6AAE8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2A544C0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5BD51A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D4B2C5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硒</w:t>
            </w:r>
          </w:p>
        </w:tc>
        <w:tc>
          <w:tcPr>
            <w:tcW w:w="1308" w:type="pct"/>
            <w:shd w:val="clear" w:color="auto" w:fill="auto"/>
            <w:vAlign w:val="center"/>
          </w:tcPr>
          <w:p w14:paraId="14AB1B2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0.0004L</w:t>
            </w:r>
          </w:p>
        </w:tc>
        <w:tc>
          <w:tcPr>
            <w:tcW w:w="1191" w:type="pct"/>
            <w:shd w:val="clear" w:color="auto" w:fill="auto"/>
            <w:vAlign w:val="center"/>
          </w:tcPr>
          <w:p w14:paraId="17DBB5B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CD034D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D6581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BC60DC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砷</w:t>
            </w:r>
          </w:p>
        </w:tc>
        <w:tc>
          <w:tcPr>
            <w:tcW w:w="1308" w:type="pct"/>
            <w:shd w:val="clear" w:color="auto" w:fill="auto"/>
            <w:vAlign w:val="center"/>
          </w:tcPr>
          <w:p w14:paraId="0F755B3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0.0003L</w:t>
            </w:r>
          </w:p>
        </w:tc>
        <w:tc>
          <w:tcPr>
            <w:tcW w:w="1191" w:type="pct"/>
            <w:shd w:val="clear" w:color="auto" w:fill="auto"/>
            <w:vAlign w:val="center"/>
          </w:tcPr>
          <w:p w14:paraId="2951344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7FB489C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30D663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24045C7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汞</w:t>
            </w:r>
          </w:p>
        </w:tc>
        <w:tc>
          <w:tcPr>
            <w:tcW w:w="1308" w:type="pct"/>
            <w:shd w:val="clear" w:color="auto" w:fill="auto"/>
            <w:vAlign w:val="center"/>
          </w:tcPr>
          <w:p w14:paraId="79E0C41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0.00004L</w:t>
            </w:r>
          </w:p>
        </w:tc>
        <w:tc>
          <w:tcPr>
            <w:tcW w:w="1191" w:type="pct"/>
            <w:shd w:val="clear" w:color="auto" w:fill="auto"/>
            <w:vAlign w:val="center"/>
          </w:tcPr>
          <w:p w14:paraId="5255C25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2ED638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38C68B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04B878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镉</w:t>
            </w:r>
          </w:p>
        </w:tc>
        <w:tc>
          <w:tcPr>
            <w:tcW w:w="1308" w:type="pct"/>
            <w:shd w:val="clear" w:color="auto" w:fill="auto"/>
            <w:vAlign w:val="center"/>
          </w:tcPr>
          <w:p w14:paraId="2B305D1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0.001L</w:t>
            </w:r>
          </w:p>
        </w:tc>
        <w:tc>
          <w:tcPr>
            <w:tcW w:w="1191" w:type="pct"/>
            <w:shd w:val="clear" w:color="auto" w:fill="auto"/>
            <w:vAlign w:val="center"/>
          </w:tcPr>
          <w:p w14:paraId="5512C14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F598C0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55111D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27EC124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六价铬</w:t>
            </w:r>
          </w:p>
        </w:tc>
        <w:tc>
          <w:tcPr>
            <w:tcW w:w="1308" w:type="pct"/>
            <w:shd w:val="clear" w:color="auto" w:fill="auto"/>
            <w:vAlign w:val="center"/>
          </w:tcPr>
          <w:p w14:paraId="3D2EA46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0.004L</w:t>
            </w:r>
          </w:p>
        </w:tc>
        <w:tc>
          <w:tcPr>
            <w:tcW w:w="1191" w:type="pct"/>
            <w:shd w:val="clear" w:color="auto" w:fill="auto"/>
            <w:vAlign w:val="center"/>
          </w:tcPr>
          <w:p w14:paraId="477AEC0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17BFC8D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4B9EDA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691719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铅</w:t>
            </w:r>
          </w:p>
        </w:tc>
        <w:tc>
          <w:tcPr>
            <w:tcW w:w="1308" w:type="pct"/>
            <w:shd w:val="clear" w:color="auto" w:fill="auto"/>
            <w:vAlign w:val="center"/>
          </w:tcPr>
          <w:p w14:paraId="7814D24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vertAlign w:val="baseline"/>
                <w:lang w:val="en-US" w:eastAsia="zh-CN"/>
              </w:rPr>
              <w:t>0.01L</w:t>
            </w:r>
          </w:p>
        </w:tc>
        <w:tc>
          <w:tcPr>
            <w:tcW w:w="1191" w:type="pct"/>
            <w:shd w:val="clear" w:color="auto" w:fill="auto"/>
            <w:vAlign w:val="center"/>
          </w:tcPr>
          <w:p w14:paraId="4B00B1F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3CD7013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79F06D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13407BF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石油类</w:t>
            </w:r>
          </w:p>
        </w:tc>
        <w:tc>
          <w:tcPr>
            <w:tcW w:w="1308" w:type="pct"/>
            <w:shd w:val="clear" w:color="auto" w:fill="auto"/>
            <w:vAlign w:val="center"/>
          </w:tcPr>
          <w:p w14:paraId="6EFE10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0.01L</w:t>
            </w:r>
          </w:p>
        </w:tc>
        <w:tc>
          <w:tcPr>
            <w:tcW w:w="1191" w:type="pct"/>
            <w:shd w:val="clear" w:color="auto" w:fill="auto"/>
            <w:vAlign w:val="center"/>
          </w:tcPr>
          <w:p w14:paraId="44E7C4A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67D42F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50F251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56E2802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硫化物</w:t>
            </w:r>
          </w:p>
        </w:tc>
        <w:tc>
          <w:tcPr>
            <w:tcW w:w="1308" w:type="pct"/>
            <w:shd w:val="clear" w:color="auto" w:fill="auto"/>
            <w:vAlign w:val="center"/>
          </w:tcPr>
          <w:p w14:paraId="41EC54D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0.01L</w:t>
            </w:r>
          </w:p>
        </w:tc>
        <w:tc>
          <w:tcPr>
            <w:tcW w:w="1191" w:type="pct"/>
            <w:shd w:val="clear" w:color="auto" w:fill="auto"/>
            <w:vAlign w:val="center"/>
          </w:tcPr>
          <w:p w14:paraId="30B6A64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0F06599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006728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3E01A9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阴离子表面活性剂</w:t>
            </w:r>
          </w:p>
        </w:tc>
        <w:tc>
          <w:tcPr>
            <w:tcW w:w="1308" w:type="pct"/>
            <w:shd w:val="clear" w:color="auto" w:fill="auto"/>
            <w:vAlign w:val="center"/>
          </w:tcPr>
          <w:p w14:paraId="4FA558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0.05L</w:t>
            </w:r>
          </w:p>
        </w:tc>
        <w:tc>
          <w:tcPr>
            <w:tcW w:w="1191" w:type="pct"/>
            <w:shd w:val="clear" w:color="auto" w:fill="auto"/>
            <w:vAlign w:val="center"/>
          </w:tcPr>
          <w:p w14:paraId="0FD4E4F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mg/L</w:t>
            </w:r>
          </w:p>
        </w:tc>
        <w:tc>
          <w:tcPr>
            <w:tcW w:w="1250" w:type="pct"/>
            <w:shd w:val="clear" w:color="auto" w:fill="auto"/>
            <w:vAlign w:val="center"/>
          </w:tcPr>
          <w:p w14:paraId="432EA9B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b w:val="0"/>
                <w:bCs/>
                <w:color w:val="auto"/>
                <w:spacing w:val="0"/>
                <w:sz w:val="18"/>
                <w:szCs w:val="18"/>
                <w:highlight w:val="none"/>
                <w:lang w:val="en-US" w:eastAsia="zh-CN"/>
              </w:rPr>
              <w:t>/</w:t>
            </w:r>
          </w:p>
        </w:tc>
      </w:tr>
      <w:tr w14:paraId="24B24A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249" w:type="pct"/>
            <w:shd w:val="clear" w:color="auto" w:fill="auto"/>
            <w:vAlign w:val="center"/>
          </w:tcPr>
          <w:p w14:paraId="605AA31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
              </w:rPr>
            </w:pPr>
            <w:r>
              <w:rPr>
                <w:rFonts w:hint="default" w:ascii="Times New Roman" w:hAnsi="Times New Roman" w:eastAsia="宋体" w:cs="Times New Roman"/>
                <w:color w:val="auto"/>
                <w:kern w:val="2"/>
                <w:sz w:val="18"/>
                <w:szCs w:val="18"/>
                <w:highlight w:val="none"/>
                <w:lang w:val="en-US" w:eastAsia="zh-CN" w:bidi="ar"/>
              </w:rPr>
              <w:t>粪大肠菌群</w:t>
            </w:r>
          </w:p>
        </w:tc>
        <w:tc>
          <w:tcPr>
            <w:tcW w:w="1308" w:type="pct"/>
            <w:shd w:val="clear" w:color="auto" w:fill="auto"/>
            <w:vAlign w:val="center"/>
          </w:tcPr>
          <w:p w14:paraId="11DBABE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1100</w:t>
            </w:r>
          </w:p>
        </w:tc>
        <w:tc>
          <w:tcPr>
            <w:tcW w:w="1191" w:type="pct"/>
            <w:shd w:val="clear" w:color="auto" w:fill="auto"/>
            <w:vAlign w:val="center"/>
          </w:tcPr>
          <w:p w14:paraId="44F6D61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MPN/L</w:t>
            </w:r>
          </w:p>
        </w:tc>
        <w:tc>
          <w:tcPr>
            <w:tcW w:w="1250" w:type="pct"/>
            <w:shd w:val="clear" w:color="auto" w:fill="auto"/>
            <w:vAlign w:val="center"/>
          </w:tcPr>
          <w:p w14:paraId="02FC310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rPr>
              <w:t>达标</w:t>
            </w:r>
          </w:p>
        </w:tc>
      </w:tr>
    </w:tbl>
    <w:p w14:paraId="2E72BC84">
      <w:pPr>
        <w:spacing w:line="240" w:lineRule="auto"/>
        <w:jc w:val="left"/>
        <w:rPr>
          <w:rFonts w:hint="eastAsia" w:ascii="Times New Roman" w:hAnsi="Times New Roman" w:eastAsia="宋体" w:cs="Times New Roman"/>
          <w:b w:val="0"/>
          <w:bCs/>
          <w:color w:val="auto"/>
          <w:kern w:val="44"/>
          <w:sz w:val="21"/>
          <w:szCs w:val="21"/>
          <w:highlight w:val="none"/>
          <w:lang w:val="en-US" w:eastAsia="zh-CN" w:bidi="ar-SA"/>
        </w:rPr>
      </w:pPr>
      <w:r>
        <w:rPr>
          <w:rFonts w:hint="eastAsia" w:ascii="Times New Roman" w:hAnsi="Times New Roman" w:eastAsia="宋体" w:cs="Times New Roman"/>
          <w:b w:val="0"/>
          <w:bCs/>
          <w:color w:val="auto"/>
          <w:kern w:val="44"/>
          <w:sz w:val="21"/>
          <w:szCs w:val="21"/>
          <w:highlight w:val="none"/>
          <w:lang w:val="en-US" w:eastAsia="zh-CN" w:bidi="ar-SA"/>
        </w:rPr>
        <w:t>注：L代表低于检出限浓度。</w:t>
      </w:r>
    </w:p>
    <w:p w14:paraId="4C9288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eastAsiaTheme="minorEastAsia"/>
          <w:color w:val="auto"/>
          <w:spacing w:val="0"/>
          <w:sz w:val="21"/>
          <w:szCs w:val="21"/>
          <w:highlight w:val="none"/>
          <w:lang w:eastAsia="zh-CN"/>
        </w:rPr>
      </w:pPr>
      <w:r>
        <w:rPr>
          <w:rFonts w:hint="eastAsia" w:eastAsia="宋体" w:cs="Times New Roman"/>
          <w:color w:val="auto"/>
          <w:sz w:val="21"/>
          <w:szCs w:val="21"/>
          <w:highlight w:val="none"/>
          <w:lang w:val="en-US" w:eastAsia="zh-CN"/>
        </w:rPr>
        <w:t>根据</w:t>
      </w:r>
      <w:r>
        <w:rPr>
          <w:rFonts w:hint="eastAsia" w:cs="Times New Roman"/>
          <w:color w:val="auto"/>
          <w:spacing w:val="0"/>
          <w:sz w:val="21"/>
          <w:szCs w:val="21"/>
          <w:highlight w:val="none"/>
          <w:lang w:val="en-US" w:eastAsia="zh-CN"/>
        </w:rPr>
        <w:t>2026年2月12日</w:t>
      </w:r>
      <w:r>
        <w:rPr>
          <w:rFonts w:hint="eastAsia" w:eastAsia="宋体" w:cs="Times New Roman"/>
          <w:color w:val="auto"/>
          <w:sz w:val="21"/>
          <w:szCs w:val="21"/>
          <w:highlight w:val="none"/>
          <w:lang w:val="en-US" w:eastAsia="zh-CN"/>
        </w:rPr>
        <w:t>的监测数据，</w:t>
      </w:r>
      <w:r>
        <w:rPr>
          <w:rFonts w:hint="eastAsia" w:cs="Times New Roman" w:eastAsiaTheme="minorEastAsia"/>
          <w:color w:val="auto"/>
          <w:spacing w:val="0"/>
          <w:sz w:val="21"/>
          <w:szCs w:val="21"/>
          <w:highlight w:val="none"/>
          <w:lang w:val="en-US" w:eastAsia="zh-CN"/>
        </w:rPr>
        <w:t>庆先</w:t>
      </w:r>
      <w:r>
        <w:rPr>
          <w:rFonts w:hint="default" w:ascii="Times New Roman" w:hAnsi="Times New Roman" w:cs="Times New Roman" w:eastAsiaTheme="minorEastAsia"/>
          <w:color w:val="auto"/>
          <w:spacing w:val="0"/>
          <w:sz w:val="21"/>
          <w:szCs w:val="21"/>
          <w:highlight w:val="none"/>
        </w:rPr>
        <w:t>水库</w:t>
      </w:r>
      <w:r>
        <w:rPr>
          <w:rFonts w:hint="eastAsia" w:cs="Times New Roman" w:eastAsiaTheme="minorEastAsia"/>
          <w:color w:val="auto"/>
          <w:spacing w:val="0"/>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水库</w:t>
      </w:r>
      <w:r>
        <w:rPr>
          <w:rFonts w:hint="default" w:ascii="Times New Roman" w:hAnsi="Times New Roman"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lang w:val="en-US" w:eastAsia="zh-CN"/>
        </w:rPr>
        <w:t>游汇入锅盔河处</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锅盔河汇入穆棱河处</w:t>
      </w:r>
      <w:r>
        <w:rPr>
          <w:rFonts w:hint="default" w:ascii="Times New Roman" w:hAnsi="Times New Roman" w:cs="Times New Roman" w:eastAsiaTheme="minorEastAsia"/>
          <w:color w:val="auto"/>
          <w:spacing w:val="0"/>
          <w:sz w:val="21"/>
          <w:szCs w:val="21"/>
          <w:highlight w:val="none"/>
        </w:rPr>
        <w:t>现状水质</w:t>
      </w:r>
      <w:r>
        <w:rPr>
          <w:rFonts w:hint="eastAsia" w:cs="Times New Roman" w:eastAsiaTheme="minorEastAsia"/>
          <w:color w:val="auto"/>
          <w:spacing w:val="0"/>
          <w:sz w:val="21"/>
          <w:szCs w:val="21"/>
          <w:highlight w:val="none"/>
          <w:lang w:val="en-US" w:eastAsia="zh-CN"/>
        </w:rPr>
        <w:t>均</w:t>
      </w:r>
      <w:r>
        <w:rPr>
          <w:rFonts w:hint="default" w:ascii="Times New Roman" w:hAnsi="Times New Roman" w:cs="Times New Roman" w:eastAsiaTheme="minorEastAsia"/>
          <w:color w:val="auto"/>
          <w:spacing w:val="0"/>
          <w:sz w:val="21"/>
          <w:szCs w:val="21"/>
          <w:highlight w:val="none"/>
        </w:rPr>
        <w:t>满足</w:t>
      </w:r>
      <w:r>
        <w:rPr>
          <w:rFonts w:hint="default" w:ascii="Times New Roman" w:hAnsi="Times New Roman" w:eastAsia="宋体" w:cs="Times New Roman"/>
          <w:color w:val="auto"/>
          <w:sz w:val="21"/>
          <w:highlight w:val="none"/>
          <w:lang w:eastAsia="zh-CN"/>
        </w:rPr>
        <w:t>《地表水环境质量标准》（GB3838-2002）Ⅲ类标准</w:t>
      </w:r>
      <w:r>
        <w:rPr>
          <w:rFonts w:hint="default" w:ascii="Times New Roman" w:hAnsi="Times New Roman" w:cs="Times New Roman" w:eastAsiaTheme="minorEastAsia"/>
          <w:color w:val="auto"/>
          <w:spacing w:val="0"/>
          <w:sz w:val="21"/>
          <w:szCs w:val="21"/>
          <w:highlight w:val="none"/>
        </w:rPr>
        <w:t>要求</w:t>
      </w:r>
      <w:r>
        <w:rPr>
          <w:rFonts w:hint="eastAsia" w:cs="Times New Roman" w:eastAsiaTheme="minorEastAsia"/>
          <w:color w:val="auto"/>
          <w:spacing w:val="0"/>
          <w:sz w:val="21"/>
          <w:szCs w:val="21"/>
          <w:highlight w:val="none"/>
          <w:lang w:eastAsia="zh-CN"/>
        </w:rPr>
        <w:t>，区域水环境质量良好。</w:t>
      </w:r>
    </w:p>
    <w:p w14:paraId="1323EA48">
      <w:pPr>
        <w:spacing w:line="360" w:lineRule="auto"/>
        <w:ind w:firstLine="480"/>
        <w:rPr>
          <w:color w:val="auto"/>
          <w:sz w:val="21"/>
          <w:szCs w:val="21"/>
          <w:highlight w:val="none"/>
        </w:rPr>
      </w:pPr>
      <w:r>
        <w:rPr>
          <w:color w:val="auto"/>
          <w:sz w:val="21"/>
          <w:szCs w:val="21"/>
          <w:highlight w:val="none"/>
        </w:rPr>
        <w:t>（</w:t>
      </w:r>
      <w:r>
        <w:rPr>
          <w:rFonts w:hint="eastAsia"/>
          <w:color w:val="auto"/>
          <w:sz w:val="21"/>
          <w:szCs w:val="21"/>
          <w:highlight w:val="none"/>
          <w:lang w:val="en-US" w:eastAsia="zh-CN"/>
        </w:rPr>
        <w:t>2</w:t>
      </w:r>
      <w:r>
        <w:rPr>
          <w:color w:val="auto"/>
          <w:sz w:val="21"/>
          <w:szCs w:val="21"/>
          <w:highlight w:val="none"/>
        </w:rPr>
        <w:t>）富营养化评价</w:t>
      </w:r>
    </w:p>
    <w:p w14:paraId="4CB43464">
      <w:pPr>
        <w:spacing w:line="360" w:lineRule="auto"/>
        <w:ind w:firstLine="480"/>
        <w:rPr>
          <w:color w:val="auto"/>
          <w:sz w:val="21"/>
          <w:szCs w:val="21"/>
          <w:highlight w:val="none"/>
        </w:rPr>
      </w:pPr>
      <w:r>
        <w:rPr>
          <w:color w:val="auto"/>
          <w:sz w:val="21"/>
          <w:szCs w:val="21"/>
          <w:highlight w:val="none"/>
        </w:rPr>
        <w:t>参照《</w:t>
      </w:r>
      <w:r>
        <w:rPr>
          <w:rFonts w:hint="eastAsia"/>
          <w:color w:val="auto"/>
          <w:sz w:val="21"/>
          <w:szCs w:val="21"/>
          <w:highlight w:val="none"/>
          <w:lang w:val="en-US" w:eastAsia="zh-CN"/>
        </w:rPr>
        <w:t>地表水资源质量评价技术规程</w:t>
      </w:r>
      <w:r>
        <w:rPr>
          <w:color w:val="auto"/>
          <w:sz w:val="21"/>
          <w:szCs w:val="21"/>
          <w:highlight w:val="none"/>
        </w:rPr>
        <w:t>》</w:t>
      </w:r>
      <w:r>
        <w:rPr>
          <w:rFonts w:hint="default" w:ascii="Times New Roman" w:hAnsi="Times New Roman" w:eastAsia="宋体" w:cs="Times New Roman"/>
          <w:color w:val="auto"/>
          <w:sz w:val="21"/>
          <w:highlight w:val="none"/>
          <w:lang w:eastAsia="zh-CN"/>
        </w:rPr>
        <w:t>（</w:t>
      </w:r>
      <w:r>
        <w:rPr>
          <w:rFonts w:hint="eastAsia"/>
          <w:color w:val="auto"/>
          <w:sz w:val="21"/>
          <w:szCs w:val="21"/>
          <w:highlight w:val="none"/>
          <w:lang w:val="en-US" w:eastAsia="zh-CN"/>
        </w:rPr>
        <w:t>SL 395-2007</w:t>
      </w:r>
      <w:r>
        <w:rPr>
          <w:rFonts w:hint="default" w:ascii="Times New Roman" w:hAnsi="Times New Roman" w:eastAsia="宋体" w:cs="Times New Roman"/>
          <w:color w:val="auto"/>
          <w:sz w:val="21"/>
          <w:highlight w:val="none"/>
          <w:lang w:eastAsia="zh-CN"/>
        </w:rPr>
        <w:t>）</w:t>
      </w:r>
      <w:r>
        <w:rPr>
          <w:color w:val="auto"/>
          <w:sz w:val="21"/>
          <w:szCs w:val="21"/>
          <w:highlight w:val="none"/>
        </w:rPr>
        <w:t>湖库营养状态评价标准进行，评价标准详见</w:t>
      </w:r>
      <w:r>
        <w:rPr>
          <w:rFonts w:hint="eastAsia"/>
          <w:color w:val="auto"/>
          <w:sz w:val="21"/>
          <w:szCs w:val="21"/>
          <w:highlight w:val="none"/>
          <w:lang w:eastAsia="zh-CN"/>
        </w:rPr>
        <w:t>下表</w:t>
      </w:r>
      <w:r>
        <w:rPr>
          <w:color w:val="auto"/>
          <w:sz w:val="21"/>
          <w:szCs w:val="21"/>
          <w:highlight w:val="none"/>
        </w:rPr>
        <w:t>。</w:t>
      </w:r>
    </w:p>
    <w:p w14:paraId="48057A32">
      <w:pPr>
        <w:keepNext w:val="0"/>
        <w:keepLines w:val="0"/>
        <w:pageBreakBefore w:val="0"/>
        <w:widowControl/>
        <w:kinsoku/>
        <w:wordWrap/>
        <w:overflowPunct/>
        <w:topLinePunct w:val="0"/>
        <w:autoSpaceDE/>
        <w:autoSpaceDN/>
        <w:bidi w:val="0"/>
        <w:adjustRightInd/>
        <w:snapToGrid/>
        <w:spacing w:line="240" w:lineRule="auto"/>
        <w:ind w:firstLine="422" w:firstLineChars="200"/>
        <w:jc w:val="center"/>
        <w:textAlignment w:val="auto"/>
        <w:rPr>
          <w:rFonts w:hint="eastAsia" w:cs="Times New Roman" w:eastAsiaTheme="minorEastAsia"/>
          <w:b/>
          <w:bCs/>
          <w:color w:val="auto"/>
          <w:spacing w:val="0"/>
          <w:sz w:val="21"/>
          <w:szCs w:val="21"/>
          <w:highlight w:val="none"/>
          <w:lang w:eastAsia="zh-CN"/>
        </w:rPr>
      </w:pPr>
      <w:bookmarkStart w:id="138" w:name="_Ref107767272"/>
      <w:r>
        <w:rPr>
          <w:b/>
          <w:bCs/>
          <w:color w:val="auto"/>
          <w:sz w:val="21"/>
          <w:szCs w:val="21"/>
          <w:highlight w:val="none"/>
        </w:rPr>
        <w:t>表</w:t>
      </w:r>
      <w:bookmarkEnd w:id="138"/>
      <w:r>
        <w:rPr>
          <w:rFonts w:hint="eastAsia"/>
          <w:b/>
          <w:bCs/>
          <w:color w:val="auto"/>
          <w:sz w:val="21"/>
          <w:szCs w:val="21"/>
          <w:highlight w:val="none"/>
          <w:lang w:val="en-US" w:eastAsia="zh-CN"/>
        </w:rPr>
        <w:t>3-3</w:t>
      </w:r>
      <w:r>
        <w:rPr>
          <w:b/>
          <w:bCs/>
          <w:color w:val="auto"/>
          <w:sz w:val="21"/>
          <w:szCs w:val="21"/>
          <w:highlight w:val="none"/>
        </w:rPr>
        <w:t xml:space="preserve"> 水库富营养化评价标准</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934"/>
        <w:gridCol w:w="1010"/>
        <w:gridCol w:w="1118"/>
        <w:gridCol w:w="1590"/>
        <w:gridCol w:w="1517"/>
        <w:gridCol w:w="1219"/>
      </w:tblGrid>
      <w:tr w14:paraId="1ECD14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shd w:val="clear" w:color="auto" w:fill="auto"/>
            <w:noWrap/>
            <w:vAlign w:val="center"/>
          </w:tcPr>
          <w:p w14:paraId="044E3150">
            <w:pPr>
              <w:pStyle w:val="40"/>
              <w:spacing w:line="240" w:lineRule="auto"/>
              <w:jc w:val="center"/>
              <w:rPr>
                <w:color w:val="auto"/>
                <w:sz w:val="18"/>
                <w:szCs w:val="18"/>
                <w:highlight w:val="none"/>
              </w:rPr>
            </w:pPr>
            <w:r>
              <w:rPr>
                <w:color w:val="auto"/>
                <w:sz w:val="18"/>
                <w:szCs w:val="18"/>
                <w:highlight w:val="none"/>
                <w:lang w:bidi="ar"/>
              </w:rPr>
              <w:t>营养状态</w:t>
            </w:r>
          </w:p>
        </w:tc>
        <w:tc>
          <w:tcPr>
            <w:tcW w:w="547" w:type="pct"/>
            <w:shd w:val="clear" w:color="auto" w:fill="auto"/>
            <w:noWrap/>
            <w:vAlign w:val="center"/>
          </w:tcPr>
          <w:p w14:paraId="687EE308">
            <w:pPr>
              <w:pStyle w:val="40"/>
              <w:spacing w:line="240" w:lineRule="auto"/>
              <w:jc w:val="center"/>
              <w:rPr>
                <w:color w:val="auto"/>
                <w:sz w:val="18"/>
                <w:szCs w:val="18"/>
                <w:highlight w:val="none"/>
              </w:rPr>
            </w:pPr>
            <w:r>
              <w:rPr>
                <w:color w:val="auto"/>
                <w:sz w:val="18"/>
                <w:szCs w:val="18"/>
                <w:highlight w:val="none"/>
                <w:lang w:bidi="ar"/>
              </w:rPr>
              <w:t>指数</w:t>
            </w:r>
          </w:p>
        </w:tc>
        <w:tc>
          <w:tcPr>
            <w:tcW w:w="592" w:type="pct"/>
            <w:shd w:val="clear" w:color="auto" w:fill="auto"/>
            <w:noWrap/>
            <w:vAlign w:val="center"/>
          </w:tcPr>
          <w:p w14:paraId="60BE2A77">
            <w:pPr>
              <w:pStyle w:val="40"/>
              <w:spacing w:line="240" w:lineRule="auto"/>
              <w:jc w:val="center"/>
              <w:rPr>
                <w:rFonts w:hint="eastAsia" w:eastAsia="宋体"/>
                <w:color w:val="auto"/>
                <w:sz w:val="18"/>
                <w:szCs w:val="18"/>
                <w:highlight w:val="none"/>
                <w:lang w:eastAsia="zh-CN"/>
              </w:rPr>
            </w:pPr>
            <w:r>
              <w:rPr>
                <w:color w:val="auto"/>
                <w:sz w:val="18"/>
                <w:szCs w:val="18"/>
                <w:highlight w:val="none"/>
                <w:lang w:bidi="ar"/>
              </w:rPr>
              <w:t>总磷</w:t>
            </w:r>
            <w:r>
              <w:rPr>
                <w:rFonts w:hint="eastAsia"/>
                <w:color w:val="auto"/>
                <w:sz w:val="18"/>
                <w:szCs w:val="18"/>
                <w:highlight w:val="none"/>
                <w:lang w:eastAsia="zh-CN" w:bidi="ar"/>
              </w:rPr>
              <w:t>（</w:t>
            </w:r>
            <w:r>
              <w:rPr>
                <w:color w:val="auto"/>
                <w:sz w:val="18"/>
                <w:szCs w:val="18"/>
                <w:highlight w:val="none"/>
                <w:lang w:bidi="ar"/>
              </w:rPr>
              <w:t>mg/L</w:t>
            </w:r>
            <w:r>
              <w:rPr>
                <w:rFonts w:hint="eastAsia"/>
                <w:color w:val="auto"/>
                <w:sz w:val="18"/>
                <w:szCs w:val="18"/>
                <w:highlight w:val="none"/>
                <w:lang w:eastAsia="zh-CN" w:bidi="ar"/>
              </w:rPr>
              <w:t>）</w:t>
            </w:r>
          </w:p>
        </w:tc>
        <w:tc>
          <w:tcPr>
            <w:tcW w:w="655" w:type="pct"/>
            <w:shd w:val="clear" w:color="auto" w:fill="auto"/>
            <w:noWrap/>
            <w:vAlign w:val="center"/>
          </w:tcPr>
          <w:p w14:paraId="3C098F24">
            <w:pPr>
              <w:pStyle w:val="40"/>
              <w:spacing w:line="240" w:lineRule="auto"/>
              <w:jc w:val="center"/>
              <w:rPr>
                <w:color w:val="auto"/>
                <w:sz w:val="18"/>
                <w:szCs w:val="18"/>
                <w:highlight w:val="none"/>
              </w:rPr>
            </w:pPr>
            <w:r>
              <w:rPr>
                <w:color w:val="auto"/>
                <w:sz w:val="18"/>
                <w:szCs w:val="18"/>
                <w:highlight w:val="none"/>
                <w:lang w:bidi="ar"/>
              </w:rPr>
              <w:t>总氮</w:t>
            </w:r>
            <w:r>
              <w:rPr>
                <w:rFonts w:hint="eastAsia"/>
                <w:color w:val="auto"/>
                <w:sz w:val="18"/>
                <w:szCs w:val="18"/>
                <w:highlight w:val="none"/>
                <w:lang w:eastAsia="zh-CN" w:bidi="ar"/>
              </w:rPr>
              <w:t>（</w:t>
            </w:r>
            <w:r>
              <w:rPr>
                <w:color w:val="auto"/>
                <w:sz w:val="18"/>
                <w:szCs w:val="18"/>
                <w:highlight w:val="none"/>
                <w:lang w:bidi="ar"/>
              </w:rPr>
              <w:t>mg/L</w:t>
            </w:r>
            <w:r>
              <w:rPr>
                <w:rFonts w:hint="eastAsia"/>
                <w:color w:val="auto"/>
                <w:sz w:val="18"/>
                <w:szCs w:val="18"/>
                <w:highlight w:val="none"/>
                <w:lang w:eastAsia="zh-CN" w:bidi="ar"/>
              </w:rPr>
              <w:t>）</w:t>
            </w:r>
          </w:p>
        </w:tc>
        <w:tc>
          <w:tcPr>
            <w:tcW w:w="932" w:type="pct"/>
            <w:shd w:val="clear" w:color="auto" w:fill="auto"/>
            <w:noWrap/>
            <w:vAlign w:val="center"/>
          </w:tcPr>
          <w:p w14:paraId="035BC9D1">
            <w:pPr>
              <w:pStyle w:val="40"/>
              <w:spacing w:line="240" w:lineRule="auto"/>
              <w:jc w:val="center"/>
              <w:rPr>
                <w:color w:val="auto"/>
                <w:sz w:val="18"/>
                <w:szCs w:val="18"/>
                <w:highlight w:val="none"/>
              </w:rPr>
            </w:pPr>
            <w:r>
              <w:rPr>
                <w:color w:val="auto"/>
                <w:sz w:val="18"/>
                <w:szCs w:val="18"/>
                <w:highlight w:val="none"/>
                <w:lang w:bidi="ar"/>
              </w:rPr>
              <w:t>叶绿素a</w:t>
            </w:r>
            <w:r>
              <w:rPr>
                <w:rFonts w:hint="eastAsia"/>
                <w:color w:val="auto"/>
                <w:sz w:val="18"/>
                <w:szCs w:val="18"/>
                <w:highlight w:val="none"/>
                <w:lang w:eastAsia="zh-CN" w:bidi="ar"/>
              </w:rPr>
              <w:t>（</w:t>
            </w:r>
            <w:r>
              <w:rPr>
                <w:color w:val="auto"/>
                <w:sz w:val="18"/>
                <w:szCs w:val="18"/>
                <w:highlight w:val="none"/>
                <w:lang w:bidi="ar"/>
              </w:rPr>
              <w:t>mg/L</w:t>
            </w:r>
            <w:r>
              <w:rPr>
                <w:rFonts w:hint="eastAsia"/>
                <w:color w:val="auto"/>
                <w:sz w:val="18"/>
                <w:szCs w:val="18"/>
                <w:highlight w:val="none"/>
                <w:lang w:eastAsia="zh-CN" w:bidi="ar"/>
              </w:rPr>
              <w:t>）</w:t>
            </w:r>
          </w:p>
        </w:tc>
        <w:tc>
          <w:tcPr>
            <w:tcW w:w="890" w:type="pct"/>
            <w:shd w:val="clear" w:color="auto" w:fill="auto"/>
            <w:noWrap/>
            <w:vAlign w:val="bottom"/>
          </w:tcPr>
          <w:p w14:paraId="7268DFEB">
            <w:pPr>
              <w:widowControl/>
              <w:jc w:val="center"/>
              <w:textAlignment w:val="bottom"/>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高锰酸盐指数</w:t>
            </w:r>
            <w:r>
              <w:rPr>
                <w:rFonts w:hint="eastAsia"/>
                <w:color w:val="auto"/>
                <w:sz w:val="18"/>
                <w:szCs w:val="18"/>
                <w:highlight w:val="none"/>
                <w:lang w:eastAsia="zh-CN" w:bidi="ar"/>
              </w:rPr>
              <w:t>（</w:t>
            </w:r>
            <w:r>
              <w:rPr>
                <w:rFonts w:hint="default" w:ascii="Times New Roman" w:hAnsi="Times New Roman" w:eastAsia="宋体" w:cs="Times New Roman"/>
                <w:b w:val="0"/>
                <w:bCs w:val="0"/>
                <w:color w:val="auto"/>
                <w:kern w:val="0"/>
                <w:sz w:val="21"/>
                <w:szCs w:val="21"/>
                <w:highlight w:val="none"/>
                <w:lang w:bidi="ar"/>
              </w:rPr>
              <w:t>mg/L</w:t>
            </w:r>
            <w:r>
              <w:rPr>
                <w:rFonts w:hint="eastAsia"/>
                <w:color w:val="auto"/>
                <w:sz w:val="18"/>
                <w:szCs w:val="18"/>
                <w:highlight w:val="none"/>
                <w:lang w:eastAsia="zh-CN" w:bidi="ar"/>
              </w:rPr>
              <w:t>）</w:t>
            </w:r>
          </w:p>
        </w:tc>
        <w:tc>
          <w:tcPr>
            <w:tcW w:w="715" w:type="pct"/>
            <w:shd w:val="clear" w:color="auto" w:fill="auto"/>
            <w:noWrap/>
            <w:vAlign w:val="center"/>
          </w:tcPr>
          <w:p w14:paraId="22057F42">
            <w:pPr>
              <w:pStyle w:val="40"/>
              <w:spacing w:line="240" w:lineRule="auto"/>
              <w:jc w:val="center"/>
              <w:rPr>
                <w:color w:val="auto"/>
                <w:sz w:val="18"/>
                <w:szCs w:val="18"/>
                <w:highlight w:val="none"/>
              </w:rPr>
            </w:pPr>
            <w:r>
              <w:rPr>
                <w:color w:val="auto"/>
                <w:sz w:val="18"/>
                <w:szCs w:val="18"/>
                <w:highlight w:val="none"/>
                <w:lang w:bidi="ar"/>
              </w:rPr>
              <w:t>透明度</w:t>
            </w:r>
            <w:r>
              <w:rPr>
                <w:rFonts w:hint="eastAsia"/>
                <w:color w:val="auto"/>
                <w:sz w:val="18"/>
                <w:szCs w:val="18"/>
                <w:highlight w:val="none"/>
                <w:lang w:eastAsia="zh-CN" w:bidi="ar"/>
              </w:rPr>
              <w:t>（</w:t>
            </w:r>
            <w:r>
              <w:rPr>
                <w:color w:val="auto"/>
                <w:sz w:val="18"/>
                <w:szCs w:val="18"/>
                <w:highlight w:val="none"/>
                <w:lang w:bidi="ar"/>
              </w:rPr>
              <w:t>m</w:t>
            </w:r>
            <w:r>
              <w:rPr>
                <w:rFonts w:hint="eastAsia"/>
                <w:color w:val="auto"/>
                <w:sz w:val="18"/>
                <w:szCs w:val="18"/>
                <w:highlight w:val="none"/>
                <w:lang w:eastAsia="zh-CN" w:bidi="ar"/>
              </w:rPr>
              <w:t>）</w:t>
            </w:r>
          </w:p>
        </w:tc>
      </w:tr>
      <w:tr w14:paraId="67C0D1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restart"/>
            <w:shd w:val="clear" w:color="auto" w:fill="auto"/>
            <w:noWrap/>
            <w:vAlign w:val="center"/>
          </w:tcPr>
          <w:p w14:paraId="107A5767">
            <w:pPr>
              <w:pStyle w:val="40"/>
              <w:spacing w:line="240" w:lineRule="auto"/>
              <w:jc w:val="center"/>
              <w:rPr>
                <w:color w:val="auto"/>
                <w:sz w:val="18"/>
                <w:szCs w:val="18"/>
                <w:highlight w:val="none"/>
              </w:rPr>
            </w:pPr>
            <w:r>
              <w:rPr>
                <w:color w:val="auto"/>
                <w:sz w:val="18"/>
                <w:szCs w:val="18"/>
                <w:highlight w:val="none"/>
                <w:lang w:bidi="ar"/>
              </w:rPr>
              <w:t>贫营养</w:t>
            </w:r>
          </w:p>
        </w:tc>
        <w:tc>
          <w:tcPr>
            <w:tcW w:w="547" w:type="pct"/>
            <w:shd w:val="clear" w:color="auto" w:fill="auto"/>
            <w:noWrap/>
            <w:vAlign w:val="center"/>
          </w:tcPr>
          <w:p w14:paraId="660CF1E4">
            <w:pPr>
              <w:pStyle w:val="40"/>
              <w:spacing w:line="240" w:lineRule="auto"/>
              <w:jc w:val="center"/>
              <w:rPr>
                <w:color w:val="auto"/>
                <w:sz w:val="18"/>
                <w:szCs w:val="18"/>
                <w:highlight w:val="none"/>
              </w:rPr>
            </w:pPr>
            <w:r>
              <w:rPr>
                <w:color w:val="auto"/>
                <w:sz w:val="18"/>
                <w:szCs w:val="18"/>
                <w:highlight w:val="none"/>
                <w:lang w:bidi="ar"/>
              </w:rPr>
              <w:t>10</w:t>
            </w:r>
          </w:p>
        </w:tc>
        <w:tc>
          <w:tcPr>
            <w:tcW w:w="592" w:type="pct"/>
            <w:shd w:val="clear" w:color="auto" w:fill="auto"/>
            <w:noWrap/>
            <w:vAlign w:val="center"/>
          </w:tcPr>
          <w:p w14:paraId="34908A45">
            <w:pPr>
              <w:pStyle w:val="40"/>
              <w:spacing w:line="240" w:lineRule="auto"/>
              <w:jc w:val="center"/>
              <w:rPr>
                <w:color w:val="auto"/>
                <w:sz w:val="18"/>
                <w:szCs w:val="18"/>
                <w:highlight w:val="none"/>
              </w:rPr>
            </w:pPr>
            <w:r>
              <w:rPr>
                <w:color w:val="auto"/>
                <w:sz w:val="18"/>
                <w:szCs w:val="18"/>
                <w:highlight w:val="none"/>
                <w:lang w:bidi="ar"/>
              </w:rPr>
              <w:t>0.001</w:t>
            </w:r>
          </w:p>
        </w:tc>
        <w:tc>
          <w:tcPr>
            <w:tcW w:w="655" w:type="pct"/>
            <w:shd w:val="clear" w:color="auto" w:fill="auto"/>
            <w:noWrap/>
            <w:vAlign w:val="center"/>
          </w:tcPr>
          <w:p w14:paraId="431C7DD9">
            <w:pPr>
              <w:pStyle w:val="40"/>
              <w:spacing w:line="240" w:lineRule="auto"/>
              <w:jc w:val="center"/>
              <w:rPr>
                <w:color w:val="auto"/>
                <w:sz w:val="18"/>
                <w:szCs w:val="18"/>
                <w:highlight w:val="none"/>
              </w:rPr>
            </w:pPr>
            <w:r>
              <w:rPr>
                <w:color w:val="auto"/>
                <w:sz w:val="18"/>
                <w:szCs w:val="18"/>
                <w:highlight w:val="none"/>
                <w:lang w:bidi="ar"/>
              </w:rPr>
              <w:t>0.02</w:t>
            </w:r>
          </w:p>
        </w:tc>
        <w:tc>
          <w:tcPr>
            <w:tcW w:w="932" w:type="pct"/>
            <w:shd w:val="clear" w:color="auto" w:fill="auto"/>
            <w:noWrap/>
            <w:vAlign w:val="center"/>
          </w:tcPr>
          <w:p w14:paraId="678BE3C3">
            <w:pPr>
              <w:pStyle w:val="40"/>
              <w:spacing w:line="240" w:lineRule="auto"/>
              <w:jc w:val="center"/>
              <w:rPr>
                <w:color w:val="auto"/>
                <w:sz w:val="18"/>
                <w:szCs w:val="18"/>
                <w:highlight w:val="none"/>
              </w:rPr>
            </w:pPr>
            <w:r>
              <w:rPr>
                <w:color w:val="auto"/>
                <w:sz w:val="18"/>
                <w:szCs w:val="18"/>
                <w:highlight w:val="none"/>
                <w:lang w:bidi="ar"/>
              </w:rPr>
              <w:t>0.0005</w:t>
            </w:r>
          </w:p>
        </w:tc>
        <w:tc>
          <w:tcPr>
            <w:tcW w:w="890" w:type="pct"/>
            <w:shd w:val="clear" w:color="auto" w:fill="auto"/>
            <w:noWrap/>
            <w:vAlign w:val="center"/>
          </w:tcPr>
          <w:p w14:paraId="046DDFBD">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0.15</w:t>
            </w:r>
          </w:p>
        </w:tc>
        <w:tc>
          <w:tcPr>
            <w:tcW w:w="715" w:type="pct"/>
            <w:shd w:val="clear" w:color="auto" w:fill="auto"/>
            <w:noWrap/>
            <w:vAlign w:val="center"/>
          </w:tcPr>
          <w:p w14:paraId="1D465AFA">
            <w:pPr>
              <w:pStyle w:val="40"/>
              <w:spacing w:line="240" w:lineRule="auto"/>
              <w:jc w:val="center"/>
              <w:rPr>
                <w:color w:val="auto"/>
                <w:sz w:val="18"/>
                <w:szCs w:val="18"/>
                <w:highlight w:val="none"/>
              </w:rPr>
            </w:pPr>
            <w:r>
              <w:rPr>
                <w:color w:val="auto"/>
                <w:sz w:val="18"/>
                <w:szCs w:val="18"/>
                <w:highlight w:val="none"/>
                <w:lang w:bidi="ar"/>
              </w:rPr>
              <w:t>10</w:t>
            </w:r>
          </w:p>
        </w:tc>
      </w:tr>
      <w:tr w14:paraId="5FBE67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continue"/>
            <w:shd w:val="clear" w:color="auto" w:fill="auto"/>
            <w:noWrap/>
            <w:vAlign w:val="center"/>
          </w:tcPr>
          <w:p w14:paraId="6B3FB53E">
            <w:pPr>
              <w:pStyle w:val="40"/>
              <w:spacing w:line="240" w:lineRule="auto"/>
              <w:jc w:val="center"/>
              <w:rPr>
                <w:color w:val="auto"/>
                <w:sz w:val="18"/>
                <w:szCs w:val="18"/>
                <w:highlight w:val="none"/>
              </w:rPr>
            </w:pPr>
          </w:p>
        </w:tc>
        <w:tc>
          <w:tcPr>
            <w:tcW w:w="547" w:type="pct"/>
            <w:shd w:val="clear" w:color="auto" w:fill="auto"/>
            <w:noWrap/>
            <w:vAlign w:val="center"/>
          </w:tcPr>
          <w:p w14:paraId="06FAA2AD">
            <w:pPr>
              <w:pStyle w:val="40"/>
              <w:spacing w:line="240" w:lineRule="auto"/>
              <w:jc w:val="center"/>
              <w:rPr>
                <w:color w:val="auto"/>
                <w:sz w:val="18"/>
                <w:szCs w:val="18"/>
                <w:highlight w:val="none"/>
              </w:rPr>
            </w:pPr>
            <w:r>
              <w:rPr>
                <w:color w:val="auto"/>
                <w:sz w:val="18"/>
                <w:szCs w:val="18"/>
                <w:highlight w:val="none"/>
                <w:lang w:bidi="ar"/>
              </w:rPr>
              <w:t>20</w:t>
            </w:r>
          </w:p>
        </w:tc>
        <w:tc>
          <w:tcPr>
            <w:tcW w:w="592" w:type="pct"/>
            <w:shd w:val="clear" w:color="auto" w:fill="auto"/>
            <w:noWrap/>
            <w:vAlign w:val="center"/>
          </w:tcPr>
          <w:p w14:paraId="3F5A6973">
            <w:pPr>
              <w:pStyle w:val="40"/>
              <w:spacing w:line="240" w:lineRule="auto"/>
              <w:jc w:val="center"/>
              <w:rPr>
                <w:color w:val="auto"/>
                <w:sz w:val="18"/>
                <w:szCs w:val="18"/>
                <w:highlight w:val="none"/>
              </w:rPr>
            </w:pPr>
            <w:r>
              <w:rPr>
                <w:color w:val="auto"/>
                <w:sz w:val="18"/>
                <w:szCs w:val="18"/>
                <w:highlight w:val="none"/>
                <w:lang w:bidi="ar"/>
              </w:rPr>
              <w:t>0.004</w:t>
            </w:r>
          </w:p>
        </w:tc>
        <w:tc>
          <w:tcPr>
            <w:tcW w:w="655" w:type="pct"/>
            <w:shd w:val="clear" w:color="auto" w:fill="auto"/>
            <w:noWrap/>
            <w:vAlign w:val="center"/>
          </w:tcPr>
          <w:p w14:paraId="1DC4895D">
            <w:pPr>
              <w:pStyle w:val="40"/>
              <w:spacing w:line="240" w:lineRule="auto"/>
              <w:jc w:val="center"/>
              <w:rPr>
                <w:color w:val="auto"/>
                <w:sz w:val="18"/>
                <w:szCs w:val="18"/>
                <w:highlight w:val="none"/>
              </w:rPr>
            </w:pPr>
            <w:r>
              <w:rPr>
                <w:color w:val="auto"/>
                <w:sz w:val="18"/>
                <w:szCs w:val="18"/>
                <w:highlight w:val="none"/>
                <w:lang w:bidi="ar"/>
              </w:rPr>
              <w:t>0.05</w:t>
            </w:r>
          </w:p>
        </w:tc>
        <w:tc>
          <w:tcPr>
            <w:tcW w:w="932" w:type="pct"/>
            <w:shd w:val="clear" w:color="auto" w:fill="auto"/>
            <w:noWrap/>
            <w:vAlign w:val="center"/>
          </w:tcPr>
          <w:p w14:paraId="3672A789">
            <w:pPr>
              <w:pStyle w:val="40"/>
              <w:spacing w:line="240" w:lineRule="auto"/>
              <w:jc w:val="center"/>
              <w:rPr>
                <w:color w:val="auto"/>
                <w:sz w:val="18"/>
                <w:szCs w:val="18"/>
                <w:highlight w:val="none"/>
              </w:rPr>
            </w:pPr>
            <w:r>
              <w:rPr>
                <w:color w:val="auto"/>
                <w:sz w:val="18"/>
                <w:szCs w:val="18"/>
                <w:highlight w:val="none"/>
                <w:lang w:bidi="ar"/>
              </w:rPr>
              <w:t>0.001</w:t>
            </w:r>
          </w:p>
        </w:tc>
        <w:tc>
          <w:tcPr>
            <w:tcW w:w="890" w:type="pct"/>
            <w:shd w:val="clear" w:color="auto" w:fill="auto"/>
            <w:noWrap/>
            <w:vAlign w:val="center"/>
          </w:tcPr>
          <w:p w14:paraId="5C60D27C">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0.4</w:t>
            </w:r>
          </w:p>
        </w:tc>
        <w:tc>
          <w:tcPr>
            <w:tcW w:w="715" w:type="pct"/>
            <w:shd w:val="clear" w:color="auto" w:fill="auto"/>
            <w:noWrap/>
            <w:vAlign w:val="center"/>
          </w:tcPr>
          <w:p w14:paraId="397D6FFC">
            <w:pPr>
              <w:pStyle w:val="40"/>
              <w:spacing w:line="240" w:lineRule="auto"/>
              <w:jc w:val="center"/>
              <w:rPr>
                <w:color w:val="auto"/>
                <w:sz w:val="18"/>
                <w:szCs w:val="18"/>
                <w:highlight w:val="none"/>
              </w:rPr>
            </w:pPr>
            <w:r>
              <w:rPr>
                <w:color w:val="auto"/>
                <w:sz w:val="18"/>
                <w:szCs w:val="18"/>
                <w:highlight w:val="none"/>
                <w:lang w:bidi="ar"/>
              </w:rPr>
              <w:t>5</w:t>
            </w:r>
          </w:p>
        </w:tc>
      </w:tr>
      <w:tr w14:paraId="5B69F2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restart"/>
            <w:shd w:val="clear" w:color="auto" w:fill="auto"/>
            <w:noWrap/>
            <w:vAlign w:val="center"/>
          </w:tcPr>
          <w:p w14:paraId="1480149A">
            <w:pPr>
              <w:pStyle w:val="40"/>
              <w:spacing w:line="240" w:lineRule="auto"/>
              <w:jc w:val="center"/>
              <w:rPr>
                <w:color w:val="auto"/>
                <w:sz w:val="18"/>
                <w:szCs w:val="18"/>
                <w:highlight w:val="none"/>
              </w:rPr>
            </w:pPr>
            <w:r>
              <w:rPr>
                <w:color w:val="auto"/>
                <w:sz w:val="18"/>
                <w:szCs w:val="18"/>
                <w:highlight w:val="none"/>
                <w:lang w:bidi="ar"/>
              </w:rPr>
              <w:t>中营养</w:t>
            </w:r>
          </w:p>
        </w:tc>
        <w:tc>
          <w:tcPr>
            <w:tcW w:w="547" w:type="pct"/>
            <w:shd w:val="clear" w:color="auto" w:fill="auto"/>
            <w:noWrap/>
            <w:vAlign w:val="center"/>
          </w:tcPr>
          <w:p w14:paraId="34FA513B">
            <w:pPr>
              <w:pStyle w:val="40"/>
              <w:spacing w:line="240" w:lineRule="auto"/>
              <w:jc w:val="center"/>
              <w:rPr>
                <w:color w:val="auto"/>
                <w:sz w:val="18"/>
                <w:szCs w:val="18"/>
                <w:highlight w:val="none"/>
              </w:rPr>
            </w:pPr>
            <w:r>
              <w:rPr>
                <w:color w:val="auto"/>
                <w:sz w:val="18"/>
                <w:szCs w:val="18"/>
                <w:highlight w:val="none"/>
                <w:lang w:bidi="ar"/>
              </w:rPr>
              <w:t>30</w:t>
            </w:r>
          </w:p>
        </w:tc>
        <w:tc>
          <w:tcPr>
            <w:tcW w:w="592" w:type="pct"/>
            <w:shd w:val="clear" w:color="auto" w:fill="auto"/>
            <w:noWrap/>
            <w:vAlign w:val="center"/>
          </w:tcPr>
          <w:p w14:paraId="2ACE7805">
            <w:pPr>
              <w:pStyle w:val="40"/>
              <w:spacing w:line="240" w:lineRule="auto"/>
              <w:jc w:val="center"/>
              <w:rPr>
                <w:color w:val="auto"/>
                <w:sz w:val="18"/>
                <w:szCs w:val="18"/>
                <w:highlight w:val="none"/>
              </w:rPr>
            </w:pPr>
            <w:r>
              <w:rPr>
                <w:color w:val="auto"/>
                <w:sz w:val="18"/>
                <w:szCs w:val="18"/>
                <w:highlight w:val="none"/>
                <w:lang w:bidi="ar"/>
              </w:rPr>
              <w:t>0.01</w:t>
            </w:r>
          </w:p>
        </w:tc>
        <w:tc>
          <w:tcPr>
            <w:tcW w:w="655" w:type="pct"/>
            <w:shd w:val="clear" w:color="auto" w:fill="auto"/>
            <w:noWrap/>
            <w:vAlign w:val="center"/>
          </w:tcPr>
          <w:p w14:paraId="5B94E135">
            <w:pPr>
              <w:pStyle w:val="40"/>
              <w:spacing w:line="240" w:lineRule="auto"/>
              <w:jc w:val="center"/>
              <w:rPr>
                <w:color w:val="auto"/>
                <w:sz w:val="18"/>
                <w:szCs w:val="18"/>
                <w:highlight w:val="none"/>
              </w:rPr>
            </w:pPr>
            <w:r>
              <w:rPr>
                <w:color w:val="auto"/>
                <w:sz w:val="18"/>
                <w:szCs w:val="18"/>
                <w:highlight w:val="none"/>
                <w:lang w:bidi="ar"/>
              </w:rPr>
              <w:t>0.1</w:t>
            </w:r>
          </w:p>
        </w:tc>
        <w:tc>
          <w:tcPr>
            <w:tcW w:w="932" w:type="pct"/>
            <w:shd w:val="clear" w:color="auto" w:fill="auto"/>
            <w:noWrap/>
            <w:vAlign w:val="center"/>
          </w:tcPr>
          <w:p w14:paraId="01773823">
            <w:pPr>
              <w:pStyle w:val="40"/>
              <w:spacing w:line="240" w:lineRule="auto"/>
              <w:jc w:val="center"/>
              <w:rPr>
                <w:color w:val="auto"/>
                <w:sz w:val="18"/>
                <w:szCs w:val="18"/>
                <w:highlight w:val="none"/>
              </w:rPr>
            </w:pPr>
            <w:r>
              <w:rPr>
                <w:color w:val="auto"/>
                <w:sz w:val="18"/>
                <w:szCs w:val="18"/>
                <w:highlight w:val="none"/>
                <w:lang w:bidi="ar"/>
              </w:rPr>
              <w:t>0.002</w:t>
            </w:r>
          </w:p>
        </w:tc>
        <w:tc>
          <w:tcPr>
            <w:tcW w:w="890" w:type="pct"/>
            <w:shd w:val="clear" w:color="auto" w:fill="auto"/>
            <w:noWrap/>
            <w:vAlign w:val="center"/>
          </w:tcPr>
          <w:p w14:paraId="17A34A2A">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1</w:t>
            </w:r>
          </w:p>
        </w:tc>
        <w:tc>
          <w:tcPr>
            <w:tcW w:w="715" w:type="pct"/>
            <w:shd w:val="clear" w:color="auto" w:fill="auto"/>
            <w:noWrap/>
            <w:vAlign w:val="center"/>
          </w:tcPr>
          <w:p w14:paraId="0756B158">
            <w:pPr>
              <w:pStyle w:val="40"/>
              <w:spacing w:line="240" w:lineRule="auto"/>
              <w:jc w:val="center"/>
              <w:rPr>
                <w:color w:val="auto"/>
                <w:sz w:val="18"/>
                <w:szCs w:val="18"/>
                <w:highlight w:val="none"/>
              </w:rPr>
            </w:pPr>
            <w:r>
              <w:rPr>
                <w:color w:val="auto"/>
                <w:sz w:val="18"/>
                <w:szCs w:val="18"/>
                <w:highlight w:val="none"/>
                <w:lang w:bidi="ar"/>
              </w:rPr>
              <w:t>3</w:t>
            </w:r>
          </w:p>
        </w:tc>
      </w:tr>
      <w:tr w14:paraId="547C40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continue"/>
            <w:shd w:val="clear" w:color="auto" w:fill="auto"/>
            <w:noWrap/>
            <w:vAlign w:val="center"/>
          </w:tcPr>
          <w:p w14:paraId="01BF8DCD">
            <w:pPr>
              <w:pStyle w:val="40"/>
              <w:spacing w:line="240" w:lineRule="auto"/>
              <w:jc w:val="center"/>
              <w:rPr>
                <w:color w:val="auto"/>
                <w:sz w:val="18"/>
                <w:szCs w:val="18"/>
                <w:highlight w:val="none"/>
              </w:rPr>
            </w:pPr>
          </w:p>
        </w:tc>
        <w:tc>
          <w:tcPr>
            <w:tcW w:w="547" w:type="pct"/>
            <w:shd w:val="clear" w:color="auto" w:fill="auto"/>
            <w:noWrap/>
            <w:vAlign w:val="center"/>
          </w:tcPr>
          <w:p w14:paraId="39379D9A">
            <w:pPr>
              <w:pStyle w:val="40"/>
              <w:spacing w:line="240" w:lineRule="auto"/>
              <w:jc w:val="center"/>
              <w:rPr>
                <w:color w:val="auto"/>
                <w:sz w:val="18"/>
                <w:szCs w:val="18"/>
                <w:highlight w:val="none"/>
              </w:rPr>
            </w:pPr>
            <w:r>
              <w:rPr>
                <w:color w:val="auto"/>
                <w:sz w:val="18"/>
                <w:szCs w:val="18"/>
                <w:highlight w:val="none"/>
                <w:lang w:bidi="ar"/>
              </w:rPr>
              <w:t>40</w:t>
            </w:r>
          </w:p>
        </w:tc>
        <w:tc>
          <w:tcPr>
            <w:tcW w:w="592" w:type="pct"/>
            <w:shd w:val="clear" w:color="auto" w:fill="auto"/>
            <w:noWrap/>
            <w:vAlign w:val="center"/>
          </w:tcPr>
          <w:p w14:paraId="50D60A42">
            <w:pPr>
              <w:pStyle w:val="40"/>
              <w:spacing w:line="240" w:lineRule="auto"/>
              <w:jc w:val="center"/>
              <w:rPr>
                <w:color w:val="auto"/>
                <w:sz w:val="18"/>
                <w:szCs w:val="18"/>
                <w:highlight w:val="none"/>
              </w:rPr>
            </w:pPr>
            <w:r>
              <w:rPr>
                <w:color w:val="auto"/>
                <w:sz w:val="18"/>
                <w:szCs w:val="18"/>
                <w:highlight w:val="none"/>
                <w:lang w:bidi="ar"/>
              </w:rPr>
              <w:t>0.025</w:t>
            </w:r>
          </w:p>
        </w:tc>
        <w:tc>
          <w:tcPr>
            <w:tcW w:w="655" w:type="pct"/>
            <w:shd w:val="clear" w:color="auto" w:fill="auto"/>
            <w:noWrap/>
            <w:vAlign w:val="center"/>
          </w:tcPr>
          <w:p w14:paraId="2ADF8CB8">
            <w:pPr>
              <w:pStyle w:val="40"/>
              <w:spacing w:line="240" w:lineRule="auto"/>
              <w:jc w:val="center"/>
              <w:rPr>
                <w:color w:val="auto"/>
                <w:sz w:val="18"/>
                <w:szCs w:val="18"/>
                <w:highlight w:val="none"/>
              </w:rPr>
            </w:pPr>
            <w:r>
              <w:rPr>
                <w:color w:val="auto"/>
                <w:sz w:val="18"/>
                <w:szCs w:val="18"/>
                <w:highlight w:val="none"/>
                <w:lang w:bidi="ar"/>
              </w:rPr>
              <w:t>0.3</w:t>
            </w:r>
          </w:p>
        </w:tc>
        <w:tc>
          <w:tcPr>
            <w:tcW w:w="932" w:type="pct"/>
            <w:shd w:val="clear" w:color="auto" w:fill="auto"/>
            <w:noWrap/>
            <w:vAlign w:val="center"/>
          </w:tcPr>
          <w:p w14:paraId="67564370">
            <w:pPr>
              <w:pStyle w:val="40"/>
              <w:spacing w:line="240" w:lineRule="auto"/>
              <w:jc w:val="center"/>
              <w:rPr>
                <w:color w:val="auto"/>
                <w:sz w:val="18"/>
                <w:szCs w:val="18"/>
                <w:highlight w:val="none"/>
              </w:rPr>
            </w:pPr>
            <w:r>
              <w:rPr>
                <w:color w:val="auto"/>
                <w:sz w:val="18"/>
                <w:szCs w:val="18"/>
                <w:highlight w:val="none"/>
                <w:lang w:bidi="ar"/>
              </w:rPr>
              <w:t>0.004</w:t>
            </w:r>
          </w:p>
        </w:tc>
        <w:tc>
          <w:tcPr>
            <w:tcW w:w="890" w:type="pct"/>
            <w:shd w:val="clear" w:color="auto" w:fill="auto"/>
            <w:noWrap/>
            <w:vAlign w:val="center"/>
          </w:tcPr>
          <w:p w14:paraId="4D04E2EB">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2</w:t>
            </w:r>
          </w:p>
        </w:tc>
        <w:tc>
          <w:tcPr>
            <w:tcW w:w="715" w:type="pct"/>
            <w:shd w:val="clear" w:color="auto" w:fill="auto"/>
            <w:noWrap/>
            <w:vAlign w:val="center"/>
          </w:tcPr>
          <w:p w14:paraId="7C39AD56">
            <w:pPr>
              <w:pStyle w:val="40"/>
              <w:spacing w:line="240" w:lineRule="auto"/>
              <w:jc w:val="center"/>
              <w:rPr>
                <w:color w:val="auto"/>
                <w:sz w:val="18"/>
                <w:szCs w:val="18"/>
                <w:highlight w:val="none"/>
              </w:rPr>
            </w:pPr>
            <w:r>
              <w:rPr>
                <w:color w:val="auto"/>
                <w:sz w:val="18"/>
                <w:szCs w:val="18"/>
                <w:highlight w:val="none"/>
                <w:lang w:bidi="ar"/>
              </w:rPr>
              <w:t>1.5</w:t>
            </w:r>
          </w:p>
        </w:tc>
      </w:tr>
      <w:tr w14:paraId="572130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restart"/>
            <w:shd w:val="clear" w:color="auto" w:fill="auto"/>
            <w:noWrap/>
            <w:vAlign w:val="center"/>
          </w:tcPr>
          <w:p w14:paraId="226BF265">
            <w:pPr>
              <w:pStyle w:val="40"/>
              <w:spacing w:line="240" w:lineRule="auto"/>
              <w:jc w:val="center"/>
              <w:rPr>
                <w:color w:val="auto"/>
                <w:sz w:val="18"/>
                <w:szCs w:val="18"/>
                <w:highlight w:val="none"/>
              </w:rPr>
            </w:pPr>
            <w:r>
              <w:rPr>
                <w:color w:val="auto"/>
                <w:sz w:val="18"/>
                <w:szCs w:val="18"/>
                <w:highlight w:val="none"/>
                <w:lang w:bidi="ar"/>
              </w:rPr>
              <w:t>轻度富营养</w:t>
            </w:r>
          </w:p>
        </w:tc>
        <w:tc>
          <w:tcPr>
            <w:tcW w:w="547" w:type="pct"/>
            <w:shd w:val="clear" w:color="auto" w:fill="auto"/>
            <w:noWrap/>
            <w:vAlign w:val="center"/>
          </w:tcPr>
          <w:p w14:paraId="25C8F941">
            <w:pPr>
              <w:pStyle w:val="40"/>
              <w:spacing w:line="240" w:lineRule="auto"/>
              <w:jc w:val="center"/>
              <w:rPr>
                <w:color w:val="auto"/>
                <w:sz w:val="18"/>
                <w:szCs w:val="18"/>
                <w:highlight w:val="none"/>
              </w:rPr>
            </w:pPr>
            <w:r>
              <w:rPr>
                <w:color w:val="auto"/>
                <w:sz w:val="18"/>
                <w:szCs w:val="18"/>
                <w:highlight w:val="none"/>
                <w:lang w:bidi="ar"/>
              </w:rPr>
              <w:t>50</w:t>
            </w:r>
          </w:p>
        </w:tc>
        <w:tc>
          <w:tcPr>
            <w:tcW w:w="592" w:type="pct"/>
            <w:shd w:val="clear" w:color="auto" w:fill="auto"/>
            <w:noWrap/>
            <w:vAlign w:val="center"/>
          </w:tcPr>
          <w:p w14:paraId="5E7BA7CE">
            <w:pPr>
              <w:pStyle w:val="40"/>
              <w:spacing w:line="240" w:lineRule="auto"/>
              <w:jc w:val="center"/>
              <w:rPr>
                <w:color w:val="auto"/>
                <w:sz w:val="18"/>
                <w:szCs w:val="18"/>
                <w:highlight w:val="none"/>
              </w:rPr>
            </w:pPr>
            <w:r>
              <w:rPr>
                <w:color w:val="auto"/>
                <w:sz w:val="18"/>
                <w:szCs w:val="18"/>
                <w:highlight w:val="none"/>
                <w:lang w:bidi="ar"/>
              </w:rPr>
              <w:t>0.05</w:t>
            </w:r>
          </w:p>
        </w:tc>
        <w:tc>
          <w:tcPr>
            <w:tcW w:w="655" w:type="pct"/>
            <w:shd w:val="clear" w:color="auto" w:fill="auto"/>
            <w:noWrap/>
            <w:vAlign w:val="center"/>
          </w:tcPr>
          <w:p w14:paraId="6DDB22F9">
            <w:pPr>
              <w:pStyle w:val="40"/>
              <w:spacing w:line="240" w:lineRule="auto"/>
              <w:jc w:val="center"/>
              <w:rPr>
                <w:color w:val="auto"/>
                <w:sz w:val="18"/>
                <w:szCs w:val="18"/>
                <w:highlight w:val="none"/>
              </w:rPr>
            </w:pPr>
            <w:r>
              <w:rPr>
                <w:color w:val="auto"/>
                <w:sz w:val="18"/>
                <w:szCs w:val="18"/>
                <w:highlight w:val="none"/>
                <w:lang w:bidi="ar"/>
              </w:rPr>
              <w:t>0.5</w:t>
            </w:r>
          </w:p>
        </w:tc>
        <w:tc>
          <w:tcPr>
            <w:tcW w:w="932" w:type="pct"/>
            <w:shd w:val="clear" w:color="auto" w:fill="auto"/>
            <w:noWrap/>
            <w:vAlign w:val="center"/>
          </w:tcPr>
          <w:p w14:paraId="64139BB6">
            <w:pPr>
              <w:pStyle w:val="40"/>
              <w:spacing w:line="240" w:lineRule="auto"/>
              <w:jc w:val="center"/>
              <w:rPr>
                <w:color w:val="auto"/>
                <w:sz w:val="18"/>
                <w:szCs w:val="18"/>
                <w:highlight w:val="none"/>
              </w:rPr>
            </w:pPr>
            <w:r>
              <w:rPr>
                <w:color w:val="auto"/>
                <w:sz w:val="18"/>
                <w:szCs w:val="18"/>
                <w:highlight w:val="none"/>
                <w:lang w:bidi="ar"/>
              </w:rPr>
              <w:t>0.01</w:t>
            </w:r>
          </w:p>
        </w:tc>
        <w:tc>
          <w:tcPr>
            <w:tcW w:w="890" w:type="pct"/>
            <w:shd w:val="clear" w:color="auto" w:fill="auto"/>
            <w:noWrap/>
            <w:vAlign w:val="center"/>
          </w:tcPr>
          <w:p w14:paraId="040A79DE">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4</w:t>
            </w:r>
          </w:p>
        </w:tc>
        <w:tc>
          <w:tcPr>
            <w:tcW w:w="715" w:type="pct"/>
            <w:shd w:val="clear" w:color="auto" w:fill="auto"/>
            <w:noWrap/>
            <w:vAlign w:val="center"/>
          </w:tcPr>
          <w:p w14:paraId="02A1DEEE">
            <w:pPr>
              <w:pStyle w:val="40"/>
              <w:spacing w:line="240" w:lineRule="auto"/>
              <w:jc w:val="center"/>
              <w:rPr>
                <w:color w:val="auto"/>
                <w:sz w:val="18"/>
                <w:szCs w:val="18"/>
                <w:highlight w:val="none"/>
              </w:rPr>
            </w:pPr>
            <w:r>
              <w:rPr>
                <w:color w:val="auto"/>
                <w:sz w:val="18"/>
                <w:szCs w:val="18"/>
                <w:highlight w:val="none"/>
                <w:lang w:bidi="ar"/>
              </w:rPr>
              <w:t>1</w:t>
            </w:r>
          </w:p>
        </w:tc>
      </w:tr>
      <w:tr w14:paraId="599661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continue"/>
            <w:shd w:val="clear" w:color="auto" w:fill="auto"/>
            <w:noWrap/>
            <w:vAlign w:val="center"/>
          </w:tcPr>
          <w:p w14:paraId="74B34A7A">
            <w:pPr>
              <w:pStyle w:val="40"/>
              <w:spacing w:line="240" w:lineRule="auto"/>
              <w:jc w:val="center"/>
              <w:rPr>
                <w:color w:val="auto"/>
                <w:sz w:val="18"/>
                <w:szCs w:val="18"/>
                <w:highlight w:val="none"/>
              </w:rPr>
            </w:pPr>
          </w:p>
        </w:tc>
        <w:tc>
          <w:tcPr>
            <w:tcW w:w="547" w:type="pct"/>
            <w:shd w:val="clear" w:color="auto" w:fill="auto"/>
            <w:noWrap/>
            <w:vAlign w:val="center"/>
          </w:tcPr>
          <w:p w14:paraId="116053B9">
            <w:pPr>
              <w:pStyle w:val="40"/>
              <w:spacing w:line="240" w:lineRule="auto"/>
              <w:jc w:val="center"/>
              <w:rPr>
                <w:color w:val="auto"/>
                <w:sz w:val="18"/>
                <w:szCs w:val="18"/>
                <w:highlight w:val="none"/>
              </w:rPr>
            </w:pPr>
            <w:r>
              <w:rPr>
                <w:color w:val="auto"/>
                <w:sz w:val="18"/>
                <w:szCs w:val="18"/>
                <w:highlight w:val="none"/>
                <w:lang w:bidi="ar"/>
              </w:rPr>
              <w:t>60</w:t>
            </w:r>
          </w:p>
        </w:tc>
        <w:tc>
          <w:tcPr>
            <w:tcW w:w="592" w:type="pct"/>
            <w:shd w:val="clear" w:color="auto" w:fill="auto"/>
            <w:noWrap/>
            <w:vAlign w:val="center"/>
          </w:tcPr>
          <w:p w14:paraId="601C13AB">
            <w:pPr>
              <w:pStyle w:val="40"/>
              <w:spacing w:line="240" w:lineRule="auto"/>
              <w:jc w:val="center"/>
              <w:rPr>
                <w:color w:val="auto"/>
                <w:sz w:val="18"/>
                <w:szCs w:val="18"/>
                <w:highlight w:val="none"/>
              </w:rPr>
            </w:pPr>
            <w:r>
              <w:rPr>
                <w:color w:val="auto"/>
                <w:sz w:val="18"/>
                <w:szCs w:val="18"/>
                <w:highlight w:val="none"/>
                <w:lang w:bidi="ar"/>
              </w:rPr>
              <w:t>0.1</w:t>
            </w:r>
          </w:p>
        </w:tc>
        <w:tc>
          <w:tcPr>
            <w:tcW w:w="655" w:type="pct"/>
            <w:shd w:val="clear" w:color="auto" w:fill="auto"/>
            <w:noWrap/>
            <w:vAlign w:val="center"/>
          </w:tcPr>
          <w:p w14:paraId="76FCE92B">
            <w:pPr>
              <w:pStyle w:val="40"/>
              <w:spacing w:line="240" w:lineRule="auto"/>
              <w:jc w:val="center"/>
              <w:rPr>
                <w:color w:val="auto"/>
                <w:sz w:val="18"/>
                <w:szCs w:val="18"/>
                <w:highlight w:val="none"/>
              </w:rPr>
            </w:pPr>
            <w:r>
              <w:rPr>
                <w:color w:val="auto"/>
                <w:sz w:val="18"/>
                <w:szCs w:val="18"/>
                <w:highlight w:val="none"/>
                <w:lang w:bidi="ar"/>
              </w:rPr>
              <w:t>1</w:t>
            </w:r>
          </w:p>
        </w:tc>
        <w:tc>
          <w:tcPr>
            <w:tcW w:w="932" w:type="pct"/>
            <w:shd w:val="clear" w:color="auto" w:fill="auto"/>
            <w:noWrap/>
            <w:vAlign w:val="center"/>
          </w:tcPr>
          <w:p w14:paraId="42F12A1E">
            <w:pPr>
              <w:pStyle w:val="40"/>
              <w:spacing w:line="240" w:lineRule="auto"/>
              <w:jc w:val="center"/>
              <w:rPr>
                <w:color w:val="auto"/>
                <w:sz w:val="18"/>
                <w:szCs w:val="18"/>
                <w:highlight w:val="none"/>
              </w:rPr>
            </w:pPr>
            <w:r>
              <w:rPr>
                <w:color w:val="auto"/>
                <w:sz w:val="18"/>
                <w:szCs w:val="18"/>
                <w:highlight w:val="none"/>
                <w:lang w:bidi="ar"/>
              </w:rPr>
              <w:t>0.026</w:t>
            </w:r>
          </w:p>
        </w:tc>
        <w:tc>
          <w:tcPr>
            <w:tcW w:w="890" w:type="pct"/>
            <w:shd w:val="clear" w:color="auto" w:fill="auto"/>
            <w:noWrap/>
            <w:vAlign w:val="center"/>
          </w:tcPr>
          <w:p w14:paraId="298524C2">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8</w:t>
            </w:r>
          </w:p>
        </w:tc>
        <w:tc>
          <w:tcPr>
            <w:tcW w:w="715" w:type="pct"/>
            <w:shd w:val="clear" w:color="auto" w:fill="auto"/>
            <w:noWrap/>
            <w:vAlign w:val="center"/>
          </w:tcPr>
          <w:p w14:paraId="084E4D9B">
            <w:pPr>
              <w:pStyle w:val="40"/>
              <w:spacing w:line="240" w:lineRule="auto"/>
              <w:jc w:val="center"/>
              <w:rPr>
                <w:color w:val="auto"/>
                <w:sz w:val="18"/>
                <w:szCs w:val="18"/>
                <w:highlight w:val="none"/>
              </w:rPr>
            </w:pPr>
            <w:r>
              <w:rPr>
                <w:color w:val="auto"/>
                <w:sz w:val="18"/>
                <w:szCs w:val="18"/>
                <w:highlight w:val="none"/>
                <w:lang w:bidi="ar"/>
              </w:rPr>
              <w:t>0.5</w:t>
            </w:r>
          </w:p>
        </w:tc>
      </w:tr>
      <w:tr w14:paraId="1BF6DB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restart"/>
            <w:shd w:val="clear" w:color="auto" w:fill="auto"/>
            <w:noWrap/>
            <w:vAlign w:val="center"/>
          </w:tcPr>
          <w:p w14:paraId="5F309CB5">
            <w:pPr>
              <w:pStyle w:val="40"/>
              <w:spacing w:line="240" w:lineRule="auto"/>
              <w:jc w:val="center"/>
              <w:rPr>
                <w:color w:val="auto"/>
                <w:sz w:val="18"/>
                <w:szCs w:val="18"/>
                <w:highlight w:val="none"/>
              </w:rPr>
            </w:pPr>
            <w:r>
              <w:rPr>
                <w:color w:val="auto"/>
                <w:sz w:val="18"/>
                <w:szCs w:val="18"/>
                <w:highlight w:val="none"/>
                <w:lang w:bidi="ar"/>
              </w:rPr>
              <w:t>中度富营养</w:t>
            </w:r>
          </w:p>
        </w:tc>
        <w:tc>
          <w:tcPr>
            <w:tcW w:w="547" w:type="pct"/>
            <w:shd w:val="clear" w:color="auto" w:fill="auto"/>
            <w:noWrap/>
            <w:vAlign w:val="center"/>
          </w:tcPr>
          <w:p w14:paraId="6E985862">
            <w:pPr>
              <w:pStyle w:val="40"/>
              <w:spacing w:line="240" w:lineRule="auto"/>
              <w:jc w:val="center"/>
              <w:rPr>
                <w:color w:val="auto"/>
                <w:sz w:val="18"/>
                <w:szCs w:val="18"/>
                <w:highlight w:val="none"/>
              </w:rPr>
            </w:pPr>
            <w:r>
              <w:rPr>
                <w:color w:val="auto"/>
                <w:sz w:val="18"/>
                <w:szCs w:val="18"/>
                <w:highlight w:val="none"/>
                <w:lang w:bidi="ar"/>
              </w:rPr>
              <w:t>70</w:t>
            </w:r>
          </w:p>
        </w:tc>
        <w:tc>
          <w:tcPr>
            <w:tcW w:w="592" w:type="pct"/>
            <w:shd w:val="clear" w:color="auto" w:fill="auto"/>
            <w:noWrap/>
            <w:vAlign w:val="center"/>
          </w:tcPr>
          <w:p w14:paraId="2C1BE1AA">
            <w:pPr>
              <w:pStyle w:val="40"/>
              <w:spacing w:line="240" w:lineRule="auto"/>
              <w:jc w:val="center"/>
              <w:rPr>
                <w:color w:val="auto"/>
                <w:sz w:val="18"/>
                <w:szCs w:val="18"/>
                <w:highlight w:val="none"/>
              </w:rPr>
            </w:pPr>
            <w:r>
              <w:rPr>
                <w:color w:val="auto"/>
                <w:sz w:val="18"/>
                <w:szCs w:val="18"/>
                <w:highlight w:val="none"/>
                <w:lang w:bidi="ar"/>
              </w:rPr>
              <w:t>0.2</w:t>
            </w:r>
          </w:p>
        </w:tc>
        <w:tc>
          <w:tcPr>
            <w:tcW w:w="655" w:type="pct"/>
            <w:shd w:val="clear" w:color="auto" w:fill="auto"/>
            <w:noWrap/>
            <w:vAlign w:val="center"/>
          </w:tcPr>
          <w:p w14:paraId="432D3770">
            <w:pPr>
              <w:pStyle w:val="40"/>
              <w:spacing w:line="240" w:lineRule="auto"/>
              <w:jc w:val="center"/>
              <w:rPr>
                <w:color w:val="auto"/>
                <w:sz w:val="18"/>
                <w:szCs w:val="18"/>
                <w:highlight w:val="none"/>
              </w:rPr>
            </w:pPr>
            <w:r>
              <w:rPr>
                <w:color w:val="auto"/>
                <w:sz w:val="18"/>
                <w:szCs w:val="18"/>
                <w:highlight w:val="none"/>
                <w:lang w:bidi="ar"/>
              </w:rPr>
              <w:t>2</w:t>
            </w:r>
          </w:p>
        </w:tc>
        <w:tc>
          <w:tcPr>
            <w:tcW w:w="932" w:type="pct"/>
            <w:shd w:val="clear" w:color="auto" w:fill="auto"/>
            <w:noWrap/>
            <w:vAlign w:val="center"/>
          </w:tcPr>
          <w:p w14:paraId="5064F0B2">
            <w:pPr>
              <w:pStyle w:val="40"/>
              <w:spacing w:line="240" w:lineRule="auto"/>
              <w:jc w:val="center"/>
              <w:rPr>
                <w:color w:val="auto"/>
                <w:sz w:val="18"/>
                <w:szCs w:val="18"/>
                <w:highlight w:val="none"/>
              </w:rPr>
            </w:pPr>
            <w:r>
              <w:rPr>
                <w:color w:val="auto"/>
                <w:sz w:val="18"/>
                <w:szCs w:val="18"/>
                <w:highlight w:val="none"/>
                <w:lang w:bidi="ar"/>
              </w:rPr>
              <w:t>0.064</w:t>
            </w:r>
          </w:p>
        </w:tc>
        <w:tc>
          <w:tcPr>
            <w:tcW w:w="890" w:type="pct"/>
            <w:shd w:val="clear" w:color="auto" w:fill="auto"/>
            <w:noWrap/>
            <w:vAlign w:val="center"/>
          </w:tcPr>
          <w:p w14:paraId="15C913B2">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10</w:t>
            </w:r>
          </w:p>
        </w:tc>
        <w:tc>
          <w:tcPr>
            <w:tcW w:w="715" w:type="pct"/>
            <w:shd w:val="clear" w:color="auto" w:fill="auto"/>
            <w:noWrap/>
            <w:vAlign w:val="center"/>
          </w:tcPr>
          <w:p w14:paraId="420C14A0">
            <w:pPr>
              <w:pStyle w:val="40"/>
              <w:spacing w:line="240" w:lineRule="auto"/>
              <w:jc w:val="center"/>
              <w:rPr>
                <w:color w:val="auto"/>
                <w:sz w:val="18"/>
                <w:szCs w:val="18"/>
                <w:highlight w:val="none"/>
              </w:rPr>
            </w:pPr>
            <w:r>
              <w:rPr>
                <w:color w:val="auto"/>
                <w:sz w:val="18"/>
                <w:szCs w:val="18"/>
                <w:highlight w:val="none"/>
                <w:lang w:bidi="ar"/>
              </w:rPr>
              <w:t>0.4</w:t>
            </w:r>
          </w:p>
        </w:tc>
      </w:tr>
      <w:tr w14:paraId="651946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continue"/>
            <w:shd w:val="clear" w:color="auto" w:fill="auto"/>
            <w:noWrap/>
            <w:vAlign w:val="center"/>
          </w:tcPr>
          <w:p w14:paraId="02FFEB99">
            <w:pPr>
              <w:pStyle w:val="40"/>
              <w:spacing w:line="240" w:lineRule="auto"/>
              <w:jc w:val="center"/>
              <w:rPr>
                <w:color w:val="auto"/>
                <w:sz w:val="18"/>
                <w:szCs w:val="18"/>
                <w:highlight w:val="none"/>
              </w:rPr>
            </w:pPr>
          </w:p>
        </w:tc>
        <w:tc>
          <w:tcPr>
            <w:tcW w:w="547" w:type="pct"/>
            <w:shd w:val="clear" w:color="auto" w:fill="auto"/>
            <w:noWrap/>
            <w:vAlign w:val="center"/>
          </w:tcPr>
          <w:p w14:paraId="04ED531F">
            <w:pPr>
              <w:pStyle w:val="40"/>
              <w:spacing w:line="240" w:lineRule="auto"/>
              <w:jc w:val="center"/>
              <w:rPr>
                <w:color w:val="auto"/>
                <w:sz w:val="18"/>
                <w:szCs w:val="18"/>
                <w:highlight w:val="none"/>
              </w:rPr>
            </w:pPr>
            <w:r>
              <w:rPr>
                <w:color w:val="auto"/>
                <w:sz w:val="18"/>
                <w:szCs w:val="18"/>
                <w:highlight w:val="none"/>
                <w:lang w:bidi="ar"/>
              </w:rPr>
              <w:t>80</w:t>
            </w:r>
          </w:p>
        </w:tc>
        <w:tc>
          <w:tcPr>
            <w:tcW w:w="592" w:type="pct"/>
            <w:shd w:val="clear" w:color="auto" w:fill="auto"/>
            <w:noWrap/>
            <w:vAlign w:val="center"/>
          </w:tcPr>
          <w:p w14:paraId="757301A3">
            <w:pPr>
              <w:pStyle w:val="40"/>
              <w:spacing w:line="240" w:lineRule="auto"/>
              <w:jc w:val="center"/>
              <w:rPr>
                <w:color w:val="auto"/>
                <w:sz w:val="18"/>
                <w:szCs w:val="18"/>
                <w:highlight w:val="none"/>
              </w:rPr>
            </w:pPr>
            <w:r>
              <w:rPr>
                <w:color w:val="auto"/>
                <w:sz w:val="18"/>
                <w:szCs w:val="18"/>
                <w:highlight w:val="none"/>
                <w:lang w:bidi="ar"/>
              </w:rPr>
              <w:t>0.6</w:t>
            </w:r>
          </w:p>
        </w:tc>
        <w:tc>
          <w:tcPr>
            <w:tcW w:w="655" w:type="pct"/>
            <w:shd w:val="clear" w:color="auto" w:fill="auto"/>
            <w:noWrap/>
            <w:vAlign w:val="center"/>
          </w:tcPr>
          <w:p w14:paraId="7105E1E6">
            <w:pPr>
              <w:pStyle w:val="40"/>
              <w:spacing w:line="240" w:lineRule="auto"/>
              <w:jc w:val="center"/>
              <w:rPr>
                <w:color w:val="auto"/>
                <w:sz w:val="18"/>
                <w:szCs w:val="18"/>
                <w:highlight w:val="none"/>
              </w:rPr>
            </w:pPr>
            <w:r>
              <w:rPr>
                <w:color w:val="auto"/>
                <w:sz w:val="18"/>
                <w:szCs w:val="18"/>
                <w:highlight w:val="none"/>
                <w:lang w:bidi="ar"/>
              </w:rPr>
              <w:t>6</w:t>
            </w:r>
          </w:p>
        </w:tc>
        <w:tc>
          <w:tcPr>
            <w:tcW w:w="932" w:type="pct"/>
            <w:shd w:val="clear" w:color="auto" w:fill="auto"/>
            <w:noWrap/>
            <w:vAlign w:val="center"/>
          </w:tcPr>
          <w:p w14:paraId="21AC3B86">
            <w:pPr>
              <w:pStyle w:val="40"/>
              <w:spacing w:line="240" w:lineRule="auto"/>
              <w:jc w:val="center"/>
              <w:rPr>
                <w:color w:val="auto"/>
                <w:sz w:val="18"/>
                <w:szCs w:val="18"/>
                <w:highlight w:val="none"/>
              </w:rPr>
            </w:pPr>
            <w:r>
              <w:rPr>
                <w:color w:val="auto"/>
                <w:sz w:val="18"/>
                <w:szCs w:val="18"/>
                <w:highlight w:val="none"/>
                <w:lang w:bidi="ar"/>
              </w:rPr>
              <w:t>0.16</w:t>
            </w:r>
          </w:p>
        </w:tc>
        <w:tc>
          <w:tcPr>
            <w:tcW w:w="890" w:type="pct"/>
            <w:shd w:val="clear" w:color="auto" w:fill="auto"/>
            <w:noWrap/>
            <w:vAlign w:val="center"/>
          </w:tcPr>
          <w:p w14:paraId="5DF6341A">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25</w:t>
            </w:r>
          </w:p>
        </w:tc>
        <w:tc>
          <w:tcPr>
            <w:tcW w:w="715" w:type="pct"/>
            <w:shd w:val="clear" w:color="auto" w:fill="auto"/>
            <w:noWrap/>
            <w:vAlign w:val="center"/>
          </w:tcPr>
          <w:p w14:paraId="48A6AD2F">
            <w:pPr>
              <w:pStyle w:val="40"/>
              <w:spacing w:line="240" w:lineRule="auto"/>
              <w:jc w:val="center"/>
              <w:rPr>
                <w:color w:val="auto"/>
                <w:sz w:val="18"/>
                <w:szCs w:val="18"/>
                <w:highlight w:val="none"/>
              </w:rPr>
            </w:pPr>
            <w:r>
              <w:rPr>
                <w:color w:val="auto"/>
                <w:sz w:val="18"/>
                <w:szCs w:val="18"/>
                <w:highlight w:val="none"/>
                <w:lang w:bidi="ar"/>
              </w:rPr>
              <w:t>0.3</w:t>
            </w:r>
          </w:p>
        </w:tc>
      </w:tr>
      <w:tr w14:paraId="0ACE34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restart"/>
            <w:shd w:val="clear" w:color="auto" w:fill="auto"/>
            <w:noWrap/>
            <w:vAlign w:val="center"/>
          </w:tcPr>
          <w:p w14:paraId="386B6179">
            <w:pPr>
              <w:pStyle w:val="40"/>
              <w:spacing w:line="240" w:lineRule="auto"/>
              <w:jc w:val="center"/>
              <w:rPr>
                <w:color w:val="auto"/>
                <w:sz w:val="18"/>
                <w:szCs w:val="18"/>
                <w:highlight w:val="none"/>
              </w:rPr>
            </w:pPr>
            <w:r>
              <w:rPr>
                <w:color w:val="auto"/>
                <w:sz w:val="18"/>
                <w:szCs w:val="18"/>
                <w:highlight w:val="none"/>
                <w:lang w:bidi="ar"/>
              </w:rPr>
              <w:t>重度富营养</w:t>
            </w:r>
          </w:p>
        </w:tc>
        <w:tc>
          <w:tcPr>
            <w:tcW w:w="547" w:type="pct"/>
            <w:shd w:val="clear" w:color="auto" w:fill="auto"/>
            <w:noWrap/>
            <w:vAlign w:val="center"/>
          </w:tcPr>
          <w:p w14:paraId="266C2828">
            <w:pPr>
              <w:pStyle w:val="40"/>
              <w:spacing w:line="240" w:lineRule="auto"/>
              <w:jc w:val="center"/>
              <w:rPr>
                <w:color w:val="auto"/>
                <w:sz w:val="18"/>
                <w:szCs w:val="18"/>
                <w:highlight w:val="none"/>
              </w:rPr>
            </w:pPr>
            <w:r>
              <w:rPr>
                <w:color w:val="auto"/>
                <w:sz w:val="18"/>
                <w:szCs w:val="18"/>
                <w:highlight w:val="none"/>
                <w:lang w:bidi="ar"/>
              </w:rPr>
              <w:t>90</w:t>
            </w:r>
          </w:p>
        </w:tc>
        <w:tc>
          <w:tcPr>
            <w:tcW w:w="592" w:type="pct"/>
            <w:shd w:val="clear" w:color="auto" w:fill="auto"/>
            <w:noWrap/>
            <w:vAlign w:val="center"/>
          </w:tcPr>
          <w:p w14:paraId="5D29B5D4">
            <w:pPr>
              <w:pStyle w:val="40"/>
              <w:spacing w:line="240" w:lineRule="auto"/>
              <w:jc w:val="center"/>
              <w:rPr>
                <w:color w:val="auto"/>
                <w:sz w:val="18"/>
                <w:szCs w:val="18"/>
                <w:highlight w:val="none"/>
              </w:rPr>
            </w:pPr>
            <w:r>
              <w:rPr>
                <w:color w:val="auto"/>
                <w:sz w:val="18"/>
                <w:szCs w:val="18"/>
                <w:highlight w:val="none"/>
                <w:lang w:bidi="ar"/>
              </w:rPr>
              <w:t>0.9</w:t>
            </w:r>
          </w:p>
        </w:tc>
        <w:tc>
          <w:tcPr>
            <w:tcW w:w="655" w:type="pct"/>
            <w:shd w:val="clear" w:color="auto" w:fill="auto"/>
            <w:noWrap/>
            <w:vAlign w:val="center"/>
          </w:tcPr>
          <w:p w14:paraId="0945D566">
            <w:pPr>
              <w:pStyle w:val="40"/>
              <w:spacing w:line="240" w:lineRule="auto"/>
              <w:jc w:val="center"/>
              <w:rPr>
                <w:color w:val="auto"/>
                <w:sz w:val="18"/>
                <w:szCs w:val="18"/>
                <w:highlight w:val="none"/>
              </w:rPr>
            </w:pPr>
            <w:r>
              <w:rPr>
                <w:color w:val="auto"/>
                <w:sz w:val="18"/>
                <w:szCs w:val="18"/>
                <w:highlight w:val="none"/>
                <w:lang w:bidi="ar"/>
              </w:rPr>
              <w:t>9</w:t>
            </w:r>
          </w:p>
        </w:tc>
        <w:tc>
          <w:tcPr>
            <w:tcW w:w="932" w:type="pct"/>
            <w:shd w:val="clear" w:color="auto" w:fill="auto"/>
            <w:noWrap/>
            <w:vAlign w:val="center"/>
          </w:tcPr>
          <w:p w14:paraId="3D081329">
            <w:pPr>
              <w:pStyle w:val="40"/>
              <w:spacing w:line="240" w:lineRule="auto"/>
              <w:jc w:val="center"/>
              <w:rPr>
                <w:color w:val="auto"/>
                <w:sz w:val="18"/>
                <w:szCs w:val="18"/>
                <w:highlight w:val="none"/>
              </w:rPr>
            </w:pPr>
            <w:r>
              <w:rPr>
                <w:color w:val="auto"/>
                <w:sz w:val="18"/>
                <w:szCs w:val="18"/>
                <w:highlight w:val="none"/>
                <w:lang w:bidi="ar"/>
              </w:rPr>
              <w:t>0.4</w:t>
            </w:r>
          </w:p>
        </w:tc>
        <w:tc>
          <w:tcPr>
            <w:tcW w:w="890" w:type="pct"/>
            <w:shd w:val="clear" w:color="auto" w:fill="auto"/>
            <w:noWrap/>
            <w:vAlign w:val="center"/>
          </w:tcPr>
          <w:p w14:paraId="248F0C4C">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40</w:t>
            </w:r>
          </w:p>
        </w:tc>
        <w:tc>
          <w:tcPr>
            <w:tcW w:w="715" w:type="pct"/>
            <w:shd w:val="clear" w:color="auto" w:fill="auto"/>
            <w:noWrap/>
            <w:vAlign w:val="center"/>
          </w:tcPr>
          <w:p w14:paraId="3AB6AC31">
            <w:pPr>
              <w:pStyle w:val="40"/>
              <w:spacing w:line="240" w:lineRule="auto"/>
              <w:jc w:val="center"/>
              <w:rPr>
                <w:color w:val="auto"/>
                <w:sz w:val="18"/>
                <w:szCs w:val="18"/>
                <w:highlight w:val="none"/>
              </w:rPr>
            </w:pPr>
            <w:r>
              <w:rPr>
                <w:color w:val="auto"/>
                <w:sz w:val="18"/>
                <w:szCs w:val="18"/>
                <w:highlight w:val="none"/>
                <w:lang w:bidi="ar"/>
              </w:rPr>
              <w:t>0.2</w:t>
            </w:r>
          </w:p>
        </w:tc>
      </w:tr>
      <w:tr w14:paraId="171928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5" w:type="pct"/>
            <w:vMerge w:val="continue"/>
            <w:shd w:val="clear" w:color="auto" w:fill="auto"/>
            <w:noWrap/>
            <w:vAlign w:val="center"/>
          </w:tcPr>
          <w:p w14:paraId="7CB572D8">
            <w:pPr>
              <w:pStyle w:val="40"/>
              <w:spacing w:line="240" w:lineRule="auto"/>
              <w:jc w:val="center"/>
              <w:rPr>
                <w:color w:val="auto"/>
                <w:sz w:val="18"/>
                <w:szCs w:val="18"/>
                <w:highlight w:val="none"/>
              </w:rPr>
            </w:pPr>
          </w:p>
        </w:tc>
        <w:tc>
          <w:tcPr>
            <w:tcW w:w="547" w:type="pct"/>
            <w:shd w:val="clear" w:color="auto" w:fill="auto"/>
            <w:noWrap/>
            <w:vAlign w:val="center"/>
          </w:tcPr>
          <w:p w14:paraId="7027D374">
            <w:pPr>
              <w:pStyle w:val="40"/>
              <w:spacing w:line="240" w:lineRule="auto"/>
              <w:jc w:val="center"/>
              <w:rPr>
                <w:color w:val="auto"/>
                <w:sz w:val="18"/>
                <w:szCs w:val="18"/>
                <w:highlight w:val="none"/>
              </w:rPr>
            </w:pPr>
            <w:r>
              <w:rPr>
                <w:color w:val="auto"/>
                <w:sz w:val="18"/>
                <w:szCs w:val="18"/>
                <w:highlight w:val="none"/>
                <w:lang w:bidi="ar"/>
              </w:rPr>
              <w:t>100</w:t>
            </w:r>
          </w:p>
        </w:tc>
        <w:tc>
          <w:tcPr>
            <w:tcW w:w="592" w:type="pct"/>
            <w:shd w:val="clear" w:color="auto" w:fill="auto"/>
            <w:noWrap/>
            <w:vAlign w:val="center"/>
          </w:tcPr>
          <w:p w14:paraId="3F25FDAB">
            <w:pPr>
              <w:pStyle w:val="40"/>
              <w:spacing w:line="240" w:lineRule="auto"/>
              <w:jc w:val="center"/>
              <w:rPr>
                <w:color w:val="auto"/>
                <w:sz w:val="18"/>
                <w:szCs w:val="18"/>
                <w:highlight w:val="none"/>
              </w:rPr>
            </w:pPr>
            <w:r>
              <w:rPr>
                <w:color w:val="auto"/>
                <w:sz w:val="18"/>
                <w:szCs w:val="18"/>
                <w:highlight w:val="none"/>
                <w:lang w:bidi="ar"/>
              </w:rPr>
              <w:t>1.3</w:t>
            </w:r>
          </w:p>
        </w:tc>
        <w:tc>
          <w:tcPr>
            <w:tcW w:w="655" w:type="pct"/>
            <w:shd w:val="clear" w:color="auto" w:fill="auto"/>
            <w:noWrap/>
            <w:vAlign w:val="center"/>
          </w:tcPr>
          <w:p w14:paraId="5C8F5E2A">
            <w:pPr>
              <w:pStyle w:val="40"/>
              <w:spacing w:line="240" w:lineRule="auto"/>
              <w:jc w:val="center"/>
              <w:rPr>
                <w:color w:val="auto"/>
                <w:sz w:val="18"/>
                <w:szCs w:val="18"/>
                <w:highlight w:val="none"/>
              </w:rPr>
            </w:pPr>
            <w:r>
              <w:rPr>
                <w:color w:val="auto"/>
                <w:sz w:val="18"/>
                <w:szCs w:val="18"/>
                <w:highlight w:val="none"/>
                <w:lang w:bidi="ar"/>
              </w:rPr>
              <w:t>16</w:t>
            </w:r>
          </w:p>
        </w:tc>
        <w:tc>
          <w:tcPr>
            <w:tcW w:w="932" w:type="pct"/>
            <w:shd w:val="clear" w:color="auto" w:fill="auto"/>
            <w:noWrap/>
            <w:vAlign w:val="center"/>
          </w:tcPr>
          <w:p w14:paraId="4815289A">
            <w:pPr>
              <w:pStyle w:val="40"/>
              <w:spacing w:line="240" w:lineRule="auto"/>
              <w:jc w:val="center"/>
              <w:rPr>
                <w:color w:val="auto"/>
                <w:sz w:val="18"/>
                <w:szCs w:val="18"/>
                <w:highlight w:val="none"/>
              </w:rPr>
            </w:pPr>
            <w:r>
              <w:rPr>
                <w:color w:val="auto"/>
                <w:sz w:val="18"/>
                <w:szCs w:val="18"/>
                <w:highlight w:val="none"/>
                <w:lang w:bidi="ar"/>
              </w:rPr>
              <w:t>1</w:t>
            </w:r>
          </w:p>
        </w:tc>
        <w:tc>
          <w:tcPr>
            <w:tcW w:w="890" w:type="pct"/>
            <w:shd w:val="clear" w:color="auto" w:fill="auto"/>
            <w:noWrap/>
            <w:vAlign w:val="center"/>
          </w:tcPr>
          <w:p w14:paraId="1ED5AF19">
            <w:pPr>
              <w:widowControl/>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bidi="ar"/>
              </w:rPr>
              <w:t>60</w:t>
            </w:r>
          </w:p>
        </w:tc>
        <w:tc>
          <w:tcPr>
            <w:tcW w:w="715" w:type="pct"/>
            <w:shd w:val="clear" w:color="auto" w:fill="auto"/>
            <w:noWrap/>
            <w:vAlign w:val="center"/>
          </w:tcPr>
          <w:p w14:paraId="2A776577">
            <w:pPr>
              <w:pStyle w:val="40"/>
              <w:spacing w:line="240" w:lineRule="auto"/>
              <w:jc w:val="center"/>
              <w:rPr>
                <w:color w:val="auto"/>
                <w:sz w:val="18"/>
                <w:szCs w:val="18"/>
                <w:highlight w:val="none"/>
              </w:rPr>
            </w:pPr>
            <w:r>
              <w:rPr>
                <w:color w:val="auto"/>
                <w:sz w:val="18"/>
                <w:szCs w:val="18"/>
                <w:highlight w:val="none"/>
                <w:lang w:bidi="ar"/>
              </w:rPr>
              <w:t>0.12</w:t>
            </w:r>
          </w:p>
        </w:tc>
      </w:tr>
    </w:tbl>
    <w:p w14:paraId="6D573A97">
      <w:pPr>
        <w:spacing w:line="360" w:lineRule="auto"/>
        <w:ind w:firstLine="480"/>
        <w:rPr>
          <w:color w:val="auto"/>
          <w:sz w:val="21"/>
          <w:szCs w:val="21"/>
          <w:highlight w:val="none"/>
        </w:rPr>
      </w:pPr>
      <w:r>
        <w:rPr>
          <w:color w:val="auto"/>
          <w:sz w:val="21"/>
          <w:szCs w:val="21"/>
          <w:highlight w:val="none"/>
        </w:rPr>
        <w:t>根据</w:t>
      </w:r>
      <w:r>
        <w:rPr>
          <w:rFonts w:hint="eastAsia" w:cs="Times New Roman" w:eastAsiaTheme="minorEastAsia"/>
          <w:color w:val="auto"/>
          <w:sz w:val="21"/>
          <w:szCs w:val="21"/>
          <w:highlight w:val="none"/>
          <w:lang w:eastAsia="zh-CN"/>
        </w:rPr>
        <w:t>庆先</w:t>
      </w:r>
      <w:r>
        <w:rPr>
          <w:rFonts w:hint="eastAsia"/>
          <w:color w:val="auto"/>
          <w:sz w:val="21"/>
          <w:szCs w:val="21"/>
          <w:highlight w:val="none"/>
          <w:lang w:eastAsia="zh-CN"/>
        </w:rPr>
        <w:t>水库</w:t>
      </w:r>
      <w:r>
        <w:rPr>
          <w:color w:val="auto"/>
          <w:sz w:val="21"/>
          <w:szCs w:val="21"/>
          <w:highlight w:val="none"/>
        </w:rPr>
        <w:t>营养指标的监测数据进行统计分析，其中总磷浓度为</w:t>
      </w:r>
      <w:r>
        <w:rPr>
          <w:rFonts w:hint="eastAsia"/>
          <w:color w:val="auto"/>
          <w:sz w:val="21"/>
          <w:szCs w:val="21"/>
          <w:highlight w:val="none"/>
          <w:lang w:val="en-US" w:eastAsia="zh-CN"/>
        </w:rPr>
        <w:t>0.09</w:t>
      </w:r>
      <w:r>
        <w:rPr>
          <w:color w:val="auto"/>
          <w:sz w:val="21"/>
          <w:szCs w:val="21"/>
          <w:highlight w:val="none"/>
        </w:rPr>
        <w:t>mg/L，总氮浓度为</w:t>
      </w:r>
      <w:r>
        <w:rPr>
          <w:rFonts w:hint="eastAsia"/>
          <w:color w:val="auto"/>
          <w:sz w:val="21"/>
          <w:szCs w:val="21"/>
          <w:highlight w:val="none"/>
          <w:lang w:val="en-US" w:eastAsia="zh-CN"/>
        </w:rPr>
        <w:t>0.77</w:t>
      </w:r>
      <w:r>
        <w:rPr>
          <w:color w:val="auto"/>
          <w:sz w:val="21"/>
          <w:szCs w:val="21"/>
          <w:highlight w:val="none"/>
        </w:rPr>
        <w:t>mg/L，</w:t>
      </w:r>
      <w:r>
        <w:rPr>
          <w:rFonts w:hint="default" w:ascii="Times New Roman" w:hAnsi="Times New Roman" w:cs="Times New Roman"/>
          <w:color w:val="auto"/>
          <w:szCs w:val="24"/>
          <w:highlight w:val="none"/>
        </w:rPr>
        <w:t>高锰酸盐</w:t>
      </w:r>
      <w:r>
        <w:rPr>
          <w:color w:val="auto"/>
          <w:sz w:val="21"/>
          <w:szCs w:val="21"/>
          <w:highlight w:val="none"/>
        </w:rPr>
        <w:t>浓度为</w:t>
      </w:r>
      <w:r>
        <w:rPr>
          <w:rFonts w:hint="eastAsia"/>
          <w:color w:val="auto"/>
          <w:sz w:val="21"/>
          <w:szCs w:val="21"/>
          <w:highlight w:val="none"/>
          <w:lang w:val="en-US" w:eastAsia="zh-CN"/>
        </w:rPr>
        <w:t>3.8</w:t>
      </w:r>
      <w:r>
        <w:rPr>
          <w:color w:val="auto"/>
          <w:sz w:val="21"/>
          <w:szCs w:val="21"/>
          <w:highlight w:val="none"/>
        </w:rPr>
        <w:t>mg/L，叶绿素a浓度为</w:t>
      </w:r>
      <w:r>
        <w:rPr>
          <w:rFonts w:hint="eastAsia"/>
          <w:color w:val="auto"/>
          <w:sz w:val="21"/>
          <w:szCs w:val="21"/>
          <w:highlight w:val="none"/>
          <w:lang w:eastAsia="zh-CN"/>
        </w:rPr>
        <w:t>未检出</w:t>
      </w:r>
      <w:r>
        <w:rPr>
          <w:color w:val="auto"/>
          <w:sz w:val="21"/>
          <w:szCs w:val="21"/>
          <w:highlight w:val="none"/>
        </w:rPr>
        <w:t>，透明度为</w:t>
      </w:r>
      <w:r>
        <w:rPr>
          <w:rFonts w:hint="eastAsia"/>
          <w:color w:val="auto"/>
          <w:sz w:val="21"/>
          <w:szCs w:val="21"/>
          <w:highlight w:val="none"/>
          <w:lang w:val="en-US" w:eastAsia="zh-CN"/>
        </w:rPr>
        <w:t>81</w:t>
      </w:r>
      <w:r>
        <w:rPr>
          <w:color w:val="auto"/>
          <w:sz w:val="21"/>
          <w:szCs w:val="21"/>
          <w:highlight w:val="none"/>
        </w:rPr>
        <w:t>cm。</w:t>
      </w:r>
      <w:r>
        <w:rPr>
          <w:rFonts w:hint="eastAsia" w:cs="Times New Roman" w:eastAsiaTheme="minorEastAsia"/>
          <w:color w:val="auto"/>
          <w:sz w:val="21"/>
          <w:szCs w:val="21"/>
          <w:highlight w:val="none"/>
          <w:lang w:eastAsia="zh-CN"/>
        </w:rPr>
        <w:t>庆先</w:t>
      </w:r>
      <w:r>
        <w:rPr>
          <w:rFonts w:hint="eastAsia"/>
          <w:color w:val="auto"/>
          <w:sz w:val="21"/>
          <w:szCs w:val="21"/>
          <w:highlight w:val="none"/>
          <w:lang w:eastAsia="zh-CN"/>
        </w:rPr>
        <w:t>水库</w:t>
      </w:r>
      <w:r>
        <w:rPr>
          <w:color w:val="auto"/>
          <w:sz w:val="21"/>
          <w:szCs w:val="21"/>
          <w:highlight w:val="none"/>
        </w:rPr>
        <w:t>营养指标监测统计情况详见</w:t>
      </w:r>
      <w:r>
        <w:rPr>
          <w:rFonts w:hint="eastAsia"/>
          <w:color w:val="auto"/>
          <w:sz w:val="21"/>
          <w:szCs w:val="21"/>
          <w:highlight w:val="none"/>
          <w:lang w:eastAsia="zh-CN"/>
        </w:rPr>
        <w:t>下</w:t>
      </w:r>
      <w:r>
        <w:rPr>
          <w:color w:val="auto"/>
          <w:sz w:val="21"/>
          <w:szCs w:val="21"/>
          <w:highlight w:val="none"/>
        </w:rPr>
        <w:t>表。</w:t>
      </w:r>
    </w:p>
    <w:p w14:paraId="573929BB">
      <w:pPr>
        <w:pStyle w:val="7"/>
        <w:keepNext/>
        <w:spacing w:line="240" w:lineRule="auto"/>
        <w:rPr>
          <w:color w:val="auto"/>
          <w:sz w:val="21"/>
          <w:szCs w:val="21"/>
        </w:rPr>
      </w:pPr>
      <w:bookmarkStart w:id="139" w:name="_Ref107767264"/>
      <w:r>
        <w:rPr>
          <w:color w:val="auto"/>
          <w:sz w:val="21"/>
          <w:szCs w:val="21"/>
        </w:rPr>
        <w:t>表</w:t>
      </w:r>
      <w:bookmarkEnd w:id="139"/>
      <w:r>
        <w:rPr>
          <w:color w:val="auto"/>
          <w:sz w:val="21"/>
          <w:szCs w:val="21"/>
        </w:rPr>
        <w:fldChar w:fldCharType="begin"/>
      </w:r>
      <w:r>
        <w:rPr>
          <w:color w:val="auto"/>
          <w:sz w:val="21"/>
          <w:szCs w:val="21"/>
        </w:rPr>
        <w:instrText xml:space="preserve"> REF _Ref107767264 \h  \* MERGEFORMAT </w:instrText>
      </w:r>
      <w:r>
        <w:rPr>
          <w:color w:val="auto"/>
          <w:sz w:val="21"/>
          <w:szCs w:val="21"/>
        </w:rPr>
        <w:fldChar w:fldCharType="separate"/>
      </w:r>
      <w:r>
        <w:rPr>
          <w:rFonts w:hint="eastAsia"/>
          <w:color w:val="auto"/>
          <w:sz w:val="21"/>
          <w:szCs w:val="21"/>
          <w:lang w:val="en-US" w:eastAsia="zh-CN"/>
        </w:rPr>
        <w:t>3</w:t>
      </w:r>
      <w:r>
        <w:rPr>
          <w:color w:val="auto"/>
          <w:sz w:val="21"/>
          <w:szCs w:val="21"/>
        </w:rPr>
        <w:fldChar w:fldCharType="end"/>
      </w:r>
      <w:r>
        <w:rPr>
          <w:rFonts w:hint="eastAsia"/>
          <w:color w:val="auto"/>
          <w:sz w:val="21"/>
          <w:szCs w:val="21"/>
          <w:lang w:val="en-US" w:eastAsia="zh-CN"/>
        </w:rPr>
        <w:t>-4</w:t>
      </w:r>
      <w:r>
        <w:rPr>
          <w:color w:val="auto"/>
          <w:sz w:val="21"/>
          <w:szCs w:val="21"/>
        </w:rPr>
        <w:t xml:space="preserve">  富营养化评价结果</w:t>
      </w:r>
    </w:p>
    <w:tbl>
      <w:tblPr>
        <w:tblStyle w:val="2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1251"/>
        <w:gridCol w:w="1251"/>
        <w:gridCol w:w="1112"/>
        <w:gridCol w:w="1391"/>
        <w:gridCol w:w="1251"/>
        <w:gridCol w:w="1252"/>
      </w:tblGrid>
      <w:tr w14:paraId="0B0893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pct"/>
            <w:shd w:val="clear" w:color="auto" w:fill="auto"/>
            <w:noWrap/>
            <w:vAlign w:val="center"/>
          </w:tcPr>
          <w:p w14:paraId="05191FA3">
            <w:pPr>
              <w:pStyle w:val="4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监测指标</w:t>
            </w:r>
          </w:p>
        </w:tc>
        <w:tc>
          <w:tcPr>
            <w:tcW w:w="734" w:type="pct"/>
            <w:shd w:val="clear" w:color="auto" w:fill="auto"/>
            <w:noWrap w:val="0"/>
            <w:vAlign w:val="center"/>
          </w:tcPr>
          <w:p w14:paraId="6083AE0A">
            <w:pPr>
              <w:pStyle w:val="4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总磷</w:t>
            </w:r>
          </w:p>
        </w:tc>
        <w:tc>
          <w:tcPr>
            <w:tcW w:w="734" w:type="pct"/>
            <w:shd w:val="clear" w:color="auto" w:fill="auto"/>
            <w:noWrap w:val="0"/>
            <w:vAlign w:val="center"/>
          </w:tcPr>
          <w:p w14:paraId="3871810A">
            <w:pPr>
              <w:pStyle w:val="4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总氮</w:t>
            </w:r>
          </w:p>
        </w:tc>
        <w:tc>
          <w:tcPr>
            <w:tcW w:w="652" w:type="pct"/>
            <w:shd w:val="clear" w:color="auto" w:fill="auto"/>
            <w:noWrap w:val="0"/>
            <w:vAlign w:val="center"/>
          </w:tcPr>
          <w:p w14:paraId="4D504294">
            <w:pPr>
              <w:pStyle w:val="4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透明度</w:t>
            </w:r>
          </w:p>
        </w:tc>
        <w:tc>
          <w:tcPr>
            <w:tcW w:w="816" w:type="pct"/>
            <w:shd w:val="clear" w:color="auto" w:fill="auto"/>
            <w:noWrap w:val="0"/>
            <w:vAlign w:val="center"/>
          </w:tcPr>
          <w:p w14:paraId="55757031">
            <w:pPr>
              <w:pStyle w:val="40"/>
              <w:spacing w:line="240" w:lineRule="auto"/>
              <w:jc w:val="center"/>
              <w:rPr>
                <w:rFonts w:hint="default" w:ascii="Times New Roman" w:hAnsi="Times New Roman" w:eastAsia="宋体" w:cs="Times New Roman"/>
                <w:color w:val="auto"/>
                <w:sz w:val="18"/>
                <w:szCs w:val="18"/>
                <w:lang w:val="en-US" w:eastAsia="zh-CN" w:bidi="ar"/>
              </w:rPr>
            </w:pPr>
            <w:r>
              <w:rPr>
                <w:rFonts w:hint="default" w:ascii="Times New Roman" w:hAnsi="Times New Roman" w:cs="Times New Roman"/>
                <w:color w:val="auto"/>
                <w:sz w:val="18"/>
                <w:szCs w:val="18"/>
                <w:lang w:val="en-US" w:eastAsia="zh-CN" w:bidi="ar"/>
              </w:rPr>
              <w:t>高锰酸盐指数</w:t>
            </w:r>
          </w:p>
        </w:tc>
        <w:tc>
          <w:tcPr>
            <w:tcW w:w="734" w:type="pct"/>
            <w:shd w:val="clear" w:color="auto" w:fill="auto"/>
            <w:noWrap w:val="0"/>
            <w:vAlign w:val="center"/>
          </w:tcPr>
          <w:p w14:paraId="5A04931F">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bidi="ar"/>
              </w:rPr>
              <w:t>叶绿素</w:t>
            </w:r>
            <w:r>
              <w:rPr>
                <w:rFonts w:hint="default" w:ascii="Times New Roman" w:hAnsi="Times New Roman" w:cs="Times New Roman"/>
                <w:color w:val="auto"/>
                <w:sz w:val="18"/>
                <w:szCs w:val="18"/>
                <w:lang w:val="en-US" w:eastAsia="zh-CN" w:bidi="ar"/>
              </w:rPr>
              <w:t>a</w:t>
            </w:r>
          </w:p>
        </w:tc>
        <w:tc>
          <w:tcPr>
            <w:tcW w:w="734" w:type="pct"/>
            <w:shd w:val="clear" w:color="auto" w:fill="auto"/>
            <w:noWrap/>
            <w:vAlign w:val="center"/>
          </w:tcPr>
          <w:p w14:paraId="76ACBC25">
            <w:pPr>
              <w:pStyle w:val="4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综合营养</w:t>
            </w:r>
          </w:p>
          <w:p w14:paraId="6DD7FB58">
            <w:pPr>
              <w:pStyle w:val="4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状态指数</w:t>
            </w:r>
          </w:p>
        </w:tc>
      </w:tr>
      <w:tr w14:paraId="00A747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pct"/>
            <w:shd w:val="clear" w:color="auto" w:fill="auto"/>
            <w:noWrap/>
            <w:vAlign w:val="center"/>
          </w:tcPr>
          <w:p w14:paraId="77234200">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bidi="ar"/>
              </w:rPr>
              <w:t>检测值</w:t>
            </w:r>
          </w:p>
        </w:tc>
        <w:tc>
          <w:tcPr>
            <w:tcW w:w="734" w:type="pct"/>
            <w:shd w:val="clear" w:color="auto" w:fill="auto"/>
            <w:noWrap w:val="0"/>
            <w:vAlign w:val="center"/>
          </w:tcPr>
          <w:p w14:paraId="3E21FF59">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highlight w:val="none"/>
                <w:lang w:val="en-US" w:eastAsia="zh-CN"/>
              </w:rPr>
              <w:t>0.09</w:t>
            </w:r>
          </w:p>
        </w:tc>
        <w:tc>
          <w:tcPr>
            <w:tcW w:w="734" w:type="pct"/>
            <w:shd w:val="clear" w:color="auto" w:fill="auto"/>
            <w:noWrap w:val="0"/>
            <w:vAlign w:val="center"/>
          </w:tcPr>
          <w:p w14:paraId="2B3AFDD8">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highlight w:val="none"/>
                <w:lang w:val="en-US" w:eastAsia="zh-CN"/>
              </w:rPr>
              <w:t>0.77</w:t>
            </w:r>
          </w:p>
        </w:tc>
        <w:tc>
          <w:tcPr>
            <w:tcW w:w="652" w:type="pct"/>
            <w:shd w:val="clear" w:color="auto" w:fill="auto"/>
            <w:noWrap w:val="0"/>
            <w:vAlign w:val="center"/>
          </w:tcPr>
          <w:p w14:paraId="6660C84E">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highlight w:val="none"/>
                <w:lang w:val="en-US" w:eastAsia="zh-CN"/>
              </w:rPr>
              <w:t>81</w:t>
            </w:r>
          </w:p>
        </w:tc>
        <w:tc>
          <w:tcPr>
            <w:tcW w:w="816" w:type="pct"/>
            <w:shd w:val="clear" w:color="auto" w:fill="auto"/>
            <w:noWrap w:val="0"/>
            <w:vAlign w:val="center"/>
          </w:tcPr>
          <w:p w14:paraId="02E018AD">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highlight w:val="none"/>
                <w:lang w:val="en-US" w:eastAsia="zh-CN"/>
              </w:rPr>
              <w:t>3.8</w:t>
            </w:r>
          </w:p>
        </w:tc>
        <w:tc>
          <w:tcPr>
            <w:tcW w:w="734" w:type="pct"/>
            <w:shd w:val="clear" w:color="auto" w:fill="auto"/>
            <w:noWrap w:val="0"/>
            <w:vAlign w:val="center"/>
          </w:tcPr>
          <w:p w14:paraId="37729322">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highlight w:val="none"/>
                <w:lang w:eastAsia="zh-CN"/>
              </w:rPr>
              <w:t>未检出</w:t>
            </w:r>
          </w:p>
        </w:tc>
        <w:tc>
          <w:tcPr>
            <w:tcW w:w="734" w:type="pct"/>
            <w:shd w:val="clear" w:color="auto" w:fill="auto"/>
            <w:noWrap/>
            <w:vAlign w:val="center"/>
          </w:tcPr>
          <w:p w14:paraId="5B0F5319">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14:paraId="222BF9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pct"/>
            <w:shd w:val="clear" w:color="auto" w:fill="auto"/>
            <w:noWrap/>
            <w:vAlign w:val="center"/>
          </w:tcPr>
          <w:p w14:paraId="4DFBD0BF">
            <w:pPr>
              <w:pStyle w:val="40"/>
              <w:spacing w:line="240" w:lineRule="auto"/>
              <w:jc w:val="center"/>
              <w:rPr>
                <w:rFonts w:hint="default" w:ascii="Times New Roman" w:hAnsi="Times New Roman" w:eastAsia="宋体" w:cs="Times New Roman"/>
                <w:color w:val="auto"/>
                <w:sz w:val="18"/>
                <w:szCs w:val="18"/>
                <w:lang w:val="en-US" w:eastAsia="zh-CN" w:bidi="ar"/>
              </w:rPr>
            </w:pPr>
            <w:r>
              <w:rPr>
                <w:rFonts w:hint="default" w:ascii="Times New Roman" w:hAnsi="Times New Roman" w:cs="Times New Roman"/>
                <w:color w:val="auto"/>
                <w:sz w:val="18"/>
                <w:szCs w:val="18"/>
                <w:lang w:val="en-US" w:eastAsia="zh-CN" w:bidi="ar"/>
              </w:rPr>
              <w:t>赋分值</w:t>
            </w:r>
          </w:p>
        </w:tc>
        <w:tc>
          <w:tcPr>
            <w:tcW w:w="734" w:type="pct"/>
            <w:shd w:val="clear" w:color="auto" w:fill="auto"/>
            <w:noWrap w:val="0"/>
            <w:vAlign w:val="center"/>
          </w:tcPr>
          <w:p w14:paraId="54AC7DF9">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58</w:t>
            </w:r>
          </w:p>
        </w:tc>
        <w:tc>
          <w:tcPr>
            <w:tcW w:w="734" w:type="pct"/>
            <w:shd w:val="clear" w:color="auto" w:fill="auto"/>
            <w:noWrap w:val="0"/>
            <w:vAlign w:val="center"/>
          </w:tcPr>
          <w:p w14:paraId="27B4B05D">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55.4</w:t>
            </w:r>
          </w:p>
        </w:tc>
        <w:tc>
          <w:tcPr>
            <w:tcW w:w="652" w:type="pct"/>
            <w:shd w:val="clear" w:color="auto" w:fill="auto"/>
            <w:noWrap w:val="0"/>
            <w:vAlign w:val="center"/>
          </w:tcPr>
          <w:p w14:paraId="542C4F5F">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53.8</w:t>
            </w:r>
          </w:p>
        </w:tc>
        <w:tc>
          <w:tcPr>
            <w:tcW w:w="816" w:type="pct"/>
            <w:shd w:val="clear" w:color="auto" w:fill="auto"/>
            <w:noWrap w:val="0"/>
            <w:vAlign w:val="center"/>
          </w:tcPr>
          <w:p w14:paraId="591216E3">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49</w:t>
            </w:r>
          </w:p>
        </w:tc>
        <w:tc>
          <w:tcPr>
            <w:tcW w:w="734" w:type="pct"/>
            <w:shd w:val="clear" w:color="auto" w:fill="auto"/>
            <w:noWrap w:val="0"/>
            <w:vAlign w:val="center"/>
          </w:tcPr>
          <w:p w14:paraId="5E4E81DC">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10</w:t>
            </w:r>
          </w:p>
        </w:tc>
        <w:tc>
          <w:tcPr>
            <w:tcW w:w="734" w:type="pct"/>
            <w:shd w:val="clear" w:color="auto" w:fill="auto"/>
            <w:noWrap/>
            <w:vAlign w:val="center"/>
          </w:tcPr>
          <w:p w14:paraId="3FE46031">
            <w:pPr>
              <w:pStyle w:val="40"/>
              <w:spacing w:line="240" w:lineRule="auto"/>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45.24</w:t>
            </w:r>
          </w:p>
        </w:tc>
      </w:tr>
    </w:tbl>
    <w:p w14:paraId="171EE723">
      <w:pPr>
        <w:spacing w:line="360" w:lineRule="auto"/>
        <w:ind w:firstLine="480"/>
        <w:rPr>
          <w:rFonts w:hint="eastAsia"/>
          <w:color w:val="auto"/>
          <w:spacing w:val="-8"/>
          <w:szCs w:val="21"/>
          <w:highlight w:val="none"/>
          <w:lang w:eastAsia="zh-CN"/>
        </w:rPr>
      </w:pPr>
      <w:r>
        <w:rPr>
          <w:rFonts w:ascii="Times New Roman" w:hAnsi="Times New Roman" w:eastAsia="宋体" w:cs="Times New Roman"/>
          <w:color w:val="auto"/>
          <w:sz w:val="21"/>
          <w:szCs w:val="21"/>
          <w:highlight w:val="none"/>
        </w:rPr>
        <w:t>由上表可以看出，</w:t>
      </w:r>
      <w:r>
        <w:rPr>
          <w:rFonts w:hint="eastAsia" w:cs="Times New Roman" w:eastAsiaTheme="minorEastAsia"/>
          <w:color w:val="auto"/>
          <w:sz w:val="21"/>
          <w:szCs w:val="21"/>
          <w:highlight w:val="none"/>
          <w:lang w:eastAsia="zh-CN"/>
        </w:rPr>
        <w:t>庆先</w:t>
      </w:r>
      <w:r>
        <w:rPr>
          <w:rFonts w:hint="eastAsia" w:cs="Times New Roman"/>
          <w:color w:val="auto"/>
          <w:sz w:val="21"/>
          <w:szCs w:val="21"/>
          <w:highlight w:val="none"/>
          <w:lang w:eastAsia="zh-CN"/>
        </w:rPr>
        <w:t>水库</w:t>
      </w:r>
      <w:r>
        <w:rPr>
          <w:rFonts w:ascii="Times New Roman" w:hAnsi="Times New Roman" w:eastAsia="宋体" w:cs="Times New Roman"/>
          <w:color w:val="auto"/>
          <w:sz w:val="21"/>
          <w:szCs w:val="21"/>
          <w:highlight w:val="none"/>
        </w:rPr>
        <w:t>现状</w:t>
      </w:r>
      <w:bookmarkStart w:id="140" w:name="_Hlk107767393"/>
      <w:r>
        <w:rPr>
          <w:color w:val="auto"/>
          <w:spacing w:val="-8"/>
          <w:szCs w:val="21"/>
          <w:highlight w:val="none"/>
        </w:rPr>
        <w:t>综合营养状态指数属于</w:t>
      </w:r>
      <w:r>
        <w:rPr>
          <w:rFonts w:hint="eastAsia"/>
          <w:color w:val="auto"/>
          <w:spacing w:val="-8"/>
          <w:szCs w:val="21"/>
          <w:highlight w:val="none"/>
        </w:rPr>
        <w:t>中</w:t>
      </w:r>
      <w:r>
        <w:rPr>
          <w:color w:val="auto"/>
          <w:spacing w:val="-8"/>
          <w:szCs w:val="21"/>
          <w:highlight w:val="none"/>
        </w:rPr>
        <w:t>营养标准</w:t>
      </w:r>
      <w:r>
        <w:rPr>
          <w:rFonts w:hint="eastAsia"/>
          <w:color w:val="auto"/>
          <w:spacing w:val="-8"/>
          <w:szCs w:val="21"/>
          <w:highlight w:val="none"/>
          <w:lang w:eastAsia="zh-CN"/>
        </w:rPr>
        <w:t>，说明水库营养化程度不高，未出现富营养化现象。</w:t>
      </w:r>
    </w:p>
    <w:bookmarkEnd w:id="140"/>
    <w:p w14:paraId="711F8726">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highlight w:val="none"/>
        </w:rPr>
      </w:pPr>
      <w:bookmarkStart w:id="141" w:name="_Toc13967"/>
      <w:r>
        <w:rPr>
          <w:rFonts w:hint="default" w:ascii="Times New Roman" w:hAnsi="Times New Roman" w:cs="Times New Roman"/>
          <w:b/>
          <w:bCs/>
          <w:color w:val="auto"/>
          <w:sz w:val="24"/>
          <w:szCs w:val="24"/>
          <w:highlight w:val="none"/>
        </w:rPr>
        <w:t>3.</w:t>
      </w: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现状评价结论</w:t>
      </w:r>
      <w:bookmarkEnd w:id="141"/>
    </w:p>
    <w:p w14:paraId="0669AA4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根据地表水水质现状检测结果，</w:t>
      </w:r>
      <w:r>
        <w:rPr>
          <w:rFonts w:hint="eastAsia" w:cs="Times New Roman" w:eastAsiaTheme="minorEastAsia"/>
          <w:color w:val="auto"/>
          <w:sz w:val="21"/>
          <w:szCs w:val="21"/>
          <w:highlight w:val="none"/>
          <w:lang w:eastAsia="zh-CN"/>
        </w:rPr>
        <w:t>庆先水库</w:t>
      </w:r>
      <w:r>
        <w:rPr>
          <w:rFonts w:hint="default" w:ascii="Times New Roman" w:hAnsi="Times New Roman" w:cs="Times New Roman"/>
          <w:color w:val="auto"/>
          <w:sz w:val="21"/>
          <w:szCs w:val="21"/>
          <w:highlight w:val="none"/>
        </w:rPr>
        <w:t>现状水质为Ⅲ类，水库自投入运行以来，在灌溉、防洪及其他方面发挥了巨大的经济、社会效益。</w:t>
      </w:r>
    </w:p>
    <w:p w14:paraId="48DE0EE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根据水库营养指标的监测数据进行统计分析，水库综合营养状态指数属于中营养标准，说明水库营养化程度不高，未出现富营养化现象</w:t>
      </w:r>
      <w:r>
        <w:rPr>
          <w:rFonts w:hint="eastAsia" w:cs="Times New Roman"/>
          <w:color w:val="auto"/>
          <w:sz w:val="21"/>
          <w:szCs w:val="21"/>
          <w:highlight w:val="none"/>
          <w:lang w:val="en-US" w:eastAsia="zh-CN"/>
        </w:rPr>
        <w:t>。</w:t>
      </w:r>
    </w:p>
    <w:p w14:paraId="62808885">
      <w:pPr>
        <w:ind w:firstLine="480"/>
        <w:rPr>
          <w:rFonts w:hint="default" w:ascii="Times New Roman" w:hAnsi="Times New Roman" w:cs="Times New Roman"/>
          <w:color w:val="auto"/>
          <w:highlight w:val="none"/>
        </w:rPr>
      </w:pPr>
    </w:p>
    <w:p w14:paraId="2C47A449">
      <w:pPr>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1750FCC">
      <w:pPr>
        <w:pStyle w:val="2"/>
        <w:keepNext w:val="0"/>
        <w:keepLines w:val="0"/>
        <w:pageBreakBefore w:val="0"/>
        <w:widowControl/>
        <w:kinsoku/>
        <w:wordWrap/>
        <w:overflowPunct/>
        <w:topLinePunct w:val="0"/>
        <w:autoSpaceDE/>
        <w:autoSpaceDN/>
        <w:bidi w:val="0"/>
        <w:adjustRightInd/>
        <w:snapToGrid/>
        <w:spacing w:before="0" w:after="0" w:line="360" w:lineRule="auto"/>
        <w:ind w:left="0" w:firstLine="0"/>
        <w:textAlignment w:val="auto"/>
        <w:rPr>
          <w:rFonts w:hint="default" w:ascii="Times New Roman" w:hAnsi="Times New Roman" w:cs="Times New Roman"/>
          <w:b/>
          <w:bCs/>
          <w:color w:val="auto"/>
          <w:kern w:val="0"/>
          <w:sz w:val="30"/>
          <w:highlight w:val="none"/>
        </w:rPr>
      </w:pPr>
      <w:bookmarkStart w:id="142" w:name="_Toc10392"/>
      <w:bookmarkStart w:id="143" w:name="_Toc9919"/>
      <w:bookmarkStart w:id="144" w:name="_Toc9227"/>
      <w:bookmarkStart w:id="145" w:name="_Toc17682"/>
      <w:bookmarkStart w:id="146" w:name="_Toc12357"/>
      <w:bookmarkStart w:id="147" w:name="_Toc4503"/>
      <w:r>
        <w:rPr>
          <w:rFonts w:hint="default" w:ascii="Times New Roman" w:hAnsi="Times New Roman" w:cs="Times New Roman"/>
          <w:b/>
          <w:bCs/>
          <w:color w:val="auto"/>
          <w:kern w:val="0"/>
          <w:sz w:val="30"/>
          <w:highlight w:val="none"/>
        </w:rPr>
        <w:t>4地表水环境影响预测与评价</w:t>
      </w:r>
      <w:bookmarkEnd w:id="142"/>
      <w:bookmarkEnd w:id="143"/>
      <w:bookmarkEnd w:id="144"/>
      <w:bookmarkEnd w:id="145"/>
      <w:bookmarkEnd w:id="146"/>
      <w:bookmarkEnd w:id="147"/>
    </w:p>
    <w:p w14:paraId="781DAB74">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sz w:val="24"/>
          <w:szCs w:val="24"/>
          <w:highlight w:val="none"/>
          <w:lang w:eastAsia="zh-CN"/>
        </w:rPr>
      </w:pPr>
      <w:bookmarkStart w:id="148" w:name="_Toc9653"/>
      <w:r>
        <w:rPr>
          <w:rFonts w:hint="default" w:ascii="Times New Roman" w:hAnsi="Times New Roman" w:cs="Times New Roman"/>
          <w:b/>
          <w:bCs/>
          <w:color w:val="auto"/>
          <w:sz w:val="24"/>
          <w:szCs w:val="24"/>
          <w:highlight w:val="none"/>
        </w:rPr>
        <w:t>4.1</w:t>
      </w:r>
      <w:r>
        <w:rPr>
          <w:rFonts w:hint="eastAsia" w:cs="Times New Roman"/>
          <w:b/>
          <w:bCs/>
          <w:color w:val="auto"/>
          <w:sz w:val="24"/>
          <w:szCs w:val="24"/>
          <w:highlight w:val="none"/>
          <w:lang w:eastAsia="zh-CN"/>
        </w:rPr>
        <w:t>施工期环境影响分析</w:t>
      </w:r>
      <w:bookmarkEnd w:id="148"/>
    </w:p>
    <w:p w14:paraId="33B73DD5">
      <w:pPr>
        <w:pStyle w:val="4"/>
        <w:keepNext w:val="0"/>
        <w:keepLines w:val="0"/>
        <w:pageBreakBefore w:val="0"/>
        <w:widowControl/>
        <w:kinsoku/>
        <w:wordWrap/>
        <w:overflowPunct/>
        <w:topLinePunct w:val="0"/>
        <w:autoSpaceDE/>
        <w:autoSpaceDN/>
        <w:bidi w:val="0"/>
        <w:adjustRightInd/>
        <w:snapToGrid/>
        <w:textAlignment w:val="auto"/>
        <w:rPr>
          <w:rFonts w:hint="eastAsia"/>
          <w:b/>
          <w:bCs/>
          <w:color w:val="auto"/>
          <w:sz w:val="21"/>
          <w:szCs w:val="21"/>
          <w:highlight w:val="none"/>
          <w:lang w:eastAsia="zh-CN"/>
        </w:rPr>
      </w:pPr>
      <w:r>
        <w:rPr>
          <w:rFonts w:hint="default"/>
          <w:b/>
          <w:bCs/>
          <w:color w:val="auto"/>
          <w:sz w:val="21"/>
          <w:szCs w:val="21"/>
          <w:highlight w:val="none"/>
        </w:rPr>
        <w:t>4.1</w:t>
      </w:r>
      <w:r>
        <w:rPr>
          <w:rFonts w:hint="eastAsia"/>
          <w:b/>
          <w:bCs/>
          <w:color w:val="auto"/>
          <w:sz w:val="21"/>
          <w:szCs w:val="21"/>
          <w:highlight w:val="none"/>
          <w:lang w:val="en-US" w:eastAsia="zh-CN"/>
        </w:rPr>
        <w:t>.1</w:t>
      </w:r>
      <w:r>
        <w:rPr>
          <w:rFonts w:hint="eastAsia"/>
          <w:b/>
          <w:bCs/>
          <w:color w:val="auto"/>
          <w:sz w:val="21"/>
          <w:szCs w:val="21"/>
          <w:highlight w:val="none"/>
          <w:lang w:eastAsia="zh-CN"/>
        </w:rPr>
        <w:t>水文情势影响分析</w:t>
      </w:r>
    </w:p>
    <w:p w14:paraId="3D038057">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根据施工设计，本项目主体工程大都在原址基础上进行除险加固，不改变水库设计正常蓄水位，不进行增容，不改变水库流量、水位等工程特性；水库除险加固工程施工期</w:t>
      </w:r>
      <w:r>
        <w:rPr>
          <w:rFonts w:hint="default" w:ascii="Times New Roman" w:hAnsi="Times New Roman" w:cs="Times New Roman"/>
          <w:bCs/>
          <w:color w:val="auto"/>
          <w:szCs w:val="20"/>
        </w:rPr>
        <w:t>对水文情势的影响主要为</w:t>
      </w:r>
      <w:r>
        <w:rPr>
          <w:rFonts w:hint="default" w:ascii="Times New Roman" w:hAnsi="Times New Roman" w:cs="Times New Roman"/>
          <w:color w:val="auto"/>
        </w:rPr>
        <w:t>施工</w:t>
      </w:r>
      <w:r>
        <w:rPr>
          <w:rFonts w:hint="default" w:ascii="Times New Roman" w:hAnsi="Times New Roman" w:cs="Times New Roman"/>
          <w:bCs/>
          <w:color w:val="auto"/>
          <w:szCs w:val="20"/>
        </w:rPr>
        <w:t>围堰对水流流向和流量的改变，</w:t>
      </w:r>
      <w:r>
        <w:rPr>
          <w:rFonts w:hint="default" w:ascii="Times New Roman" w:hAnsi="Times New Roman" w:cs="Times New Roman"/>
          <w:color w:val="auto"/>
        </w:rPr>
        <w:t>施工</w:t>
      </w:r>
      <w:r>
        <w:rPr>
          <w:rFonts w:hint="default" w:ascii="Times New Roman" w:hAnsi="Times New Roman" w:cs="Times New Roman"/>
          <w:bCs/>
          <w:color w:val="auto"/>
          <w:szCs w:val="20"/>
        </w:rPr>
        <w:t>围堰是临时施工措施，工程完成后该影响即可恢复</w:t>
      </w:r>
      <w:r>
        <w:rPr>
          <w:rFonts w:hint="eastAsia"/>
          <w:color w:val="auto"/>
        </w:rPr>
        <w:t>，</w:t>
      </w:r>
      <w:r>
        <w:rPr>
          <w:rFonts w:hint="eastAsia" w:ascii="Times New Roman" w:hAnsi="Times New Roman" w:eastAsia="宋体" w:cs="Times New Roman"/>
          <w:color w:val="auto"/>
          <w:sz w:val="21"/>
          <w:szCs w:val="21"/>
          <w:highlight w:val="none"/>
          <w:lang w:eastAsia="zh-CN"/>
        </w:rPr>
        <w:t>影响也将随之消失，</w:t>
      </w:r>
      <w:r>
        <w:rPr>
          <w:rFonts w:hint="eastAsia"/>
          <w:color w:val="auto"/>
        </w:rPr>
        <w:t>因此，对</w:t>
      </w:r>
      <w:r>
        <w:rPr>
          <w:rFonts w:hint="eastAsia"/>
          <w:color w:val="auto"/>
          <w:lang w:val="en-US" w:eastAsia="zh-CN"/>
        </w:rPr>
        <w:t>水库</w:t>
      </w:r>
      <w:r>
        <w:rPr>
          <w:rFonts w:hint="eastAsia"/>
          <w:color w:val="auto"/>
        </w:rPr>
        <w:t>的水文情势影响较小。</w:t>
      </w:r>
    </w:p>
    <w:p w14:paraId="3C90FEA6">
      <w:pPr>
        <w:pStyle w:val="4"/>
        <w:keepNext w:val="0"/>
        <w:keepLines w:val="0"/>
        <w:pageBreakBefore w:val="0"/>
        <w:widowControl/>
        <w:kinsoku/>
        <w:wordWrap/>
        <w:overflowPunct/>
        <w:topLinePunct w:val="0"/>
        <w:autoSpaceDE/>
        <w:autoSpaceDN/>
        <w:bidi w:val="0"/>
        <w:adjustRightInd/>
        <w:snapToGrid/>
        <w:textAlignment w:val="auto"/>
        <w:rPr>
          <w:rFonts w:hint="eastAsia"/>
          <w:b/>
          <w:bCs/>
          <w:color w:val="auto"/>
          <w:sz w:val="21"/>
          <w:szCs w:val="21"/>
          <w:highlight w:val="none"/>
          <w:lang w:eastAsia="zh-CN"/>
        </w:rPr>
      </w:pPr>
      <w:r>
        <w:rPr>
          <w:rFonts w:hint="default"/>
          <w:b/>
          <w:bCs/>
          <w:color w:val="auto"/>
          <w:sz w:val="21"/>
          <w:szCs w:val="21"/>
          <w:highlight w:val="none"/>
        </w:rPr>
        <w:t>4.1</w:t>
      </w:r>
      <w:r>
        <w:rPr>
          <w:rFonts w:hint="eastAsia"/>
          <w:b/>
          <w:bCs/>
          <w:color w:val="auto"/>
          <w:sz w:val="21"/>
          <w:szCs w:val="21"/>
          <w:highlight w:val="none"/>
          <w:lang w:val="en-US" w:eastAsia="zh-CN"/>
        </w:rPr>
        <w:t>.2</w:t>
      </w:r>
      <w:r>
        <w:rPr>
          <w:rFonts w:hint="eastAsia"/>
          <w:b/>
          <w:bCs/>
          <w:color w:val="auto"/>
          <w:sz w:val="21"/>
          <w:szCs w:val="21"/>
          <w:highlight w:val="none"/>
          <w:lang w:eastAsia="zh-CN"/>
        </w:rPr>
        <w:t>水污染影响分析</w:t>
      </w:r>
    </w:p>
    <w:p w14:paraId="158C4AD7">
      <w:pPr>
        <w:keepNext w:val="0"/>
        <w:keepLines w:val="0"/>
        <w:pageBreakBefore w:val="0"/>
        <w:widowControl/>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snapToGrid w:val="0"/>
          <w:color w:val="auto"/>
          <w:spacing w:val="0"/>
          <w:kern w:val="0"/>
          <w:position w:val="0"/>
          <w:sz w:val="21"/>
          <w:szCs w:val="21"/>
          <w:highlight w:val="none"/>
          <w:lang w:val="en-US" w:eastAsia="zh-CN"/>
        </w:rPr>
        <w:t>（1）</w:t>
      </w:r>
      <w:r>
        <w:rPr>
          <w:rFonts w:hint="default" w:ascii="Times New Roman" w:hAnsi="Times New Roman" w:cs="Times New Roman" w:eastAsiaTheme="minorEastAsia"/>
          <w:snapToGrid w:val="0"/>
          <w:color w:val="auto"/>
          <w:spacing w:val="0"/>
          <w:kern w:val="0"/>
          <w:position w:val="0"/>
          <w:sz w:val="21"/>
          <w:szCs w:val="21"/>
          <w:highlight w:val="none"/>
        </w:rPr>
        <w:t>生活污水</w:t>
      </w:r>
    </w:p>
    <w:p w14:paraId="63F8BD91">
      <w:pPr>
        <w:keepNext w:val="0"/>
        <w:keepLines w:val="0"/>
        <w:pageBreakBefore w:val="0"/>
        <w:widowControl/>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eastAsia="zh-CN"/>
        </w:rPr>
        <w:t>生活污水来自施工人员日常生活产生的污水，施工期生活污水主要污染物为</w:t>
      </w:r>
      <w:r>
        <w:rPr>
          <w:rFonts w:hint="default" w:ascii="Times New Roman" w:hAnsi="Times New Roman" w:cs="Times New Roman" w:eastAsiaTheme="minorEastAsia"/>
          <w:color w:val="auto"/>
          <w:sz w:val="21"/>
          <w:szCs w:val="21"/>
          <w:highlight w:val="none"/>
          <w:lang w:val="en-US" w:eastAsia="zh-CN"/>
        </w:rPr>
        <w:t>COD、BOD、氨氮等，生活污水产生量较少，</w:t>
      </w:r>
      <w:r>
        <w:rPr>
          <w:rFonts w:hint="eastAsia" w:ascii="Times New Roman" w:hAnsi="Times New Roman" w:eastAsia="宋体" w:cs="Times New Roman"/>
          <w:color w:val="auto"/>
          <w:sz w:val="21"/>
          <w:szCs w:val="21"/>
          <w:highlight w:val="none"/>
          <w:lang w:eastAsia="zh-CN"/>
        </w:rPr>
        <w:t>施工过程中产生的生活污水需采用防渗旱厕集中收集，定期清掏堆肥，生活污水不外排</w:t>
      </w:r>
      <w:r>
        <w:rPr>
          <w:rFonts w:hint="default" w:ascii="Times New Roman" w:hAnsi="Times New Roman" w:cs="Times New Roman" w:eastAsiaTheme="minorEastAsia"/>
          <w:color w:val="auto"/>
          <w:sz w:val="21"/>
          <w:szCs w:val="21"/>
          <w:highlight w:val="none"/>
          <w:lang w:val="en-US" w:eastAsia="zh-CN"/>
        </w:rPr>
        <w:t>。</w:t>
      </w:r>
    </w:p>
    <w:p w14:paraId="2704EAC9">
      <w:pPr>
        <w:keepNext w:val="0"/>
        <w:keepLines w:val="0"/>
        <w:pageBreakBefore w:val="0"/>
        <w:widowControl/>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（2）施工机械轮胎冲洗废水</w:t>
      </w:r>
    </w:p>
    <w:p w14:paraId="57C54731">
      <w:pPr>
        <w:keepNext w:val="0"/>
        <w:keepLines w:val="0"/>
        <w:pageBreakBefore w:val="0"/>
        <w:widowControl/>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项目施工场地不设置机械、车辆维修厂，不产生机械维修废水，机械维修依靠周边社会设施。机械冲洗业务外协委托，在工地仅设置轮胎冲洗，主要承担进出厂机械车轮污泥的冲洗，这部分废水经沉淀池收集沉淀后回用于洒水降尘，不会产生含油废水。本项目不设置混凝土</w:t>
      </w:r>
      <w:r>
        <w:rPr>
          <w:rFonts w:hint="eastAsia" w:cs="Times New Roman" w:eastAsiaTheme="minorEastAsia"/>
          <w:color w:val="auto"/>
          <w:sz w:val="21"/>
          <w:szCs w:val="21"/>
          <w:highlight w:val="none"/>
          <w:lang w:val="en-US" w:eastAsia="zh-CN"/>
        </w:rPr>
        <w:t>拌和站</w:t>
      </w:r>
      <w:r>
        <w:rPr>
          <w:rFonts w:hint="default" w:ascii="Times New Roman" w:hAnsi="Times New Roman" w:cs="Times New Roman" w:eastAsiaTheme="minorEastAsia"/>
          <w:color w:val="auto"/>
          <w:sz w:val="21"/>
          <w:szCs w:val="21"/>
          <w:highlight w:val="none"/>
          <w:lang w:val="en-US" w:eastAsia="zh-CN"/>
        </w:rPr>
        <w:t>，因此不会产生混凝土拌和、养护废水。</w:t>
      </w:r>
    </w:p>
    <w:p w14:paraId="3CDCDB3E">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（3）基坑排水</w:t>
      </w:r>
    </w:p>
    <w:p w14:paraId="2702FF4F">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位于库区内的输水洞闸室段拆除重建在枯水期施工，为避免工程扰动水体，施工时于基坑外侧设置临时施工围堰，围堰采用土围堰型式，围堰顶宽2m，高度4m，长度约90m。</w:t>
      </w:r>
    </w:p>
    <w:p w14:paraId="364ABB17">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基坑废水直接产生在围堰内，废水中主要污染物为悬浮物，一般浓度在2000mg/L，静置沉淀后用于洒水降尘，不外排。</w:t>
      </w:r>
    </w:p>
    <w:p w14:paraId="64F418D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bCs/>
          <w:color w:val="auto"/>
          <w:sz w:val="21"/>
          <w:szCs w:val="21"/>
          <w:highlight w:val="none"/>
        </w:rPr>
        <w:t>对水生生态的影响</w:t>
      </w:r>
    </w:p>
    <w:p w14:paraId="5554978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施工时会造成一定程度的水体扰动及噪声，本工程输水洞闸室段拆除重建在枯水期施工，为避免工程扰动水体，施工时于基坑外侧设置临时施工围堰，围堰采用土围堰型式，围堰施工造成工程区局部悬浮物浓度增加，水体透明度下降，底栖生物损失，鱼类栖息、浮游生物活动受干扰等影响，本工程围堰施工位于岸边基坑外侧，围堰施工期、拆除期较短，对水体扰动时间短，围堰施工结束，水体将恢复原有状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且本项目施工期为枯水期，对水体产生的扰动较小，这些影响都是暂时的，随着施工结束而逐渐恢复。</w:t>
      </w:r>
    </w:p>
    <w:p w14:paraId="707C38F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水库除险加固工程的施工，会对水库的环境造成一定的影响</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本工程是非污染型项目，工程运营期不产生污染，工程建设后不改变水库原功能</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正常蓄水位，实际运行时库区内库容、水深</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较工程实施前基本没有变化，水生生境基本维持原状。因此本次除险加固工程实施后对水生生态影响较小。</w:t>
      </w:r>
    </w:p>
    <w:p w14:paraId="2EA27B57">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highlight w:val="none"/>
        </w:rPr>
      </w:pPr>
      <w:bookmarkStart w:id="149" w:name="_Toc31389"/>
      <w:r>
        <w:rPr>
          <w:rFonts w:hint="default" w:ascii="Times New Roman" w:hAnsi="Times New Roman" w:cs="Times New Roman"/>
          <w:color w:val="auto"/>
          <w:sz w:val="24"/>
          <w:szCs w:val="24"/>
          <w:highlight w:val="none"/>
        </w:rPr>
        <w:t>4.2运行期影响分析</w:t>
      </w:r>
      <w:bookmarkEnd w:id="149"/>
    </w:p>
    <w:p w14:paraId="1C7C5099">
      <w:pPr>
        <w:pStyle w:val="4"/>
        <w:keepNext w:val="0"/>
        <w:keepLines w:val="0"/>
        <w:pageBreakBefore w:val="0"/>
        <w:widowControl/>
        <w:kinsoku/>
        <w:wordWrap/>
        <w:overflowPunct/>
        <w:topLinePunct w:val="0"/>
        <w:autoSpaceDE/>
        <w:autoSpaceDN/>
        <w:bidi w:val="0"/>
        <w:adjustRightInd/>
        <w:snapToGrid/>
        <w:textAlignment w:val="auto"/>
        <w:rPr>
          <w:rFonts w:hint="eastAsia" w:eastAsia="宋体" w:cs="Times New Roman"/>
          <w:color w:val="auto"/>
          <w:sz w:val="24"/>
          <w:szCs w:val="24"/>
          <w:highlight w:val="none"/>
          <w:lang w:eastAsia="zh-CN"/>
        </w:rPr>
      </w:pPr>
      <w:r>
        <w:rPr>
          <w:rFonts w:hint="default"/>
          <w:color w:val="auto"/>
          <w:sz w:val="21"/>
          <w:szCs w:val="21"/>
          <w:highlight w:val="none"/>
        </w:rPr>
        <w:t>4.2.1水文情势影响</w:t>
      </w:r>
    </w:p>
    <w:p w14:paraId="01FA5344">
      <w:pPr>
        <w:pStyle w:val="33"/>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highlight w:val="none"/>
        </w:rPr>
      </w:pPr>
      <w:r>
        <w:rPr>
          <w:rFonts w:hint="eastAsia"/>
          <w:color w:val="auto"/>
          <w:sz w:val="21"/>
          <w:szCs w:val="21"/>
          <w:highlight w:val="none"/>
        </w:rPr>
        <w:t>（1）水文情势影响</w:t>
      </w:r>
    </w:p>
    <w:p w14:paraId="2E470EC3">
      <w:pPr>
        <w:pStyle w:val="33"/>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color w:val="auto"/>
          <w:kern w:val="0"/>
          <w:sz w:val="21"/>
          <w:szCs w:val="21"/>
          <w:highlight w:val="none"/>
        </w:rPr>
      </w:pPr>
      <w:r>
        <w:rPr>
          <w:rFonts w:hint="eastAsia"/>
          <w:color w:val="auto"/>
          <w:sz w:val="21"/>
          <w:szCs w:val="21"/>
          <w:highlight w:val="none"/>
        </w:rPr>
        <w:t>本次除险加固工程实施后，</w:t>
      </w:r>
      <w:r>
        <w:rPr>
          <w:color w:val="auto"/>
          <w:sz w:val="21"/>
          <w:szCs w:val="21"/>
          <w:highlight w:val="none"/>
        </w:rPr>
        <w:t>运行期未改变水库的库容、流量、水位等工程特性，对水库的水利调度情况无影响，因而对库区的流速等水文特性影响较小。此外，项目完工后，将更好的保障水库下游的防洪、灌溉等功能，对下游水位、流速等水文情势也无影响。本项目主体工程大都在原址基础上进行除险加固，不改变水库设计正常蓄水位，不进行增容，不改变水库流量、水位等工程特性，除险加固工程后防洪调度运用原则与现状调度运用原则基本一致，因</w:t>
      </w:r>
      <w:r>
        <w:rPr>
          <w:rFonts w:hint="eastAsia"/>
          <w:color w:val="auto"/>
          <w:sz w:val="21"/>
          <w:szCs w:val="21"/>
          <w:highlight w:val="none"/>
          <w:lang w:val="en-US" w:eastAsia="zh-CN"/>
        </w:rPr>
        <w:t>此，</w:t>
      </w:r>
      <w:r>
        <w:rPr>
          <w:color w:val="auto"/>
          <w:sz w:val="21"/>
          <w:szCs w:val="21"/>
          <w:highlight w:val="none"/>
        </w:rPr>
        <w:t>运行期对库区上下游水文情势</w:t>
      </w:r>
      <w:r>
        <w:rPr>
          <w:rFonts w:hint="default" w:ascii="Times New Roman" w:hAnsi="Times New Roman" w:cs="Times New Roman" w:eastAsiaTheme="minorEastAsia"/>
          <w:color w:val="auto"/>
          <w:spacing w:val="0"/>
          <w:kern w:val="0"/>
          <w:sz w:val="21"/>
          <w:szCs w:val="21"/>
          <w:highlight w:val="none"/>
        </w:rPr>
        <w:t>不会产生</w:t>
      </w:r>
      <w:r>
        <w:rPr>
          <w:color w:val="auto"/>
          <w:sz w:val="21"/>
          <w:szCs w:val="21"/>
          <w:highlight w:val="none"/>
        </w:rPr>
        <w:t>影响。</w:t>
      </w:r>
      <w:r>
        <w:rPr>
          <w:color w:val="auto"/>
          <w:kern w:val="0"/>
          <w:sz w:val="21"/>
          <w:szCs w:val="21"/>
          <w:highlight w:val="none"/>
        </w:rPr>
        <w:t>主要工程特性见下表。</w:t>
      </w:r>
    </w:p>
    <w:p w14:paraId="1C9D4832">
      <w:pPr>
        <w:pStyle w:val="33"/>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auto"/>
          <w:szCs w:val="21"/>
          <w:highlight w:val="none"/>
        </w:rPr>
      </w:pPr>
      <w:r>
        <w:rPr>
          <w:b/>
          <w:bCs/>
          <w:color w:val="auto"/>
          <w:spacing w:val="0"/>
          <w:sz w:val="21"/>
          <w:szCs w:val="21"/>
          <w:highlight w:val="none"/>
        </w:rPr>
        <w:t>表</w:t>
      </w:r>
      <w:r>
        <w:rPr>
          <w:rFonts w:hint="eastAsia"/>
          <w:b/>
          <w:bCs/>
          <w:color w:val="auto"/>
          <w:spacing w:val="0"/>
          <w:sz w:val="21"/>
          <w:szCs w:val="21"/>
          <w:highlight w:val="none"/>
          <w:lang w:val="en-US" w:eastAsia="zh-CN"/>
        </w:rPr>
        <w:t>4-1</w:t>
      </w:r>
      <w:r>
        <w:rPr>
          <w:b/>
          <w:bCs/>
          <w:color w:val="auto"/>
          <w:spacing w:val="0"/>
          <w:sz w:val="21"/>
          <w:szCs w:val="21"/>
          <w:highlight w:val="none"/>
        </w:rPr>
        <w:t>工程特性表</w:t>
      </w:r>
    </w:p>
    <w:tbl>
      <w:tblPr>
        <w:tblStyle w:val="24"/>
        <w:tblW w:w="5000" w:type="pct"/>
        <w:jc w:val="center"/>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Layout w:type="autofit"/>
        <w:tblCellMar>
          <w:top w:w="0" w:type="dxa"/>
          <w:left w:w="108" w:type="dxa"/>
          <w:bottom w:w="0" w:type="dxa"/>
          <w:right w:w="108" w:type="dxa"/>
        </w:tblCellMar>
      </w:tblPr>
      <w:tblGrid>
        <w:gridCol w:w="2686"/>
        <w:gridCol w:w="815"/>
        <w:gridCol w:w="2016"/>
        <w:gridCol w:w="1557"/>
        <w:gridCol w:w="1448"/>
      </w:tblGrid>
      <w:tr w14:paraId="6DC7F90D">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PrEx>
        <w:trPr>
          <w:trHeight w:val="227" w:hRule="atLeast"/>
          <w:jc w:val="center"/>
        </w:trPr>
        <w:tc>
          <w:tcPr>
            <w:tcW w:w="1635" w:type="pct"/>
            <w:tcBorders>
              <w:tl2br w:val="nil"/>
              <w:tr2bl w:val="nil"/>
            </w:tcBorders>
            <w:shd w:val="clear" w:color="auto" w:fill="auto"/>
            <w:noWrap/>
            <w:vAlign w:val="center"/>
          </w:tcPr>
          <w:p w14:paraId="0FFD43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序号及名称</w:t>
            </w:r>
          </w:p>
        </w:tc>
        <w:tc>
          <w:tcPr>
            <w:tcW w:w="537" w:type="pct"/>
            <w:tcBorders>
              <w:tl2br w:val="nil"/>
              <w:tr2bl w:val="nil"/>
            </w:tcBorders>
            <w:shd w:val="clear" w:color="auto" w:fill="auto"/>
            <w:noWrap/>
            <w:vAlign w:val="center"/>
          </w:tcPr>
          <w:p w14:paraId="34A1F7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单位</w:t>
            </w:r>
          </w:p>
        </w:tc>
        <w:tc>
          <w:tcPr>
            <w:tcW w:w="945" w:type="pct"/>
            <w:tcBorders>
              <w:tl2br w:val="nil"/>
              <w:tr2bl w:val="nil"/>
            </w:tcBorders>
            <w:shd w:val="clear" w:color="auto" w:fill="auto"/>
            <w:noWrap/>
            <w:vAlign w:val="center"/>
          </w:tcPr>
          <w:p w14:paraId="6C85F6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color w:val="auto"/>
                <w:sz w:val="18"/>
                <w:szCs w:val="18"/>
                <w:highlight w:val="none"/>
                <w:lang w:val="en-US" w:eastAsia="zh-CN"/>
              </w:rPr>
              <w:t>除险加固</w:t>
            </w:r>
            <w:r>
              <w:rPr>
                <w:rFonts w:hint="default" w:ascii="Times New Roman" w:hAnsi="Times New Roman" w:cs="Times New Roman"/>
                <w:color w:val="auto"/>
                <w:sz w:val="18"/>
                <w:szCs w:val="18"/>
                <w:highlight w:val="none"/>
              </w:rPr>
              <w:t>设计</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2008</w:t>
            </w:r>
            <w:r>
              <w:rPr>
                <w:rFonts w:hint="default" w:ascii="Times New Roman" w:hAnsi="Times New Roman" w:cs="Times New Roman"/>
                <w:color w:val="auto"/>
                <w:sz w:val="18"/>
                <w:szCs w:val="18"/>
                <w:highlight w:val="none"/>
                <w:lang w:eastAsia="zh-CN"/>
              </w:rPr>
              <w:t>）</w:t>
            </w:r>
          </w:p>
        </w:tc>
        <w:tc>
          <w:tcPr>
            <w:tcW w:w="972" w:type="pct"/>
            <w:tcBorders>
              <w:tl2br w:val="nil"/>
              <w:tr2bl w:val="nil"/>
            </w:tcBorders>
            <w:shd w:val="clear" w:color="auto" w:fill="auto"/>
            <w:noWrap/>
            <w:vAlign w:val="center"/>
          </w:tcPr>
          <w:p w14:paraId="14F78C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现状</w:t>
            </w:r>
          </w:p>
        </w:tc>
        <w:tc>
          <w:tcPr>
            <w:tcW w:w="908" w:type="pct"/>
            <w:tcBorders>
              <w:tl2br w:val="nil"/>
              <w:tr2bl w:val="nil"/>
            </w:tcBorders>
            <w:shd w:val="clear" w:color="auto" w:fill="auto"/>
            <w:noWrap/>
            <w:vAlign w:val="center"/>
          </w:tcPr>
          <w:p w14:paraId="05452C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本次设计</w:t>
            </w:r>
          </w:p>
        </w:tc>
      </w:tr>
      <w:tr w14:paraId="1FB419E0">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62D6F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一、水文</w:t>
            </w:r>
          </w:p>
        </w:tc>
        <w:tc>
          <w:tcPr>
            <w:tcW w:w="537" w:type="pct"/>
            <w:tcBorders>
              <w:tl2br w:val="nil"/>
              <w:tr2bl w:val="nil"/>
            </w:tcBorders>
            <w:shd w:val="clear" w:color="auto" w:fill="auto"/>
            <w:noWrap/>
            <w:vAlign w:val="center"/>
          </w:tcPr>
          <w:p w14:paraId="0537C2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390FC8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72" w:type="pct"/>
            <w:tcBorders>
              <w:tl2br w:val="nil"/>
              <w:tr2bl w:val="nil"/>
            </w:tcBorders>
            <w:shd w:val="clear" w:color="auto" w:fill="auto"/>
            <w:noWrap/>
            <w:vAlign w:val="center"/>
          </w:tcPr>
          <w:p w14:paraId="0835B4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08" w:type="pct"/>
            <w:tcBorders>
              <w:tl2br w:val="nil"/>
              <w:tr2bl w:val="nil"/>
            </w:tcBorders>
            <w:shd w:val="clear" w:color="auto" w:fill="auto"/>
            <w:noWrap/>
            <w:vAlign w:val="center"/>
          </w:tcPr>
          <w:p w14:paraId="48D8A1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r>
      <w:tr w14:paraId="5B520529">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37F1CE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val="en-US" w:eastAsia="zh-CN" w:bidi="ar"/>
              </w:rPr>
              <w:t>1</w:t>
            </w:r>
            <w:r>
              <w:rPr>
                <w:rFonts w:hint="default" w:ascii="Times New Roman" w:hAnsi="Times New Roman" w:cs="Times New Roman"/>
                <w:color w:val="auto"/>
                <w:kern w:val="0"/>
                <w:sz w:val="18"/>
                <w:szCs w:val="18"/>
                <w:highlight w:val="none"/>
                <w:lang w:bidi="ar"/>
              </w:rPr>
              <w:t>.工程坝址以上流域面积</w:t>
            </w:r>
          </w:p>
        </w:tc>
        <w:tc>
          <w:tcPr>
            <w:tcW w:w="537" w:type="pct"/>
            <w:tcBorders>
              <w:tl2br w:val="nil"/>
              <w:tr2bl w:val="nil"/>
            </w:tcBorders>
            <w:shd w:val="clear" w:color="auto" w:fill="auto"/>
            <w:noWrap/>
            <w:vAlign w:val="center"/>
          </w:tcPr>
          <w:p w14:paraId="7C3168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km</w:t>
            </w:r>
            <w:r>
              <w:rPr>
                <w:rFonts w:hint="default" w:ascii="Times New Roman" w:hAnsi="Times New Roman" w:cs="Times New Roman"/>
                <w:color w:val="auto"/>
                <w:kern w:val="0"/>
                <w:sz w:val="18"/>
                <w:szCs w:val="18"/>
                <w:highlight w:val="none"/>
                <w:vertAlign w:val="superscript"/>
                <w:lang w:bidi="ar"/>
              </w:rPr>
              <w:t>2</w:t>
            </w:r>
          </w:p>
        </w:tc>
        <w:tc>
          <w:tcPr>
            <w:tcW w:w="945" w:type="pct"/>
            <w:tcBorders>
              <w:tl2br w:val="nil"/>
              <w:tr2bl w:val="nil"/>
            </w:tcBorders>
            <w:shd w:val="clear" w:color="auto" w:fill="auto"/>
            <w:noWrap/>
            <w:vAlign w:val="center"/>
          </w:tcPr>
          <w:p w14:paraId="7AA062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c>
          <w:tcPr>
            <w:tcW w:w="972" w:type="pct"/>
            <w:tcBorders>
              <w:tl2br w:val="nil"/>
              <w:tr2bl w:val="nil"/>
            </w:tcBorders>
            <w:shd w:val="clear" w:color="auto" w:fill="auto"/>
            <w:noWrap/>
            <w:vAlign w:val="center"/>
          </w:tcPr>
          <w:p w14:paraId="0EA966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c>
          <w:tcPr>
            <w:tcW w:w="908" w:type="pct"/>
            <w:tcBorders>
              <w:tl2br w:val="nil"/>
              <w:tr2bl w:val="nil"/>
            </w:tcBorders>
            <w:shd w:val="clear" w:color="auto" w:fill="auto"/>
            <w:noWrap/>
            <w:vAlign w:val="center"/>
          </w:tcPr>
          <w:p w14:paraId="0024A2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r>
      <w:tr w14:paraId="7E790AC1">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9E0F8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二、水库</w:t>
            </w:r>
          </w:p>
        </w:tc>
        <w:tc>
          <w:tcPr>
            <w:tcW w:w="537" w:type="pct"/>
            <w:tcBorders>
              <w:tl2br w:val="nil"/>
              <w:tr2bl w:val="nil"/>
            </w:tcBorders>
            <w:shd w:val="clear" w:color="auto" w:fill="auto"/>
            <w:noWrap/>
            <w:vAlign w:val="center"/>
          </w:tcPr>
          <w:p w14:paraId="3029D5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0AF9AC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72" w:type="pct"/>
            <w:tcBorders>
              <w:tl2br w:val="nil"/>
              <w:tr2bl w:val="nil"/>
            </w:tcBorders>
            <w:shd w:val="clear" w:color="auto" w:fill="auto"/>
            <w:noWrap/>
            <w:vAlign w:val="center"/>
          </w:tcPr>
          <w:p w14:paraId="59951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08" w:type="pct"/>
            <w:tcBorders>
              <w:tl2br w:val="nil"/>
              <w:tr2bl w:val="nil"/>
            </w:tcBorders>
            <w:shd w:val="clear" w:color="auto" w:fill="auto"/>
            <w:noWrap/>
            <w:vAlign w:val="center"/>
          </w:tcPr>
          <w:p w14:paraId="1CD697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37AE2EE2">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519CD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水库工程规模</w:t>
            </w:r>
          </w:p>
        </w:tc>
        <w:tc>
          <w:tcPr>
            <w:tcW w:w="537" w:type="pct"/>
            <w:tcBorders>
              <w:tl2br w:val="nil"/>
              <w:tr2bl w:val="nil"/>
            </w:tcBorders>
            <w:shd w:val="clear" w:color="auto" w:fill="auto"/>
            <w:noWrap/>
            <w:vAlign w:val="center"/>
          </w:tcPr>
          <w:p w14:paraId="30A296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0C92A0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小（1）型</w:t>
            </w:r>
          </w:p>
        </w:tc>
        <w:tc>
          <w:tcPr>
            <w:tcW w:w="972" w:type="pct"/>
            <w:tcBorders>
              <w:tl2br w:val="nil"/>
              <w:tr2bl w:val="nil"/>
            </w:tcBorders>
            <w:shd w:val="clear" w:color="auto" w:fill="auto"/>
            <w:noWrap/>
            <w:vAlign w:val="center"/>
          </w:tcPr>
          <w:p w14:paraId="317444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小（1）型</w:t>
            </w:r>
          </w:p>
        </w:tc>
        <w:tc>
          <w:tcPr>
            <w:tcW w:w="908" w:type="pct"/>
            <w:tcBorders>
              <w:tl2br w:val="nil"/>
              <w:tr2bl w:val="nil"/>
            </w:tcBorders>
            <w:shd w:val="clear" w:color="auto" w:fill="auto"/>
            <w:noWrap/>
            <w:vAlign w:val="center"/>
          </w:tcPr>
          <w:p w14:paraId="0530A7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小（1）型</w:t>
            </w:r>
          </w:p>
        </w:tc>
      </w:tr>
      <w:tr w14:paraId="209B5BCF">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11EE9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设计洪水标准</w:t>
            </w:r>
          </w:p>
        </w:tc>
        <w:tc>
          <w:tcPr>
            <w:tcW w:w="537" w:type="pct"/>
            <w:tcBorders>
              <w:tl2br w:val="nil"/>
              <w:tr2bl w:val="nil"/>
            </w:tcBorders>
            <w:shd w:val="clear" w:color="auto" w:fill="auto"/>
            <w:noWrap/>
            <w:vAlign w:val="center"/>
          </w:tcPr>
          <w:p w14:paraId="658F7F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46FDCD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P=5%</w:t>
            </w:r>
          </w:p>
        </w:tc>
        <w:tc>
          <w:tcPr>
            <w:tcW w:w="972" w:type="pct"/>
            <w:tcBorders>
              <w:tl2br w:val="nil"/>
              <w:tr2bl w:val="nil"/>
            </w:tcBorders>
            <w:shd w:val="clear" w:color="auto" w:fill="auto"/>
            <w:noWrap/>
            <w:vAlign w:val="center"/>
          </w:tcPr>
          <w:p w14:paraId="088C70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P=5%</w:t>
            </w:r>
          </w:p>
        </w:tc>
        <w:tc>
          <w:tcPr>
            <w:tcW w:w="908" w:type="pct"/>
            <w:tcBorders>
              <w:tl2br w:val="nil"/>
              <w:tr2bl w:val="nil"/>
            </w:tcBorders>
            <w:shd w:val="clear" w:color="auto" w:fill="auto"/>
            <w:noWrap/>
            <w:vAlign w:val="center"/>
          </w:tcPr>
          <w:p w14:paraId="35BB3C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P=5%</w:t>
            </w:r>
          </w:p>
        </w:tc>
      </w:tr>
      <w:tr w14:paraId="15C942FA">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7A92AA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校核洪水标准</w:t>
            </w:r>
          </w:p>
        </w:tc>
        <w:tc>
          <w:tcPr>
            <w:tcW w:w="537" w:type="pct"/>
            <w:tcBorders>
              <w:tl2br w:val="nil"/>
              <w:tr2bl w:val="nil"/>
            </w:tcBorders>
            <w:shd w:val="clear" w:color="auto" w:fill="auto"/>
            <w:noWrap/>
            <w:vAlign w:val="center"/>
          </w:tcPr>
          <w:p w14:paraId="5840EE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3D67C0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P=1%</w:t>
            </w:r>
          </w:p>
        </w:tc>
        <w:tc>
          <w:tcPr>
            <w:tcW w:w="972" w:type="pct"/>
            <w:tcBorders>
              <w:tl2br w:val="nil"/>
              <w:tr2bl w:val="nil"/>
            </w:tcBorders>
            <w:shd w:val="clear" w:color="auto" w:fill="auto"/>
            <w:noWrap/>
            <w:vAlign w:val="center"/>
          </w:tcPr>
          <w:p w14:paraId="40258A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P=1%</w:t>
            </w:r>
          </w:p>
        </w:tc>
        <w:tc>
          <w:tcPr>
            <w:tcW w:w="908" w:type="pct"/>
            <w:tcBorders>
              <w:tl2br w:val="nil"/>
              <w:tr2bl w:val="nil"/>
            </w:tcBorders>
            <w:shd w:val="clear" w:color="auto" w:fill="auto"/>
            <w:noWrap/>
            <w:vAlign w:val="center"/>
          </w:tcPr>
          <w:p w14:paraId="35FDD8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P=1%</w:t>
            </w:r>
          </w:p>
        </w:tc>
      </w:tr>
      <w:tr w14:paraId="4D2D33F8">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B2942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校核洪水位</w:t>
            </w:r>
          </w:p>
        </w:tc>
        <w:tc>
          <w:tcPr>
            <w:tcW w:w="537" w:type="pct"/>
            <w:tcBorders>
              <w:tl2br w:val="nil"/>
              <w:tr2bl w:val="nil"/>
            </w:tcBorders>
            <w:shd w:val="clear" w:color="auto" w:fill="auto"/>
            <w:noWrap/>
            <w:vAlign w:val="center"/>
          </w:tcPr>
          <w:p w14:paraId="206729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1D0016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167.48</w:t>
            </w:r>
          </w:p>
        </w:tc>
        <w:tc>
          <w:tcPr>
            <w:tcW w:w="972" w:type="pct"/>
            <w:tcBorders>
              <w:tl2br w:val="nil"/>
              <w:tr2bl w:val="nil"/>
            </w:tcBorders>
            <w:shd w:val="clear" w:color="auto" w:fill="auto"/>
            <w:noWrap/>
            <w:vAlign w:val="center"/>
          </w:tcPr>
          <w:p w14:paraId="3FE48D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167.88</w:t>
            </w:r>
          </w:p>
        </w:tc>
        <w:tc>
          <w:tcPr>
            <w:tcW w:w="908" w:type="pct"/>
            <w:tcBorders>
              <w:tl2br w:val="nil"/>
              <w:tr2bl w:val="nil"/>
            </w:tcBorders>
            <w:shd w:val="clear" w:color="auto" w:fill="auto"/>
            <w:noWrap/>
            <w:vAlign w:val="center"/>
          </w:tcPr>
          <w:p w14:paraId="4E6A06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167.88</w:t>
            </w:r>
          </w:p>
        </w:tc>
      </w:tr>
      <w:tr w14:paraId="7B0964BA">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0D2743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设计洪水位</w:t>
            </w:r>
          </w:p>
        </w:tc>
        <w:tc>
          <w:tcPr>
            <w:tcW w:w="537" w:type="pct"/>
            <w:tcBorders>
              <w:tl2br w:val="nil"/>
              <w:tr2bl w:val="nil"/>
            </w:tcBorders>
            <w:shd w:val="clear" w:color="auto" w:fill="auto"/>
            <w:noWrap/>
            <w:vAlign w:val="center"/>
          </w:tcPr>
          <w:p w14:paraId="065809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76A0DB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166.81</w:t>
            </w:r>
          </w:p>
        </w:tc>
        <w:tc>
          <w:tcPr>
            <w:tcW w:w="972" w:type="pct"/>
            <w:tcBorders>
              <w:tl2br w:val="nil"/>
              <w:tr2bl w:val="nil"/>
            </w:tcBorders>
            <w:shd w:val="clear" w:color="auto" w:fill="auto"/>
            <w:noWrap/>
            <w:vAlign w:val="center"/>
          </w:tcPr>
          <w:p w14:paraId="1554AF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167.23</w:t>
            </w:r>
          </w:p>
        </w:tc>
        <w:tc>
          <w:tcPr>
            <w:tcW w:w="908" w:type="pct"/>
            <w:tcBorders>
              <w:tl2br w:val="nil"/>
              <w:tr2bl w:val="nil"/>
            </w:tcBorders>
            <w:shd w:val="clear" w:color="auto" w:fill="auto"/>
            <w:noWrap/>
            <w:vAlign w:val="center"/>
          </w:tcPr>
          <w:p w14:paraId="4D6FD9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167.23</w:t>
            </w:r>
          </w:p>
        </w:tc>
      </w:tr>
      <w:tr w14:paraId="5567DBBC">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3C5C50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正常蓄水位</w:t>
            </w:r>
          </w:p>
        </w:tc>
        <w:tc>
          <w:tcPr>
            <w:tcW w:w="537" w:type="pct"/>
            <w:tcBorders>
              <w:tl2br w:val="nil"/>
              <w:tr2bl w:val="nil"/>
            </w:tcBorders>
            <w:shd w:val="clear" w:color="auto" w:fill="auto"/>
            <w:noWrap/>
            <w:vAlign w:val="center"/>
          </w:tcPr>
          <w:p w14:paraId="65D887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5D35A6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165.70</w:t>
            </w:r>
          </w:p>
        </w:tc>
        <w:tc>
          <w:tcPr>
            <w:tcW w:w="972" w:type="pct"/>
            <w:tcBorders>
              <w:tl2br w:val="nil"/>
              <w:tr2bl w:val="nil"/>
            </w:tcBorders>
            <w:shd w:val="clear" w:color="auto" w:fill="auto"/>
            <w:noWrap/>
            <w:vAlign w:val="center"/>
          </w:tcPr>
          <w:p w14:paraId="546182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165.70</w:t>
            </w:r>
          </w:p>
        </w:tc>
        <w:tc>
          <w:tcPr>
            <w:tcW w:w="908" w:type="pct"/>
            <w:tcBorders>
              <w:tl2br w:val="nil"/>
              <w:tr2bl w:val="nil"/>
            </w:tcBorders>
            <w:shd w:val="clear" w:color="auto" w:fill="auto"/>
            <w:noWrap/>
            <w:vAlign w:val="center"/>
          </w:tcPr>
          <w:p w14:paraId="7B96EB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165.70</w:t>
            </w:r>
          </w:p>
        </w:tc>
      </w:tr>
      <w:tr w14:paraId="6CE2D7F5">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6BCFE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汛限水位</w:t>
            </w:r>
          </w:p>
        </w:tc>
        <w:tc>
          <w:tcPr>
            <w:tcW w:w="537" w:type="pct"/>
            <w:tcBorders>
              <w:tl2br w:val="nil"/>
              <w:tr2bl w:val="nil"/>
            </w:tcBorders>
            <w:shd w:val="clear" w:color="auto" w:fill="auto"/>
            <w:noWrap/>
            <w:vAlign w:val="center"/>
          </w:tcPr>
          <w:p w14:paraId="224CC7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m</w:t>
            </w:r>
          </w:p>
        </w:tc>
        <w:tc>
          <w:tcPr>
            <w:tcW w:w="945" w:type="pct"/>
            <w:tcBorders>
              <w:tl2br w:val="nil"/>
              <w:tr2bl w:val="nil"/>
            </w:tcBorders>
            <w:shd w:val="clear" w:color="auto" w:fill="auto"/>
            <w:noWrap/>
            <w:vAlign w:val="center"/>
          </w:tcPr>
          <w:p w14:paraId="65A626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165.70</w:t>
            </w:r>
          </w:p>
        </w:tc>
        <w:tc>
          <w:tcPr>
            <w:tcW w:w="972" w:type="pct"/>
            <w:tcBorders>
              <w:tl2br w:val="nil"/>
              <w:tr2bl w:val="nil"/>
            </w:tcBorders>
            <w:shd w:val="clear" w:color="auto" w:fill="auto"/>
            <w:noWrap/>
            <w:vAlign w:val="center"/>
          </w:tcPr>
          <w:p w14:paraId="464764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165.70</w:t>
            </w:r>
          </w:p>
        </w:tc>
        <w:tc>
          <w:tcPr>
            <w:tcW w:w="908" w:type="pct"/>
            <w:tcBorders>
              <w:tl2br w:val="nil"/>
              <w:tr2bl w:val="nil"/>
            </w:tcBorders>
            <w:shd w:val="clear" w:color="auto" w:fill="auto"/>
            <w:noWrap/>
            <w:vAlign w:val="center"/>
          </w:tcPr>
          <w:p w14:paraId="0C3702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165.70</w:t>
            </w:r>
          </w:p>
        </w:tc>
      </w:tr>
      <w:tr w14:paraId="1F2EC1AA">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2D2AE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死水位</w:t>
            </w:r>
          </w:p>
        </w:tc>
        <w:tc>
          <w:tcPr>
            <w:tcW w:w="537" w:type="pct"/>
            <w:tcBorders>
              <w:tl2br w:val="nil"/>
              <w:tr2bl w:val="nil"/>
            </w:tcBorders>
            <w:shd w:val="clear" w:color="auto" w:fill="auto"/>
            <w:noWrap/>
            <w:vAlign w:val="center"/>
          </w:tcPr>
          <w:p w14:paraId="231C4F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5C3217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163.00</w:t>
            </w:r>
          </w:p>
        </w:tc>
        <w:tc>
          <w:tcPr>
            <w:tcW w:w="972" w:type="pct"/>
            <w:tcBorders>
              <w:tl2br w:val="nil"/>
              <w:tr2bl w:val="nil"/>
            </w:tcBorders>
            <w:shd w:val="clear" w:color="auto" w:fill="auto"/>
            <w:noWrap/>
            <w:vAlign w:val="center"/>
          </w:tcPr>
          <w:p w14:paraId="75B687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163.00</w:t>
            </w:r>
          </w:p>
        </w:tc>
        <w:tc>
          <w:tcPr>
            <w:tcW w:w="908" w:type="pct"/>
            <w:tcBorders>
              <w:tl2br w:val="nil"/>
              <w:tr2bl w:val="nil"/>
            </w:tcBorders>
            <w:shd w:val="clear" w:color="auto" w:fill="auto"/>
            <w:noWrap/>
            <w:vAlign w:val="center"/>
          </w:tcPr>
          <w:p w14:paraId="04A834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color w:val="auto"/>
                <w:sz w:val="18"/>
                <w:szCs w:val="18"/>
                <w:highlight w:val="none"/>
                <w:lang w:val="en-US" w:eastAsia="zh-CN"/>
              </w:rPr>
              <w:t>163.00</w:t>
            </w:r>
          </w:p>
        </w:tc>
      </w:tr>
      <w:tr w14:paraId="4AE64B8F">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0B51F7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总库容</w:t>
            </w:r>
          </w:p>
        </w:tc>
        <w:tc>
          <w:tcPr>
            <w:tcW w:w="537" w:type="pct"/>
            <w:tcBorders>
              <w:tl2br w:val="nil"/>
              <w:tr2bl w:val="nil"/>
            </w:tcBorders>
            <w:shd w:val="clear" w:color="auto" w:fill="auto"/>
            <w:noWrap/>
            <w:vAlign w:val="center"/>
          </w:tcPr>
          <w:p w14:paraId="1333AB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r>
              <w:rPr>
                <w:rFonts w:hint="default" w:ascii="Times New Roman" w:hAnsi="Times New Roman" w:cs="Times New Roman"/>
                <w:color w:val="auto"/>
                <w:sz w:val="18"/>
                <w:szCs w:val="18"/>
                <w:highlight w:val="none"/>
                <w:vertAlign w:val="superscript"/>
              </w:rPr>
              <w:t>4</w:t>
            </w:r>
            <w:r>
              <w:rPr>
                <w:rFonts w:hint="default" w:ascii="Times New Roman" w:hAnsi="Times New Roman" w:cs="Times New Roman"/>
                <w:color w:val="auto"/>
                <w:sz w:val="18"/>
                <w:szCs w:val="18"/>
                <w:highlight w:val="none"/>
              </w:rPr>
              <w:t>m³</w:t>
            </w:r>
          </w:p>
        </w:tc>
        <w:tc>
          <w:tcPr>
            <w:tcW w:w="945" w:type="pct"/>
            <w:tcBorders>
              <w:tl2br w:val="nil"/>
              <w:tr2bl w:val="nil"/>
            </w:tcBorders>
            <w:shd w:val="clear" w:color="auto" w:fill="auto"/>
            <w:noWrap/>
            <w:vAlign w:val="center"/>
          </w:tcPr>
          <w:p w14:paraId="7CE171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254.00</w:t>
            </w:r>
          </w:p>
        </w:tc>
        <w:tc>
          <w:tcPr>
            <w:tcW w:w="972" w:type="pct"/>
            <w:tcBorders>
              <w:tl2br w:val="nil"/>
              <w:tr2bl w:val="nil"/>
            </w:tcBorders>
            <w:shd w:val="clear" w:color="auto" w:fill="auto"/>
            <w:noWrap/>
            <w:vAlign w:val="center"/>
          </w:tcPr>
          <w:p w14:paraId="1E9F26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207.00</w:t>
            </w:r>
          </w:p>
        </w:tc>
        <w:tc>
          <w:tcPr>
            <w:tcW w:w="908" w:type="pct"/>
            <w:tcBorders>
              <w:tl2br w:val="nil"/>
              <w:tr2bl w:val="nil"/>
            </w:tcBorders>
            <w:shd w:val="clear" w:color="auto" w:fill="auto"/>
            <w:noWrap/>
            <w:vAlign w:val="center"/>
          </w:tcPr>
          <w:p w14:paraId="6F9C86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207.00</w:t>
            </w:r>
          </w:p>
        </w:tc>
      </w:tr>
      <w:tr w14:paraId="040DEFF7">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6B16BD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兴利库容</w:t>
            </w:r>
          </w:p>
        </w:tc>
        <w:tc>
          <w:tcPr>
            <w:tcW w:w="537" w:type="pct"/>
            <w:tcBorders>
              <w:tl2br w:val="nil"/>
              <w:tr2bl w:val="nil"/>
            </w:tcBorders>
            <w:shd w:val="clear" w:color="auto" w:fill="auto"/>
            <w:noWrap/>
            <w:vAlign w:val="center"/>
          </w:tcPr>
          <w:p w14:paraId="2A6064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r>
              <w:rPr>
                <w:rFonts w:hint="default" w:ascii="Times New Roman" w:hAnsi="Times New Roman" w:cs="Times New Roman"/>
                <w:color w:val="auto"/>
                <w:sz w:val="18"/>
                <w:szCs w:val="18"/>
                <w:highlight w:val="none"/>
                <w:vertAlign w:val="superscript"/>
              </w:rPr>
              <w:t>4</w:t>
            </w:r>
            <w:r>
              <w:rPr>
                <w:rFonts w:hint="default" w:ascii="Times New Roman" w:hAnsi="Times New Roman" w:cs="Times New Roman"/>
                <w:color w:val="auto"/>
                <w:sz w:val="18"/>
                <w:szCs w:val="18"/>
                <w:highlight w:val="none"/>
              </w:rPr>
              <w:t>m³</w:t>
            </w:r>
          </w:p>
        </w:tc>
        <w:tc>
          <w:tcPr>
            <w:tcW w:w="945" w:type="pct"/>
            <w:tcBorders>
              <w:tl2br w:val="nil"/>
              <w:tr2bl w:val="nil"/>
            </w:tcBorders>
            <w:shd w:val="clear" w:color="auto" w:fill="auto"/>
            <w:noWrap/>
            <w:vAlign w:val="center"/>
          </w:tcPr>
          <w:p w14:paraId="50E6FA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140.00</w:t>
            </w:r>
          </w:p>
        </w:tc>
        <w:tc>
          <w:tcPr>
            <w:tcW w:w="972" w:type="pct"/>
            <w:tcBorders>
              <w:tl2br w:val="nil"/>
              <w:tr2bl w:val="nil"/>
            </w:tcBorders>
            <w:shd w:val="clear" w:color="auto" w:fill="auto"/>
            <w:noWrap/>
            <w:vAlign w:val="center"/>
          </w:tcPr>
          <w:p w14:paraId="0CF612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98.87</w:t>
            </w:r>
          </w:p>
        </w:tc>
        <w:tc>
          <w:tcPr>
            <w:tcW w:w="908" w:type="pct"/>
            <w:tcBorders>
              <w:tl2br w:val="nil"/>
              <w:tr2bl w:val="nil"/>
            </w:tcBorders>
            <w:shd w:val="clear" w:color="auto" w:fill="auto"/>
            <w:noWrap/>
            <w:vAlign w:val="center"/>
          </w:tcPr>
          <w:p w14:paraId="74D343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98.87</w:t>
            </w:r>
          </w:p>
        </w:tc>
      </w:tr>
      <w:tr w14:paraId="567AD94D">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1DA130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汛限水位对应库容</w:t>
            </w:r>
          </w:p>
        </w:tc>
        <w:tc>
          <w:tcPr>
            <w:tcW w:w="537" w:type="pct"/>
            <w:tcBorders>
              <w:tl2br w:val="nil"/>
              <w:tr2bl w:val="nil"/>
            </w:tcBorders>
            <w:shd w:val="clear" w:color="auto" w:fill="auto"/>
            <w:noWrap/>
            <w:vAlign w:val="center"/>
          </w:tcPr>
          <w:p w14:paraId="10FB41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r>
              <w:rPr>
                <w:rFonts w:hint="default" w:ascii="Times New Roman" w:hAnsi="Times New Roman" w:cs="Times New Roman"/>
                <w:color w:val="auto"/>
                <w:sz w:val="18"/>
                <w:szCs w:val="18"/>
                <w:highlight w:val="none"/>
                <w:vertAlign w:val="superscript"/>
              </w:rPr>
              <w:t>4</w:t>
            </w:r>
            <w:r>
              <w:rPr>
                <w:rFonts w:hint="default" w:ascii="Times New Roman" w:hAnsi="Times New Roman" w:cs="Times New Roman"/>
                <w:color w:val="auto"/>
                <w:sz w:val="18"/>
                <w:szCs w:val="18"/>
                <w:highlight w:val="none"/>
              </w:rPr>
              <w:t>m³</w:t>
            </w:r>
          </w:p>
        </w:tc>
        <w:tc>
          <w:tcPr>
            <w:tcW w:w="945" w:type="pct"/>
            <w:tcBorders>
              <w:tl2br w:val="nil"/>
              <w:tr2bl w:val="nil"/>
            </w:tcBorders>
            <w:shd w:val="clear" w:color="auto" w:fill="auto"/>
            <w:noWrap/>
            <w:vAlign w:val="center"/>
          </w:tcPr>
          <w:p w14:paraId="02CC64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172.00</w:t>
            </w:r>
          </w:p>
        </w:tc>
        <w:tc>
          <w:tcPr>
            <w:tcW w:w="972" w:type="pct"/>
            <w:tcBorders>
              <w:tl2br w:val="nil"/>
              <w:tr2bl w:val="nil"/>
            </w:tcBorders>
            <w:shd w:val="clear" w:color="auto" w:fill="auto"/>
            <w:noWrap/>
            <w:vAlign w:val="center"/>
          </w:tcPr>
          <w:p w14:paraId="4B9030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109.93</w:t>
            </w:r>
          </w:p>
        </w:tc>
        <w:tc>
          <w:tcPr>
            <w:tcW w:w="908" w:type="pct"/>
            <w:tcBorders>
              <w:tl2br w:val="nil"/>
              <w:tr2bl w:val="nil"/>
            </w:tcBorders>
            <w:shd w:val="clear" w:color="auto" w:fill="auto"/>
            <w:noWrap/>
            <w:vAlign w:val="center"/>
          </w:tcPr>
          <w:p w14:paraId="21C57C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109.93</w:t>
            </w:r>
          </w:p>
        </w:tc>
      </w:tr>
      <w:tr w14:paraId="39410514">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6DCF27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死库容</w:t>
            </w:r>
          </w:p>
        </w:tc>
        <w:tc>
          <w:tcPr>
            <w:tcW w:w="537" w:type="pct"/>
            <w:tcBorders>
              <w:tl2br w:val="nil"/>
              <w:tr2bl w:val="nil"/>
            </w:tcBorders>
            <w:shd w:val="clear" w:color="auto" w:fill="auto"/>
            <w:noWrap/>
            <w:vAlign w:val="center"/>
          </w:tcPr>
          <w:p w14:paraId="313D22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r>
              <w:rPr>
                <w:rFonts w:hint="default" w:ascii="Times New Roman" w:hAnsi="Times New Roman" w:cs="Times New Roman"/>
                <w:color w:val="auto"/>
                <w:sz w:val="18"/>
                <w:szCs w:val="18"/>
                <w:highlight w:val="none"/>
                <w:vertAlign w:val="superscript"/>
              </w:rPr>
              <w:t>4</w:t>
            </w:r>
            <w:r>
              <w:rPr>
                <w:rFonts w:hint="default" w:ascii="Times New Roman" w:hAnsi="Times New Roman" w:cs="Times New Roman"/>
                <w:color w:val="auto"/>
                <w:sz w:val="18"/>
                <w:szCs w:val="18"/>
                <w:highlight w:val="none"/>
              </w:rPr>
              <w:t>m³</w:t>
            </w:r>
          </w:p>
        </w:tc>
        <w:tc>
          <w:tcPr>
            <w:tcW w:w="945" w:type="pct"/>
            <w:tcBorders>
              <w:tl2br w:val="nil"/>
              <w:tr2bl w:val="nil"/>
            </w:tcBorders>
            <w:shd w:val="clear" w:color="auto" w:fill="auto"/>
            <w:noWrap/>
            <w:vAlign w:val="center"/>
          </w:tcPr>
          <w:p w14:paraId="097597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32.00</w:t>
            </w:r>
          </w:p>
        </w:tc>
        <w:tc>
          <w:tcPr>
            <w:tcW w:w="972" w:type="pct"/>
            <w:tcBorders>
              <w:tl2br w:val="nil"/>
              <w:tr2bl w:val="nil"/>
            </w:tcBorders>
            <w:shd w:val="clear" w:color="auto" w:fill="auto"/>
            <w:noWrap/>
            <w:vAlign w:val="center"/>
          </w:tcPr>
          <w:p w14:paraId="4D3E71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11.06</w:t>
            </w:r>
          </w:p>
        </w:tc>
        <w:tc>
          <w:tcPr>
            <w:tcW w:w="908" w:type="pct"/>
            <w:tcBorders>
              <w:tl2br w:val="nil"/>
              <w:tr2bl w:val="nil"/>
            </w:tcBorders>
            <w:shd w:val="clear" w:color="auto" w:fill="auto"/>
            <w:noWrap/>
            <w:vAlign w:val="center"/>
          </w:tcPr>
          <w:p w14:paraId="632251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11.06</w:t>
            </w:r>
          </w:p>
        </w:tc>
      </w:tr>
      <w:tr w14:paraId="70329030">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0F4CE9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校核洪水位时最大泄量</w:t>
            </w:r>
          </w:p>
        </w:tc>
        <w:tc>
          <w:tcPr>
            <w:tcW w:w="537" w:type="pct"/>
            <w:tcBorders>
              <w:tl2br w:val="nil"/>
              <w:tr2bl w:val="nil"/>
            </w:tcBorders>
            <w:shd w:val="clear" w:color="auto" w:fill="auto"/>
            <w:noWrap/>
            <w:vAlign w:val="center"/>
          </w:tcPr>
          <w:p w14:paraId="529082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m³/s</w:t>
            </w:r>
          </w:p>
        </w:tc>
        <w:tc>
          <w:tcPr>
            <w:tcW w:w="945" w:type="pct"/>
            <w:tcBorders>
              <w:tl2br w:val="nil"/>
              <w:tr2bl w:val="nil"/>
            </w:tcBorders>
            <w:shd w:val="clear" w:color="auto" w:fill="auto"/>
            <w:noWrap/>
            <w:vAlign w:val="center"/>
          </w:tcPr>
          <w:p w14:paraId="6CD8DB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65.10</w:t>
            </w:r>
          </w:p>
        </w:tc>
        <w:tc>
          <w:tcPr>
            <w:tcW w:w="972" w:type="pct"/>
            <w:tcBorders>
              <w:tl2br w:val="nil"/>
              <w:tr2bl w:val="nil"/>
            </w:tcBorders>
            <w:shd w:val="clear" w:color="auto" w:fill="auto"/>
            <w:noWrap/>
            <w:vAlign w:val="center"/>
          </w:tcPr>
          <w:p w14:paraId="22C15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59.43</w:t>
            </w:r>
          </w:p>
        </w:tc>
        <w:tc>
          <w:tcPr>
            <w:tcW w:w="908" w:type="pct"/>
            <w:tcBorders>
              <w:tl2br w:val="nil"/>
              <w:tr2bl w:val="nil"/>
            </w:tcBorders>
            <w:shd w:val="clear" w:color="auto" w:fill="auto"/>
            <w:noWrap/>
            <w:vAlign w:val="center"/>
          </w:tcPr>
          <w:p w14:paraId="549D83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59.43</w:t>
            </w:r>
          </w:p>
        </w:tc>
      </w:tr>
      <w:tr w14:paraId="199114B3">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8F973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设计洪水位时最大泄量</w:t>
            </w:r>
          </w:p>
        </w:tc>
        <w:tc>
          <w:tcPr>
            <w:tcW w:w="537" w:type="pct"/>
            <w:tcBorders>
              <w:tl2br w:val="nil"/>
              <w:tr2bl w:val="nil"/>
            </w:tcBorders>
            <w:shd w:val="clear" w:color="auto" w:fill="auto"/>
            <w:noWrap/>
            <w:vAlign w:val="center"/>
          </w:tcPr>
          <w:p w14:paraId="2583DD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m³/s</w:t>
            </w:r>
          </w:p>
        </w:tc>
        <w:tc>
          <w:tcPr>
            <w:tcW w:w="945" w:type="pct"/>
            <w:tcBorders>
              <w:tl2br w:val="nil"/>
              <w:tr2bl w:val="nil"/>
            </w:tcBorders>
            <w:shd w:val="clear" w:color="auto" w:fill="auto"/>
            <w:noWrap/>
            <w:vAlign w:val="center"/>
          </w:tcPr>
          <w:p w14:paraId="71C43E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28.10</w:t>
            </w:r>
          </w:p>
        </w:tc>
        <w:tc>
          <w:tcPr>
            <w:tcW w:w="972" w:type="pct"/>
            <w:tcBorders>
              <w:tl2br w:val="nil"/>
              <w:tr2bl w:val="nil"/>
            </w:tcBorders>
            <w:shd w:val="clear" w:color="auto" w:fill="auto"/>
            <w:noWrap/>
            <w:vAlign w:val="center"/>
          </w:tcPr>
          <w:p w14:paraId="0A9652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27.52</w:t>
            </w:r>
          </w:p>
        </w:tc>
        <w:tc>
          <w:tcPr>
            <w:tcW w:w="908" w:type="pct"/>
            <w:tcBorders>
              <w:tl2br w:val="nil"/>
              <w:tr2bl w:val="nil"/>
            </w:tcBorders>
            <w:shd w:val="clear" w:color="auto" w:fill="auto"/>
            <w:noWrap/>
            <w:vAlign w:val="center"/>
          </w:tcPr>
          <w:p w14:paraId="19B978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27.52</w:t>
            </w:r>
          </w:p>
        </w:tc>
      </w:tr>
      <w:tr w14:paraId="45A30102">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29CF6F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三、主要建筑物</w:t>
            </w:r>
          </w:p>
        </w:tc>
        <w:tc>
          <w:tcPr>
            <w:tcW w:w="537" w:type="pct"/>
            <w:tcBorders>
              <w:tl2br w:val="nil"/>
              <w:tr2bl w:val="nil"/>
            </w:tcBorders>
            <w:shd w:val="clear" w:color="auto" w:fill="auto"/>
            <w:noWrap/>
            <w:vAlign w:val="center"/>
          </w:tcPr>
          <w:p w14:paraId="27B15E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103EF2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72" w:type="pct"/>
            <w:tcBorders>
              <w:tl2br w:val="nil"/>
              <w:tr2bl w:val="nil"/>
            </w:tcBorders>
            <w:shd w:val="clear" w:color="auto" w:fill="auto"/>
            <w:noWrap/>
            <w:vAlign w:val="center"/>
          </w:tcPr>
          <w:p w14:paraId="7EBCF8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c>
          <w:tcPr>
            <w:tcW w:w="908" w:type="pct"/>
            <w:tcBorders>
              <w:tl2br w:val="nil"/>
              <w:tr2bl w:val="nil"/>
            </w:tcBorders>
            <w:shd w:val="clear" w:color="auto" w:fill="auto"/>
            <w:noWrap/>
            <w:vAlign w:val="center"/>
          </w:tcPr>
          <w:p w14:paraId="690BE7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6D6A7CED">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183054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1.大坝</w:t>
            </w:r>
          </w:p>
        </w:tc>
        <w:tc>
          <w:tcPr>
            <w:tcW w:w="537" w:type="pct"/>
            <w:tcBorders>
              <w:tl2br w:val="nil"/>
              <w:tr2bl w:val="nil"/>
            </w:tcBorders>
            <w:shd w:val="clear" w:color="auto" w:fill="auto"/>
            <w:noWrap/>
            <w:vAlign w:val="center"/>
          </w:tcPr>
          <w:p w14:paraId="47BF09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142209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72" w:type="pct"/>
            <w:tcBorders>
              <w:tl2br w:val="nil"/>
              <w:tr2bl w:val="nil"/>
            </w:tcBorders>
            <w:shd w:val="clear" w:color="auto" w:fill="auto"/>
            <w:noWrap/>
            <w:vAlign w:val="center"/>
          </w:tcPr>
          <w:p w14:paraId="751929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08" w:type="pct"/>
            <w:tcBorders>
              <w:tl2br w:val="nil"/>
              <w:tr2bl w:val="nil"/>
            </w:tcBorders>
            <w:shd w:val="clear" w:color="auto" w:fill="auto"/>
            <w:noWrap/>
            <w:vAlign w:val="center"/>
          </w:tcPr>
          <w:p w14:paraId="215EE1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r>
      <w:tr w14:paraId="51F19DBA">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524BB4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型式</w:t>
            </w:r>
          </w:p>
        </w:tc>
        <w:tc>
          <w:tcPr>
            <w:tcW w:w="537" w:type="pct"/>
            <w:tcBorders>
              <w:tl2br w:val="nil"/>
              <w:tr2bl w:val="nil"/>
            </w:tcBorders>
            <w:shd w:val="clear" w:color="auto" w:fill="auto"/>
            <w:noWrap/>
            <w:vAlign w:val="center"/>
          </w:tcPr>
          <w:p w14:paraId="48032A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5CDE8A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土坝</w:t>
            </w:r>
          </w:p>
        </w:tc>
        <w:tc>
          <w:tcPr>
            <w:tcW w:w="972" w:type="pct"/>
            <w:tcBorders>
              <w:tl2br w:val="nil"/>
              <w:tr2bl w:val="nil"/>
            </w:tcBorders>
            <w:shd w:val="clear" w:color="auto" w:fill="auto"/>
            <w:noWrap/>
            <w:vAlign w:val="center"/>
          </w:tcPr>
          <w:p w14:paraId="3720F5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土坝</w:t>
            </w:r>
          </w:p>
        </w:tc>
        <w:tc>
          <w:tcPr>
            <w:tcW w:w="908" w:type="pct"/>
            <w:tcBorders>
              <w:tl2br w:val="nil"/>
              <w:tr2bl w:val="nil"/>
            </w:tcBorders>
            <w:shd w:val="clear" w:color="auto" w:fill="auto"/>
            <w:noWrap/>
            <w:vAlign w:val="center"/>
          </w:tcPr>
          <w:p w14:paraId="197546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土坝</w:t>
            </w:r>
          </w:p>
        </w:tc>
      </w:tr>
      <w:tr w14:paraId="25E0AF41">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649641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地基特性</w:t>
            </w:r>
          </w:p>
        </w:tc>
        <w:tc>
          <w:tcPr>
            <w:tcW w:w="537" w:type="pct"/>
            <w:tcBorders>
              <w:tl2br w:val="nil"/>
              <w:tr2bl w:val="nil"/>
            </w:tcBorders>
            <w:shd w:val="clear" w:color="auto" w:fill="auto"/>
            <w:noWrap/>
            <w:vAlign w:val="center"/>
          </w:tcPr>
          <w:p w14:paraId="7D3099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61970E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粘土</w:t>
            </w:r>
          </w:p>
        </w:tc>
        <w:tc>
          <w:tcPr>
            <w:tcW w:w="972" w:type="pct"/>
            <w:tcBorders>
              <w:tl2br w:val="nil"/>
              <w:tr2bl w:val="nil"/>
            </w:tcBorders>
            <w:shd w:val="clear" w:color="auto" w:fill="auto"/>
            <w:noWrap/>
            <w:vAlign w:val="center"/>
          </w:tcPr>
          <w:p w14:paraId="6673B9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粘土</w:t>
            </w:r>
          </w:p>
        </w:tc>
        <w:tc>
          <w:tcPr>
            <w:tcW w:w="908" w:type="pct"/>
            <w:tcBorders>
              <w:tl2br w:val="nil"/>
              <w:tr2bl w:val="nil"/>
            </w:tcBorders>
            <w:shd w:val="clear" w:color="auto" w:fill="auto"/>
            <w:noWrap/>
            <w:vAlign w:val="center"/>
          </w:tcPr>
          <w:p w14:paraId="40039D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粘土</w:t>
            </w:r>
          </w:p>
        </w:tc>
      </w:tr>
      <w:tr w14:paraId="15860EE1">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1583C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坝顶高程</w:t>
            </w:r>
          </w:p>
        </w:tc>
        <w:tc>
          <w:tcPr>
            <w:tcW w:w="537" w:type="pct"/>
            <w:tcBorders>
              <w:tl2br w:val="nil"/>
              <w:tr2bl w:val="nil"/>
            </w:tcBorders>
            <w:shd w:val="clear" w:color="auto" w:fill="auto"/>
            <w:noWrap/>
            <w:vAlign w:val="center"/>
          </w:tcPr>
          <w:p w14:paraId="0F24D6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6C9EC4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168.49</w:t>
            </w:r>
          </w:p>
        </w:tc>
        <w:tc>
          <w:tcPr>
            <w:tcW w:w="972" w:type="pct"/>
            <w:tcBorders>
              <w:tl2br w:val="nil"/>
              <w:tr2bl w:val="nil"/>
            </w:tcBorders>
            <w:shd w:val="clear" w:color="auto" w:fill="auto"/>
            <w:noWrap/>
            <w:vAlign w:val="center"/>
          </w:tcPr>
          <w:p w14:paraId="2955B4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168.40~169.01</w:t>
            </w:r>
          </w:p>
        </w:tc>
        <w:tc>
          <w:tcPr>
            <w:tcW w:w="908" w:type="pct"/>
            <w:tcBorders>
              <w:tl2br w:val="nil"/>
              <w:tr2bl w:val="nil"/>
            </w:tcBorders>
            <w:shd w:val="clear" w:color="auto" w:fill="auto"/>
            <w:noWrap/>
            <w:vAlign w:val="center"/>
          </w:tcPr>
          <w:p w14:paraId="19A956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168.91~169.49</w:t>
            </w:r>
          </w:p>
        </w:tc>
      </w:tr>
      <w:tr w14:paraId="21182C6E">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6A06E0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最大坝高</w:t>
            </w:r>
          </w:p>
        </w:tc>
        <w:tc>
          <w:tcPr>
            <w:tcW w:w="537" w:type="pct"/>
            <w:tcBorders>
              <w:tl2br w:val="nil"/>
              <w:tr2bl w:val="nil"/>
            </w:tcBorders>
            <w:shd w:val="clear" w:color="auto" w:fill="auto"/>
            <w:noWrap/>
            <w:vAlign w:val="center"/>
          </w:tcPr>
          <w:p w14:paraId="32E0DF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m</w:t>
            </w:r>
          </w:p>
        </w:tc>
        <w:tc>
          <w:tcPr>
            <w:tcW w:w="945" w:type="pct"/>
            <w:tcBorders>
              <w:tl2br w:val="nil"/>
              <w:tr2bl w:val="nil"/>
            </w:tcBorders>
            <w:shd w:val="clear" w:color="auto" w:fill="auto"/>
            <w:noWrap/>
            <w:vAlign w:val="center"/>
          </w:tcPr>
          <w:p w14:paraId="3F9208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8.29</w:t>
            </w:r>
          </w:p>
        </w:tc>
        <w:tc>
          <w:tcPr>
            <w:tcW w:w="972" w:type="pct"/>
            <w:tcBorders>
              <w:tl2br w:val="nil"/>
              <w:tr2bl w:val="nil"/>
            </w:tcBorders>
            <w:shd w:val="clear" w:color="auto" w:fill="auto"/>
            <w:noWrap/>
            <w:vAlign w:val="center"/>
          </w:tcPr>
          <w:p w14:paraId="73F440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8.72</w:t>
            </w:r>
          </w:p>
        </w:tc>
        <w:tc>
          <w:tcPr>
            <w:tcW w:w="908" w:type="pct"/>
            <w:tcBorders>
              <w:tl2br w:val="nil"/>
              <w:tr2bl w:val="nil"/>
            </w:tcBorders>
            <w:shd w:val="clear" w:color="auto" w:fill="auto"/>
            <w:noWrap/>
            <w:vAlign w:val="center"/>
          </w:tcPr>
          <w:p w14:paraId="5BA1C3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9.09</w:t>
            </w:r>
          </w:p>
        </w:tc>
      </w:tr>
      <w:tr w14:paraId="5953F51C">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25F028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坝顶宽度</w:t>
            </w:r>
          </w:p>
        </w:tc>
        <w:tc>
          <w:tcPr>
            <w:tcW w:w="537" w:type="pct"/>
            <w:tcBorders>
              <w:tl2br w:val="nil"/>
              <w:tr2bl w:val="nil"/>
            </w:tcBorders>
            <w:shd w:val="clear" w:color="auto" w:fill="auto"/>
            <w:noWrap/>
            <w:vAlign w:val="center"/>
          </w:tcPr>
          <w:p w14:paraId="056392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72917F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5.0</w:t>
            </w:r>
          </w:p>
        </w:tc>
        <w:tc>
          <w:tcPr>
            <w:tcW w:w="972" w:type="pct"/>
            <w:tcBorders>
              <w:tl2br w:val="nil"/>
              <w:tr2bl w:val="nil"/>
            </w:tcBorders>
            <w:shd w:val="clear" w:color="auto" w:fill="auto"/>
            <w:noWrap/>
            <w:vAlign w:val="center"/>
          </w:tcPr>
          <w:p w14:paraId="287F91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5.0</w:t>
            </w:r>
          </w:p>
        </w:tc>
        <w:tc>
          <w:tcPr>
            <w:tcW w:w="908" w:type="pct"/>
            <w:tcBorders>
              <w:tl2br w:val="nil"/>
              <w:tr2bl w:val="nil"/>
            </w:tcBorders>
            <w:shd w:val="clear" w:color="auto" w:fill="auto"/>
            <w:noWrap/>
            <w:vAlign w:val="center"/>
          </w:tcPr>
          <w:p w14:paraId="13311A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5.0</w:t>
            </w:r>
          </w:p>
        </w:tc>
      </w:tr>
      <w:tr w14:paraId="09245584">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357DC0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坝顶长度</w:t>
            </w:r>
          </w:p>
        </w:tc>
        <w:tc>
          <w:tcPr>
            <w:tcW w:w="537" w:type="pct"/>
            <w:tcBorders>
              <w:tl2br w:val="nil"/>
              <w:tr2bl w:val="nil"/>
            </w:tcBorders>
            <w:shd w:val="clear" w:color="auto" w:fill="auto"/>
            <w:noWrap/>
            <w:vAlign w:val="center"/>
          </w:tcPr>
          <w:p w14:paraId="70B817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262E94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583</w:t>
            </w:r>
          </w:p>
        </w:tc>
        <w:tc>
          <w:tcPr>
            <w:tcW w:w="972" w:type="pct"/>
            <w:tcBorders>
              <w:tl2br w:val="nil"/>
              <w:tr2bl w:val="nil"/>
            </w:tcBorders>
            <w:shd w:val="clear" w:color="auto" w:fill="auto"/>
            <w:noWrap/>
            <w:vAlign w:val="center"/>
          </w:tcPr>
          <w:p w14:paraId="53CA86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583</w:t>
            </w:r>
          </w:p>
        </w:tc>
        <w:tc>
          <w:tcPr>
            <w:tcW w:w="908" w:type="pct"/>
            <w:tcBorders>
              <w:tl2br w:val="nil"/>
              <w:tr2bl w:val="nil"/>
            </w:tcBorders>
            <w:shd w:val="clear" w:color="auto" w:fill="auto"/>
            <w:noWrap/>
            <w:vAlign w:val="center"/>
          </w:tcPr>
          <w:p w14:paraId="3A90AA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583</w:t>
            </w:r>
          </w:p>
        </w:tc>
      </w:tr>
      <w:tr w14:paraId="31698A91">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3671BB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上游边坡</w:t>
            </w:r>
          </w:p>
        </w:tc>
        <w:tc>
          <w:tcPr>
            <w:tcW w:w="537" w:type="pct"/>
            <w:tcBorders>
              <w:tl2br w:val="nil"/>
              <w:tr2bl w:val="nil"/>
            </w:tcBorders>
            <w:shd w:val="clear" w:color="auto" w:fill="auto"/>
            <w:noWrap/>
            <w:vAlign w:val="center"/>
          </w:tcPr>
          <w:p w14:paraId="799FAC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3798DD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1：3</w:t>
            </w:r>
          </w:p>
        </w:tc>
        <w:tc>
          <w:tcPr>
            <w:tcW w:w="972" w:type="pct"/>
            <w:tcBorders>
              <w:tl2br w:val="nil"/>
              <w:tr2bl w:val="nil"/>
            </w:tcBorders>
            <w:shd w:val="clear" w:color="auto" w:fill="auto"/>
            <w:noWrap/>
            <w:vAlign w:val="center"/>
          </w:tcPr>
          <w:p w14:paraId="07D95D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w:t>
            </w:r>
          </w:p>
        </w:tc>
        <w:tc>
          <w:tcPr>
            <w:tcW w:w="908" w:type="pct"/>
            <w:tcBorders>
              <w:tl2br w:val="nil"/>
              <w:tr2bl w:val="nil"/>
            </w:tcBorders>
            <w:shd w:val="clear" w:color="auto" w:fill="auto"/>
            <w:noWrap/>
            <w:vAlign w:val="center"/>
          </w:tcPr>
          <w:p w14:paraId="308FF1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w:t>
            </w:r>
          </w:p>
        </w:tc>
      </w:tr>
      <w:tr w14:paraId="57E06D22">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6223AC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下游边坡</w:t>
            </w:r>
          </w:p>
        </w:tc>
        <w:tc>
          <w:tcPr>
            <w:tcW w:w="537" w:type="pct"/>
            <w:tcBorders>
              <w:tl2br w:val="nil"/>
              <w:tr2bl w:val="nil"/>
            </w:tcBorders>
            <w:shd w:val="clear" w:color="auto" w:fill="auto"/>
            <w:noWrap/>
            <w:vAlign w:val="center"/>
          </w:tcPr>
          <w:p w14:paraId="0AEC7E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3DE935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1：2.5</w:t>
            </w:r>
          </w:p>
        </w:tc>
        <w:tc>
          <w:tcPr>
            <w:tcW w:w="972" w:type="pct"/>
            <w:tcBorders>
              <w:tl2br w:val="nil"/>
              <w:tr2bl w:val="nil"/>
            </w:tcBorders>
            <w:shd w:val="clear" w:color="auto" w:fill="auto"/>
            <w:noWrap/>
            <w:vAlign w:val="center"/>
          </w:tcPr>
          <w:p w14:paraId="1F1F30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1：2.5</w:t>
            </w:r>
          </w:p>
        </w:tc>
        <w:tc>
          <w:tcPr>
            <w:tcW w:w="908" w:type="pct"/>
            <w:tcBorders>
              <w:tl2br w:val="nil"/>
              <w:tr2bl w:val="nil"/>
            </w:tcBorders>
            <w:shd w:val="clear" w:color="auto" w:fill="auto"/>
            <w:noWrap/>
            <w:vAlign w:val="center"/>
          </w:tcPr>
          <w:p w14:paraId="4451EF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1：2.5</w:t>
            </w:r>
          </w:p>
        </w:tc>
      </w:tr>
      <w:tr w14:paraId="37A6BB9C">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8A6F4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2、泄水建筑物</w:t>
            </w:r>
          </w:p>
        </w:tc>
        <w:tc>
          <w:tcPr>
            <w:tcW w:w="537" w:type="pct"/>
            <w:tcBorders>
              <w:tl2br w:val="nil"/>
              <w:tr2bl w:val="nil"/>
            </w:tcBorders>
            <w:shd w:val="clear" w:color="auto" w:fill="auto"/>
            <w:noWrap/>
            <w:vAlign w:val="center"/>
          </w:tcPr>
          <w:p w14:paraId="0A5180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3B1A02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72" w:type="pct"/>
            <w:tcBorders>
              <w:tl2br w:val="nil"/>
              <w:tr2bl w:val="nil"/>
            </w:tcBorders>
            <w:shd w:val="clear" w:color="auto" w:fill="auto"/>
            <w:noWrap/>
            <w:vAlign w:val="center"/>
          </w:tcPr>
          <w:p w14:paraId="1464A4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08" w:type="pct"/>
            <w:tcBorders>
              <w:tl2br w:val="nil"/>
              <w:tr2bl w:val="nil"/>
            </w:tcBorders>
            <w:shd w:val="clear" w:color="auto" w:fill="auto"/>
            <w:noWrap/>
            <w:vAlign w:val="center"/>
          </w:tcPr>
          <w:p w14:paraId="7AF340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r>
      <w:tr w14:paraId="2D3D1E80">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7366B3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型式</w:t>
            </w:r>
          </w:p>
        </w:tc>
        <w:tc>
          <w:tcPr>
            <w:tcW w:w="537" w:type="pct"/>
            <w:tcBorders>
              <w:tl2br w:val="nil"/>
              <w:tr2bl w:val="nil"/>
            </w:tcBorders>
            <w:shd w:val="clear" w:color="auto" w:fill="auto"/>
            <w:noWrap/>
            <w:vAlign w:val="center"/>
          </w:tcPr>
          <w:p w14:paraId="2BB5AF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43CFD8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无闸开敞式</w:t>
            </w:r>
          </w:p>
        </w:tc>
        <w:tc>
          <w:tcPr>
            <w:tcW w:w="972" w:type="pct"/>
            <w:tcBorders>
              <w:tl2br w:val="nil"/>
              <w:tr2bl w:val="nil"/>
            </w:tcBorders>
            <w:shd w:val="clear" w:color="auto" w:fill="auto"/>
            <w:noWrap/>
            <w:vAlign w:val="center"/>
          </w:tcPr>
          <w:p w14:paraId="11A83D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无闸开敞式</w:t>
            </w:r>
          </w:p>
        </w:tc>
        <w:tc>
          <w:tcPr>
            <w:tcW w:w="908" w:type="pct"/>
            <w:tcBorders>
              <w:tl2br w:val="nil"/>
              <w:tr2bl w:val="nil"/>
            </w:tcBorders>
            <w:shd w:val="clear" w:color="auto" w:fill="auto"/>
            <w:noWrap/>
            <w:vAlign w:val="center"/>
          </w:tcPr>
          <w:p w14:paraId="4D58A4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无闸开敞式</w:t>
            </w:r>
          </w:p>
        </w:tc>
      </w:tr>
      <w:tr w14:paraId="3733CC1F">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30CBA5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消能方式</w:t>
            </w:r>
          </w:p>
        </w:tc>
        <w:tc>
          <w:tcPr>
            <w:tcW w:w="537" w:type="pct"/>
            <w:tcBorders>
              <w:tl2br w:val="nil"/>
              <w:tr2bl w:val="nil"/>
            </w:tcBorders>
            <w:shd w:val="clear" w:color="auto" w:fill="auto"/>
            <w:noWrap/>
            <w:vAlign w:val="center"/>
          </w:tcPr>
          <w:p w14:paraId="68F1AA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59044E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color w:val="auto"/>
                <w:sz w:val="18"/>
                <w:szCs w:val="18"/>
                <w:highlight w:val="none"/>
              </w:rPr>
              <w:t>消力池</w:t>
            </w:r>
          </w:p>
        </w:tc>
        <w:tc>
          <w:tcPr>
            <w:tcW w:w="972" w:type="pct"/>
            <w:tcBorders>
              <w:tl2br w:val="nil"/>
              <w:tr2bl w:val="nil"/>
            </w:tcBorders>
            <w:shd w:val="clear" w:color="auto" w:fill="auto"/>
            <w:noWrap/>
            <w:vAlign w:val="center"/>
          </w:tcPr>
          <w:p w14:paraId="45DFE2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消力池</w:t>
            </w:r>
          </w:p>
        </w:tc>
        <w:tc>
          <w:tcPr>
            <w:tcW w:w="908" w:type="pct"/>
            <w:tcBorders>
              <w:tl2br w:val="nil"/>
              <w:tr2bl w:val="nil"/>
            </w:tcBorders>
            <w:shd w:val="clear" w:color="auto" w:fill="auto"/>
            <w:noWrap/>
            <w:vAlign w:val="center"/>
          </w:tcPr>
          <w:p w14:paraId="70B5D8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消力池</w:t>
            </w:r>
          </w:p>
        </w:tc>
      </w:tr>
      <w:tr w14:paraId="479044CE">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D8699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堰顶高程</w:t>
            </w:r>
          </w:p>
        </w:tc>
        <w:tc>
          <w:tcPr>
            <w:tcW w:w="537" w:type="pct"/>
            <w:tcBorders>
              <w:tl2br w:val="nil"/>
              <w:tr2bl w:val="nil"/>
            </w:tcBorders>
            <w:shd w:val="clear" w:color="auto" w:fill="auto"/>
            <w:noWrap/>
            <w:vAlign w:val="center"/>
          </w:tcPr>
          <w:p w14:paraId="470262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46E876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165.70</w:t>
            </w:r>
          </w:p>
        </w:tc>
        <w:tc>
          <w:tcPr>
            <w:tcW w:w="972" w:type="pct"/>
            <w:tcBorders>
              <w:tl2br w:val="nil"/>
              <w:tr2bl w:val="nil"/>
            </w:tcBorders>
            <w:shd w:val="clear" w:color="auto" w:fill="auto"/>
            <w:noWrap/>
            <w:vAlign w:val="center"/>
          </w:tcPr>
          <w:p w14:paraId="5FABBF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165.70</w:t>
            </w:r>
          </w:p>
        </w:tc>
        <w:tc>
          <w:tcPr>
            <w:tcW w:w="908" w:type="pct"/>
            <w:tcBorders>
              <w:tl2br w:val="nil"/>
              <w:tr2bl w:val="nil"/>
            </w:tcBorders>
            <w:shd w:val="clear" w:color="auto" w:fill="auto"/>
            <w:noWrap/>
            <w:vAlign w:val="center"/>
          </w:tcPr>
          <w:p w14:paraId="188955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165.70</w:t>
            </w:r>
          </w:p>
        </w:tc>
      </w:tr>
      <w:tr w14:paraId="326C561D">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33A7C1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净宽</w:t>
            </w:r>
          </w:p>
        </w:tc>
        <w:tc>
          <w:tcPr>
            <w:tcW w:w="537" w:type="pct"/>
            <w:tcBorders>
              <w:tl2br w:val="nil"/>
              <w:tr2bl w:val="nil"/>
            </w:tcBorders>
            <w:shd w:val="clear" w:color="auto" w:fill="auto"/>
            <w:noWrap/>
            <w:vAlign w:val="center"/>
          </w:tcPr>
          <w:p w14:paraId="5E21EE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6A367E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c>
          <w:tcPr>
            <w:tcW w:w="972" w:type="pct"/>
            <w:tcBorders>
              <w:tl2br w:val="nil"/>
              <w:tr2bl w:val="nil"/>
            </w:tcBorders>
            <w:shd w:val="clear" w:color="auto" w:fill="auto"/>
            <w:noWrap/>
            <w:vAlign w:val="center"/>
          </w:tcPr>
          <w:p w14:paraId="45C77F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15</w:t>
            </w:r>
          </w:p>
        </w:tc>
        <w:tc>
          <w:tcPr>
            <w:tcW w:w="908" w:type="pct"/>
            <w:tcBorders>
              <w:tl2br w:val="nil"/>
              <w:tr2bl w:val="nil"/>
            </w:tcBorders>
            <w:shd w:val="clear" w:color="auto" w:fill="auto"/>
            <w:noWrap/>
            <w:vAlign w:val="center"/>
          </w:tcPr>
          <w:p w14:paraId="54A432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15</w:t>
            </w:r>
          </w:p>
        </w:tc>
      </w:tr>
      <w:tr w14:paraId="0654945D">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755737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3、输水建筑物</w:t>
            </w:r>
          </w:p>
        </w:tc>
        <w:tc>
          <w:tcPr>
            <w:tcW w:w="537" w:type="pct"/>
            <w:tcBorders>
              <w:tl2br w:val="nil"/>
              <w:tr2bl w:val="nil"/>
            </w:tcBorders>
            <w:shd w:val="clear" w:color="auto" w:fill="auto"/>
            <w:noWrap/>
            <w:vAlign w:val="center"/>
          </w:tcPr>
          <w:p w14:paraId="5B1479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1FA4D4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eastAsia="zh-CN"/>
              </w:rPr>
            </w:pPr>
          </w:p>
        </w:tc>
        <w:tc>
          <w:tcPr>
            <w:tcW w:w="972" w:type="pct"/>
            <w:tcBorders>
              <w:tl2br w:val="nil"/>
              <w:tr2bl w:val="nil"/>
            </w:tcBorders>
            <w:shd w:val="clear" w:color="auto" w:fill="auto"/>
            <w:noWrap/>
            <w:vAlign w:val="center"/>
          </w:tcPr>
          <w:p w14:paraId="500C19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eastAsia="zh-CN"/>
              </w:rPr>
            </w:pPr>
          </w:p>
        </w:tc>
        <w:tc>
          <w:tcPr>
            <w:tcW w:w="908" w:type="pct"/>
            <w:tcBorders>
              <w:tl2br w:val="nil"/>
              <w:tr2bl w:val="nil"/>
            </w:tcBorders>
            <w:shd w:val="clear" w:color="auto" w:fill="auto"/>
            <w:noWrap/>
            <w:vAlign w:val="center"/>
          </w:tcPr>
          <w:p w14:paraId="5328DE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eastAsia="zh-CN"/>
              </w:rPr>
            </w:pPr>
          </w:p>
        </w:tc>
      </w:tr>
      <w:tr w14:paraId="430D8A93">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A3271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型式</w:t>
            </w:r>
          </w:p>
        </w:tc>
        <w:tc>
          <w:tcPr>
            <w:tcW w:w="537" w:type="pct"/>
            <w:tcBorders>
              <w:tl2br w:val="nil"/>
              <w:tr2bl w:val="nil"/>
            </w:tcBorders>
            <w:shd w:val="clear" w:color="auto" w:fill="auto"/>
            <w:noWrap/>
            <w:vAlign w:val="center"/>
          </w:tcPr>
          <w:p w14:paraId="581E02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45CA94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坝下圆涵</w:t>
            </w:r>
          </w:p>
        </w:tc>
        <w:tc>
          <w:tcPr>
            <w:tcW w:w="972" w:type="pct"/>
            <w:tcBorders>
              <w:tl2br w:val="nil"/>
              <w:tr2bl w:val="nil"/>
            </w:tcBorders>
            <w:shd w:val="clear" w:color="auto" w:fill="auto"/>
            <w:noWrap/>
            <w:vAlign w:val="center"/>
          </w:tcPr>
          <w:p w14:paraId="23A28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坝下圆涵</w:t>
            </w:r>
          </w:p>
        </w:tc>
        <w:tc>
          <w:tcPr>
            <w:tcW w:w="908" w:type="pct"/>
            <w:tcBorders>
              <w:tl2br w:val="nil"/>
              <w:tr2bl w:val="nil"/>
            </w:tcBorders>
            <w:shd w:val="clear" w:color="auto" w:fill="auto"/>
            <w:noWrap/>
            <w:vAlign w:val="center"/>
          </w:tcPr>
          <w:p w14:paraId="39C751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坝下圆涵</w:t>
            </w:r>
          </w:p>
        </w:tc>
      </w:tr>
      <w:tr w14:paraId="7DAADFD9">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6E9025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进水口底板高程</w:t>
            </w:r>
          </w:p>
        </w:tc>
        <w:tc>
          <w:tcPr>
            <w:tcW w:w="537" w:type="pct"/>
            <w:tcBorders>
              <w:tl2br w:val="nil"/>
              <w:tr2bl w:val="nil"/>
            </w:tcBorders>
            <w:shd w:val="clear" w:color="auto" w:fill="auto"/>
            <w:noWrap/>
            <w:vAlign w:val="center"/>
          </w:tcPr>
          <w:p w14:paraId="6E5670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6A08EF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162.47</w:t>
            </w:r>
          </w:p>
        </w:tc>
        <w:tc>
          <w:tcPr>
            <w:tcW w:w="972" w:type="pct"/>
            <w:tcBorders>
              <w:tl2br w:val="nil"/>
              <w:tr2bl w:val="nil"/>
            </w:tcBorders>
            <w:shd w:val="clear" w:color="auto" w:fill="auto"/>
            <w:noWrap/>
            <w:vAlign w:val="center"/>
          </w:tcPr>
          <w:p w14:paraId="53E21B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162.47</w:t>
            </w:r>
          </w:p>
        </w:tc>
        <w:tc>
          <w:tcPr>
            <w:tcW w:w="908" w:type="pct"/>
            <w:tcBorders>
              <w:tl2br w:val="nil"/>
              <w:tr2bl w:val="nil"/>
            </w:tcBorders>
            <w:shd w:val="clear" w:color="auto" w:fill="auto"/>
            <w:noWrap/>
            <w:vAlign w:val="center"/>
          </w:tcPr>
          <w:p w14:paraId="6EEFD2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162.47</w:t>
            </w:r>
          </w:p>
        </w:tc>
      </w:tr>
      <w:tr w14:paraId="635CDC80">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3F1A1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进口断面尺寸</w:t>
            </w:r>
          </w:p>
        </w:tc>
        <w:tc>
          <w:tcPr>
            <w:tcW w:w="537" w:type="pct"/>
            <w:tcBorders>
              <w:tl2br w:val="nil"/>
              <w:tr2bl w:val="nil"/>
            </w:tcBorders>
            <w:shd w:val="clear" w:color="auto" w:fill="auto"/>
            <w:noWrap/>
            <w:vAlign w:val="center"/>
          </w:tcPr>
          <w:p w14:paraId="10DC00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78EB92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p>
        </w:tc>
        <w:tc>
          <w:tcPr>
            <w:tcW w:w="972" w:type="pct"/>
            <w:tcBorders>
              <w:tl2br w:val="nil"/>
              <w:tr2bl w:val="nil"/>
            </w:tcBorders>
            <w:shd w:val="clear" w:color="auto" w:fill="auto"/>
            <w:noWrap/>
            <w:vAlign w:val="center"/>
          </w:tcPr>
          <w:p w14:paraId="5064C4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p>
        </w:tc>
        <w:tc>
          <w:tcPr>
            <w:tcW w:w="908" w:type="pct"/>
            <w:tcBorders>
              <w:tl2br w:val="nil"/>
              <w:tr2bl w:val="nil"/>
            </w:tcBorders>
            <w:shd w:val="clear" w:color="auto" w:fill="auto"/>
            <w:noWrap/>
            <w:vAlign w:val="center"/>
          </w:tcPr>
          <w:p w14:paraId="027531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2</w:t>
            </w:r>
          </w:p>
        </w:tc>
      </w:tr>
      <w:tr w14:paraId="538815EB">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05F465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输水洞长度</w:t>
            </w:r>
          </w:p>
        </w:tc>
        <w:tc>
          <w:tcPr>
            <w:tcW w:w="537" w:type="pct"/>
            <w:tcBorders>
              <w:tl2br w:val="nil"/>
              <w:tr2bl w:val="nil"/>
            </w:tcBorders>
            <w:shd w:val="clear" w:color="auto" w:fill="auto"/>
            <w:noWrap/>
            <w:vAlign w:val="center"/>
          </w:tcPr>
          <w:p w14:paraId="39305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m</w:t>
            </w:r>
          </w:p>
        </w:tc>
        <w:tc>
          <w:tcPr>
            <w:tcW w:w="945" w:type="pct"/>
            <w:tcBorders>
              <w:tl2br w:val="nil"/>
              <w:tr2bl w:val="nil"/>
            </w:tcBorders>
            <w:shd w:val="clear" w:color="auto" w:fill="auto"/>
            <w:noWrap/>
            <w:vAlign w:val="center"/>
          </w:tcPr>
          <w:p w14:paraId="5D5F24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42.9</w:t>
            </w:r>
          </w:p>
        </w:tc>
        <w:tc>
          <w:tcPr>
            <w:tcW w:w="972" w:type="pct"/>
            <w:tcBorders>
              <w:tl2br w:val="nil"/>
              <w:tr2bl w:val="nil"/>
            </w:tcBorders>
            <w:shd w:val="clear" w:color="auto" w:fill="auto"/>
            <w:noWrap/>
            <w:vAlign w:val="center"/>
          </w:tcPr>
          <w:p w14:paraId="2BDFCC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42.9</w:t>
            </w:r>
          </w:p>
        </w:tc>
        <w:tc>
          <w:tcPr>
            <w:tcW w:w="908" w:type="pct"/>
            <w:tcBorders>
              <w:tl2br w:val="nil"/>
              <w:tr2bl w:val="nil"/>
            </w:tcBorders>
            <w:shd w:val="clear" w:color="auto" w:fill="auto"/>
            <w:noWrap/>
            <w:vAlign w:val="center"/>
          </w:tcPr>
          <w:p w14:paraId="359C8C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42.9</w:t>
            </w:r>
          </w:p>
        </w:tc>
      </w:tr>
      <w:tr w14:paraId="7AB49330">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79BF20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设计</w:t>
            </w:r>
            <w:r>
              <w:rPr>
                <w:rFonts w:hint="default" w:ascii="Times New Roman" w:hAnsi="Times New Roman" w:cs="Times New Roman"/>
                <w:color w:val="auto"/>
                <w:sz w:val="18"/>
                <w:szCs w:val="18"/>
                <w:highlight w:val="none"/>
                <w:lang w:val="en-US" w:eastAsia="zh-CN"/>
              </w:rPr>
              <w:t>灌溉</w:t>
            </w:r>
            <w:r>
              <w:rPr>
                <w:rFonts w:hint="default" w:ascii="Times New Roman" w:hAnsi="Times New Roman" w:cs="Times New Roman"/>
                <w:color w:val="auto"/>
                <w:sz w:val="18"/>
                <w:szCs w:val="18"/>
                <w:highlight w:val="none"/>
              </w:rPr>
              <w:t>流量</w:t>
            </w:r>
          </w:p>
        </w:tc>
        <w:tc>
          <w:tcPr>
            <w:tcW w:w="537" w:type="pct"/>
            <w:tcBorders>
              <w:tl2br w:val="nil"/>
              <w:tr2bl w:val="nil"/>
            </w:tcBorders>
            <w:shd w:val="clear" w:color="auto" w:fill="auto"/>
            <w:noWrap/>
            <w:vAlign w:val="center"/>
          </w:tcPr>
          <w:p w14:paraId="5D4FD5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m³/s</w:t>
            </w:r>
          </w:p>
        </w:tc>
        <w:tc>
          <w:tcPr>
            <w:tcW w:w="945" w:type="pct"/>
            <w:tcBorders>
              <w:tl2br w:val="nil"/>
              <w:tr2bl w:val="nil"/>
            </w:tcBorders>
            <w:shd w:val="clear" w:color="auto" w:fill="auto"/>
            <w:noWrap/>
            <w:vAlign w:val="center"/>
          </w:tcPr>
          <w:p w14:paraId="477E3F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0.4</w:t>
            </w:r>
          </w:p>
        </w:tc>
        <w:tc>
          <w:tcPr>
            <w:tcW w:w="972" w:type="pct"/>
            <w:tcBorders>
              <w:tl2br w:val="nil"/>
              <w:tr2bl w:val="nil"/>
            </w:tcBorders>
            <w:shd w:val="clear" w:color="auto" w:fill="auto"/>
            <w:noWrap/>
            <w:vAlign w:val="center"/>
          </w:tcPr>
          <w:p w14:paraId="57212A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0.4</w:t>
            </w:r>
          </w:p>
        </w:tc>
        <w:tc>
          <w:tcPr>
            <w:tcW w:w="908" w:type="pct"/>
            <w:tcBorders>
              <w:tl2br w:val="nil"/>
              <w:tr2bl w:val="nil"/>
            </w:tcBorders>
            <w:shd w:val="clear" w:color="auto" w:fill="auto"/>
            <w:noWrap/>
            <w:vAlign w:val="center"/>
          </w:tcPr>
          <w:p w14:paraId="7511FC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0.4</w:t>
            </w:r>
          </w:p>
        </w:tc>
      </w:tr>
      <w:tr w14:paraId="3A2DCEBB">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4BF69A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闸门型式</w:t>
            </w:r>
          </w:p>
        </w:tc>
        <w:tc>
          <w:tcPr>
            <w:tcW w:w="537" w:type="pct"/>
            <w:tcBorders>
              <w:tl2br w:val="nil"/>
              <w:tr2bl w:val="nil"/>
            </w:tcBorders>
            <w:shd w:val="clear" w:color="auto" w:fill="auto"/>
            <w:noWrap/>
            <w:vAlign w:val="center"/>
          </w:tcPr>
          <w:p w14:paraId="6ECB35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945" w:type="pct"/>
            <w:tcBorders>
              <w:tl2br w:val="nil"/>
              <w:tr2bl w:val="nil"/>
            </w:tcBorders>
            <w:shd w:val="clear" w:color="auto" w:fill="auto"/>
            <w:noWrap/>
            <w:vAlign w:val="center"/>
          </w:tcPr>
          <w:p w14:paraId="7E1468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平板钢</w:t>
            </w:r>
            <w:r>
              <w:rPr>
                <w:rFonts w:hint="default" w:ascii="Times New Roman" w:hAnsi="Times New Roman" w:cs="Times New Roman"/>
                <w:color w:val="auto"/>
                <w:sz w:val="18"/>
                <w:szCs w:val="18"/>
                <w:highlight w:val="none"/>
              </w:rPr>
              <w:t>闸门</w:t>
            </w:r>
          </w:p>
        </w:tc>
        <w:tc>
          <w:tcPr>
            <w:tcW w:w="972" w:type="pct"/>
            <w:tcBorders>
              <w:tl2br w:val="nil"/>
              <w:tr2bl w:val="nil"/>
            </w:tcBorders>
            <w:shd w:val="clear" w:color="auto" w:fill="auto"/>
            <w:noWrap/>
            <w:vAlign w:val="center"/>
          </w:tcPr>
          <w:p w14:paraId="43DEFF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平板钢</w:t>
            </w:r>
            <w:r>
              <w:rPr>
                <w:rFonts w:hint="default" w:ascii="Times New Roman" w:hAnsi="Times New Roman" w:cs="Times New Roman"/>
                <w:color w:val="auto"/>
                <w:sz w:val="18"/>
                <w:szCs w:val="18"/>
                <w:highlight w:val="none"/>
              </w:rPr>
              <w:t>闸门</w:t>
            </w:r>
          </w:p>
        </w:tc>
        <w:tc>
          <w:tcPr>
            <w:tcW w:w="908" w:type="pct"/>
            <w:tcBorders>
              <w:tl2br w:val="nil"/>
              <w:tr2bl w:val="nil"/>
            </w:tcBorders>
            <w:shd w:val="clear" w:color="auto" w:fill="auto"/>
            <w:noWrap/>
            <w:vAlign w:val="center"/>
          </w:tcPr>
          <w:p w14:paraId="6BD29C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铸铁闸门</w:t>
            </w:r>
          </w:p>
        </w:tc>
      </w:tr>
      <w:tr w14:paraId="652B7F17">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23FC51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闸门尺寸</w:t>
            </w:r>
          </w:p>
        </w:tc>
        <w:tc>
          <w:tcPr>
            <w:tcW w:w="537" w:type="pct"/>
            <w:tcBorders>
              <w:tl2br w:val="nil"/>
              <w:tr2bl w:val="nil"/>
            </w:tcBorders>
            <w:shd w:val="clear" w:color="auto" w:fill="auto"/>
            <w:noWrap/>
            <w:vAlign w:val="center"/>
          </w:tcPr>
          <w:p w14:paraId="1B2EF3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p>
        </w:tc>
        <w:tc>
          <w:tcPr>
            <w:tcW w:w="945" w:type="pct"/>
            <w:tcBorders>
              <w:tl2br w:val="nil"/>
              <w:tr2bl w:val="nil"/>
            </w:tcBorders>
            <w:shd w:val="clear" w:color="auto" w:fill="auto"/>
            <w:noWrap/>
            <w:vAlign w:val="center"/>
          </w:tcPr>
          <w:p w14:paraId="0E2F58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p>
        </w:tc>
        <w:tc>
          <w:tcPr>
            <w:tcW w:w="972" w:type="pct"/>
            <w:tcBorders>
              <w:tl2br w:val="nil"/>
              <w:tr2bl w:val="nil"/>
            </w:tcBorders>
            <w:shd w:val="clear" w:color="auto" w:fill="auto"/>
            <w:noWrap/>
            <w:vAlign w:val="center"/>
          </w:tcPr>
          <w:p w14:paraId="7344EC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0</w:t>
            </w:r>
          </w:p>
        </w:tc>
        <w:tc>
          <w:tcPr>
            <w:tcW w:w="908" w:type="pct"/>
            <w:tcBorders>
              <w:tl2br w:val="nil"/>
              <w:tr2bl w:val="nil"/>
            </w:tcBorders>
            <w:shd w:val="clear" w:color="auto" w:fill="auto"/>
            <w:noWrap/>
            <w:vAlign w:val="center"/>
          </w:tcPr>
          <w:p w14:paraId="424135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2</w:t>
            </w:r>
          </w:p>
        </w:tc>
      </w:tr>
      <w:tr w14:paraId="45BB0D85">
        <w:tblPrEx>
          <w:tblBorders>
            <w:top w:val="single" w:color="000000" w:sz="8" w:space="0"/>
            <w:left w:val="single" w:color="auto" w:sz="4" w:space="0"/>
            <w:bottom w:val="single" w:color="000000" w:sz="8" w:space="0"/>
            <w:right w:val="single" w:color="auto" w:sz="4"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635" w:type="pct"/>
            <w:tcBorders>
              <w:tl2br w:val="nil"/>
              <w:tr2bl w:val="nil"/>
            </w:tcBorders>
            <w:shd w:val="clear" w:color="auto" w:fill="auto"/>
            <w:noWrap/>
            <w:vAlign w:val="center"/>
          </w:tcPr>
          <w:p w14:paraId="019E80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闸门数量</w:t>
            </w:r>
          </w:p>
        </w:tc>
        <w:tc>
          <w:tcPr>
            <w:tcW w:w="537" w:type="pct"/>
            <w:tcBorders>
              <w:tl2br w:val="nil"/>
              <w:tr2bl w:val="nil"/>
            </w:tcBorders>
            <w:shd w:val="clear" w:color="auto" w:fill="auto"/>
            <w:noWrap/>
            <w:vAlign w:val="center"/>
          </w:tcPr>
          <w:p w14:paraId="3728DE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座</w:t>
            </w:r>
          </w:p>
        </w:tc>
        <w:tc>
          <w:tcPr>
            <w:tcW w:w="945" w:type="pct"/>
            <w:tcBorders>
              <w:tl2br w:val="nil"/>
              <w:tr2bl w:val="nil"/>
            </w:tcBorders>
            <w:shd w:val="clear" w:color="auto" w:fill="auto"/>
            <w:noWrap/>
            <w:vAlign w:val="center"/>
          </w:tcPr>
          <w:p w14:paraId="344760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972" w:type="pct"/>
            <w:tcBorders>
              <w:tl2br w:val="nil"/>
              <w:tr2bl w:val="nil"/>
            </w:tcBorders>
            <w:shd w:val="clear" w:color="auto" w:fill="auto"/>
            <w:noWrap/>
            <w:vAlign w:val="center"/>
          </w:tcPr>
          <w:p w14:paraId="3F4006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908" w:type="pct"/>
            <w:tcBorders>
              <w:tl2br w:val="nil"/>
              <w:tr2bl w:val="nil"/>
            </w:tcBorders>
            <w:shd w:val="clear" w:color="auto" w:fill="auto"/>
            <w:noWrap/>
            <w:vAlign w:val="center"/>
          </w:tcPr>
          <w:p w14:paraId="0441F7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r>
    </w:tbl>
    <w:p w14:paraId="5F67FDD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w:t>
      </w:r>
      <w:r>
        <w:rPr>
          <w:rFonts w:hint="eastAsia" w:cs="Times New Roman" w:eastAsiaTheme="minorEastAsia"/>
          <w:color w:val="auto"/>
          <w:sz w:val="21"/>
          <w:szCs w:val="21"/>
          <w:highlight w:val="none"/>
          <w:lang w:val="en-US" w:eastAsia="zh-CN"/>
        </w:rPr>
        <w:t>2</w:t>
      </w:r>
      <w:r>
        <w:rPr>
          <w:rFonts w:hint="eastAsia" w:cs="Times New Roman"/>
          <w:color w:val="auto"/>
          <w:kern w:val="0"/>
          <w:sz w:val="21"/>
          <w:szCs w:val="21"/>
          <w:highlight w:val="none"/>
          <w:lang w:val="en-US" w:eastAsia="zh-CN"/>
        </w:rPr>
        <w:t>）</w:t>
      </w:r>
      <w:r>
        <w:rPr>
          <w:rFonts w:hint="eastAsia" w:cs="Times New Roman" w:eastAsiaTheme="minorEastAsia"/>
          <w:color w:val="auto"/>
          <w:sz w:val="21"/>
          <w:szCs w:val="21"/>
          <w:highlight w:val="none"/>
          <w:lang w:eastAsia="zh-CN"/>
        </w:rPr>
        <w:t>水位影响</w:t>
      </w:r>
    </w:p>
    <w:p w14:paraId="7CDEE9A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color w:val="auto"/>
          <w:kern w:val="0"/>
          <w:sz w:val="21"/>
          <w:szCs w:val="21"/>
          <w:highlight w:val="none"/>
          <w:lang w:eastAsia="zh-CN"/>
        </w:rPr>
      </w:pPr>
      <w:r>
        <w:rPr>
          <w:rFonts w:hint="default" w:ascii="Times New Roman" w:hAnsi="Times New Roman" w:cs="Times New Roman"/>
          <w:color w:val="auto"/>
          <w:highlight w:val="none"/>
        </w:rPr>
        <w:t>庆先水库</w:t>
      </w:r>
      <w:r>
        <w:rPr>
          <w:rFonts w:hint="default" w:ascii="Times New Roman" w:hAnsi="Times New Roman" w:cs="Times New Roman"/>
          <w:color w:val="auto"/>
          <w:kern w:val="0"/>
          <w:sz w:val="21"/>
          <w:szCs w:val="21"/>
          <w:highlight w:val="none"/>
        </w:rPr>
        <w:t>目前运用死水位为</w:t>
      </w:r>
      <w:r>
        <w:rPr>
          <w:rFonts w:hint="default" w:ascii="Times New Roman" w:hAnsi="Times New Roman" w:cs="Times New Roman"/>
          <w:color w:val="auto"/>
          <w:sz w:val="21"/>
          <w:szCs w:val="21"/>
          <w:highlight w:val="none"/>
          <w:lang w:val="en-US" w:eastAsia="zh-CN"/>
        </w:rPr>
        <w:t>163.00</w:t>
      </w:r>
      <w:r>
        <w:rPr>
          <w:rFonts w:hint="default" w:ascii="Times New Roman" w:hAnsi="Times New Roman" w:cs="Times New Roman"/>
          <w:color w:val="auto"/>
          <w:sz w:val="21"/>
          <w:szCs w:val="21"/>
          <w:highlight w:val="none"/>
          <w:lang w:eastAsia="zh-CN"/>
        </w:rPr>
        <w:t>m，相应死库容为</w:t>
      </w:r>
      <m:oMath>
        <m:r>
          <m:rPr>
            <m:nor/>
            <m:sty m:val="p"/>
          </m:rPr>
          <w:rPr>
            <w:rFonts w:hint="default" w:ascii="Times New Roman" w:hAnsi="Times New Roman" w:cs="Times New Roman"/>
            <w:b w:val="0"/>
            <w:i w:val="0"/>
            <w:color w:val="auto"/>
            <w:sz w:val="21"/>
            <w:szCs w:val="21"/>
            <w:highlight w:val="none"/>
            <w:lang w:val="en-US" w:eastAsia="zh-CN"/>
          </w:rPr>
          <m:t>11.06</m:t>
        </m:r>
        <m:r>
          <m:rPr>
            <m:nor/>
            <m:sty m:val="p"/>
          </m:rPr>
          <w:rPr>
            <w:rFonts w:hint="default" w:ascii="Times New Roman" w:hAnsi="Times New Roman" w:cs="Times New Roman"/>
            <w:b w:val="0"/>
            <w:i w:val="0"/>
            <w:color w:val="auto"/>
            <w:sz w:val="21"/>
            <w:szCs w:val="21"/>
            <w:highlight w:val="none"/>
            <w:lang w:eastAsia="zh-CN"/>
          </w:rPr>
          <m:t>×1</m:t>
        </m:r>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0</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4</m:t>
            </m:r>
            <m:ctrlPr>
              <w:rPr>
                <w:rFonts w:hint="default" w:ascii="Cambria Math" w:hAnsi="Cambria Math" w:cs="Times New Roman"/>
                <w:color w:val="auto"/>
                <w:sz w:val="21"/>
                <w:szCs w:val="21"/>
                <w:highlight w:val="none"/>
                <w:lang w:eastAsia="zh-CN"/>
              </w:rPr>
            </m:ctrlPr>
          </m:sup>
        </m:sSup>
        <m:sSup>
          <m:sSupPr>
            <m:ctrlPr>
              <w:rPr>
                <w:rFonts w:hint="default" w:ascii="Cambria Math" w:hAnsi="Cambria Math" w:cs="Times New Roman"/>
                <w:color w:val="auto"/>
                <w:sz w:val="21"/>
                <w:szCs w:val="21"/>
                <w:highlight w:val="none"/>
                <w:lang w:eastAsia="zh-CN"/>
              </w:rPr>
            </m:ctrlPr>
          </m:sSupPr>
          <m:e>
            <m:r>
              <m:rPr>
                <m:nor/>
                <m:sty m:val="p"/>
              </m:rPr>
              <w:rPr>
                <w:rFonts w:hint="default" w:ascii="Times New Roman" w:hAnsi="Times New Roman" w:cs="Times New Roman"/>
                <w:b w:val="0"/>
                <w:i w:val="0"/>
                <w:color w:val="auto"/>
                <w:sz w:val="21"/>
                <w:szCs w:val="21"/>
                <w:highlight w:val="none"/>
                <w:lang w:eastAsia="zh-CN"/>
              </w:rPr>
              <m:t>m</m:t>
            </m:r>
            <m:ctrlPr>
              <w:rPr>
                <w:rFonts w:hint="default" w:ascii="Cambria Math" w:hAnsi="Cambria Math" w:cs="Times New Roman"/>
                <w:color w:val="auto"/>
                <w:sz w:val="21"/>
                <w:szCs w:val="21"/>
                <w:highlight w:val="none"/>
                <w:lang w:eastAsia="zh-CN"/>
              </w:rPr>
            </m:ctrlPr>
          </m:e>
          <m:sup>
            <m:r>
              <m:rPr>
                <m:nor/>
                <m:sty m:val="p"/>
              </m:rPr>
              <w:rPr>
                <w:rFonts w:hint="default" w:ascii="Times New Roman" w:hAnsi="Times New Roman" w:cs="Times New Roman"/>
                <w:b w:val="0"/>
                <w:i w:val="0"/>
                <w:color w:val="auto"/>
                <w:sz w:val="21"/>
                <w:szCs w:val="21"/>
                <w:highlight w:val="none"/>
                <w:lang w:eastAsia="zh-CN"/>
              </w:rPr>
              <m:t>3</m:t>
            </m:r>
            <m:ctrlPr>
              <w:rPr>
                <w:rFonts w:hint="default" w:ascii="Cambria Math" w:hAnsi="Cambria Math" w:cs="Times New Roman"/>
                <w:color w:val="auto"/>
                <w:sz w:val="21"/>
                <w:szCs w:val="21"/>
                <w:highlight w:val="none"/>
                <w:lang w:eastAsia="zh-CN"/>
              </w:rPr>
            </m:ctrlPr>
          </m:sup>
        </m:sSup>
      </m:oMath>
      <w:r>
        <w:rPr>
          <w:rFonts w:hint="default" w:ascii="Times New Roman" w:hAnsi="Times New Roman" w:cs="Times New Roman"/>
          <w:color w:val="auto"/>
          <w:kern w:val="0"/>
          <w:sz w:val="21"/>
          <w:szCs w:val="21"/>
          <w:highlight w:val="none"/>
        </w:rPr>
        <w:t>。由于</w:t>
      </w:r>
      <w:r>
        <w:rPr>
          <w:rFonts w:hint="default" w:ascii="Times New Roman" w:hAnsi="Times New Roman" w:cs="Times New Roman"/>
          <w:color w:val="auto"/>
          <w:highlight w:val="none"/>
        </w:rPr>
        <w:t>庆先水库</w:t>
      </w:r>
      <w:r>
        <w:rPr>
          <w:rFonts w:hint="default" w:ascii="Times New Roman" w:hAnsi="Times New Roman" w:cs="Times New Roman"/>
          <w:color w:val="auto"/>
          <w:kern w:val="0"/>
          <w:sz w:val="21"/>
          <w:szCs w:val="21"/>
          <w:highlight w:val="none"/>
        </w:rPr>
        <w:t>坝址以上流域内植被良好，年输沙量不大，水库设计死水位能满足正常运用要求，可维持现状死水位</w:t>
      </w:r>
      <w:r>
        <w:rPr>
          <w:rFonts w:hint="default" w:ascii="Times New Roman" w:hAnsi="Times New Roman" w:cs="Times New Roman"/>
          <w:color w:val="auto"/>
          <w:sz w:val="21"/>
          <w:szCs w:val="21"/>
          <w:highlight w:val="none"/>
          <w:lang w:val="en-US" w:eastAsia="zh-CN"/>
        </w:rPr>
        <w:t>163.00</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kern w:val="0"/>
          <w:sz w:val="21"/>
          <w:szCs w:val="21"/>
          <w:highlight w:val="none"/>
        </w:rPr>
        <w:t>不变</w:t>
      </w:r>
      <w:r>
        <w:rPr>
          <w:rFonts w:hint="eastAsia" w:ascii="Times New Roman" w:hAnsi="Times New Roman" w:cs="Times New Roman"/>
          <w:color w:val="auto"/>
          <w:kern w:val="0"/>
          <w:sz w:val="21"/>
          <w:szCs w:val="21"/>
          <w:highlight w:val="none"/>
          <w:lang w:eastAsia="zh-CN"/>
        </w:rPr>
        <w:t>。</w:t>
      </w:r>
    </w:p>
    <w:p w14:paraId="7815DB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color w:val="auto"/>
          <w:kern w:val="0"/>
          <w:sz w:val="21"/>
          <w:szCs w:val="21"/>
          <w:highlight w:val="none"/>
          <w:lang w:eastAsia="zh-CN"/>
        </w:rPr>
      </w:pPr>
      <w:r>
        <w:rPr>
          <w:rFonts w:hint="eastAsia" w:ascii="Times New Roman" w:hAnsi="Times New Roman" w:cs="Times New Roman"/>
          <w:color w:val="auto"/>
          <w:kern w:val="0"/>
          <w:sz w:val="21"/>
          <w:szCs w:val="21"/>
          <w:highlight w:val="none"/>
          <w:lang w:eastAsia="zh-CN"/>
        </w:rPr>
        <w:t>当库水位在正常蓄水位与农业供水限制线之间时，属于正常供水区，农业灌溉按需水量供水；当库水位低于农业供水限制线，即落于限制供水区时，农业灌溉按正常需水量的</w:t>
      </w:r>
      <w:r>
        <w:rPr>
          <w:rFonts w:hint="eastAsia" w:ascii="Times New Roman" w:hAnsi="Times New Roman" w:cs="Times New Roman"/>
          <w:color w:val="auto"/>
          <w:kern w:val="0"/>
          <w:sz w:val="21"/>
          <w:szCs w:val="21"/>
          <w:highlight w:val="none"/>
          <w:lang w:val="en-US" w:eastAsia="zh-CN"/>
        </w:rPr>
        <w:t>40%</w:t>
      </w:r>
      <w:r>
        <w:rPr>
          <w:rFonts w:hint="eastAsia" w:ascii="Times New Roman" w:hAnsi="Times New Roman" w:cs="Times New Roman"/>
          <w:color w:val="auto"/>
          <w:kern w:val="0"/>
          <w:sz w:val="21"/>
          <w:szCs w:val="21"/>
          <w:highlight w:val="none"/>
          <w:lang w:eastAsia="zh-CN"/>
        </w:rPr>
        <w:t>供水。调节过程中，库水位不低于死水位。</w:t>
      </w:r>
    </w:p>
    <w:p w14:paraId="37877C2C">
      <w:pPr>
        <w:keepNext w:val="0"/>
        <w:keepLines w:val="0"/>
        <w:pageBreakBefore w:val="0"/>
        <w:widowControl/>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kern w:val="0"/>
          <w:sz w:val="21"/>
          <w:szCs w:val="21"/>
          <w:highlight w:val="none"/>
          <w:lang w:val="en-US" w:eastAsia="zh-CN"/>
        </w:rPr>
        <w:t>）最小下泄生态流量</w:t>
      </w:r>
    </w:p>
    <w:p w14:paraId="136C61BD">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根据《中华人民共和国水法》（</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016年7月2日修正）中第二十一条开发、利用水资源，应当首先满足城乡居民生活用水，并兼顾农业、工业、生态环境用水以及航运等需要。在干旱和半干旱地区开发、利用水资源，应当充分考虑生态环境用水需要。</w:t>
      </w:r>
    </w:p>
    <w:p w14:paraId="1BAF2D94">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庆先水库是一座以灌溉为主，兼有防洪、养殖等综合效益的小（I）型水库</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为了满足下游最低生态用水的需要，需要下放一定的水量作为生态用水。</w:t>
      </w:r>
      <w:r>
        <w:rPr>
          <w:rFonts w:hint="default" w:ascii="Times New Roman" w:hAnsi="Times New Roman" w:eastAsia="宋体" w:cs="Times New Roman"/>
          <w:color w:val="auto"/>
          <w:sz w:val="21"/>
          <w:szCs w:val="21"/>
          <w:highlight w:val="none"/>
          <w:lang w:val="en-US" w:eastAsia="zh-CN"/>
        </w:rPr>
        <w:t>根据《黑龙江省密山市</w:t>
      </w:r>
      <w:r>
        <w:rPr>
          <w:rFonts w:hint="eastAsia" w:cs="Times New Roman"/>
          <w:color w:val="auto"/>
          <w:sz w:val="21"/>
          <w:szCs w:val="21"/>
          <w:highlight w:val="none"/>
          <w:lang w:val="en-US" w:eastAsia="zh-CN"/>
        </w:rPr>
        <w:t>庆先</w:t>
      </w:r>
      <w:r>
        <w:rPr>
          <w:rFonts w:hint="default" w:ascii="Times New Roman" w:hAnsi="Times New Roman" w:cs="Times New Roman"/>
          <w:color w:val="auto"/>
          <w:sz w:val="21"/>
          <w:szCs w:val="21"/>
          <w:highlight w:val="none"/>
          <w:lang w:val="en-US" w:eastAsia="zh-CN"/>
        </w:rPr>
        <w:t>水库</w:t>
      </w:r>
      <w:r>
        <w:rPr>
          <w:rFonts w:hint="default" w:ascii="Times New Roman" w:hAnsi="Times New Roman" w:eastAsia="宋体" w:cs="Times New Roman"/>
          <w:color w:val="auto"/>
          <w:sz w:val="21"/>
          <w:szCs w:val="21"/>
          <w:highlight w:val="none"/>
          <w:lang w:val="en-US" w:eastAsia="zh-CN"/>
        </w:rPr>
        <w:t>除险加固工程初步设计报告》，</w:t>
      </w:r>
      <w:r>
        <w:rPr>
          <w:rFonts w:hint="default" w:ascii="Times New Roman" w:hAnsi="Times New Roman" w:eastAsia="宋体" w:cs="Times New Roman"/>
          <w:color w:val="auto"/>
          <w:sz w:val="21"/>
          <w:szCs w:val="21"/>
          <w:lang w:val="en-US" w:eastAsia="zh-CN"/>
        </w:rPr>
        <w:t>庆先水库多年平均径流量为</w:t>
      </w:r>
      <w:r>
        <w:rPr>
          <w:rFonts w:hint="eastAsia" w:ascii="Times New Roman" w:hAnsi="Times New Roman" w:eastAsia="宋体" w:cs="Times New Roman"/>
          <w:color w:val="auto"/>
          <w:sz w:val="21"/>
          <w:szCs w:val="21"/>
          <w:lang w:val="en-US" w:eastAsia="zh-CN"/>
        </w:rPr>
        <w:t>297</w:t>
      </w: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vertAlign w:val="superscript"/>
          <w:lang w:val="en-US" w:eastAsia="zh-CN"/>
        </w:rPr>
        <w:t>4</w:t>
      </w:r>
      <w:r>
        <w:rPr>
          <w:rFonts w:hint="default"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w:t>
      </w:r>
    </w:p>
    <w:p w14:paraId="3D88AAC8">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根据《水利水电工程生态流量计算与泄放设计规范》（SL/T820-2023）以及《水库生态流量泄放规程》（SL/T 819-2023）生态流量的组成应满足河流基流量表征，生态流量的计算应包括河湖基本形态维护、基本水生生境的维持计算。</w:t>
      </w:r>
    </w:p>
    <w:p w14:paraId="7C155487">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本环评综合上述情况，选择《水利水电工程生态流量计算与泄放设计规范》（SL/T820-2023）附录A与附录B进行计算。</w:t>
      </w:r>
    </w:p>
    <w:p w14:paraId="69F611D1">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1）生态基流</w:t>
      </w:r>
    </w:p>
    <w:p w14:paraId="487AD64C">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选取Qp法，以河流控制断面长系列天然月平均流量（系列长度不小于30年，对于系列长度小于30年的代表段应开展径流系列代表性分析）、月平均水位或径流量为基础，用每年的最枯月排频，选择不同频率下的最枯月平均流量、月平均水位或径流量作为河流控制断面的生态基流。</w:t>
      </w:r>
    </w:p>
    <w:p w14:paraId="190C4BF2">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庆先水库所在锅盔河流域属穆棱河左岸支流，根据水文资料分析，本项目P选取90%作为生态基流，为</w:t>
      </w:r>
      <w:r>
        <w:rPr>
          <w:rFonts w:hint="eastAsia" w:ascii="Times New Roman" w:hAnsi="Times New Roman" w:eastAsia="宋体" w:cs="Times New Roman"/>
          <w:color w:val="auto"/>
          <w:sz w:val="21"/>
          <w:szCs w:val="21"/>
          <w:lang w:val="en-US" w:eastAsia="zh-CN"/>
        </w:rPr>
        <w:t>0.095</w:t>
      </w:r>
      <w:r>
        <w:rPr>
          <w:rFonts w:hint="default"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/s（河湖基本形态流量）。</w:t>
      </w:r>
    </w:p>
    <w:p w14:paraId="057D9C55">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2）基本水生生境</w:t>
      </w:r>
    </w:p>
    <w:p w14:paraId="4F0C15A6">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根据《水利水电工程生态流量计算与泄放设计规范》（SL/T820-2023）以及《水库生态流量泄放规程》（SL/T 819-2023）</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本项目采用生境分析法进行计算：</w:t>
      </w:r>
    </w:p>
    <w:p w14:paraId="542C489E">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WUA=i=1nHSIi×Ai——公式①</w:t>
      </w:r>
    </w:p>
    <w:p w14:paraId="69BD6C1F">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HSIi——各单元环境因子的适宜指数</w:t>
      </w:r>
    </w:p>
    <w:p w14:paraId="154CDC34">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Ai——生境计算单元面积</w:t>
      </w:r>
    </w:p>
    <w:p w14:paraId="16994494">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境模拟法的基本原理是根据指示物种所需的水力条件的模拟，确定河流流量。假设水深、流速、基质和覆盖物是流量变化对物种数量和分布造成影响的主要因素。分析指示物种对水深、流速等的适宜要求，绘制水深、流速等环境参数与喜好度（被表示为0～1之间的值）之间的适宜性曲线。计算不同流量下的可利用面积（WUA），绘制流量与WUA曲线，WUA越大，表明生物在该流量下对生境越适宜。生境模拟法适用于主要生态功能为保护某些生物物种的河流。</w:t>
      </w:r>
    </w:p>
    <w:p w14:paraId="62F3326A">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位于黑龙江省鸡西市密山市，根据生态调查区域优势种为鲤鱼、鲫鱼等常见鱼类，不属于重要保护物种。根据生境分析法计算结果，结合庆先水库特性，10月-次年4月为枯水期，其中1月-3月为冰封期，选择0.18m</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/s；5月-9月为丰水期，选择0.36m</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/s。则下泄流量制度详见下表。</w:t>
      </w:r>
    </w:p>
    <w:p w14:paraId="2AC4150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p>
    <w:p w14:paraId="6AC4E3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p>
    <w:p w14:paraId="4B721E0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p>
    <w:p w14:paraId="0FA837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p>
    <w:p w14:paraId="6A9105B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4-2 庆先水库下泄制度  单位：</w:t>
      </w:r>
      <w:r>
        <w:rPr>
          <w:rFonts w:hint="default" w:ascii="Times New Roman" w:hAnsi="Times New Roman" w:eastAsia="宋体" w:cs="Times New Roman"/>
          <w:b/>
          <w:bCs/>
          <w:color w:val="auto"/>
          <w:sz w:val="21"/>
          <w:szCs w:val="21"/>
          <w:lang w:val="en-US" w:eastAsia="zh-CN"/>
        </w:rPr>
        <w:t>m</w:t>
      </w:r>
      <w:r>
        <w:rPr>
          <w:rFonts w:hint="eastAsia"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/s</w:t>
      </w:r>
    </w:p>
    <w:tbl>
      <w:tblPr>
        <w:tblStyle w:val="24"/>
        <w:tblpPr w:leftFromText="180" w:rightFromText="180" w:vertAnchor="text" w:horzAnchor="page" w:tblpXSpec="center" w:tblpY="75"/>
        <w:tblOverlap w:val="never"/>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
        <w:gridCol w:w="436"/>
        <w:gridCol w:w="436"/>
        <w:gridCol w:w="437"/>
        <w:gridCol w:w="652"/>
        <w:gridCol w:w="652"/>
        <w:gridCol w:w="652"/>
        <w:gridCol w:w="652"/>
        <w:gridCol w:w="652"/>
        <w:gridCol w:w="652"/>
        <w:gridCol w:w="652"/>
        <w:gridCol w:w="652"/>
        <w:gridCol w:w="652"/>
        <w:gridCol w:w="659"/>
      </w:tblGrid>
      <w:tr w14:paraId="69F9E0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2" w:type="pct"/>
            <w:vAlign w:val="center"/>
          </w:tcPr>
          <w:p w14:paraId="1C3B78E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vertAlign w:val="baseline"/>
                <w:lang w:eastAsia="zh-CN"/>
              </w:rPr>
              <w:t>月</w:t>
            </w:r>
          </w:p>
        </w:tc>
        <w:tc>
          <w:tcPr>
            <w:tcW w:w="255" w:type="pct"/>
            <w:shd w:val="clear" w:color="auto" w:fill="auto"/>
            <w:vAlign w:val="center"/>
          </w:tcPr>
          <w:p w14:paraId="53C36C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1</w:t>
            </w:r>
          </w:p>
        </w:tc>
        <w:tc>
          <w:tcPr>
            <w:tcW w:w="255" w:type="pct"/>
            <w:shd w:val="clear" w:color="auto" w:fill="auto"/>
            <w:vAlign w:val="center"/>
          </w:tcPr>
          <w:p w14:paraId="000F1C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2</w:t>
            </w:r>
          </w:p>
        </w:tc>
        <w:tc>
          <w:tcPr>
            <w:tcW w:w="256" w:type="pct"/>
            <w:shd w:val="clear" w:color="auto" w:fill="auto"/>
            <w:vAlign w:val="center"/>
          </w:tcPr>
          <w:p w14:paraId="1E341C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3</w:t>
            </w:r>
          </w:p>
        </w:tc>
        <w:tc>
          <w:tcPr>
            <w:tcW w:w="382" w:type="pct"/>
            <w:shd w:val="clear" w:color="auto" w:fill="auto"/>
            <w:vAlign w:val="center"/>
          </w:tcPr>
          <w:p w14:paraId="51B7CB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4</w:t>
            </w:r>
          </w:p>
        </w:tc>
        <w:tc>
          <w:tcPr>
            <w:tcW w:w="382" w:type="pct"/>
            <w:shd w:val="clear" w:color="auto" w:fill="auto"/>
            <w:vAlign w:val="center"/>
          </w:tcPr>
          <w:p w14:paraId="073761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5</w:t>
            </w:r>
          </w:p>
        </w:tc>
        <w:tc>
          <w:tcPr>
            <w:tcW w:w="382" w:type="pct"/>
            <w:shd w:val="clear" w:color="auto" w:fill="auto"/>
            <w:vAlign w:val="center"/>
          </w:tcPr>
          <w:p w14:paraId="18BB23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6</w:t>
            </w:r>
          </w:p>
        </w:tc>
        <w:tc>
          <w:tcPr>
            <w:tcW w:w="382" w:type="pct"/>
            <w:shd w:val="clear" w:color="auto" w:fill="auto"/>
            <w:vAlign w:val="center"/>
          </w:tcPr>
          <w:p w14:paraId="1F0BD0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7</w:t>
            </w:r>
          </w:p>
        </w:tc>
        <w:tc>
          <w:tcPr>
            <w:tcW w:w="382" w:type="pct"/>
            <w:shd w:val="clear" w:color="auto" w:fill="auto"/>
            <w:vAlign w:val="center"/>
          </w:tcPr>
          <w:p w14:paraId="4D9AF1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8</w:t>
            </w:r>
          </w:p>
        </w:tc>
        <w:tc>
          <w:tcPr>
            <w:tcW w:w="382" w:type="pct"/>
            <w:shd w:val="clear" w:color="auto" w:fill="auto"/>
            <w:vAlign w:val="center"/>
          </w:tcPr>
          <w:p w14:paraId="040027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9</w:t>
            </w:r>
          </w:p>
        </w:tc>
        <w:tc>
          <w:tcPr>
            <w:tcW w:w="382" w:type="pct"/>
            <w:shd w:val="clear" w:color="auto" w:fill="auto"/>
            <w:vAlign w:val="center"/>
          </w:tcPr>
          <w:p w14:paraId="6A5186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10</w:t>
            </w:r>
          </w:p>
        </w:tc>
        <w:tc>
          <w:tcPr>
            <w:tcW w:w="382" w:type="pct"/>
            <w:shd w:val="clear" w:color="auto" w:fill="auto"/>
            <w:vAlign w:val="center"/>
          </w:tcPr>
          <w:p w14:paraId="44FAB6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11</w:t>
            </w:r>
          </w:p>
        </w:tc>
        <w:tc>
          <w:tcPr>
            <w:tcW w:w="382" w:type="pct"/>
            <w:shd w:val="clear" w:color="auto" w:fill="auto"/>
            <w:vAlign w:val="center"/>
          </w:tcPr>
          <w:p w14:paraId="3C4003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12</w:t>
            </w:r>
          </w:p>
        </w:tc>
        <w:tc>
          <w:tcPr>
            <w:tcW w:w="386" w:type="pct"/>
            <w:shd w:val="clear" w:color="auto" w:fill="auto"/>
            <w:vAlign w:val="center"/>
          </w:tcPr>
          <w:p w14:paraId="03AB9A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eastAsia="zh-CN"/>
              </w:rPr>
              <w:t>均值</w:t>
            </w:r>
          </w:p>
        </w:tc>
      </w:tr>
      <w:tr w14:paraId="088F9F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2" w:type="pct"/>
            <w:shd w:val="clear" w:color="auto" w:fill="auto"/>
            <w:vAlign w:val="center"/>
          </w:tcPr>
          <w:p w14:paraId="3997F8A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生态基流</w:t>
            </w:r>
          </w:p>
        </w:tc>
        <w:tc>
          <w:tcPr>
            <w:tcW w:w="255" w:type="pct"/>
            <w:shd w:val="clear" w:color="auto" w:fill="auto"/>
            <w:vAlign w:val="center"/>
          </w:tcPr>
          <w:p w14:paraId="76CDFBB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p>
        </w:tc>
        <w:tc>
          <w:tcPr>
            <w:tcW w:w="255" w:type="pct"/>
            <w:shd w:val="clear" w:color="auto" w:fill="auto"/>
            <w:vAlign w:val="center"/>
          </w:tcPr>
          <w:p w14:paraId="731187E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color w:val="auto"/>
                <w:kern w:val="2"/>
                <w:sz w:val="18"/>
                <w:szCs w:val="18"/>
                <w:highlight w:val="none"/>
                <w:lang w:val="en-US" w:eastAsia="zh-CN" w:bidi="ar-SA"/>
              </w:rPr>
              <w:t>0</w:t>
            </w:r>
          </w:p>
        </w:tc>
        <w:tc>
          <w:tcPr>
            <w:tcW w:w="256" w:type="pct"/>
            <w:shd w:val="clear" w:color="auto" w:fill="auto"/>
            <w:vAlign w:val="center"/>
          </w:tcPr>
          <w:p w14:paraId="5DD1A92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bidi="ar-SA"/>
              </w:rPr>
              <w:t>0</w:t>
            </w:r>
          </w:p>
        </w:tc>
        <w:tc>
          <w:tcPr>
            <w:tcW w:w="382" w:type="pct"/>
            <w:shd w:val="clear" w:color="auto" w:fill="auto"/>
            <w:vAlign w:val="center"/>
          </w:tcPr>
          <w:p w14:paraId="5A5DF8F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0.095</w:t>
            </w:r>
          </w:p>
        </w:tc>
        <w:tc>
          <w:tcPr>
            <w:tcW w:w="382" w:type="pct"/>
            <w:shd w:val="clear" w:color="auto" w:fill="auto"/>
            <w:vAlign w:val="center"/>
          </w:tcPr>
          <w:p w14:paraId="4CFDEA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156EBE9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1409B4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6D9608E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53A678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30E3FE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56E902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2" w:type="pct"/>
            <w:shd w:val="clear" w:color="auto" w:fill="auto"/>
            <w:vAlign w:val="center"/>
          </w:tcPr>
          <w:p w14:paraId="56AE01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0.095</w:t>
            </w:r>
          </w:p>
        </w:tc>
        <w:tc>
          <w:tcPr>
            <w:tcW w:w="386" w:type="pct"/>
            <w:shd w:val="clear" w:color="auto" w:fill="auto"/>
            <w:vAlign w:val="center"/>
          </w:tcPr>
          <w:p w14:paraId="355BD6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0.080</w:t>
            </w:r>
          </w:p>
        </w:tc>
      </w:tr>
      <w:tr w14:paraId="08223E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2" w:type="pct"/>
            <w:shd w:val="clear" w:color="auto" w:fill="auto"/>
            <w:vAlign w:val="center"/>
          </w:tcPr>
          <w:p w14:paraId="7BA8D9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WUA流量</w:t>
            </w:r>
          </w:p>
        </w:tc>
        <w:tc>
          <w:tcPr>
            <w:tcW w:w="255" w:type="pct"/>
            <w:shd w:val="clear" w:color="auto" w:fill="auto"/>
            <w:vAlign w:val="center"/>
          </w:tcPr>
          <w:p w14:paraId="7BBE342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color w:val="auto"/>
                <w:kern w:val="2"/>
                <w:sz w:val="18"/>
                <w:szCs w:val="18"/>
                <w:highlight w:val="none"/>
                <w:lang w:val="en-US" w:eastAsia="zh-CN" w:bidi="ar-SA"/>
              </w:rPr>
              <w:t>0</w:t>
            </w:r>
          </w:p>
        </w:tc>
        <w:tc>
          <w:tcPr>
            <w:tcW w:w="255" w:type="pct"/>
            <w:shd w:val="clear" w:color="auto" w:fill="auto"/>
            <w:vAlign w:val="center"/>
          </w:tcPr>
          <w:p w14:paraId="00E757E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color w:val="auto"/>
                <w:kern w:val="2"/>
                <w:sz w:val="18"/>
                <w:szCs w:val="18"/>
                <w:highlight w:val="none"/>
                <w:lang w:val="en-US" w:eastAsia="zh-CN" w:bidi="ar-SA"/>
              </w:rPr>
              <w:t>0</w:t>
            </w:r>
          </w:p>
        </w:tc>
        <w:tc>
          <w:tcPr>
            <w:tcW w:w="256" w:type="pct"/>
            <w:shd w:val="clear" w:color="auto" w:fill="auto"/>
            <w:vAlign w:val="center"/>
          </w:tcPr>
          <w:p w14:paraId="24F8EA8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2"/>
                <w:sz w:val="18"/>
                <w:szCs w:val="18"/>
                <w:highlight w:val="none"/>
                <w:lang w:val="en-US" w:eastAsia="zh-CN" w:bidi="ar-SA"/>
              </w:rPr>
              <w:t>0</w:t>
            </w:r>
          </w:p>
        </w:tc>
        <w:tc>
          <w:tcPr>
            <w:tcW w:w="382" w:type="pct"/>
            <w:shd w:val="clear" w:color="auto" w:fill="auto"/>
            <w:vAlign w:val="center"/>
          </w:tcPr>
          <w:p w14:paraId="716DA40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b w:val="0"/>
                <w:bCs/>
                <w:color w:val="auto"/>
                <w:spacing w:val="0"/>
                <w:sz w:val="18"/>
                <w:szCs w:val="18"/>
                <w:highlight w:val="none"/>
                <w:lang w:val="en-US" w:eastAsia="zh-CN"/>
              </w:rPr>
            </w:pPr>
            <w:r>
              <w:rPr>
                <w:rFonts w:hint="eastAsia" w:ascii="Times New Roman" w:hAnsi="Times New Roman" w:eastAsia="宋体" w:cs="Times New Roman"/>
                <w:b w:val="0"/>
                <w:bCs/>
                <w:color w:val="auto"/>
                <w:spacing w:val="0"/>
                <w:sz w:val="18"/>
                <w:szCs w:val="18"/>
                <w:highlight w:val="none"/>
                <w:lang w:val="en-US" w:eastAsia="zh-CN"/>
              </w:rPr>
              <w:t>0.18</w:t>
            </w:r>
          </w:p>
        </w:tc>
        <w:tc>
          <w:tcPr>
            <w:tcW w:w="382" w:type="pct"/>
            <w:shd w:val="clear" w:color="auto" w:fill="auto"/>
            <w:vAlign w:val="center"/>
          </w:tcPr>
          <w:p w14:paraId="46AB5C3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0.36</w:t>
            </w:r>
          </w:p>
        </w:tc>
        <w:tc>
          <w:tcPr>
            <w:tcW w:w="382" w:type="pct"/>
            <w:shd w:val="clear" w:color="auto" w:fill="auto"/>
            <w:vAlign w:val="center"/>
          </w:tcPr>
          <w:p w14:paraId="5B5B2F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0.36</w:t>
            </w:r>
          </w:p>
        </w:tc>
        <w:tc>
          <w:tcPr>
            <w:tcW w:w="382" w:type="pct"/>
            <w:shd w:val="clear" w:color="auto" w:fill="auto"/>
            <w:vAlign w:val="center"/>
          </w:tcPr>
          <w:p w14:paraId="7AA355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0.36</w:t>
            </w:r>
          </w:p>
        </w:tc>
        <w:tc>
          <w:tcPr>
            <w:tcW w:w="382" w:type="pct"/>
            <w:shd w:val="clear" w:color="auto" w:fill="auto"/>
            <w:vAlign w:val="center"/>
          </w:tcPr>
          <w:p w14:paraId="7E65FD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0.36</w:t>
            </w:r>
          </w:p>
        </w:tc>
        <w:tc>
          <w:tcPr>
            <w:tcW w:w="382" w:type="pct"/>
            <w:shd w:val="clear" w:color="auto" w:fill="auto"/>
            <w:vAlign w:val="center"/>
          </w:tcPr>
          <w:p w14:paraId="61BA5F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0.36</w:t>
            </w:r>
          </w:p>
        </w:tc>
        <w:tc>
          <w:tcPr>
            <w:tcW w:w="382" w:type="pct"/>
            <w:shd w:val="clear" w:color="auto" w:fill="auto"/>
            <w:vAlign w:val="center"/>
          </w:tcPr>
          <w:p w14:paraId="1BF35A7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0.18</w:t>
            </w:r>
          </w:p>
        </w:tc>
        <w:tc>
          <w:tcPr>
            <w:tcW w:w="382" w:type="pct"/>
            <w:shd w:val="clear" w:color="auto" w:fill="auto"/>
            <w:vAlign w:val="center"/>
          </w:tcPr>
          <w:p w14:paraId="4B95F2C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0.18</w:t>
            </w:r>
          </w:p>
        </w:tc>
        <w:tc>
          <w:tcPr>
            <w:tcW w:w="382" w:type="pct"/>
            <w:shd w:val="clear" w:color="auto" w:fill="auto"/>
            <w:vAlign w:val="center"/>
          </w:tcPr>
          <w:p w14:paraId="020B7F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0.18</w:t>
            </w:r>
          </w:p>
        </w:tc>
        <w:tc>
          <w:tcPr>
            <w:tcW w:w="386" w:type="pct"/>
            <w:shd w:val="clear" w:color="auto" w:fill="auto"/>
            <w:vAlign w:val="center"/>
          </w:tcPr>
          <w:p w14:paraId="487B17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sz w:val="18"/>
                <w:szCs w:val="18"/>
                <w:highlight w:val="none"/>
                <w:lang w:val="en-US" w:eastAsia="zh-CN"/>
              </w:rPr>
            </w:pPr>
            <w:r>
              <w:rPr>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0.280</w:t>
            </w:r>
          </w:p>
        </w:tc>
      </w:tr>
      <w:tr w14:paraId="3A20CC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2" w:type="pct"/>
            <w:shd w:val="clear" w:color="auto" w:fill="auto"/>
            <w:vAlign w:val="center"/>
          </w:tcPr>
          <w:p w14:paraId="4F666E3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合计</w:t>
            </w:r>
          </w:p>
        </w:tc>
        <w:tc>
          <w:tcPr>
            <w:tcW w:w="255" w:type="pct"/>
            <w:shd w:val="clear" w:color="auto" w:fill="auto"/>
            <w:vAlign w:val="center"/>
          </w:tcPr>
          <w:p w14:paraId="42AFF19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w:t>
            </w:r>
          </w:p>
        </w:tc>
        <w:tc>
          <w:tcPr>
            <w:tcW w:w="255" w:type="pct"/>
            <w:shd w:val="clear" w:color="auto" w:fill="auto"/>
            <w:vAlign w:val="center"/>
          </w:tcPr>
          <w:p w14:paraId="544C9C7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i w:val="0"/>
                <w:color w:val="auto"/>
                <w:kern w:val="0"/>
                <w:sz w:val="18"/>
                <w:szCs w:val="18"/>
                <w:highlight w:val="none"/>
                <w:u w:val="none"/>
                <w:lang w:val="en-US" w:eastAsia="zh-CN" w:bidi="ar"/>
              </w:rPr>
            </w:pPr>
            <w:r>
              <w:rPr>
                <w:rFonts w:hint="eastAsia" w:ascii="Times New Roman" w:hAnsi="Times New Roman" w:eastAsia="宋体" w:cs="Times New Roman"/>
                <w:i w:val="0"/>
                <w:color w:val="auto"/>
                <w:kern w:val="0"/>
                <w:sz w:val="18"/>
                <w:szCs w:val="18"/>
                <w:highlight w:val="none"/>
                <w:u w:val="none"/>
                <w:lang w:val="en-US" w:eastAsia="zh-CN" w:bidi="ar"/>
              </w:rPr>
              <w:t>/</w:t>
            </w:r>
          </w:p>
        </w:tc>
        <w:tc>
          <w:tcPr>
            <w:tcW w:w="256" w:type="pct"/>
            <w:shd w:val="clear" w:color="auto" w:fill="auto"/>
            <w:vAlign w:val="center"/>
          </w:tcPr>
          <w:p w14:paraId="5665E9C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w:t>
            </w:r>
          </w:p>
        </w:tc>
        <w:tc>
          <w:tcPr>
            <w:tcW w:w="382" w:type="pct"/>
            <w:shd w:val="clear" w:color="auto" w:fill="auto"/>
            <w:vAlign w:val="center"/>
          </w:tcPr>
          <w:p w14:paraId="71599B2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0.275</w:t>
            </w:r>
          </w:p>
        </w:tc>
        <w:tc>
          <w:tcPr>
            <w:tcW w:w="382" w:type="pct"/>
            <w:shd w:val="clear" w:color="auto" w:fill="auto"/>
            <w:vAlign w:val="center"/>
          </w:tcPr>
          <w:p w14:paraId="0D64EE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0.455</w:t>
            </w:r>
          </w:p>
        </w:tc>
        <w:tc>
          <w:tcPr>
            <w:tcW w:w="382" w:type="pct"/>
            <w:shd w:val="clear" w:color="auto" w:fill="auto"/>
            <w:vAlign w:val="center"/>
          </w:tcPr>
          <w:p w14:paraId="2CFE23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0.455</w:t>
            </w:r>
          </w:p>
        </w:tc>
        <w:tc>
          <w:tcPr>
            <w:tcW w:w="382" w:type="pct"/>
            <w:shd w:val="clear" w:color="auto" w:fill="auto"/>
            <w:vAlign w:val="center"/>
          </w:tcPr>
          <w:p w14:paraId="44678B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0.455</w:t>
            </w:r>
          </w:p>
        </w:tc>
        <w:tc>
          <w:tcPr>
            <w:tcW w:w="382" w:type="pct"/>
            <w:shd w:val="clear" w:color="auto" w:fill="auto"/>
            <w:vAlign w:val="center"/>
          </w:tcPr>
          <w:p w14:paraId="722C40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0.455</w:t>
            </w:r>
          </w:p>
        </w:tc>
        <w:tc>
          <w:tcPr>
            <w:tcW w:w="382" w:type="pct"/>
            <w:shd w:val="clear" w:color="auto" w:fill="auto"/>
            <w:vAlign w:val="center"/>
          </w:tcPr>
          <w:p w14:paraId="2A97A2D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0.455</w:t>
            </w:r>
          </w:p>
        </w:tc>
        <w:tc>
          <w:tcPr>
            <w:tcW w:w="382" w:type="pct"/>
            <w:shd w:val="clear" w:color="auto" w:fill="auto"/>
            <w:vAlign w:val="center"/>
          </w:tcPr>
          <w:p w14:paraId="6CF578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0.275</w:t>
            </w:r>
          </w:p>
        </w:tc>
        <w:tc>
          <w:tcPr>
            <w:tcW w:w="382" w:type="pct"/>
            <w:shd w:val="clear" w:color="auto" w:fill="auto"/>
            <w:vAlign w:val="center"/>
          </w:tcPr>
          <w:p w14:paraId="0C0CDB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0.275</w:t>
            </w:r>
          </w:p>
        </w:tc>
        <w:tc>
          <w:tcPr>
            <w:tcW w:w="382" w:type="pct"/>
            <w:shd w:val="clear" w:color="auto" w:fill="auto"/>
            <w:vAlign w:val="center"/>
          </w:tcPr>
          <w:p w14:paraId="3B9C5E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0.275</w:t>
            </w:r>
          </w:p>
        </w:tc>
        <w:tc>
          <w:tcPr>
            <w:tcW w:w="386" w:type="pct"/>
            <w:shd w:val="clear" w:color="auto" w:fill="auto"/>
            <w:vAlign w:val="center"/>
          </w:tcPr>
          <w:p w14:paraId="120E08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val="0"/>
                <w:color w:val="auto"/>
                <w:kern w:val="0"/>
                <w:sz w:val="18"/>
                <w:szCs w:val="18"/>
                <w:highlight w:val="none"/>
                <w:lang w:val="en-US" w:eastAsia="zh-CN"/>
              </w:rPr>
            </w:pPr>
            <w:r>
              <w:rPr>
                <w:rStyle w:val="27"/>
                <w:rFonts w:hint="default" w:ascii="Times New Roman" w:hAnsi="Times New Roman" w:eastAsia="var(--dsw-font-markdown-table)" w:cs="Times New Roman"/>
                <w:b w:val="0"/>
                <w:bCs w:val="0"/>
                <w:i w:val="0"/>
                <w:iCs w:val="0"/>
                <w:caps w:val="0"/>
                <w:color w:val="auto"/>
                <w:spacing w:val="0"/>
                <w:kern w:val="0"/>
                <w:sz w:val="18"/>
                <w:szCs w:val="18"/>
                <w:u w:val="none" w:color="auto"/>
                <w:lang w:val="en-US" w:eastAsia="zh-CN" w:bidi="ar"/>
              </w:rPr>
              <w:t>0.360</w:t>
            </w:r>
          </w:p>
        </w:tc>
      </w:tr>
    </w:tbl>
    <w:p w14:paraId="6B2CFDDE">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从</w:t>
      </w:r>
      <w:r>
        <w:rPr>
          <w:rFonts w:hint="eastAsia" w:ascii="Times New Roman" w:eastAsia="宋体" w:cs="Times New Roman"/>
          <w:color w:val="auto"/>
          <w:sz w:val="21"/>
          <w:szCs w:val="21"/>
          <w:lang w:val="en-US" w:eastAsia="zh-CN"/>
        </w:rPr>
        <w:t>表4-2</w:t>
      </w:r>
      <w:r>
        <w:rPr>
          <w:rFonts w:hint="default" w:ascii="Times New Roman" w:hAnsi="Times New Roman" w:eastAsia="宋体" w:cs="Times New Roman"/>
          <w:color w:val="auto"/>
          <w:sz w:val="21"/>
          <w:szCs w:val="21"/>
          <w:lang w:val="en-US" w:eastAsia="zh-CN"/>
        </w:rPr>
        <w:t>可以看出，本项目丰水期生态流量为0.455m</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/s，枯水期生态流量为0.275m</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/s，在保证生态流量的情况下，可靠保证下游减水、脱水段不会断流。</w:t>
      </w:r>
    </w:p>
    <w:p w14:paraId="7A0716DD">
      <w:pPr>
        <w:pStyle w:val="4"/>
        <w:keepNext w:val="0"/>
        <w:keepLines w:val="0"/>
        <w:pageBreakBefore w:val="0"/>
        <w:widowControl/>
        <w:kinsoku/>
        <w:wordWrap/>
        <w:overflowPunct/>
        <w:topLinePunct w:val="0"/>
        <w:autoSpaceDE/>
        <w:autoSpaceDN/>
        <w:bidi w:val="0"/>
        <w:adjustRightInd/>
        <w:snapToGrid/>
        <w:textAlignment w:val="auto"/>
        <w:rPr>
          <w:rFonts w:hint="default"/>
          <w:b/>
          <w:bCs/>
          <w:color w:val="auto"/>
          <w:sz w:val="21"/>
          <w:szCs w:val="21"/>
          <w:highlight w:val="none"/>
        </w:rPr>
      </w:pPr>
      <w:r>
        <w:rPr>
          <w:rFonts w:hint="default"/>
          <w:b/>
          <w:bCs/>
          <w:color w:val="auto"/>
          <w:sz w:val="21"/>
          <w:szCs w:val="21"/>
          <w:highlight w:val="none"/>
        </w:rPr>
        <w:t>4.2.</w:t>
      </w:r>
      <w:r>
        <w:rPr>
          <w:rFonts w:hint="eastAsia"/>
          <w:b/>
          <w:bCs/>
          <w:color w:val="auto"/>
          <w:sz w:val="21"/>
          <w:szCs w:val="21"/>
          <w:highlight w:val="none"/>
          <w:lang w:val="en-US" w:eastAsia="zh-CN"/>
        </w:rPr>
        <w:t>2</w:t>
      </w:r>
      <w:r>
        <w:rPr>
          <w:rFonts w:hint="default"/>
          <w:b/>
          <w:bCs/>
          <w:color w:val="auto"/>
          <w:sz w:val="21"/>
          <w:szCs w:val="21"/>
          <w:highlight w:val="none"/>
        </w:rPr>
        <w:t>地表水环境影响</w:t>
      </w:r>
    </w:p>
    <w:p w14:paraId="35D02A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（1）</w:t>
      </w:r>
      <w:r>
        <w:rPr>
          <w:rFonts w:hint="default" w:ascii="Times New Roman" w:hAnsi="Times New Roman" w:cs="Times New Roman"/>
          <w:color w:val="auto"/>
          <w:kern w:val="0"/>
          <w:sz w:val="21"/>
          <w:szCs w:val="21"/>
          <w:highlight w:val="none"/>
        </w:rPr>
        <w:t>富营养化</w:t>
      </w:r>
    </w:p>
    <w:p w14:paraId="372DD56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水体富营养化是指在人类活动影响下，生物所需的氮、磷等营养物质大量进入湖泊、河口、海湾等缓流水体，引起藻类及其他浮游生物迅速繁殖，水体溶解氧量下降，水质恶化，鱼类及其他生物大量死亡的现象。在自然条件下，湖泊也会逐渐从贫营养向营养状态过渡，不过这种自然过程非常缓慢，而人为排放含营养物质或由水利建设造成水文情势变化所引起的水体富营养化则易在较短时间内出现。</w:t>
      </w:r>
    </w:p>
    <w:p w14:paraId="38F151A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4"/>
          <w:highlight w:val="none"/>
        </w:rPr>
      </w:pPr>
      <w:r>
        <w:rPr>
          <w:rFonts w:hint="eastAsia" w:cs="Times New Roman"/>
          <w:color w:val="auto"/>
          <w:kern w:val="0"/>
          <w:sz w:val="21"/>
          <w:szCs w:val="21"/>
          <w:highlight w:val="none"/>
          <w:lang w:eastAsia="zh-CN"/>
        </w:rPr>
        <w:t>庆先水库</w:t>
      </w:r>
      <w:r>
        <w:rPr>
          <w:rFonts w:hint="default" w:ascii="Times New Roman" w:hAnsi="Times New Roman" w:cs="Times New Roman"/>
          <w:color w:val="auto"/>
          <w:kern w:val="0"/>
          <w:sz w:val="21"/>
          <w:szCs w:val="21"/>
          <w:highlight w:val="none"/>
        </w:rPr>
        <w:t>自建成运行以来，由于水库蓄水改变了河流原来的流态，通过对水库的富营养化状态进行评估，参照《地表水资源质量评价技术规程》</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SL395-2007</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湖库营养状态评价标准进行，</w:t>
      </w:r>
      <w:r>
        <w:rPr>
          <w:rFonts w:hint="eastAsia" w:cs="Times New Roman"/>
          <w:color w:val="auto"/>
          <w:kern w:val="0"/>
          <w:sz w:val="21"/>
          <w:szCs w:val="21"/>
          <w:highlight w:val="none"/>
          <w:lang w:eastAsia="zh-CN"/>
        </w:rPr>
        <w:t>庆先水库</w:t>
      </w:r>
      <w:r>
        <w:rPr>
          <w:rFonts w:hint="default" w:ascii="Times New Roman" w:hAnsi="Times New Roman" w:cs="Times New Roman"/>
          <w:color w:val="auto"/>
          <w:kern w:val="0"/>
          <w:sz w:val="21"/>
          <w:szCs w:val="21"/>
          <w:highlight w:val="none"/>
        </w:rPr>
        <w:t>现状</w:t>
      </w:r>
      <w:r>
        <w:rPr>
          <w:rFonts w:hint="default" w:ascii="Times New Roman" w:hAnsi="Times New Roman" w:cs="Times New Roman"/>
          <w:color w:val="auto"/>
          <w:sz w:val="21"/>
          <w:szCs w:val="21"/>
          <w:highlight w:val="none"/>
        </w:rPr>
        <w:t>属于中营养标准</w:t>
      </w:r>
      <w:r>
        <w:rPr>
          <w:rFonts w:hint="eastAsia" w:cs="Times New Roman"/>
          <w:color w:val="auto"/>
          <w:kern w:val="0"/>
          <w:sz w:val="21"/>
          <w:szCs w:val="21"/>
          <w:highlight w:val="none"/>
          <w:lang w:val="en-US" w:eastAsia="zh-CN"/>
        </w:rPr>
        <w:t>，</w:t>
      </w:r>
      <w:r>
        <w:rPr>
          <w:rFonts w:hint="default" w:ascii="Times New Roman" w:hAnsi="Times New Roman" w:cs="Times New Roman"/>
          <w:color w:val="auto"/>
          <w:sz w:val="21"/>
          <w:szCs w:val="21"/>
          <w:highlight w:val="none"/>
        </w:rPr>
        <w:t>说明水库营养化程度不高，未出现富营养化现象</w:t>
      </w:r>
      <w:r>
        <w:rPr>
          <w:rFonts w:hint="eastAsia" w:cs="Times New Roman"/>
          <w:color w:val="auto"/>
          <w:sz w:val="21"/>
          <w:szCs w:val="21"/>
          <w:highlight w:val="none"/>
          <w:lang w:eastAsia="zh-CN"/>
        </w:rPr>
        <w:t>。</w:t>
      </w:r>
      <w:r>
        <w:rPr>
          <w:rFonts w:hint="default" w:ascii="Times New Roman" w:hAnsi="Times New Roman" w:cs="Times New Roman"/>
          <w:color w:val="auto"/>
          <w:kern w:val="0"/>
          <w:sz w:val="21"/>
          <w:szCs w:val="21"/>
          <w:highlight w:val="none"/>
        </w:rPr>
        <w:t>本次除险加固后库区范围没有发生改变，只要库区范围内不新增污染源，来水水质不会发生大的变化，水库水质的营养状况通过水体交换可以改善水质。现状没有出现水质明显恶化、藻类异常增殖等现象。除险加固实施后水库管理部门应持续控制库区范围内污染源排放，并采取监管措施，确保水库水质安全。</w:t>
      </w:r>
    </w:p>
    <w:p w14:paraId="3EC3034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（2）水温</w:t>
      </w:r>
    </w:p>
    <w:p w14:paraId="02E201EA">
      <w:pPr>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库水温是水环境的一项重要指标。水库蓄水运行后，水温作为表征热状况的一个水文要素将发生变化。水库的水温分布受太阳辐射、水库容积、入出库水量和水温、水库形状、水库调度运行方式等多种因素的影响。</w:t>
      </w:r>
    </w:p>
    <w:p w14:paraId="5415F7EA">
      <w:pPr>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采用径流—库容比法对</w:t>
      </w:r>
      <w:r>
        <w:rPr>
          <w:rFonts w:hint="default" w:ascii="Times New Roman" w:hAnsi="Times New Roman" w:eastAsia="宋体" w:cs="Times New Roman"/>
          <w:color w:val="auto"/>
          <w:kern w:val="0"/>
          <w:sz w:val="21"/>
          <w:szCs w:val="21"/>
          <w:highlight w:val="none"/>
          <w:lang w:eastAsia="zh-CN"/>
        </w:rPr>
        <w:t>庆先水库</w:t>
      </w:r>
      <w:r>
        <w:rPr>
          <w:rFonts w:hint="default" w:ascii="Times New Roman" w:hAnsi="Times New Roman" w:eastAsia="宋体" w:cs="Times New Roman"/>
          <w:color w:val="auto"/>
          <w:kern w:val="0"/>
          <w:sz w:val="21"/>
          <w:szCs w:val="21"/>
          <w:highlight w:val="none"/>
        </w:rPr>
        <w:t>工程的水温结构进行判别。</w:t>
      </w:r>
    </w:p>
    <w:p w14:paraId="5F64B804">
      <w:pPr>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position w:val="-22"/>
          <w:sz w:val="21"/>
          <w:szCs w:val="21"/>
          <w:highlight w:val="none"/>
        </w:rPr>
        <w:drawing>
          <wp:inline distT="0" distB="0" distL="114300" distR="114300">
            <wp:extent cx="1685290" cy="359410"/>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6"/>
                    <a:stretch>
                      <a:fillRect/>
                    </a:stretch>
                  </pic:blipFill>
                  <pic:spPr>
                    <a:xfrm>
                      <a:off x="0" y="0"/>
                      <a:ext cx="1685290" cy="359410"/>
                    </a:xfrm>
                    <a:prstGeom prst="rect">
                      <a:avLst/>
                    </a:prstGeom>
                    <a:noFill/>
                    <a:ln>
                      <a:noFill/>
                    </a:ln>
                  </pic:spPr>
                </pic:pic>
              </a:graphicData>
            </a:graphic>
          </wp:inline>
        </w:drawing>
      </w:r>
      <w:r>
        <w:rPr>
          <w:rFonts w:hint="default" w:ascii="Times New Roman" w:hAnsi="Times New Roman" w:eastAsia="宋体" w:cs="Times New Roman"/>
          <w:color w:val="auto"/>
          <w:position w:val="-22"/>
          <w:sz w:val="21"/>
          <w:szCs w:val="21"/>
          <w:highlight w:val="none"/>
        </w:rPr>
        <w:t xml:space="preserve">     </w:t>
      </w:r>
      <w:r>
        <w:rPr>
          <w:rFonts w:hint="default" w:ascii="Times New Roman" w:hAnsi="Times New Roman" w:eastAsia="宋体" w:cs="Times New Roman"/>
          <w:color w:val="auto"/>
          <w:position w:val="-22"/>
          <w:sz w:val="21"/>
          <w:szCs w:val="21"/>
          <w:highlight w:val="none"/>
        </w:rPr>
        <w:drawing>
          <wp:inline distT="0" distB="0" distL="114300" distR="114300">
            <wp:extent cx="1633855" cy="369570"/>
            <wp:effectExtent l="0" t="0" r="0" b="1143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7"/>
                    <a:stretch>
                      <a:fillRect/>
                    </a:stretch>
                  </pic:blipFill>
                  <pic:spPr>
                    <a:xfrm>
                      <a:off x="0" y="0"/>
                      <a:ext cx="1633855" cy="369570"/>
                    </a:xfrm>
                    <a:prstGeom prst="rect">
                      <a:avLst/>
                    </a:prstGeom>
                    <a:noFill/>
                    <a:ln>
                      <a:noFill/>
                    </a:ln>
                  </pic:spPr>
                </pic:pic>
              </a:graphicData>
            </a:graphic>
          </wp:inline>
        </w:drawing>
      </w:r>
    </w:p>
    <w:p w14:paraId="24C46D84">
      <w:pPr>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判别标准为：当α＜10，水库为稳定分层型；当10≤α≤20，水库为过渡型；当α＞20，水库为混合型。分层型水库如遇β＞1的大洪水，则也往往成为临时的混合型；而β＜0.5的洪水，一般对水库的水温结构没有大的影响。</w:t>
      </w:r>
    </w:p>
    <w:p w14:paraId="6FE0D30B">
      <w:pPr>
        <w:pStyle w:val="31"/>
        <w:keepNext w:val="0"/>
        <w:keepLines w:val="0"/>
        <w:pageBreakBefore w:val="0"/>
        <w:kinsoku/>
        <w:wordWrap/>
        <w:overflowPunct/>
        <w:topLinePunct w:val="0"/>
        <w:bidi w:val="0"/>
        <w:snapToGrid/>
        <w:spacing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庆先水库</w:t>
      </w:r>
      <w:r>
        <w:rPr>
          <w:rFonts w:hint="default" w:ascii="Times New Roman" w:hAnsi="Times New Roman" w:eastAsia="宋体" w:cs="Times New Roman"/>
          <w:color w:val="auto"/>
          <w:kern w:val="0"/>
          <w:sz w:val="21"/>
          <w:szCs w:val="21"/>
          <w:highlight w:val="none"/>
        </w:rPr>
        <w:t>多年平均径流量为</w:t>
      </w:r>
      <w:r>
        <w:rPr>
          <w:rFonts w:hint="eastAsia" w:ascii="Times New Roman" w:hAnsi="Times New Roman" w:eastAsia="宋体" w:cs="Times New Roman"/>
          <w:color w:val="auto"/>
          <w:sz w:val="21"/>
          <w:szCs w:val="21"/>
          <w:highlight w:val="none"/>
          <w:lang w:val="en-US" w:eastAsia="zh-CN"/>
        </w:rPr>
        <w:t>297</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4</w:t>
      </w:r>
      <w:r>
        <w:rPr>
          <w:rFonts w:hint="default"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rPr>
        <w:t>，水库总库容207.00×</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，由此计算α值为</w:t>
      </w:r>
      <w:r>
        <w:rPr>
          <w:rFonts w:hint="default" w:ascii="Times New Roman" w:hAnsi="Times New Roman" w:eastAsia="宋体" w:cs="Times New Roman"/>
          <w:color w:val="auto"/>
          <w:kern w:val="0"/>
          <w:sz w:val="21"/>
          <w:szCs w:val="21"/>
          <w:highlight w:val="none"/>
          <w:lang w:val="en-US" w:eastAsia="zh-CN"/>
        </w:rPr>
        <w:t>1.4</w:t>
      </w:r>
      <w:r>
        <w:rPr>
          <w:rFonts w:hint="eastAsia" w:asci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val="en-US" w:eastAsia="zh-CN"/>
        </w:rPr>
        <w:t>小于10，因此，可以初步判断水库水温结构为稳定分层型</w:t>
      </w:r>
      <w:r>
        <w:rPr>
          <w:rFonts w:hint="eastAsia" w:asci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rPr>
        <w:t>对下游河段水生生物及农田灌溉</w:t>
      </w:r>
      <w:r>
        <w:rPr>
          <w:rFonts w:hint="default" w:ascii="Times New Roman" w:hAnsi="Times New Roman" w:eastAsia="宋体" w:cs="Times New Roman"/>
          <w:color w:val="auto"/>
          <w:kern w:val="0"/>
          <w:sz w:val="21"/>
          <w:szCs w:val="21"/>
          <w:highlight w:val="none"/>
          <w:lang w:val="en-US" w:eastAsia="zh-CN"/>
        </w:rPr>
        <w:t>不</w:t>
      </w:r>
      <w:r>
        <w:rPr>
          <w:rFonts w:hint="eastAsia" w:ascii="Times New Roman" w:eastAsia="宋体" w:cs="Times New Roman"/>
          <w:color w:val="auto"/>
          <w:kern w:val="0"/>
          <w:sz w:val="21"/>
          <w:szCs w:val="21"/>
          <w:highlight w:val="none"/>
          <w:lang w:val="en-US" w:eastAsia="zh-CN"/>
        </w:rPr>
        <w:t>会</w:t>
      </w:r>
      <w:r>
        <w:rPr>
          <w:rFonts w:hint="default" w:ascii="Times New Roman" w:hAnsi="Times New Roman" w:eastAsia="宋体" w:cs="Times New Roman"/>
          <w:color w:val="auto"/>
          <w:kern w:val="0"/>
          <w:sz w:val="21"/>
          <w:szCs w:val="21"/>
          <w:highlight w:val="none"/>
        </w:rPr>
        <w:t>产生影响。</w:t>
      </w:r>
    </w:p>
    <w:p w14:paraId="1B11EBC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（3）</w:t>
      </w:r>
      <w:r>
        <w:rPr>
          <w:rFonts w:hint="default" w:ascii="Times New Roman" w:hAnsi="Times New Roman" w:cs="Times New Roman"/>
          <w:color w:val="auto"/>
          <w:kern w:val="0"/>
          <w:sz w:val="21"/>
          <w:szCs w:val="21"/>
          <w:highlight w:val="none"/>
        </w:rPr>
        <w:t>地表水水质</w:t>
      </w:r>
    </w:p>
    <w:p w14:paraId="4E6E50C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eastAsiaTheme="minorEastAsia"/>
          <w:color w:val="auto"/>
          <w:kern w:val="0"/>
          <w:sz w:val="21"/>
          <w:szCs w:val="21"/>
          <w:highlight w:val="none"/>
        </w:rPr>
        <w:t>水库除险加固实施后，水库运行本身不产生水污染物，不会对地表水环境产生不利影响。</w:t>
      </w:r>
      <w:r>
        <w:rPr>
          <w:rFonts w:hint="eastAsia" w:ascii="Times New Roman" w:hAnsi="Times New Roman" w:eastAsia="宋体" w:cs="Times New Roman"/>
          <w:color w:val="auto"/>
          <w:sz w:val="21"/>
          <w:szCs w:val="21"/>
          <w:highlight w:val="none"/>
          <w:lang w:eastAsia="zh-CN"/>
        </w:rPr>
        <w:t>运营期管理站房不新增工作人员，无新增生活污水，</w:t>
      </w:r>
      <w:r>
        <w:rPr>
          <w:rFonts w:hint="eastAsia" w:ascii="Times New Roman" w:hAnsi="Times New Roman" w:eastAsia="宋体" w:cs="Times New Roman"/>
          <w:color w:val="auto"/>
          <w:sz w:val="21"/>
          <w:szCs w:val="21"/>
          <w:highlight w:val="none"/>
          <w:lang w:val="en-US" w:eastAsia="zh-CN"/>
        </w:rPr>
        <w:t>不会对地表水环境产生不利影响。</w:t>
      </w:r>
    </w:p>
    <w:p w14:paraId="0B83265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kern w:val="0"/>
          <w:sz w:val="21"/>
          <w:szCs w:val="21"/>
          <w:highlight w:val="none"/>
          <w:lang w:eastAsia="zh-CN"/>
        </w:rPr>
      </w:pP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4</w:t>
      </w:r>
      <w:r>
        <w:rPr>
          <w:rFonts w:hint="eastAsia" w:cs="Times New Roman"/>
          <w:color w:val="auto"/>
          <w:kern w:val="0"/>
          <w:sz w:val="21"/>
          <w:szCs w:val="21"/>
          <w:highlight w:val="none"/>
          <w:lang w:eastAsia="zh-CN"/>
        </w:rPr>
        <w:t>）地表构筑物影响</w:t>
      </w:r>
    </w:p>
    <w:p w14:paraId="4240740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eastAsia="zh-CN"/>
        </w:rPr>
        <w:t>本工程为改建项目，水库除险加固建设过程中利用现有大坝进行施工，不扩大汇水范围，</w:t>
      </w:r>
      <w:r>
        <w:rPr>
          <w:rFonts w:hint="eastAsia" w:cs="Times New Roman" w:eastAsiaTheme="minorEastAsia"/>
          <w:color w:val="auto"/>
          <w:sz w:val="21"/>
          <w:szCs w:val="21"/>
          <w:highlight w:val="none"/>
          <w:lang w:val="en-US" w:eastAsia="zh-CN"/>
        </w:rPr>
        <w:t>区域生态环境稳定，水生生态无需重建，森林生态系统、农田生态系统已经稳定，项目运行，不会恶化项目周边的生态系统，根据地表水监测结果，</w:t>
      </w:r>
      <w:r>
        <w:rPr>
          <w:rFonts w:hint="eastAsia" w:ascii="Times New Roman" w:hAnsi="Times New Roman" w:cs="Times New Roman" w:eastAsiaTheme="minorEastAsia"/>
          <w:color w:val="auto"/>
          <w:sz w:val="21"/>
          <w:szCs w:val="21"/>
          <w:highlight w:val="none"/>
          <w:lang w:val="en-US" w:eastAsia="zh-CN"/>
        </w:rPr>
        <w:t>水质现状不存在富营养化情况，且无富营养化趋势</w:t>
      </w:r>
      <w:r>
        <w:rPr>
          <w:rFonts w:hint="eastAsia" w:cs="Times New Roman" w:eastAsiaTheme="minorEastAsia"/>
          <w:color w:val="auto"/>
          <w:sz w:val="21"/>
          <w:szCs w:val="21"/>
          <w:highlight w:val="none"/>
          <w:lang w:val="en-US" w:eastAsia="zh-CN"/>
        </w:rPr>
        <w:t>；且庆先水库重要鱼类的无洄游通道。</w:t>
      </w:r>
    </w:p>
    <w:p w14:paraId="3DC4A3E0">
      <w:pPr>
        <w:ind w:firstLine="480"/>
        <w:rPr>
          <w:rFonts w:hint="default" w:ascii="Times New Roman" w:hAnsi="Times New Roman" w:cs="Times New Roman"/>
          <w:color w:val="auto"/>
          <w:highlight w:val="none"/>
        </w:rPr>
      </w:pPr>
    </w:p>
    <w:p w14:paraId="4A00AF5C">
      <w:pPr>
        <w:pStyle w:val="3"/>
        <w:rPr>
          <w:rFonts w:hint="default"/>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4D7BA7D">
      <w:pPr>
        <w:pStyle w:val="2"/>
        <w:keepNext w:val="0"/>
        <w:keepLines w:val="0"/>
        <w:pageBreakBefore w:val="0"/>
        <w:widowControl/>
        <w:kinsoku/>
        <w:wordWrap/>
        <w:overflowPunct/>
        <w:topLinePunct w:val="0"/>
        <w:autoSpaceDE/>
        <w:autoSpaceDN/>
        <w:bidi w:val="0"/>
        <w:adjustRightInd/>
        <w:snapToGrid/>
        <w:spacing w:before="0" w:after="0" w:line="360" w:lineRule="auto"/>
        <w:ind w:left="0" w:firstLine="0"/>
        <w:textAlignment w:val="auto"/>
        <w:rPr>
          <w:rFonts w:hint="default" w:ascii="Times New Roman" w:hAnsi="Times New Roman" w:cs="Times New Roman"/>
          <w:b/>
          <w:bCs/>
          <w:color w:val="auto"/>
          <w:kern w:val="0"/>
          <w:sz w:val="30"/>
          <w:highlight w:val="none"/>
        </w:rPr>
      </w:pPr>
      <w:bookmarkStart w:id="150" w:name="_Toc3790"/>
      <w:bookmarkStart w:id="151" w:name="_Toc4649"/>
      <w:bookmarkStart w:id="152" w:name="_Toc1386"/>
      <w:bookmarkStart w:id="153" w:name="_Toc15277"/>
      <w:bookmarkStart w:id="154" w:name="_Toc8228"/>
      <w:bookmarkStart w:id="155" w:name="_Toc881"/>
      <w:r>
        <w:rPr>
          <w:rFonts w:hint="default" w:ascii="Times New Roman" w:hAnsi="Times New Roman" w:cs="Times New Roman"/>
          <w:b/>
          <w:bCs/>
          <w:color w:val="auto"/>
          <w:kern w:val="0"/>
          <w:sz w:val="30"/>
          <w:highlight w:val="none"/>
        </w:rPr>
        <w:t>5地表水环境保护措施</w:t>
      </w:r>
      <w:bookmarkEnd w:id="150"/>
      <w:bookmarkEnd w:id="151"/>
      <w:bookmarkEnd w:id="152"/>
      <w:bookmarkEnd w:id="153"/>
      <w:bookmarkEnd w:id="154"/>
      <w:bookmarkEnd w:id="155"/>
    </w:p>
    <w:p w14:paraId="085AE45C">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sz w:val="24"/>
          <w:szCs w:val="24"/>
          <w:highlight w:val="none"/>
        </w:rPr>
      </w:pPr>
      <w:bookmarkStart w:id="156" w:name="_Toc3297"/>
      <w:r>
        <w:rPr>
          <w:rFonts w:hint="default" w:ascii="Times New Roman" w:hAnsi="Times New Roman" w:cs="Times New Roman"/>
          <w:color w:val="auto"/>
          <w:sz w:val="24"/>
          <w:szCs w:val="24"/>
          <w:highlight w:val="none"/>
        </w:rPr>
        <w:t>5.1施工期保护措施</w:t>
      </w:r>
      <w:bookmarkEnd w:id="156"/>
    </w:p>
    <w:p w14:paraId="6E09A60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snapToGrid w:val="0"/>
          <w:color w:val="auto"/>
          <w:spacing w:val="0"/>
          <w:position w:val="0"/>
          <w:sz w:val="21"/>
          <w:szCs w:val="21"/>
          <w:highlight w:val="none"/>
          <w:lang w:val="en-US" w:eastAsia="zh-CN"/>
        </w:rPr>
        <w:t>（</w:t>
      </w:r>
      <w:r>
        <w:rPr>
          <w:rFonts w:hint="eastAsia" w:ascii="Times New Roman" w:hAnsi="Times New Roman" w:cs="Times New Roman" w:eastAsiaTheme="minorEastAsia"/>
          <w:snapToGrid w:val="0"/>
          <w:color w:val="auto"/>
          <w:spacing w:val="0"/>
          <w:position w:val="0"/>
          <w:sz w:val="21"/>
          <w:szCs w:val="21"/>
          <w:highlight w:val="none"/>
          <w:lang w:val="en-US" w:eastAsia="zh-CN"/>
        </w:rPr>
        <w:t>1</w:t>
      </w:r>
      <w:r>
        <w:rPr>
          <w:rFonts w:hint="default" w:ascii="Times New Roman" w:hAnsi="Times New Roman" w:cs="Times New Roman" w:eastAsiaTheme="minorEastAsia"/>
          <w:snapToGrid w:val="0"/>
          <w:color w:val="auto"/>
          <w:spacing w:val="0"/>
          <w:position w:val="0"/>
          <w:sz w:val="21"/>
          <w:szCs w:val="21"/>
          <w:highlight w:val="none"/>
          <w:lang w:val="en-US" w:eastAsia="zh-CN"/>
        </w:rPr>
        <w:t>）</w:t>
      </w:r>
      <w:r>
        <w:rPr>
          <w:rFonts w:hint="default" w:ascii="Times New Roman" w:hAnsi="Times New Roman" w:cs="Times New Roman"/>
          <w:color w:val="auto"/>
          <w:sz w:val="21"/>
          <w:szCs w:val="21"/>
          <w:highlight w:val="none"/>
        </w:rPr>
        <w:t>生活污水</w:t>
      </w:r>
    </w:p>
    <w:p w14:paraId="54FEEF91">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施工高峰期人数</w:t>
      </w:r>
      <w:r>
        <w:rPr>
          <w:rFonts w:hint="eastAsia" w:cs="Times New Roman" w:eastAsiaTheme="minorEastAsia"/>
          <w:color w:val="auto"/>
          <w:sz w:val="21"/>
          <w:szCs w:val="21"/>
          <w:highlight w:val="none"/>
          <w:lang w:val="en-US" w:eastAsia="zh-CN"/>
        </w:rPr>
        <w:t>60</w:t>
      </w:r>
      <w:r>
        <w:rPr>
          <w:rFonts w:hint="default" w:ascii="Times New Roman" w:hAnsi="Times New Roman" w:cs="Times New Roman" w:eastAsiaTheme="minorEastAsia"/>
          <w:color w:val="auto"/>
          <w:sz w:val="21"/>
          <w:szCs w:val="21"/>
          <w:highlight w:val="none"/>
        </w:rPr>
        <w:t>人，施工人员产生的生活污水，</w:t>
      </w:r>
      <w:r>
        <w:rPr>
          <w:rFonts w:hint="eastAsia" w:cs="Times New Roman" w:eastAsiaTheme="minorEastAsia"/>
          <w:color w:val="auto"/>
          <w:sz w:val="21"/>
          <w:szCs w:val="21"/>
          <w:highlight w:val="none"/>
          <w:lang w:val="en-US" w:eastAsia="zh-CN"/>
        </w:rPr>
        <w:t>采用防渗旱厕集中收集，</w:t>
      </w:r>
      <w:r>
        <w:rPr>
          <w:rFonts w:hint="default" w:ascii="Times New Roman" w:hAnsi="Times New Roman" w:cs="Times New Roman" w:eastAsiaTheme="minorEastAsia"/>
          <w:color w:val="auto"/>
          <w:sz w:val="21"/>
          <w:szCs w:val="21"/>
          <w:highlight w:val="none"/>
        </w:rPr>
        <w:t>定期清掏、外运，</w:t>
      </w:r>
      <w:r>
        <w:rPr>
          <w:rFonts w:hint="eastAsia" w:ascii="Times New Roman" w:hAnsi="Times New Roman" w:eastAsia="宋体" w:cs="Times New Roman"/>
          <w:color w:val="auto"/>
          <w:sz w:val="21"/>
          <w:szCs w:val="21"/>
          <w:highlight w:val="none"/>
          <w:lang w:eastAsia="zh-CN"/>
        </w:rPr>
        <w:t>生活污水不外排，</w:t>
      </w:r>
      <w:r>
        <w:rPr>
          <w:rFonts w:hint="default" w:ascii="Times New Roman" w:hAnsi="Times New Roman" w:cs="Times New Roman" w:eastAsiaTheme="minorEastAsia"/>
          <w:color w:val="auto"/>
          <w:sz w:val="21"/>
          <w:szCs w:val="21"/>
          <w:highlight w:val="none"/>
        </w:rPr>
        <w:t>严禁将生活污水外排和随意泼洒。</w:t>
      </w:r>
    </w:p>
    <w:p w14:paraId="6BFF888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snapToGrid w:val="0"/>
          <w:color w:val="auto"/>
          <w:spacing w:val="0"/>
          <w:position w:val="0"/>
          <w:sz w:val="21"/>
          <w:szCs w:val="21"/>
          <w:highlight w:val="none"/>
          <w:lang w:val="en-US" w:eastAsia="zh-CN"/>
        </w:rPr>
        <w:t>（2）</w:t>
      </w:r>
      <w:r>
        <w:rPr>
          <w:rFonts w:hint="default" w:ascii="Times New Roman" w:hAnsi="Times New Roman" w:cs="Times New Roman" w:eastAsiaTheme="minorEastAsia"/>
          <w:color w:val="auto"/>
          <w:sz w:val="21"/>
          <w:szCs w:val="21"/>
          <w:highlight w:val="none"/>
        </w:rPr>
        <w:t>施工机械轮胎冲洗废水</w:t>
      </w:r>
    </w:p>
    <w:p w14:paraId="74AE0C4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施工场地不设置机械、车辆维修厂，不产生机械维修废水，机械维修依靠周边社会设施。机械冲洗业务外协委托，在工地仅设置轮胎冲洗，主要承担进出厂机械车轮污泥的冲洗，这部分废水经沉淀池收集沉淀后回用于洒水降尘，不会产生含油废水。本项目不设置混凝土</w:t>
      </w:r>
      <w:r>
        <w:rPr>
          <w:rFonts w:hint="eastAsia" w:cs="Times New Roman" w:eastAsiaTheme="minorEastAsia"/>
          <w:color w:val="auto"/>
          <w:sz w:val="21"/>
          <w:szCs w:val="21"/>
          <w:highlight w:val="none"/>
          <w:lang w:eastAsia="zh-CN"/>
        </w:rPr>
        <w:t>拌和站</w:t>
      </w:r>
      <w:r>
        <w:rPr>
          <w:rFonts w:hint="default" w:ascii="Times New Roman" w:hAnsi="Times New Roman" w:cs="Times New Roman" w:eastAsiaTheme="minorEastAsia"/>
          <w:color w:val="auto"/>
          <w:sz w:val="21"/>
          <w:szCs w:val="21"/>
          <w:highlight w:val="none"/>
        </w:rPr>
        <w:t>，因此不会产生混凝土拌和、养护废水。</w:t>
      </w:r>
    </w:p>
    <w:p w14:paraId="2E49027E">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（3）基坑排水</w:t>
      </w:r>
    </w:p>
    <w:p w14:paraId="0F54B27F">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位于库区内的输水洞闸室段拆除重建在枯水期施工，为避免工程扰动水体，施工时于基坑外侧设置临时施工围堰，围堰采用土围堰型式，基坑废水直接产生在围堰内，静置沉淀后用于洒水降尘，不外排。</w:t>
      </w:r>
    </w:p>
    <w:p w14:paraId="50A8E27A">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bCs/>
          <w:color w:val="auto"/>
          <w:sz w:val="21"/>
          <w:szCs w:val="21"/>
          <w:highlight w:val="none"/>
        </w:rPr>
        <w:t>对水生生态的影响</w:t>
      </w:r>
    </w:p>
    <w:p w14:paraId="6E849224">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施工时会造成一定程度的水体扰动及噪声，本工程输水洞闸室段拆除重建在枯水期施工，为避免工程扰动水体，施工时于基坑外侧设置临时施工围堰，围堰采用土围堰型式，围堰施工造成工程区局部悬浮物浓度增加，水体透明度下降，底栖生物损失，鱼类栖息、浮游生物活动受干扰等影响，本工程围堰施工位于岸边基坑外侧，围堰施工期、拆除期较短，对水体扰动时间短，围堰施工结束，水体将恢复原有状态</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且本项目施工期为枯水期，对水体产生的扰动较小，这些影响都是暂时的，随着施工结束而逐渐恢复。</w:t>
      </w:r>
    </w:p>
    <w:p w14:paraId="7F1C0E0C">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水库除险加固工程的施工，会对水库的环境造成一定的影响</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本工程是非污染型项目，工程运营期不产生污染，工程建设后不改变水库原功能</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正常蓄水位，实际运行时库区内库容、水深</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较工程实施前基本没有变化，水生生境基本维持原状。因此本次除险加固工程实施后对水生生态影响较小。</w:t>
      </w:r>
    </w:p>
    <w:p w14:paraId="68D731BB">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5</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eastAsia="zh-CN"/>
        </w:rPr>
        <w:t>对库区水文情势影响</w:t>
      </w:r>
    </w:p>
    <w:p w14:paraId="65C9EAF3">
      <w:pPr>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根据施工设计，本项目主体工程大都在原址基础上进行除险加固，不改变水库设计正常蓄水位，不进行增容，不改变水库流量、水位等工程特性；水库除险加固工程施工期</w:t>
      </w:r>
      <w:r>
        <w:rPr>
          <w:rFonts w:hint="default" w:ascii="Times New Roman" w:hAnsi="Times New Roman" w:cs="Times New Roman"/>
          <w:bCs/>
          <w:color w:val="auto"/>
          <w:szCs w:val="20"/>
        </w:rPr>
        <w:t>对水文情势的影响主要为</w:t>
      </w:r>
      <w:r>
        <w:rPr>
          <w:rFonts w:hint="default" w:ascii="Times New Roman" w:hAnsi="Times New Roman" w:cs="Times New Roman"/>
          <w:color w:val="auto"/>
        </w:rPr>
        <w:t>施工</w:t>
      </w:r>
      <w:r>
        <w:rPr>
          <w:rFonts w:hint="default" w:ascii="Times New Roman" w:hAnsi="Times New Roman" w:cs="Times New Roman"/>
          <w:bCs/>
          <w:color w:val="auto"/>
          <w:szCs w:val="20"/>
        </w:rPr>
        <w:t>围堰对水流流向和流量的改变，</w:t>
      </w:r>
      <w:r>
        <w:rPr>
          <w:rFonts w:hint="default" w:ascii="Times New Roman" w:hAnsi="Times New Roman" w:cs="Times New Roman"/>
          <w:color w:val="auto"/>
        </w:rPr>
        <w:t>施工</w:t>
      </w:r>
      <w:r>
        <w:rPr>
          <w:rFonts w:hint="default" w:ascii="Times New Roman" w:hAnsi="Times New Roman" w:cs="Times New Roman"/>
          <w:bCs/>
          <w:color w:val="auto"/>
          <w:szCs w:val="20"/>
        </w:rPr>
        <w:t>围堰是临时施工措施，工程完成后该影响即可恢复</w:t>
      </w:r>
      <w:r>
        <w:rPr>
          <w:rFonts w:hint="eastAsia"/>
          <w:color w:val="auto"/>
        </w:rPr>
        <w:t>，</w:t>
      </w:r>
      <w:r>
        <w:rPr>
          <w:rFonts w:hint="eastAsia" w:ascii="Times New Roman" w:hAnsi="Times New Roman" w:eastAsia="宋体" w:cs="Times New Roman"/>
          <w:color w:val="auto"/>
          <w:sz w:val="21"/>
          <w:szCs w:val="21"/>
          <w:highlight w:val="none"/>
          <w:lang w:eastAsia="zh-CN"/>
        </w:rPr>
        <w:t>影响也将随之消失，</w:t>
      </w:r>
      <w:r>
        <w:rPr>
          <w:rFonts w:hint="eastAsia"/>
          <w:color w:val="auto"/>
        </w:rPr>
        <w:t>因此，对</w:t>
      </w:r>
      <w:r>
        <w:rPr>
          <w:rFonts w:hint="eastAsia"/>
          <w:color w:val="auto"/>
          <w:lang w:val="en-US" w:eastAsia="zh-CN"/>
        </w:rPr>
        <w:t>水库</w:t>
      </w:r>
      <w:r>
        <w:rPr>
          <w:rFonts w:hint="eastAsia"/>
          <w:color w:val="auto"/>
        </w:rPr>
        <w:t>的水文情势影响较小。</w:t>
      </w:r>
    </w:p>
    <w:p w14:paraId="3C1FB117">
      <w:pPr>
        <w:pStyle w:val="3"/>
        <w:keepNext w:val="0"/>
        <w:keepLines w:val="0"/>
        <w:pageBreakBefore w:val="0"/>
        <w:widowControl/>
        <w:numPr>
          <w:ilvl w:val="1"/>
          <w:numId w:val="0"/>
        </w:numPr>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color w:val="auto"/>
          <w:highlight w:val="none"/>
        </w:rPr>
      </w:pPr>
      <w:bookmarkStart w:id="157" w:name="_Toc29077"/>
      <w:r>
        <w:rPr>
          <w:rFonts w:hint="default" w:ascii="Times New Roman" w:hAnsi="Times New Roman" w:cs="Times New Roman"/>
          <w:color w:val="auto"/>
          <w:sz w:val="24"/>
          <w:szCs w:val="24"/>
          <w:highlight w:val="none"/>
        </w:rPr>
        <w:t>5.2运行期保护措施</w:t>
      </w:r>
      <w:bookmarkEnd w:id="157"/>
    </w:p>
    <w:p w14:paraId="691EBC9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eastAsia="zh-CN"/>
        </w:rPr>
      </w:pPr>
      <w:r>
        <w:rPr>
          <w:rFonts w:hint="default" w:ascii="Times New Roman" w:hAnsi="Times New Roman" w:cs="Times New Roman" w:eastAsiaTheme="minorEastAsia"/>
          <w:snapToGrid w:val="0"/>
          <w:color w:val="auto"/>
          <w:spacing w:val="0"/>
          <w:position w:val="0"/>
          <w:sz w:val="21"/>
          <w:szCs w:val="21"/>
          <w:highlight w:val="none"/>
          <w:lang w:val="en-US" w:eastAsia="zh-CN"/>
        </w:rPr>
        <w:t>（</w:t>
      </w:r>
      <w:r>
        <w:rPr>
          <w:rFonts w:hint="eastAsia" w:ascii="Times New Roman" w:hAnsi="Times New Roman" w:cs="Times New Roman" w:eastAsiaTheme="minorEastAsia"/>
          <w:snapToGrid w:val="0"/>
          <w:color w:val="auto"/>
          <w:spacing w:val="0"/>
          <w:position w:val="0"/>
          <w:sz w:val="21"/>
          <w:szCs w:val="21"/>
          <w:highlight w:val="none"/>
          <w:lang w:val="en-US" w:eastAsia="zh-CN"/>
        </w:rPr>
        <w:t>1</w:t>
      </w:r>
      <w:r>
        <w:rPr>
          <w:rFonts w:hint="default" w:ascii="Times New Roman" w:hAnsi="Times New Roman" w:cs="Times New Roman" w:eastAsiaTheme="minorEastAsia"/>
          <w:snapToGrid w:val="0"/>
          <w:color w:val="auto"/>
          <w:spacing w:val="0"/>
          <w:position w:val="0"/>
          <w:sz w:val="21"/>
          <w:szCs w:val="21"/>
          <w:highlight w:val="none"/>
          <w:lang w:val="en-US" w:eastAsia="zh-CN"/>
        </w:rPr>
        <w:t>）</w:t>
      </w:r>
      <w:r>
        <w:rPr>
          <w:rFonts w:hint="default" w:ascii="Times New Roman" w:hAnsi="Times New Roman" w:cs="Times New Roman"/>
          <w:color w:val="auto"/>
          <w:sz w:val="21"/>
          <w:szCs w:val="21"/>
          <w:highlight w:val="none"/>
        </w:rPr>
        <w:t>生态流量保障措施</w:t>
      </w:r>
    </w:p>
    <w:p w14:paraId="1B3FA72D">
      <w:pPr>
        <w:spacing w:line="360" w:lineRule="auto"/>
        <w:ind w:firstLine="420" w:firstLineChars="200"/>
        <w:rPr>
          <w:rFonts w:hint="eastAsia" w:cs="Times New Roman"/>
          <w:color w:val="auto"/>
          <w:sz w:val="21"/>
          <w:szCs w:val="21"/>
          <w:highlight w:val="none"/>
          <w:lang w:eastAsia="zh-CN"/>
        </w:rPr>
      </w:pPr>
      <w:r>
        <w:rPr>
          <w:rFonts w:hint="eastAsia" w:cs="Times New Roman" w:eastAsiaTheme="minorEastAsia"/>
          <w:color w:val="auto"/>
          <w:kern w:val="0"/>
          <w:sz w:val="21"/>
          <w:szCs w:val="21"/>
          <w:highlight w:val="none"/>
          <w:lang w:eastAsia="zh-CN"/>
        </w:rPr>
        <w:t>庆先水库</w:t>
      </w:r>
      <w:r>
        <w:rPr>
          <w:rFonts w:hint="default" w:ascii="Times New Roman" w:hAnsi="Times New Roman" w:cs="Times New Roman" w:eastAsiaTheme="minorEastAsia"/>
          <w:color w:val="auto"/>
          <w:kern w:val="0"/>
          <w:sz w:val="21"/>
          <w:szCs w:val="21"/>
          <w:highlight w:val="none"/>
        </w:rPr>
        <w:t>在调度时，采用现有输水洞进行生态流量下泄，严格按照</w:t>
      </w:r>
      <w:r>
        <w:rPr>
          <w:rFonts w:hint="default" w:ascii="Times New Roman" w:hAnsi="Times New Roman" w:eastAsia="宋体" w:cs="Times New Roman"/>
          <w:snapToGrid w:val="0"/>
          <w:color w:val="auto"/>
          <w:kern w:val="0"/>
          <w:sz w:val="21"/>
          <w:szCs w:val="21"/>
          <w:highlight w:val="none"/>
          <w:lang w:val="en-US" w:eastAsia="zh-CN" w:bidi="ar-SA"/>
        </w:rPr>
        <w:t>《水利水电工程生态流量计算与泄放设计规范》（SL/T820-2023）与《水库生态流量泄放规程》（SL/T819-2023）</w:t>
      </w:r>
      <w:r>
        <w:rPr>
          <w:rFonts w:hint="eastAsia" w:cs="Times New Roman"/>
          <w:snapToGrid w:val="0"/>
          <w:color w:val="auto"/>
          <w:kern w:val="0"/>
          <w:sz w:val="21"/>
          <w:szCs w:val="21"/>
          <w:highlight w:val="none"/>
          <w:lang w:val="en-US" w:eastAsia="zh-CN" w:bidi="ar-SA"/>
        </w:rPr>
        <w:t>以及</w:t>
      </w:r>
      <w:r>
        <w:rPr>
          <w:rFonts w:hint="default" w:ascii="Times New Roman" w:hAnsi="Times New Roman" w:cs="Times New Roman" w:eastAsiaTheme="minorEastAsia"/>
          <w:color w:val="auto"/>
          <w:kern w:val="0"/>
          <w:sz w:val="21"/>
          <w:szCs w:val="21"/>
          <w:highlight w:val="none"/>
        </w:rPr>
        <w:t>《水库调度设计规范》（GB/T50587-2010）要求，基本的水库调度原则为：水库调度设计应遵循保护生态和环境的原则，优先满足河道内生态和环境的基本用水要求，</w:t>
      </w:r>
      <w:r>
        <w:rPr>
          <w:rFonts w:hint="eastAsia" w:asciiTheme="minorEastAsia" w:hAnsiTheme="minorEastAsia" w:eastAsiaTheme="minorEastAsia" w:cstheme="minorEastAsia"/>
          <w:color w:val="auto"/>
          <w:kern w:val="0"/>
          <w:sz w:val="21"/>
          <w:szCs w:val="21"/>
          <w:highlight w:val="none"/>
        </w:rPr>
        <w:t>合理制定运用控制条件和水库调度方式。本次以除险加固保证安全运行为主，水库调度方案未变化。</w:t>
      </w:r>
    </w:p>
    <w:p w14:paraId="537020DF">
      <w:pPr>
        <w:ind w:firstLine="480"/>
        <w:rPr>
          <w:rFonts w:hint="default" w:ascii="Times New Roman" w:hAnsi="Times New Roman" w:cs="Times New Roman"/>
          <w:color w:val="auto"/>
          <w:highlight w:val="none"/>
        </w:rPr>
      </w:pPr>
    </w:p>
    <w:p w14:paraId="625DC80B">
      <w:pPr>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448DE42">
      <w:pPr>
        <w:pStyle w:val="2"/>
        <w:keepNext w:val="0"/>
        <w:keepLines w:val="0"/>
        <w:pageBreakBefore w:val="0"/>
        <w:widowControl/>
        <w:kinsoku/>
        <w:wordWrap/>
        <w:overflowPunct/>
        <w:topLinePunct w:val="0"/>
        <w:autoSpaceDE/>
        <w:autoSpaceDN/>
        <w:bidi w:val="0"/>
        <w:adjustRightInd/>
        <w:snapToGrid/>
        <w:spacing w:before="0" w:after="0" w:line="360" w:lineRule="auto"/>
        <w:ind w:left="0" w:firstLine="0"/>
        <w:textAlignment w:val="auto"/>
        <w:rPr>
          <w:rFonts w:hint="default" w:ascii="Times New Roman" w:hAnsi="Times New Roman" w:cs="Times New Roman"/>
          <w:b/>
          <w:bCs/>
          <w:color w:val="auto"/>
          <w:kern w:val="0"/>
          <w:sz w:val="30"/>
          <w:highlight w:val="none"/>
        </w:rPr>
      </w:pPr>
      <w:bookmarkStart w:id="158" w:name="_Toc28673"/>
      <w:bookmarkStart w:id="159" w:name="_Toc7880"/>
      <w:bookmarkStart w:id="160" w:name="_Toc4756"/>
      <w:bookmarkStart w:id="161" w:name="_Toc5612"/>
      <w:bookmarkStart w:id="162" w:name="_Toc20475"/>
      <w:bookmarkStart w:id="163" w:name="_Toc14878"/>
      <w:r>
        <w:rPr>
          <w:rFonts w:hint="default" w:ascii="Times New Roman" w:hAnsi="Times New Roman" w:cs="Times New Roman"/>
          <w:b/>
          <w:bCs/>
          <w:color w:val="auto"/>
          <w:kern w:val="0"/>
          <w:sz w:val="30"/>
          <w:highlight w:val="none"/>
        </w:rPr>
        <w:t>6评价结论</w:t>
      </w:r>
      <w:bookmarkEnd w:id="158"/>
      <w:bookmarkEnd w:id="159"/>
      <w:bookmarkEnd w:id="160"/>
      <w:bookmarkEnd w:id="161"/>
      <w:bookmarkEnd w:id="162"/>
      <w:bookmarkEnd w:id="163"/>
    </w:p>
    <w:p w14:paraId="05E7F30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工程实施后，可消除</w:t>
      </w:r>
      <w:r>
        <w:rPr>
          <w:rFonts w:hint="eastAsia" w:cs="Times New Roman"/>
          <w:color w:val="auto"/>
          <w:kern w:val="0"/>
          <w:sz w:val="21"/>
          <w:szCs w:val="21"/>
          <w:highlight w:val="none"/>
          <w:lang w:eastAsia="zh-CN"/>
        </w:rPr>
        <w:t>庆先水库</w:t>
      </w:r>
      <w:r>
        <w:rPr>
          <w:rFonts w:hint="default" w:ascii="Times New Roman" w:hAnsi="Times New Roman" w:cs="Times New Roman"/>
          <w:color w:val="auto"/>
          <w:kern w:val="0"/>
          <w:sz w:val="21"/>
          <w:szCs w:val="21"/>
          <w:highlight w:val="none"/>
        </w:rPr>
        <w:t>安全隐患，使得水库正常运行，持续发挥水库灌溉和防洪功能。</w:t>
      </w:r>
      <w:r>
        <w:rPr>
          <w:rFonts w:hint="default" w:ascii="Times New Roman" w:hAnsi="Times New Roman" w:cs="Times New Roman"/>
          <w:color w:val="auto"/>
          <w:sz w:val="21"/>
          <w:szCs w:val="21"/>
          <w:highlight w:val="none"/>
        </w:rPr>
        <w:t>保护下游农田免遭洪水侵袭，可避免因洪水灾害而污染河流水质的情况发生，对区域水环境将起到一定的保护作用。</w:t>
      </w:r>
      <w:r>
        <w:rPr>
          <w:rFonts w:hint="default" w:ascii="Times New Roman" w:hAnsi="Times New Roman" w:cs="Times New Roman"/>
          <w:color w:val="auto"/>
          <w:kern w:val="0"/>
          <w:sz w:val="21"/>
          <w:szCs w:val="21"/>
          <w:highlight w:val="none"/>
        </w:rPr>
        <w:t>工程建设不涉及环境敏感区，不存在环境制约因素，施工期对环境带来的不利影响可以通过本报告提出的环境保护措施予以减免。</w:t>
      </w:r>
    </w:p>
    <w:p w14:paraId="6A56880E">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0"/>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kern w:val="0"/>
          <w:sz w:val="21"/>
          <w:szCs w:val="21"/>
          <w:highlight w:val="none"/>
        </w:rPr>
        <w:t>从环境角度分析，工程建设是可行的。</w:t>
      </w:r>
    </w:p>
    <w:p w14:paraId="06B85016">
      <w:pPr>
        <w:pStyle w:val="3"/>
        <w:numPr>
          <w:ilvl w:val="1"/>
          <w:numId w:val="0"/>
        </w:numPr>
        <w:jc w:val="center"/>
        <w:rPr>
          <w:rFonts w:hint="default" w:ascii="Times New Roman" w:hAnsi="Times New Roman" w:cs="Times New Roman"/>
          <w:color w:val="auto"/>
          <w:highlight w:val="none"/>
        </w:rPr>
      </w:pPr>
      <w:bookmarkStart w:id="164" w:name="_Toc1223"/>
      <w:r>
        <w:rPr>
          <w:rFonts w:hint="default" w:ascii="Times New Roman" w:hAnsi="Times New Roman" w:cs="Times New Roman"/>
          <w:color w:val="auto"/>
          <w:highlight w:val="none"/>
        </w:rPr>
        <w:t>地表水环境影响评价自查表</w:t>
      </w:r>
      <w:bookmarkEnd w:id="164"/>
    </w:p>
    <w:tbl>
      <w:tblPr>
        <w:tblStyle w:val="25"/>
        <w:tblW w:w="87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741"/>
        <w:gridCol w:w="1253"/>
        <w:gridCol w:w="1254"/>
        <w:gridCol w:w="1255"/>
        <w:gridCol w:w="1126"/>
        <w:gridCol w:w="1384"/>
      </w:tblGrid>
      <w:tr w14:paraId="190597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2507" w:type="dxa"/>
            <w:gridSpan w:val="2"/>
            <w:vAlign w:val="center"/>
          </w:tcPr>
          <w:p w14:paraId="1D47E47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工作内容</w:t>
            </w:r>
          </w:p>
        </w:tc>
        <w:tc>
          <w:tcPr>
            <w:tcW w:w="6272" w:type="dxa"/>
            <w:gridSpan w:val="5"/>
            <w:vAlign w:val="center"/>
          </w:tcPr>
          <w:p w14:paraId="2922C52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自查项目</w:t>
            </w:r>
          </w:p>
        </w:tc>
      </w:tr>
      <w:tr w14:paraId="3D14A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restart"/>
            <w:vAlign w:val="center"/>
          </w:tcPr>
          <w:p w14:paraId="48AF2FB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影响识别</w:t>
            </w:r>
          </w:p>
        </w:tc>
        <w:tc>
          <w:tcPr>
            <w:tcW w:w="1741" w:type="dxa"/>
            <w:vAlign w:val="center"/>
          </w:tcPr>
          <w:p w14:paraId="4734D07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影响类型</w:t>
            </w:r>
          </w:p>
        </w:tc>
        <w:tc>
          <w:tcPr>
            <w:tcW w:w="6272" w:type="dxa"/>
            <w:gridSpan w:val="5"/>
            <w:vAlign w:val="center"/>
          </w:tcPr>
          <w:p w14:paraId="1CE7D477">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水污染影响型</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；水文要素影响型</w:t>
            </w:r>
            <w:r>
              <w:rPr>
                <w:rFonts w:hint="eastAsia" w:cs="Times New Roman"/>
                <w:color w:val="auto"/>
                <w:position w:val="0"/>
                <w:sz w:val="21"/>
                <w:szCs w:val="21"/>
                <w:highlight w:val="none"/>
                <w:lang w:eastAsia="zh-CN"/>
              </w:rPr>
              <w:t>☑</w:t>
            </w:r>
          </w:p>
        </w:tc>
      </w:tr>
      <w:tr w14:paraId="31282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76" w:hRule="atLeast"/>
          <w:jc w:val="center"/>
        </w:trPr>
        <w:tc>
          <w:tcPr>
            <w:tcW w:w="766" w:type="dxa"/>
            <w:vMerge w:val="continue"/>
            <w:vAlign w:val="center"/>
          </w:tcPr>
          <w:p w14:paraId="5BAE516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2C45AC7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水环境保护目标</w:t>
            </w:r>
          </w:p>
        </w:tc>
        <w:tc>
          <w:tcPr>
            <w:tcW w:w="6272" w:type="dxa"/>
            <w:gridSpan w:val="5"/>
            <w:vAlign w:val="center"/>
          </w:tcPr>
          <w:p w14:paraId="0B4AACBA">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饮用水水源保护区□；饮用水取水口□；涉水的自然保护区□；涉水的风景名胜区□；重要湿地□；重点保护与珍稀水生生物的栖息地□；重要水生生物的自然产卵场及索饵场、越冬场和洄游通道□；天然渔场等渔业水体□；水产种质资源保护区□；其他☑</w:t>
            </w:r>
          </w:p>
        </w:tc>
      </w:tr>
      <w:tr w14:paraId="088A7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6DEF9F9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67DD7D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影响途径</w:t>
            </w:r>
          </w:p>
        </w:tc>
        <w:tc>
          <w:tcPr>
            <w:tcW w:w="3762" w:type="dxa"/>
            <w:gridSpan w:val="3"/>
            <w:vAlign w:val="center"/>
          </w:tcPr>
          <w:p w14:paraId="18E424D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水污染影响型</w:t>
            </w:r>
          </w:p>
        </w:tc>
        <w:tc>
          <w:tcPr>
            <w:tcW w:w="2510" w:type="dxa"/>
            <w:gridSpan w:val="2"/>
            <w:vAlign w:val="center"/>
          </w:tcPr>
          <w:p w14:paraId="0912D24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水文要素影响型</w:t>
            </w:r>
          </w:p>
        </w:tc>
      </w:tr>
      <w:tr w14:paraId="2A8D7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03A508D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40F30EC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3762" w:type="dxa"/>
            <w:gridSpan w:val="3"/>
            <w:vAlign w:val="center"/>
          </w:tcPr>
          <w:p w14:paraId="70F22882">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直接排放□；间接排放□；其他</w:t>
            </w:r>
            <w:r>
              <w:rPr>
                <w:rFonts w:hint="eastAsia" w:cs="Times New Roman"/>
                <w:color w:val="auto"/>
                <w:position w:val="0"/>
                <w:sz w:val="21"/>
                <w:szCs w:val="21"/>
                <w:highlight w:val="none"/>
                <w:lang w:eastAsia="zh-CN"/>
              </w:rPr>
              <w:t>☑</w:t>
            </w:r>
          </w:p>
        </w:tc>
        <w:tc>
          <w:tcPr>
            <w:tcW w:w="2510" w:type="dxa"/>
            <w:gridSpan w:val="2"/>
            <w:vAlign w:val="center"/>
          </w:tcPr>
          <w:p w14:paraId="36FC638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水温□；径流□；水域面积□</w:t>
            </w:r>
          </w:p>
        </w:tc>
      </w:tr>
      <w:tr w14:paraId="3EEAFC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766" w:type="dxa"/>
            <w:vMerge w:val="continue"/>
            <w:vAlign w:val="center"/>
          </w:tcPr>
          <w:p w14:paraId="3F6556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1FB9A07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影响因子</w:t>
            </w:r>
          </w:p>
        </w:tc>
        <w:tc>
          <w:tcPr>
            <w:tcW w:w="3762" w:type="dxa"/>
            <w:gridSpan w:val="3"/>
            <w:vAlign w:val="center"/>
          </w:tcPr>
          <w:p w14:paraId="090EC50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持久性污染物□；有毒有害污染物□；非持久性污染物□；</w:t>
            </w:r>
          </w:p>
          <w:p w14:paraId="071BD02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pH值□；热污染□；富营养化□；其他☑</w:t>
            </w:r>
          </w:p>
        </w:tc>
        <w:tc>
          <w:tcPr>
            <w:tcW w:w="2510" w:type="dxa"/>
            <w:gridSpan w:val="2"/>
            <w:vAlign w:val="center"/>
          </w:tcPr>
          <w:p w14:paraId="6AEEC78E">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水温□；水位（水深）□；流速□；流量□；其他</w:t>
            </w:r>
            <w:r>
              <w:rPr>
                <w:rFonts w:hint="eastAsia" w:cs="Times New Roman"/>
                <w:color w:val="auto"/>
                <w:position w:val="0"/>
                <w:sz w:val="21"/>
                <w:szCs w:val="21"/>
                <w:highlight w:val="none"/>
                <w:lang w:eastAsia="zh-CN"/>
              </w:rPr>
              <w:t>☑</w:t>
            </w:r>
          </w:p>
        </w:tc>
      </w:tr>
      <w:tr w14:paraId="0E5E7C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507" w:type="dxa"/>
            <w:gridSpan w:val="2"/>
            <w:vMerge w:val="restart"/>
            <w:vAlign w:val="center"/>
          </w:tcPr>
          <w:p w14:paraId="51BF446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评价等级</w:t>
            </w:r>
          </w:p>
        </w:tc>
        <w:tc>
          <w:tcPr>
            <w:tcW w:w="3762" w:type="dxa"/>
            <w:gridSpan w:val="3"/>
            <w:vAlign w:val="center"/>
          </w:tcPr>
          <w:p w14:paraId="7DA3DB6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水污染影响型</w:t>
            </w:r>
          </w:p>
        </w:tc>
        <w:tc>
          <w:tcPr>
            <w:tcW w:w="2510" w:type="dxa"/>
            <w:gridSpan w:val="2"/>
            <w:vAlign w:val="center"/>
          </w:tcPr>
          <w:p w14:paraId="5B356A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水文要素影响型</w:t>
            </w:r>
          </w:p>
        </w:tc>
      </w:tr>
      <w:tr w14:paraId="73935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2507" w:type="dxa"/>
            <w:gridSpan w:val="2"/>
            <w:vMerge w:val="continue"/>
            <w:vAlign w:val="center"/>
          </w:tcPr>
          <w:p w14:paraId="56ECD7B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3762" w:type="dxa"/>
            <w:gridSpan w:val="3"/>
            <w:vAlign w:val="center"/>
          </w:tcPr>
          <w:p w14:paraId="4EA509F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一级□；二级□；三级A□；三级B☑</w:t>
            </w:r>
          </w:p>
        </w:tc>
        <w:tc>
          <w:tcPr>
            <w:tcW w:w="2510" w:type="dxa"/>
            <w:gridSpan w:val="2"/>
            <w:vAlign w:val="center"/>
          </w:tcPr>
          <w:p w14:paraId="1C5C3319">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一级□；二级□；三级</w:t>
            </w:r>
            <w:r>
              <w:rPr>
                <w:rFonts w:hint="eastAsia" w:cs="Times New Roman"/>
                <w:color w:val="auto"/>
                <w:position w:val="0"/>
                <w:sz w:val="21"/>
                <w:szCs w:val="21"/>
                <w:highlight w:val="none"/>
                <w:lang w:eastAsia="zh-CN"/>
              </w:rPr>
              <w:t>☑</w:t>
            </w:r>
          </w:p>
        </w:tc>
      </w:tr>
      <w:tr w14:paraId="52A78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restart"/>
            <w:vAlign w:val="center"/>
          </w:tcPr>
          <w:p w14:paraId="488ACDD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现状调查</w:t>
            </w:r>
          </w:p>
        </w:tc>
        <w:tc>
          <w:tcPr>
            <w:tcW w:w="1741" w:type="dxa"/>
            <w:vMerge w:val="restart"/>
            <w:vAlign w:val="center"/>
          </w:tcPr>
          <w:p w14:paraId="3A5F53D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区域污染源</w:t>
            </w:r>
          </w:p>
        </w:tc>
        <w:tc>
          <w:tcPr>
            <w:tcW w:w="3762" w:type="dxa"/>
            <w:gridSpan w:val="3"/>
            <w:vAlign w:val="center"/>
          </w:tcPr>
          <w:p w14:paraId="0ED3BC3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调查项目</w:t>
            </w:r>
          </w:p>
        </w:tc>
        <w:tc>
          <w:tcPr>
            <w:tcW w:w="2510" w:type="dxa"/>
            <w:gridSpan w:val="2"/>
            <w:vAlign w:val="center"/>
          </w:tcPr>
          <w:p w14:paraId="02E7EA1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数据来源</w:t>
            </w:r>
          </w:p>
        </w:tc>
      </w:tr>
      <w:tr w14:paraId="023076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66" w:type="dxa"/>
            <w:vMerge w:val="continue"/>
            <w:vAlign w:val="center"/>
          </w:tcPr>
          <w:p w14:paraId="0F8001A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5C40039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2507" w:type="dxa"/>
            <w:gridSpan w:val="2"/>
            <w:vAlign w:val="center"/>
          </w:tcPr>
          <w:p w14:paraId="72185F8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已建□；在建□；拟建□；</w:t>
            </w:r>
          </w:p>
          <w:p w14:paraId="78BBFB3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其他☑</w:t>
            </w:r>
          </w:p>
        </w:tc>
        <w:tc>
          <w:tcPr>
            <w:tcW w:w="1255" w:type="dxa"/>
            <w:vAlign w:val="center"/>
          </w:tcPr>
          <w:p w14:paraId="17D3019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拟替代的污染源□</w:t>
            </w:r>
          </w:p>
        </w:tc>
        <w:tc>
          <w:tcPr>
            <w:tcW w:w="2510" w:type="dxa"/>
            <w:gridSpan w:val="2"/>
            <w:vAlign w:val="center"/>
          </w:tcPr>
          <w:p w14:paraId="1A6F10D3">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排污许可证□；环评□；环保验收□；既有实测□；现场监测</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；入河排放口数据□；其他</w:t>
            </w:r>
            <w:r>
              <w:rPr>
                <w:rFonts w:hint="eastAsia" w:cs="Times New Roman"/>
                <w:color w:val="auto"/>
                <w:position w:val="0"/>
                <w:sz w:val="21"/>
                <w:szCs w:val="21"/>
                <w:highlight w:val="none"/>
                <w:lang w:eastAsia="zh-CN"/>
              </w:rPr>
              <w:t>☑</w:t>
            </w:r>
          </w:p>
        </w:tc>
      </w:tr>
      <w:tr w14:paraId="6CCFF3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7D7D698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2A52AE9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受影响水体水环境质量</w:t>
            </w:r>
          </w:p>
        </w:tc>
        <w:tc>
          <w:tcPr>
            <w:tcW w:w="3762" w:type="dxa"/>
            <w:gridSpan w:val="3"/>
            <w:vAlign w:val="center"/>
          </w:tcPr>
          <w:p w14:paraId="19A19BF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调查时期</w:t>
            </w:r>
          </w:p>
        </w:tc>
        <w:tc>
          <w:tcPr>
            <w:tcW w:w="2510" w:type="dxa"/>
            <w:gridSpan w:val="2"/>
            <w:vAlign w:val="center"/>
          </w:tcPr>
          <w:p w14:paraId="01F45E9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数据来源</w:t>
            </w:r>
          </w:p>
        </w:tc>
      </w:tr>
      <w:tr w14:paraId="140AB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4747855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3F5FD1D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3762" w:type="dxa"/>
            <w:gridSpan w:val="3"/>
            <w:vAlign w:val="center"/>
          </w:tcPr>
          <w:p w14:paraId="33E1F9BB">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丰水期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；平水期□；枯水期□；冰封期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；春季□；夏季□；秋季□；冬季</w:t>
            </w:r>
            <w:r>
              <w:rPr>
                <w:rFonts w:hint="eastAsia" w:cs="Times New Roman"/>
                <w:color w:val="auto"/>
                <w:position w:val="0"/>
                <w:sz w:val="21"/>
                <w:szCs w:val="21"/>
                <w:highlight w:val="none"/>
                <w:lang w:eastAsia="zh-CN"/>
              </w:rPr>
              <w:t>☑</w:t>
            </w:r>
          </w:p>
        </w:tc>
        <w:tc>
          <w:tcPr>
            <w:tcW w:w="2510" w:type="dxa"/>
            <w:gridSpan w:val="2"/>
            <w:vAlign w:val="center"/>
          </w:tcPr>
          <w:p w14:paraId="72AD0D4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生态环境保护主管部门□；补充监测</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；其他</w:t>
            </w:r>
            <w:r>
              <w:rPr>
                <w:rFonts w:hint="default" w:ascii="Times New Roman" w:hAnsi="Times New Roman" w:cs="Times New Roman"/>
                <w:color w:val="auto"/>
                <w:position w:val="0"/>
                <w:sz w:val="21"/>
                <w:szCs w:val="21"/>
                <w:highlight w:val="none"/>
              </w:rPr>
              <w:fldChar w:fldCharType="begin"/>
            </w:r>
            <w:r>
              <w:rPr>
                <w:rFonts w:hint="default" w:ascii="Times New Roman" w:hAnsi="Times New Roman" w:cs="Times New Roman"/>
                <w:color w:val="auto"/>
                <w:position w:val="0"/>
                <w:sz w:val="21"/>
                <w:szCs w:val="21"/>
                <w:highlight w:val="none"/>
              </w:rPr>
              <w:instrText xml:space="preserve"> eq \o\ac(</w:instrText>
            </w:r>
            <w:r>
              <w:rPr>
                <w:rFonts w:hint="default" w:ascii="Times New Roman" w:hAnsi="Times New Roman" w:cs="Times New Roman"/>
                <w:color w:val="auto"/>
                <w:position w:val="0"/>
                <w:sz w:val="31"/>
                <w:szCs w:val="21"/>
                <w:highlight w:val="none"/>
              </w:rPr>
              <w:instrText xml:space="preserve">□</w:instrText>
            </w:r>
            <w:r>
              <w:rPr>
                <w:rFonts w:hint="default" w:ascii="Times New Roman" w:hAnsi="Times New Roman" w:cs="Times New Roman"/>
                <w:color w:val="auto"/>
                <w:position w:val="0"/>
                <w:sz w:val="21"/>
                <w:szCs w:val="21"/>
                <w:highlight w:val="none"/>
              </w:rPr>
              <w:instrText xml:space="preserve">)</w:instrText>
            </w:r>
            <w:r>
              <w:rPr>
                <w:rFonts w:hint="default" w:ascii="Times New Roman" w:hAnsi="Times New Roman" w:cs="Times New Roman"/>
                <w:color w:val="auto"/>
                <w:position w:val="0"/>
                <w:sz w:val="21"/>
                <w:szCs w:val="21"/>
                <w:highlight w:val="none"/>
              </w:rPr>
              <w:fldChar w:fldCharType="end"/>
            </w:r>
          </w:p>
        </w:tc>
      </w:tr>
      <w:tr w14:paraId="52CFA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4D0191C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0C5F62E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区域水资源开发利用状况</w:t>
            </w:r>
          </w:p>
        </w:tc>
        <w:tc>
          <w:tcPr>
            <w:tcW w:w="6272" w:type="dxa"/>
            <w:gridSpan w:val="5"/>
            <w:vAlign w:val="center"/>
          </w:tcPr>
          <w:p w14:paraId="73047EB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未开发☑；开发量40%以下□；开发量40%以上□</w:t>
            </w:r>
          </w:p>
        </w:tc>
      </w:tr>
      <w:tr w14:paraId="51AD49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2E814DF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67C8304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水文情势调查</w:t>
            </w:r>
          </w:p>
        </w:tc>
        <w:tc>
          <w:tcPr>
            <w:tcW w:w="3762" w:type="dxa"/>
            <w:gridSpan w:val="3"/>
            <w:vAlign w:val="center"/>
          </w:tcPr>
          <w:p w14:paraId="007EB18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调查时期</w:t>
            </w:r>
          </w:p>
        </w:tc>
        <w:tc>
          <w:tcPr>
            <w:tcW w:w="2510" w:type="dxa"/>
            <w:gridSpan w:val="2"/>
            <w:vAlign w:val="center"/>
          </w:tcPr>
          <w:p w14:paraId="51F9D5E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数据来源</w:t>
            </w:r>
          </w:p>
        </w:tc>
      </w:tr>
      <w:tr w14:paraId="06FB99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5A2D66D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66B31D0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3762" w:type="dxa"/>
            <w:gridSpan w:val="3"/>
            <w:vAlign w:val="center"/>
          </w:tcPr>
          <w:p w14:paraId="7D6C487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丰水期☑；平水期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；枯水期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；冰封期□春季</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；夏季</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；秋季</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；冬季□</w:t>
            </w:r>
          </w:p>
        </w:tc>
        <w:tc>
          <w:tcPr>
            <w:tcW w:w="2510" w:type="dxa"/>
            <w:gridSpan w:val="2"/>
            <w:vAlign w:val="center"/>
          </w:tcPr>
          <w:p w14:paraId="0C401831">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水行政主管部门□；补充监测</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；其他</w:t>
            </w:r>
            <w:r>
              <w:rPr>
                <w:rFonts w:hint="eastAsia" w:cs="Times New Roman"/>
                <w:color w:val="auto"/>
                <w:position w:val="0"/>
                <w:sz w:val="21"/>
                <w:szCs w:val="21"/>
                <w:highlight w:val="none"/>
                <w:lang w:eastAsia="zh-CN"/>
              </w:rPr>
              <w:t>☑</w:t>
            </w:r>
          </w:p>
        </w:tc>
      </w:tr>
      <w:tr w14:paraId="2878A5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4FFAF49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1C6BC51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补充监测</w:t>
            </w:r>
          </w:p>
        </w:tc>
        <w:tc>
          <w:tcPr>
            <w:tcW w:w="2507" w:type="dxa"/>
            <w:gridSpan w:val="2"/>
            <w:vAlign w:val="center"/>
          </w:tcPr>
          <w:p w14:paraId="4E5F47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监测时期</w:t>
            </w:r>
          </w:p>
        </w:tc>
        <w:tc>
          <w:tcPr>
            <w:tcW w:w="2381" w:type="dxa"/>
            <w:gridSpan w:val="2"/>
            <w:vAlign w:val="center"/>
          </w:tcPr>
          <w:p w14:paraId="25273B1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监测因子</w:t>
            </w:r>
          </w:p>
        </w:tc>
        <w:tc>
          <w:tcPr>
            <w:tcW w:w="1384" w:type="dxa"/>
            <w:vAlign w:val="center"/>
          </w:tcPr>
          <w:p w14:paraId="20E84ED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监测断面或点位</w:t>
            </w:r>
          </w:p>
        </w:tc>
      </w:tr>
      <w:tr w14:paraId="7806C4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66" w:type="dxa"/>
            <w:vMerge w:val="continue"/>
            <w:vAlign w:val="center"/>
          </w:tcPr>
          <w:p w14:paraId="54EB8ED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6036D50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2507" w:type="dxa"/>
            <w:gridSpan w:val="2"/>
            <w:vAlign w:val="center"/>
          </w:tcPr>
          <w:p w14:paraId="52D544C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丰水期□；平水期□；枯水期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；冰封期□</w:t>
            </w:r>
          </w:p>
          <w:p w14:paraId="49E5DE2B">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春季</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；夏季</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；秋季□；冬季</w:t>
            </w:r>
            <w:r>
              <w:rPr>
                <w:rFonts w:hint="eastAsia" w:cs="Times New Roman"/>
                <w:color w:val="auto"/>
                <w:position w:val="0"/>
                <w:sz w:val="21"/>
                <w:szCs w:val="21"/>
                <w:highlight w:val="none"/>
                <w:lang w:eastAsia="zh-CN"/>
              </w:rPr>
              <w:t>☑</w:t>
            </w:r>
          </w:p>
        </w:tc>
        <w:tc>
          <w:tcPr>
            <w:tcW w:w="2381" w:type="dxa"/>
            <w:gridSpan w:val="2"/>
            <w:vAlign w:val="center"/>
          </w:tcPr>
          <w:p w14:paraId="7671AFD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eastAsia"/>
                <w:color w:val="auto"/>
                <w:position w:val="0"/>
                <w:sz w:val="21"/>
                <w:szCs w:val="21"/>
                <w:highlight w:val="none"/>
                <w:lang w:val="en-US" w:eastAsia="zh-CN"/>
              </w:rPr>
              <w:t>pH、</w:t>
            </w:r>
            <w:r>
              <w:rPr>
                <w:rFonts w:hint="eastAsia" w:ascii="Times New Roman" w:hAnsi="Times New Roman" w:eastAsia="宋体" w:cs="Times New Roman"/>
                <w:color w:val="auto"/>
                <w:position w:val="0"/>
                <w:sz w:val="21"/>
                <w:szCs w:val="21"/>
                <w:highlight w:val="none"/>
                <w:lang w:val="en-US" w:eastAsia="zh-CN"/>
              </w:rPr>
              <w:t>溶解氧</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氨氮</w:t>
            </w:r>
            <w:r>
              <w:rPr>
                <w:rFonts w:hint="eastAsia"/>
                <w:color w:val="auto"/>
                <w:position w:val="0"/>
                <w:sz w:val="21"/>
                <w:szCs w:val="21"/>
                <w:highlight w:val="none"/>
                <w:lang w:val="en-US" w:eastAsia="zh-CN"/>
              </w:rPr>
              <w:t>、</w:t>
            </w:r>
            <w:r>
              <w:rPr>
                <w:rFonts w:hint="default" w:ascii="Times New Roman" w:hAnsi="Times New Roman" w:eastAsia="宋体" w:cs="Times New Roman"/>
                <w:color w:val="auto"/>
                <w:kern w:val="2"/>
                <w:position w:val="0"/>
                <w:sz w:val="21"/>
                <w:szCs w:val="21"/>
                <w:highlight w:val="none"/>
                <w:lang w:val="en-US" w:eastAsia="zh-CN" w:bidi="ar"/>
              </w:rPr>
              <w:t>高锰酸盐指数</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kern w:val="2"/>
                <w:position w:val="0"/>
                <w:sz w:val="21"/>
                <w:szCs w:val="21"/>
                <w:highlight w:val="none"/>
                <w:lang w:val="en-US" w:eastAsia="zh-CN" w:bidi="ar-SA"/>
              </w:rPr>
              <w:t>化学需氧量</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kern w:val="2"/>
                <w:position w:val="0"/>
                <w:sz w:val="21"/>
                <w:szCs w:val="21"/>
                <w:highlight w:val="none"/>
                <w:lang w:val="en-US" w:eastAsia="zh-CN" w:bidi="ar-SA"/>
              </w:rPr>
              <w:t>五日生化需氧量</w:t>
            </w:r>
            <w:r>
              <w:rPr>
                <w:rFonts w:hint="eastAsia"/>
                <w:color w:val="auto"/>
                <w:position w:val="0"/>
                <w:sz w:val="21"/>
                <w:szCs w:val="21"/>
                <w:highlight w:val="none"/>
                <w:lang w:val="en-US" w:eastAsia="zh-CN"/>
              </w:rPr>
              <w:t>、总磷、总氮、铜、锌、氟化物、</w:t>
            </w:r>
            <w:r>
              <w:rPr>
                <w:rFonts w:hint="eastAsia" w:ascii="Times New Roman" w:hAnsi="Times New Roman" w:eastAsia="宋体" w:cs="Times New Roman"/>
                <w:color w:val="auto"/>
                <w:position w:val="0"/>
                <w:sz w:val="21"/>
                <w:szCs w:val="21"/>
                <w:highlight w:val="none"/>
                <w:lang w:val="en-US" w:eastAsia="zh-CN"/>
              </w:rPr>
              <w:t>氰化物</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挥发酚、硒、</w:t>
            </w:r>
            <w:r>
              <w:rPr>
                <w:rFonts w:hint="eastAsia"/>
                <w:color w:val="auto"/>
                <w:position w:val="0"/>
                <w:sz w:val="21"/>
                <w:szCs w:val="21"/>
                <w:highlight w:val="none"/>
                <w:lang w:val="en-US" w:eastAsia="zh-CN"/>
              </w:rPr>
              <w:t>砷、汞、镉、六价铬、</w:t>
            </w:r>
            <w:r>
              <w:rPr>
                <w:rFonts w:hint="eastAsia" w:ascii="Times New Roman" w:hAnsi="Times New Roman" w:eastAsia="宋体" w:cs="Times New Roman"/>
                <w:color w:val="auto"/>
                <w:position w:val="0"/>
                <w:sz w:val="21"/>
                <w:szCs w:val="21"/>
                <w:highlight w:val="none"/>
                <w:lang w:val="en-US" w:eastAsia="zh-CN"/>
              </w:rPr>
              <w:t>铅、石油类</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硫化物</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阴离子表面活性剂</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kern w:val="2"/>
                <w:position w:val="0"/>
                <w:sz w:val="21"/>
                <w:szCs w:val="21"/>
                <w:highlight w:val="none"/>
                <w:lang w:val="en-US" w:eastAsia="zh-CN" w:bidi="ar"/>
              </w:rPr>
              <w:t>粪大肠菌群</w:t>
            </w:r>
          </w:p>
        </w:tc>
        <w:tc>
          <w:tcPr>
            <w:tcW w:w="1384" w:type="dxa"/>
            <w:vAlign w:val="center"/>
          </w:tcPr>
          <w:p w14:paraId="69072DC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监测断面或点位</w:t>
            </w:r>
            <w:r>
              <w:rPr>
                <w:rFonts w:hint="eastAsia" w:cs="Times New Roman"/>
                <w:color w:val="auto"/>
                <w:position w:val="0"/>
                <w:sz w:val="21"/>
                <w:szCs w:val="21"/>
                <w:highlight w:val="none"/>
                <w:lang w:eastAsia="zh-CN"/>
              </w:rPr>
              <w:t>（</w:t>
            </w:r>
            <w:r>
              <w:rPr>
                <w:rFonts w:hint="eastAsia" w:cs="Times New Roman"/>
                <w:color w:val="auto"/>
                <w:position w:val="0"/>
                <w:sz w:val="21"/>
                <w:szCs w:val="21"/>
                <w:highlight w:val="none"/>
                <w:lang w:val="en-US" w:eastAsia="zh-CN"/>
              </w:rPr>
              <w:t>3</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个数</w:t>
            </w:r>
          </w:p>
        </w:tc>
      </w:tr>
      <w:tr w14:paraId="50AC1D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restart"/>
            <w:vAlign w:val="center"/>
          </w:tcPr>
          <w:p w14:paraId="59051AA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现状评价</w:t>
            </w:r>
          </w:p>
        </w:tc>
        <w:tc>
          <w:tcPr>
            <w:tcW w:w="1741" w:type="dxa"/>
            <w:vAlign w:val="center"/>
          </w:tcPr>
          <w:p w14:paraId="17B897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评价范围</w:t>
            </w:r>
          </w:p>
        </w:tc>
        <w:tc>
          <w:tcPr>
            <w:tcW w:w="6272" w:type="dxa"/>
            <w:gridSpan w:val="5"/>
            <w:vAlign w:val="center"/>
          </w:tcPr>
          <w:p w14:paraId="663DF19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河流：长度（</w:t>
            </w:r>
            <w:r>
              <w:rPr>
                <w:rFonts w:hint="eastAsia" w:cs="Times New Roman"/>
                <w:color w:val="auto"/>
                <w:position w:val="0"/>
                <w:sz w:val="21"/>
                <w:szCs w:val="21"/>
                <w:highlight w:val="none"/>
                <w:lang w:val="en-US" w:eastAsia="zh-CN"/>
              </w:rPr>
              <w:t>16.383</w:t>
            </w:r>
            <w:r>
              <w:rPr>
                <w:rFonts w:hint="default" w:ascii="Times New Roman" w:hAnsi="Times New Roman" w:cs="Times New Roman"/>
                <w:color w:val="auto"/>
                <w:position w:val="0"/>
                <w:sz w:val="21"/>
                <w:szCs w:val="21"/>
                <w:highlight w:val="none"/>
              </w:rPr>
              <w:t>）km；湖库、河口及近岸海域：面积（</w:t>
            </w:r>
            <w:r>
              <w:rPr>
                <w:rFonts w:hint="eastAsia" w:cs="Times New Roman"/>
                <w:color w:val="auto"/>
                <w:position w:val="0"/>
                <w:sz w:val="21"/>
                <w:szCs w:val="21"/>
                <w:highlight w:val="none"/>
                <w:lang w:val="en-US" w:eastAsia="zh-CN"/>
              </w:rPr>
              <w:t>25</w:t>
            </w:r>
            <w:r>
              <w:rPr>
                <w:rFonts w:hint="default" w:ascii="Times New Roman" w:hAnsi="Times New Roman" w:cs="Times New Roman"/>
                <w:color w:val="auto"/>
                <w:position w:val="0"/>
                <w:sz w:val="21"/>
                <w:szCs w:val="21"/>
                <w:highlight w:val="none"/>
              </w:rPr>
              <w:t>）km</w:t>
            </w:r>
            <w:r>
              <w:rPr>
                <w:rFonts w:hint="default" w:ascii="Times New Roman" w:hAnsi="Times New Roman" w:cs="Times New Roman"/>
                <w:color w:val="auto"/>
                <w:position w:val="0"/>
                <w:sz w:val="21"/>
                <w:szCs w:val="21"/>
                <w:highlight w:val="none"/>
                <w:vertAlign w:val="superscript"/>
              </w:rPr>
              <w:t>2</w:t>
            </w:r>
          </w:p>
        </w:tc>
      </w:tr>
      <w:tr w14:paraId="6A55F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766" w:type="dxa"/>
            <w:vMerge w:val="continue"/>
            <w:vAlign w:val="center"/>
          </w:tcPr>
          <w:p w14:paraId="39F0498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00C114F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评价因子</w:t>
            </w:r>
          </w:p>
        </w:tc>
        <w:tc>
          <w:tcPr>
            <w:tcW w:w="6272" w:type="dxa"/>
            <w:gridSpan w:val="5"/>
            <w:vAlign w:val="center"/>
          </w:tcPr>
          <w:p w14:paraId="5825BF3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r>
              <w:rPr>
                <w:rFonts w:hint="eastAsia"/>
                <w:color w:val="auto"/>
                <w:position w:val="0"/>
                <w:sz w:val="21"/>
                <w:szCs w:val="21"/>
                <w:highlight w:val="none"/>
                <w:lang w:val="en-US" w:eastAsia="zh-CN"/>
              </w:rPr>
              <w:t>pH、</w:t>
            </w:r>
            <w:r>
              <w:rPr>
                <w:rFonts w:hint="eastAsia" w:ascii="Times New Roman" w:hAnsi="Times New Roman" w:eastAsia="宋体" w:cs="Times New Roman"/>
                <w:color w:val="auto"/>
                <w:position w:val="0"/>
                <w:sz w:val="21"/>
                <w:szCs w:val="21"/>
                <w:highlight w:val="none"/>
                <w:lang w:val="en-US" w:eastAsia="zh-CN"/>
              </w:rPr>
              <w:t>溶解氧</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氨氮</w:t>
            </w:r>
            <w:r>
              <w:rPr>
                <w:rFonts w:hint="eastAsia"/>
                <w:color w:val="auto"/>
                <w:position w:val="0"/>
                <w:sz w:val="21"/>
                <w:szCs w:val="21"/>
                <w:highlight w:val="none"/>
                <w:lang w:val="en-US" w:eastAsia="zh-CN"/>
              </w:rPr>
              <w:t>、</w:t>
            </w:r>
            <w:r>
              <w:rPr>
                <w:rFonts w:hint="default" w:ascii="Times New Roman" w:hAnsi="Times New Roman" w:eastAsia="宋体" w:cs="Times New Roman"/>
                <w:color w:val="auto"/>
                <w:kern w:val="2"/>
                <w:position w:val="0"/>
                <w:sz w:val="21"/>
                <w:szCs w:val="21"/>
                <w:highlight w:val="none"/>
                <w:lang w:val="en-US" w:eastAsia="zh-CN" w:bidi="ar"/>
              </w:rPr>
              <w:t>高锰酸盐指数</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kern w:val="2"/>
                <w:position w:val="0"/>
                <w:sz w:val="21"/>
                <w:szCs w:val="21"/>
                <w:highlight w:val="none"/>
                <w:lang w:val="en-US" w:eastAsia="zh-CN" w:bidi="ar-SA"/>
              </w:rPr>
              <w:t>化学需氧量</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kern w:val="2"/>
                <w:position w:val="0"/>
                <w:sz w:val="21"/>
                <w:szCs w:val="21"/>
                <w:highlight w:val="none"/>
                <w:lang w:val="en-US" w:eastAsia="zh-CN" w:bidi="ar-SA"/>
              </w:rPr>
              <w:t>五日生化需氧量</w:t>
            </w:r>
            <w:r>
              <w:rPr>
                <w:rFonts w:hint="eastAsia"/>
                <w:color w:val="auto"/>
                <w:position w:val="0"/>
                <w:sz w:val="21"/>
                <w:szCs w:val="21"/>
                <w:highlight w:val="none"/>
                <w:lang w:val="en-US" w:eastAsia="zh-CN"/>
              </w:rPr>
              <w:t>、总磷、总氮、铜、锌、氟化物、</w:t>
            </w:r>
            <w:r>
              <w:rPr>
                <w:rFonts w:hint="eastAsia" w:ascii="Times New Roman" w:hAnsi="Times New Roman" w:eastAsia="宋体" w:cs="Times New Roman"/>
                <w:color w:val="auto"/>
                <w:position w:val="0"/>
                <w:sz w:val="21"/>
                <w:szCs w:val="21"/>
                <w:highlight w:val="none"/>
                <w:lang w:val="en-US" w:eastAsia="zh-CN"/>
              </w:rPr>
              <w:t>氰化物</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挥发酚、硒、</w:t>
            </w:r>
            <w:r>
              <w:rPr>
                <w:rFonts w:hint="eastAsia"/>
                <w:color w:val="auto"/>
                <w:position w:val="0"/>
                <w:sz w:val="21"/>
                <w:szCs w:val="21"/>
                <w:highlight w:val="none"/>
                <w:lang w:val="en-US" w:eastAsia="zh-CN"/>
              </w:rPr>
              <w:t>砷、汞、镉、六价铬、</w:t>
            </w:r>
            <w:r>
              <w:rPr>
                <w:rFonts w:hint="eastAsia" w:ascii="Times New Roman" w:hAnsi="Times New Roman" w:eastAsia="宋体" w:cs="Times New Roman"/>
                <w:color w:val="auto"/>
                <w:position w:val="0"/>
                <w:sz w:val="21"/>
                <w:szCs w:val="21"/>
                <w:highlight w:val="none"/>
                <w:lang w:val="en-US" w:eastAsia="zh-CN"/>
              </w:rPr>
              <w:t>铅、石油类</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硫化物</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position w:val="0"/>
                <w:sz w:val="21"/>
                <w:szCs w:val="21"/>
                <w:highlight w:val="none"/>
                <w:lang w:val="en-US" w:eastAsia="zh-CN"/>
              </w:rPr>
              <w:t>阴离子表面活性剂</w:t>
            </w:r>
            <w:r>
              <w:rPr>
                <w:rFonts w:hint="eastAsia"/>
                <w:color w:val="auto"/>
                <w:position w:val="0"/>
                <w:sz w:val="21"/>
                <w:szCs w:val="21"/>
                <w:highlight w:val="none"/>
                <w:lang w:val="en-US" w:eastAsia="zh-CN"/>
              </w:rPr>
              <w:t>、</w:t>
            </w:r>
            <w:r>
              <w:rPr>
                <w:rFonts w:hint="eastAsia" w:ascii="Times New Roman" w:hAnsi="Times New Roman" w:eastAsia="宋体" w:cs="Times New Roman"/>
                <w:color w:val="auto"/>
                <w:kern w:val="2"/>
                <w:position w:val="0"/>
                <w:sz w:val="21"/>
                <w:szCs w:val="21"/>
                <w:highlight w:val="none"/>
                <w:lang w:val="en-US" w:eastAsia="zh-CN" w:bidi="ar"/>
              </w:rPr>
              <w:t>粪大肠菌群</w:t>
            </w:r>
            <w:r>
              <w:rPr>
                <w:rFonts w:hint="default" w:ascii="Times New Roman" w:hAnsi="Times New Roman" w:cs="Times New Roman"/>
                <w:color w:val="auto"/>
                <w:position w:val="0"/>
                <w:sz w:val="21"/>
                <w:szCs w:val="21"/>
                <w:highlight w:val="none"/>
              </w:rPr>
              <w:t>）</w:t>
            </w:r>
          </w:p>
        </w:tc>
      </w:tr>
      <w:tr w14:paraId="79DB46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766" w:type="dxa"/>
            <w:vMerge w:val="continue"/>
            <w:vAlign w:val="center"/>
          </w:tcPr>
          <w:p w14:paraId="251E6E3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5ABE971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评价标准</w:t>
            </w:r>
          </w:p>
        </w:tc>
        <w:tc>
          <w:tcPr>
            <w:tcW w:w="6272" w:type="dxa"/>
            <w:gridSpan w:val="5"/>
            <w:vAlign w:val="center"/>
          </w:tcPr>
          <w:p w14:paraId="2DF59E0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河流、湖库、河口：Ⅰ类□；Ⅱ类</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；Ⅲ类☑；Ⅳ类□；Ⅴ类□</w:t>
            </w:r>
          </w:p>
          <w:p w14:paraId="29F0357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近岸海域：第一类□；第二类□；第三类□；第四类□</w:t>
            </w:r>
          </w:p>
          <w:p w14:paraId="0ACBA34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规划年评价标准（）</w:t>
            </w:r>
          </w:p>
        </w:tc>
      </w:tr>
      <w:tr w14:paraId="3D7342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766" w:type="dxa"/>
            <w:vMerge w:val="continue"/>
            <w:vAlign w:val="center"/>
          </w:tcPr>
          <w:p w14:paraId="6D18EF0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023FDEC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评价时期</w:t>
            </w:r>
          </w:p>
        </w:tc>
        <w:tc>
          <w:tcPr>
            <w:tcW w:w="6272" w:type="dxa"/>
            <w:gridSpan w:val="5"/>
            <w:vAlign w:val="center"/>
          </w:tcPr>
          <w:p w14:paraId="13D1AD0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丰水期☑；平水期□；枯水期☑；冰封期☑</w:t>
            </w:r>
          </w:p>
          <w:p w14:paraId="7AA79F0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春季□；夏季□；秋季□；冬季□</w:t>
            </w:r>
          </w:p>
        </w:tc>
      </w:tr>
      <w:tr w14:paraId="6D8EC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15" w:hRule="atLeast"/>
          <w:jc w:val="center"/>
        </w:trPr>
        <w:tc>
          <w:tcPr>
            <w:tcW w:w="766" w:type="dxa"/>
            <w:vMerge w:val="continue"/>
            <w:vAlign w:val="center"/>
          </w:tcPr>
          <w:p w14:paraId="514133D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7E3CE7C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评价结论</w:t>
            </w:r>
          </w:p>
        </w:tc>
        <w:tc>
          <w:tcPr>
            <w:tcW w:w="4888" w:type="dxa"/>
            <w:gridSpan w:val="4"/>
            <w:vAlign w:val="center"/>
          </w:tcPr>
          <w:p w14:paraId="3C0078D1">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水环境功能区或水功能区、近岸海域环境功能区水质达标状况：达标☑；不达标□</w:t>
            </w:r>
          </w:p>
          <w:p w14:paraId="1DCEC2EF">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水环境控制单元或断面水质达标状况：达标☑；不达标□</w:t>
            </w:r>
          </w:p>
          <w:p w14:paraId="44174D0E">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水环境保护目标质量状况：达标☑；不达标□</w:t>
            </w:r>
          </w:p>
          <w:p w14:paraId="64B83A58">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对照断面、控制断面等代表性断面的水质状况：达标□；不达标□</w:t>
            </w:r>
          </w:p>
          <w:p w14:paraId="23EB91C5">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底泥污染评价□</w:t>
            </w:r>
          </w:p>
          <w:p w14:paraId="391300E5">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水资源与开发利用程度及其水文情势评价□</w:t>
            </w:r>
          </w:p>
          <w:p w14:paraId="3DF01EAA">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水环境质量回顾评价□</w:t>
            </w:r>
          </w:p>
          <w:p w14:paraId="26F53491">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流域（区域）水资源（包括水能资源）与开发利用总体状况、生态流量管理要求与现状满足程度、建设项目占用水域空间的水流状况与河湖演变状况□</w:t>
            </w:r>
          </w:p>
          <w:p w14:paraId="54078E16">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依托污水处理设施稳定达标排放评价□</w:t>
            </w:r>
          </w:p>
        </w:tc>
        <w:tc>
          <w:tcPr>
            <w:tcW w:w="1384" w:type="dxa"/>
            <w:vAlign w:val="center"/>
          </w:tcPr>
          <w:p w14:paraId="3F4E003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达标区☑</w:t>
            </w:r>
          </w:p>
          <w:p w14:paraId="1A359FE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不达标区□</w:t>
            </w:r>
          </w:p>
        </w:tc>
      </w:tr>
      <w:tr w14:paraId="36F07C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766" w:type="dxa"/>
            <w:vMerge w:val="restart"/>
            <w:vAlign w:val="center"/>
          </w:tcPr>
          <w:p w14:paraId="57F61A9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影响预测</w:t>
            </w:r>
          </w:p>
        </w:tc>
        <w:tc>
          <w:tcPr>
            <w:tcW w:w="1741" w:type="dxa"/>
            <w:vAlign w:val="center"/>
          </w:tcPr>
          <w:p w14:paraId="5D37F35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预测范围</w:t>
            </w:r>
          </w:p>
        </w:tc>
        <w:tc>
          <w:tcPr>
            <w:tcW w:w="6272" w:type="dxa"/>
            <w:gridSpan w:val="5"/>
            <w:vAlign w:val="center"/>
          </w:tcPr>
          <w:p w14:paraId="7C8F3FF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河流：长度（）km；湖库、河口及近岸海域：面积（）km</w:t>
            </w:r>
            <w:r>
              <w:rPr>
                <w:rFonts w:hint="default" w:ascii="Times New Roman" w:hAnsi="Times New Roman" w:cs="Times New Roman"/>
                <w:color w:val="auto"/>
                <w:position w:val="0"/>
                <w:sz w:val="21"/>
                <w:szCs w:val="21"/>
                <w:highlight w:val="none"/>
                <w:vertAlign w:val="superscript"/>
              </w:rPr>
              <w:t>2</w:t>
            </w:r>
          </w:p>
        </w:tc>
      </w:tr>
      <w:tr w14:paraId="30E2A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78AB5D2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5C43758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预测因子</w:t>
            </w:r>
          </w:p>
        </w:tc>
        <w:tc>
          <w:tcPr>
            <w:tcW w:w="6272" w:type="dxa"/>
            <w:gridSpan w:val="5"/>
            <w:vAlign w:val="center"/>
          </w:tcPr>
          <w:p w14:paraId="2C2FFDF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r>
      <w:tr w14:paraId="5FDCA0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3" w:hRule="atLeast"/>
          <w:jc w:val="center"/>
        </w:trPr>
        <w:tc>
          <w:tcPr>
            <w:tcW w:w="766" w:type="dxa"/>
            <w:vMerge w:val="continue"/>
            <w:vAlign w:val="center"/>
          </w:tcPr>
          <w:p w14:paraId="48171AD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03367A9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预测时期</w:t>
            </w:r>
          </w:p>
        </w:tc>
        <w:tc>
          <w:tcPr>
            <w:tcW w:w="6272" w:type="dxa"/>
            <w:gridSpan w:val="5"/>
            <w:vAlign w:val="center"/>
          </w:tcPr>
          <w:p w14:paraId="31F4D80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丰水期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；平水期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；枯水期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；冰封期□</w:t>
            </w:r>
          </w:p>
          <w:p w14:paraId="58E652A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春季□；夏季□；秋季□；冬季□</w:t>
            </w:r>
          </w:p>
          <w:p w14:paraId="79661C1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设计水文条件□</w:t>
            </w:r>
          </w:p>
        </w:tc>
      </w:tr>
      <w:tr w14:paraId="20569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766" w:type="dxa"/>
            <w:vMerge w:val="continue"/>
            <w:vAlign w:val="center"/>
          </w:tcPr>
          <w:p w14:paraId="7B4E9B4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124FE33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预测背景</w:t>
            </w:r>
          </w:p>
        </w:tc>
        <w:tc>
          <w:tcPr>
            <w:tcW w:w="6272" w:type="dxa"/>
            <w:gridSpan w:val="5"/>
            <w:vAlign w:val="center"/>
          </w:tcPr>
          <w:p w14:paraId="61CC500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建设期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；生产运行期</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；服务期满后□</w:t>
            </w:r>
          </w:p>
          <w:p w14:paraId="21A1492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正常工况</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；非正常工况□</w:t>
            </w:r>
          </w:p>
          <w:p w14:paraId="33CE909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污染控制和减缓措施方案□</w:t>
            </w:r>
          </w:p>
          <w:p w14:paraId="182C563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区（流）域环境质量改善目标要求情景□</w:t>
            </w:r>
          </w:p>
        </w:tc>
      </w:tr>
      <w:tr w14:paraId="5DD04E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766" w:type="dxa"/>
            <w:vMerge w:val="continue"/>
            <w:vAlign w:val="center"/>
          </w:tcPr>
          <w:p w14:paraId="6995E11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19A7134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预测方法</w:t>
            </w:r>
          </w:p>
        </w:tc>
        <w:tc>
          <w:tcPr>
            <w:tcW w:w="6272" w:type="dxa"/>
            <w:gridSpan w:val="5"/>
            <w:vAlign w:val="center"/>
          </w:tcPr>
          <w:p w14:paraId="126FB3D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数值解□：解析解□；其他□</w:t>
            </w:r>
          </w:p>
          <w:p w14:paraId="4A38FDFE">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导则推荐模式□：其他</w:t>
            </w:r>
            <w:r>
              <w:rPr>
                <w:rFonts w:hint="eastAsia" w:cs="Times New Roman"/>
                <w:color w:val="auto"/>
                <w:position w:val="0"/>
                <w:sz w:val="21"/>
                <w:szCs w:val="21"/>
                <w:highlight w:val="none"/>
                <w:lang w:eastAsia="zh-CN"/>
              </w:rPr>
              <w:t>☑</w:t>
            </w:r>
          </w:p>
        </w:tc>
      </w:tr>
      <w:tr w14:paraId="38E56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restart"/>
            <w:vAlign w:val="center"/>
          </w:tcPr>
          <w:p w14:paraId="082E784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影响评价</w:t>
            </w:r>
          </w:p>
        </w:tc>
        <w:tc>
          <w:tcPr>
            <w:tcW w:w="1741" w:type="dxa"/>
            <w:vAlign w:val="center"/>
          </w:tcPr>
          <w:p w14:paraId="7428BCA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水污染控制和水环境影响减缓措施有效性评价</w:t>
            </w:r>
          </w:p>
        </w:tc>
        <w:tc>
          <w:tcPr>
            <w:tcW w:w="6272" w:type="dxa"/>
            <w:gridSpan w:val="5"/>
            <w:vAlign w:val="center"/>
          </w:tcPr>
          <w:p w14:paraId="64D8D5E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区（流）域水环境质量改善目标□；替代削减源□</w:t>
            </w:r>
          </w:p>
        </w:tc>
      </w:tr>
      <w:tr w14:paraId="598E6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6" w:hRule="atLeast"/>
          <w:jc w:val="center"/>
        </w:trPr>
        <w:tc>
          <w:tcPr>
            <w:tcW w:w="766" w:type="dxa"/>
            <w:vMerge w:val="continue"/>
            <w:vAlign w:val="center"/>
          </w:tcPr>
          <w:p w14:paraId="53C98B3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387DCBC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水环境影响评价</w:t>
            </w:r>
          </w:p>
        </w:tc>
        <w:tc>
          <w:tcPr>
            <w:tcW w:w="6272" w:type="dxa"/>
            <w:gridSpan w:val="5"/>
            <w:vAlign w:val="center"/>
          </w:tcPr>
          <w:p w14:paraId="11D19151">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排放口混合区外满足水环境管理要求□</w:t>
            </w:r>
          </w:p>
          <w:p w14:paraId="4CE17397">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水环境功能区或水功能区、近岸海域环境功能区水质达标□</w:t>
            </w:r>
          </w:p>
          <w:p w14:paraId="786714FD">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满足水环境保护目标水域水环境质量要求□</w:t>
            </w:r>
          </w:p>
          <w:p w14:paraId="45634584">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水环境控制单元或断面水质达标□</w:t>
            </w:r>
          </w:p>
          <w:p w14:paraId="6C17E112">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满足重点水污染物排放总量控制指标要求，重点行业建设项目，主要污染物排放满足等量或减量替代要求□</w:t>
            </w:r>
          </w:p>
          <w:p w14:paraId="2ECCCAEF">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满足区（流）域水环境质量改善目标要求□</w:t>
            </w:r>
          </w:p>
          <w:p w14:paraId="41947A78">
            <w:pPr>
              <w:keepNext w:val="0"/>
              <w:keepLines w:val="0"/>
              <w:pageBreakBefore w:val="0"/>
              <w:widowControl/>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水文要素影响型建设项目同时应包括水文情势变化评价、主要水文特征值影响评价、生态流量符合性评价</w:t>
            </w:r>
            <w:r>
              <w:rPr>
                <w:rFonts w:hint="eastAsia" w:cs="Times New Roman"/>
                <w:color w:val="auto"/>
                <w:position w:val="0"/>
                <w:sz w:val="21"/>
                <w:szCs w:val="21"/>
                <w:highlight w:val="none"/>
                <w:lang w:eastAsia="zh-CN"/>
              </w:rPr>
              <w:t>☑</w:t>
            </w:r>
          </w:p>
          <w:p w14:paraId="098B8195">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对于新设或调整入河（湖库、近岸海域）排放口的建设项目，应包括排放口设置的环境合理性评价□</w:t>
            </w:r>
          </w:p>
          <w:p w14:paraId="76D15767">
            <w:pPr>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满足生态保护红线、水环境质量底线、资源利用上线和环境准入清单管理要求☑</w:t>
            </w:r>
          </w:p>
        </w:tc>
      </w:tr>
      <w:tr w14:paraId="008737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766" w:type="dxa"/>
            <w:vMerge w:val="continue"/>
            <w:vAlign w:val="center"/>
          </w:tcPr>
          <w:p w14:paraId="08D015A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339778B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污染物排放量核算</w:t>
            </w:r>
          </w:p>
        </w:tc>
        <w:tc>
          <w:tcPr>
            <w:tcW w:w="2507" w:type="dxa"/>
            <w:gridSpan w:val="2"/>
            <w:vAlign w:val="center"/>
          </w:tcPr>
          <w:p w14:paraId="236A871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污染物名称</w:t>
            </w:r>
          </w:p>
        </w:tc>
        <w:tc>
          <w:tcPr>
            <w:tcW w:w="1255" w:type="dxa"/>
            <w:vAlign w:val="center"/>
          </w:tcPr>
          <w:p w14:paraId="009A57B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排放量/（t/a）</w:t>
            </w:r>
          </w:p>
        </w:tc>
        <w:tc>
          <w:tcPr>
            <w:tcW w:w="2510" w:type="dxa"/>
            <w:gridSpan w:val="2"/>
            <w:vAlign w:val="center"/>
          </w:tcPr>
          <w:p w14:paraId="646706F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排放浓度/（mg/L）</w:t>
            </w:r>
          </w:p>
        </w:tc>
      </w:tr>
      <w:tr w14:paraId="37F8DA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394D09C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406C2EA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2507" w:type="dxa"/>
            <w:gridSpan w:val="2"/>
            <w:vAlign w:val="center"/>
          </w:tcPr>
          <w:p w14:paraId="3CF5078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c>
          <w:tcPr>
            <w:tcW w:w="1255" w:type="dxa"/>
            <w:vAlign w:val="center"/>
          </w:tcPr>
          <w:p w14:paraId="1C9F22D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c>
          <w:tcPr>
            <w:tcW w:w="2510" w:type="dxa"/>
            <w:gridSpan w:val="2"/>
            <w:vAlign w:val="center"/>
          </w:tcPr>
          <w:p w14:paraId="5E088CB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r>
      <w:tr w14:paraId="741D80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58A3AB1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281DC18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替代源排放情况</w:t>
            </w:r>
          </w:p>
        </w:tc>
        <w:tc>
          <w:tcPr>
            <w:tcW w:w="1253" w:type="dxa"/>
            <w:vAlign w:val="center"/>
          </w:tcPr>
          <w:p w14:paraId="56602EB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污染源名称</w:t>
            </w:r>
          </w:p>
        </w:tc>
        <w:tc>
          <w:tcPr>
            <w:tcW w:w="1254" w:type="dxa"/>
            <w:vAlign w:val="center"/>
          </w:tcPr>
          <w:p w14:paraId="335DEDE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排污许可证编号</w:t>
            </w:r>
          </w:p>
        </w:tc>
        <w:tc>
          <w:tcPr>
            <w:tcW w:w="1255" w:type="dxa"/>
            <w:vAlign w:val="center"/>
          </w:tcPr>
          <w:p w14:paraId="3F6EEC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污染物名称</w:t>
            </w:r>
          </w:p>
        </w:tc>
        <w:tc>
          <w:tcPr>
            <w:tcW w:w="1126" w:type="dxa"/>
            <w:vAlign w:val="center"/>
          </w:tcPr>
          <w:p w14:paraId="2787B01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排放量/（t/a）</w:t>
            </w:r>
          </w:p>
        </w:tc>
        <w:tc>
          <w:tcPr>
            <w:tcW w:w="1384" w:type="dxa"/>
            <w:vAlign w:val="center"/>
          </w:tcPr>
          <w:p w14:paraId="6C88612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排放浓度/（mg/L）</w:t>
            </w:r>
          </w:p>
        </w:tc>
      </w:tr>
      <w:tr w14:paraId="1574E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6DA5832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3FF13C9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253" w:type="dxa"/>
            <w:vAlign w:val="center"/>
          </w:tcPr>
          <w:p w14:paraId="2F4B689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c>
          <w:tcPr>
            <w:tcW w:w="1254" w:type="dxa"/>
            <w:vAlign w:val="center"/>
          </w:tcPr>
          <w:p w14:paraId="484EC46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c>
          <w:tcPr>
            <w:tcW w:w="1255" w:type="dxa"/>
            <w:vAlign w:val="center"/>
          </w:tcPr>
          <w:p w14:paraId="06D23BD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c>
          <w:tcPr>
            <w:tcW w:w="1126" w:type="dxa"/>
            <w:vAlign w:val="center"/>
          </w:tcPr>
          <w:p w14:paraId="1E18FCB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c>
          <w:tcPr>
            <w:tcW w:w="1384" w:type="dxa"/>
            <w:vAlign w:val="center"/>
          </w:tcPr>
          <w:p w14:paraId="38AE69A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r>
      <w:tr w14:paraId="4F59CF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1C39454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2C63882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生态流量确定</w:t>
            </w:r>
          </w:p>
        </w:tc>
        <w:tc>
          <w:tcPr>
            <w:tcW w:w="6272" w:type="dxa"/>
            <w:gridSpan w:val="5"/>
            <w:vAlign w:val="center"/>
          </w:tcPr>
          <w:p w14:paraId="43112AB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生态流量：一般水期（）m</w:t>
            </w:r>
            <w:r>
              <w:rPr>
                <w:rFonts w:hint="default" w:ascii="Times New Roman" w:hAnsi="Times New Roman" w:cs="Times New Roman"/>
                <w:color w:val="auto"/>
                <w:position w:val="0"/>
                <w:sz w:val="21"/>
                <w:szCs w:val="21"/>
                <w:highlight w:val="none"/>
                <w:vertAlign w:val="superscript"/>
              </w:rPr>
              <w:t>3</w:t>
            </w:r>
            <w:r>
              <w:rPr>
                <w:rFonts w:hint="default" w:ascii="Times New Roman" w:hAnsi="Times New Roman" w:cs="Times New Roman"/>
                <w:color w:val="auto"/>
                <w:position w:val="0"/>
                <w:sz w:val="21"/>
                <w:szCs w:val="21"/>
                <w:highlight w:val="none"/>
              </w:rPr>
              <w:t>/s；鱼类繁殖期（）m</w:t>
            </w:r>
            <w:r>
              <w:rPr>
                <w:rFonts w:hint="default" w:ascii="Times New Roman" w:hAnsi="Times New Roman" w:cs="Times New Roman"/>
                <w:color w:val="auto"/>
                <w:position w:val="0"/>
                <w:sz w:val="21"/>
                <w:szCs w:val="21"/>
                <w:highlight w:val="none"/>
                <w:vertAlign w:val="superscript"/>
              </w:rPr>
              <w:t>3</w:t>
            </w:r>
            <w:r>
              <w:rPr>
                <w:rFonts w:hint="default" w:ascii="Times New Roman" w:hAnsi="Times New Roman" w:cs="Times New Roman"/>
                <w:color w:val="auto"/>
                <w:position w:val="0"/>
                <w:sz w:val="21"/>
                <w:szCs w:val="21"/>
                <w:highlight w:val="none"/>
              </w:rPr>
              <w:t>/s；其他（</w:t>
            </w:r>
            <w:r>
              <w:rPr>
                <w:rFonts w:hint="eastAsia" w:ascii="Times New Roman" w:hAnsi="Times New Roman" w:cs="Times New Roman"/>
                <w:color w:val="auto"/>
                <w:position w:val="0"/>
                <w:sz w:val="21"/>
                <w:szCs w:val="21"/>
                <w:highlight w:val="none"/>
                <w:lang w:val="en-US" w:eastAsia="zh-CN"/>
              </w:rPr>
              <w:t>丰水期0.</w:t>
            </w:r>
            <w:r>
              <w:rPr>
                <w:rFonts w:hint="eastAsia" w:cs="Times New Roman"/>
                <w:color w:val="auto"/>
                <w:position w:val="0"/>
                <w:sz w:val="21"/>
                <w:szCs w:val="21"/>
                <w:highlight w:val="none"/>
                <w:lang w:val="en-US" w:eastAsia="zh-CN"/>
              </w:rPr>
              <w:t>455</w:t>
            </w:r>
            <w:r>
              <w:rPr>
                <w:rFonts w:hint="default" w:ascii="Times New Roman" w:hAnsi="Times New Roman" w:cs="Times New Roman"/>
                <w:color w:val="auto"/>
                <w:position w:val="0"/>
                <w:sz w:val="21"/>
                <w:szCs w:val="21"/>
                <w:highlight w:val="none"/>
              </w:rPr>
              <w:t>m</w:t>
            </w:r>
            <w:r>
              <w:rPr>
                <w:rFonts w:hint="default" w:ascii="Times New Roman" w:hAnsi="Times New Roman" w:cs="Times New Roman"/>
                <w:color w:val="auto"/>
                <w:position w:val="0"/>
                <w:sz w:val="21"/>
                <w:szCs w:val="21"/>
                <w:highlight w:val="none"/>
                <w:vertAlign w:val="superscript"/>
              </w:rPr>
              <w:t>3</w:t>
            </w:r>
            <w:r>
              <w:rPr>
                <w:rFonts w:hint="default" w:ascii="Times New Roman" w:hAnsi="Times New Roman" w:cs="Times New Roman"/>
                <w:color w:val="auto"/>
                <w:position w:val="0"/>
                <w:sz w:val="21"/>
                <w:szCs w:val="21"/>
                <w:highlight w:val="none"/>
              </w:rPr>
              <w:t>/s</w:t>
            </w:r>
            <w:r>
              <w:rPr>
                <w:rFonts w:hint="eastAsia" w:ascii="Times New Roman" w:hAnsi="Times New Roman" w:cs="Times New Roman"/>
                <w:color w:val="auto"/>
                <w:position w:val="0"/>
                <w:sz w:val="21"/>
                <w:szCs w:val="21"/>
                <w:highlight w:val="none"/>
                <w:lang w:val="en-US" w:eastAsia="zh-CN"/>
              </w:rPr>
              <w:t>，枯水期0.</w:t>
            </w:r>
            <w:r>
              <w:rPr>
                <w:rFonts w:hint="eastAsia" w:cs="Times New Roman"/>
                <w:color w:val="auto"/>
                <w:position w:val="0"/>
                <w:sz w:val="21"/>
                <w:szCs w:val="21"/>
                <w:highlight w:val="none"/>
                <w:lang w:val="en-US" w:eastAsia="zh-CN"/>
              </w:rPr>
              <w:t>27</w:t>
            </w:r>
            <w:r>
              <w:rPr>
                <w:rFonts w:hint="eastAsia" w:ascii="Times New Roman" w:hAnsi="Times New Roman" w:cs="Times New Roman"/>
                <w:color w:val="auto"/>
                <w:position w:val="0"/>
                <w:sz w:val="21"/>
                <w:szCs w:val="21"/>
                <w:highlight w:val="none"/>
                <w:lang w:val="en-US" w:eastAsia="zh-CN"/>
              </w:rPr>
              <w:t>5</w:t>
            </w:r>
            <w:r>
              <w:rPr>
                <w:rFonts w:hint="default" w:ascii="Times New Roman" w:hAnsi="Times New Roman" w:cs="Times New Roman"/>
                <w:color w:val="auto"/>
                <w:position w:val="0"/>
                <w:sz w:val="21"/>
                <w:szCs w:val="21"/>
                <w:highlight w:val="none"/>
              </w:rPr>
              <w:t>m</w:t>
            </w:r>
            <w:r>
              <w:rPr>
                <w:rFonts w:hint="default" w:ascii="Times New Roman" w:hAnsi="Times New Roman" w:cs="Times New Roman"/>
                <w:color w:val="auto"/>
                <w:position w:val="0"/>
                <w:sz w:val="21"/>
                <w:szCs w:val="21"/>
                <w:highlight w:val="none"/>
                <w:vertAlign w:val="superscript"/>
              </w:rPr>
              <w:t>3</w:t>
            </w:r>
            <w:r>
              <w:rPr>
                <w:rFonts w:hint="default" w:ascii="Times New Roman" w:hAnsi="Times New Roman" w:cs="Times New Roman"/>
                <w:color w:val="auto"/>
                <w:position w:val="0"/>
                <w:sz w:val="21"/>
                <w:szCs w:val="21"/>
                <w:highlight w:val="none"/>
              </w:rPr>
              <w:t>/s）</w:t>
            </w:r>
          </w:p>
          <w:p w14:paraId="68A62B3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生态水位：一般水期（）m；鱼类繁殖期（）m；其他（）m</w:t>
            </w:r>
          </w:p>
        </w:tc>
      </w:tr>
      <w:tr w14:paraId="2B343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restart"/>
            <w:vAlign w:val="center"/>
          </w:tcPr>
          <w:p w14:paraId="1E1C03C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防治措施</w:t>
            </w:r>
          </w:p>
        </w:tc>
        <w:tc>
          <w:tcPr>
            <w:tcW w:w="1741" w:type="dxa"/>
            <w:vAlign w:val="center"/>
          </w:tcPr>
          <w:p w14:paraId="71C367E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环保措施</w:t>
            </w:r>
          </w:p>
        </w:tc>
        <w:tc>
          <w:tcPr>
            <w:tcW w:w="6272" w:type="dxa"/>
            <w:gridSpan w:val="5"/>
            <w:vAlign w:val="center"/>
          </w:tcPr>
          <w:p w14:paraId="6520A9D2">
            <w:pPr>
              <w:keepNext w:val="0"/>
              <w:keepLines w:val="0"/>
              <w:pageBreakBefore w:val="0"/>
              <w:widowControl/>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default" w:ascii="Times New Roman" w:hAnsi="Times New Roman" w:cs="Times New Roman"/>
                <w:color w:val="auto"/>
                <w:position w:val="0"/>
                <w:sz w:val="21"/>
                <w:szCs w:val="21"/>
                <w:highlight w:val="none"/>
              </w:rPr>
              <w:t>污水处理设施□；水文减缓设施□；生态流量保障设施</w:t>
            </w:r>
            <w:r>
              <w:rPr>
                <w:rFonts w:hint="eastAsia" w:cs="Times New Roman"/>
                <w:color w:val="auto"/>
                <w:position w:val="0"/>
                <w:sz w:val="21"/>
                <w:szCs w:val="21"/>
                <w:highlight w:val="none"/>
                <w:lang w:eastAsia="zh-CN"/>
              </w:rPr>
              <w:t>☑</w:t>
            </w:r>
            <w:r>
              <w:rPr>
                <w:rFonts w:hint="default" w:ascii="Times New Roman" w:hAnsi="Times New Roman" w:cs="Times New Roman"/>
                <w:color w:val="auto"/>
                <w:position w:val="0"/>
                <w:sz w:val="21"/>
                <w:szCs w:val="21"/>
                <w:highlight w:val="none"/>
              </w:rPr>
              <w:t>；区域削减□；依托其他工程措施</w:t>
            </w:r>
            <w:r>
              <w:rPr>
                <w:rFonts w:hint="default" w:ascii="Times New Roman" w:hAnsi="Times New Roman" w:cs="Times New Roman"/>
                <w:color w:val="auto"/>
                <w:position w:val="0"/>
                <w:sz w:val="21"/>
                <w:szCs w:val="21"/>
                <w:highlight w:val="none"/>
              </w:rPr>
              <w:sym w:font="Wingdings 2" w:char="00A3"/>
            </w:r>
            <w:r>
              <w:rPr>
                <w:rFonts w:hint="default" w:ascii="Times New Roman" w:hAnsi="Times New Roman" w:cs="Times New Roman"/>
                <w:color w:val="auto"/>
                <w:position w:val="0"/>
                <w:sz w:val="21"/>
                <w:szCs w:val="21"/>
                <w:highlight w:val="none"/>
              </w:rPr>
              <w:t>；其他</w:t>
            </w:r>
            <w:r>
              <w:rPr>
                <w:rFonts w:hint="eastAsia" w:cs="Times New Roman"/>
                <w:color w:val="auto"/>
                <w:position w:val="0"/>
                <w:sz w:val="21"/>
                <w:szCs w:val="21"/>
                <w:highlight w:val="none"/>
                <w:lang w:eastAsia="zh-CN"/>
              </w:rPr>
              <w:t>☑</w:t>
            </w:r>
          </w:p>
        </w:tc>
      </w:tr>
      <w:tr w14:paraId="6E1D0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5B84B56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restart"/>
            <w:vAlign w:val="center"/>
          </w:tcPr>
          <w:p w14:paraId="4AE1BA8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监测计划</w:t>
            </w:r>
          </w:p>
        </w:tc>
        <w:tc>
          <w:tcPr>
            <w:tcW w:w="1253" w:type="dxa"/>
            <w:vAlign w:val="center"/>
          </w:tcPr>
          <w:p w14:paraId="0C5DC82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2509" w:type="dxa"/>
            <w:gridSpan w:val="2"/>
            <w:vAlign w:val="center"/>
          </w:tcPr>
          <w:p w14:paraId="35A77D3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环境质量</w:t>
            </w:r>
          </w:p>
        </w:tc>
        <w:tc>
          <w:tcPr>
            <w:tcW w:w="2510" w:type="dxa"/>
            <w:gridSpan w:val="2"/>
            <w:vAlign w:val="center"/>
          </w:tcPr>
          <w:p w14:paraId="5343009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污染源</w:t>
            </w:r>
          </w:p>
        </w:tc>
      </w:tr>
      <w:tr w14:paraId="327F83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766" w:type="dxa"/>
            <w:vMerge w:val="continue"/>
            <w:vAlign w:val="center"/>
          </w:tcPr>
          <w:p w14:paraId="45A8F4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065064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253" w:type="dxa"/>
            <w:vAlign w:val="center"/>
          </w:tcPr>
          <w:p w14:paraId="13BC9BE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监测方式</w:t>
            </w:r>
          </w:p>
        </w:tc>
        <w:tc>
          <w:tcPr>
            <w:tcW w:w="2509" w:type="dxa"/>
            <w:gridSpan w:val="2"/>
            <w:vAlign w:val="center"/>
          </w:tcPr>
          <w:p w14:paraId="044AA1C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手动☑；自动□；无监测□</w:t>
            </w:r>
          </w:p>
        </w:tc>
        <w:tc>
          <w:tcPr>
            <w:tcW w:w="2510" w:type="dxa"/>
            <w:gridSpan w:val="2"/>
            <w:vAlign w:val="center"/>
          </w:tcPr>
          <w:p w14:paraId="168957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手动□；自动□；无监测□</w:t>
            </w:r>
          </w:p>
        </w:tc>
      </w:tr>
      <w:tr w14:paraId="45F52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192669D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0250448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253" w:type="dxa"/>
            <w:vAlign w:val="center"/>
          </w:tcPr>
          <w:p w14:paraId="74B76BD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监测点位</w:t>
            </w:r>
          </w:p>
        </w:tc>
        <w:tc>
          <w:tcPr>
            <w:tcW w:w="2509" w:type="dxa"/>
            <w:gridSpan w:val="2"/>
            <w:vAlign w:val="center"/>
          </w:tcPr>
          <w:p w14:paraId="02D0A25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r>
              <w:rPr>
                <w:rFonts w:hint="eastAsia" w:cs="Times New Roman"/>
                <w:color w:val="auto"/>
                <w:position w:val="0"/>
                <w:sz w:val="21"/>
                <w:szCs w:val="21"/>
                <w:highlight w:val="none"/>
                <w:lang w:val="en-US" w:eastAsia="zh-CN"/>
              </w:rPr>
              <w:t>3</w:t>
            </w:r>
            <w:r>
              <w:rPr>
                <w:rFonts w:hint="default" w:ascii="Times New Roman" w:hAnsi="Times New Roman" w:cs="Times New Roman"/>
                <w:color w:val="auto"/>
                <w:position w:val="0"/>
                <w:sz w:val="21"/>
                <w:szCs w:val="21"/>
                <w:highlight w:val="none"/>
              </w:rPr>
              <w:t>个）</w:t>
            </w:r>
          </w:p>
        </w:tc>
        <w:tc>
          <w:tcPr>
            <w:tcW w:w="2510" w:type="dxa"/>
            <w:gridSpan w:val="2"/>
            <w:vAlign w:val="center"/>
          </w:tcPr>
          <w:p w14:paraId="148E7F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r>
      <w:tr w14:paraId="383E7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1628187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Merge w:val="continue"/>
            <w:vAlign w:val="center"/>
          </w:tcPr>
          <w:p w14:paraId="08235CD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253" w:type="dxa"/>
            <w:vAlign w:val="center"/>
          </w:tcPr>
          <w:p w14:paraId="6504A75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监测因子</w:t>
            </w:r>
          </w:p>
        </w:tc>
        <w:tc>
          <w:tcPr>
            <w:tcW w:w="2509" w:type="dxa"/>
            <w:gridSpan w:val="2"/>
            <w:vAlign w:val="center"/>
          </w:tcPr>
          <w:p w14:paraId="59DBFD6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r>
              <w:rPr>
                <w:rFonts w:hint="default" w:ascii="Times New Roman" w:hAnsi="Times New Roman" w:cs="Times New Roman"/>
                <w:color w:val="auto"/>
                <w:kern w:val="0"/>
                <w:position w:val="0"/>
                <w:sz w:val="21"/>
                <w:szCs w:val="21"/>
                <w:highlight w:val="none"/>
              </w:rPr>
              <w:t>pH、悬浮物、COD、BOD</w:t>
            </w:r>
            <w:r>
              <w:rPr>
                <w:rFonts w:hint="default" w:ascii="Times New Roman" w:hAnsi="Times New Roman" w:cs="Times New Roman"/>
                <w:color w:val="auto"/>
                <w:kern w:val="0"/>
                <w:position w:val="0"/>
                <w:sz w:val="21"/>
                <w:szCs w:val="21"/>
                <w:highlight w:val="none"/>
                <w:vertAlign w:val="subscript"/>
              </w:rPr>
              <w:t>5</w:t>
            </w:r>
            <w:r>
              <w:rPr>
                <w:rFonts w:hint="default" w:ascii="Times New Roman" w:hAnsi="Times New Roman" w:cs="Times New Roman"/>
                <w:color w:val="auto"/>
                <w:kern w:val="0"/>
                <w:position w:val="0"/>
                <w:sz w:val="21"/>
                <w:szCs w:val="21"/>
                <w:highlight w:val="none"/>
              </w:rPr>
              <w:t>、溶解氧、氨氮、石油类</w:t>
            </w:r>
            <w:r>
              <w:rPr>
                <w:rFonts w:hint="default" w:ascii="Times New Roman" w:hAnsi="Times New Roman" w:cs="Times New Roman"/>
                <w:color w:val="auto"/>
                <w:position w:val="0"/>
                <w:sz w:val="21"/>
                <w:szCs w:val="21"/>
                <w:highlight w:val="none"/>
              </w:rPr>
              <w:t>）</w:t>
            </w:r>
          </w:p>
        </w:tc>
        <w:tc>
          <w:tcPr>
            <w:tcW w:w="2510" w:type="dxa"/>
            <w:gridSpan w:val="2"/>
            <w:vAlign w:val="center"/>
          </w:tcPr>
          <w:p w14:paraId="4803088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r>
      <w:tr w14:paraId="72ABF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26FFD58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1741" w:type="dxa"/>
            <w:vAlign w:val="center"/>
          </w:tcPr>
          <w:p w14:paraId="274EBB9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污染物排放清单</w:t>
            </w:r>
          </w:p>
        </w:tc>
        <w:tc>
          <w:tcPr>
            <w:tcW w:w="6272" w:type="dxa"/>
            <w:gridSpan w:val="5"/>
            <w:vAlign w:val="center"/>
          </w:tcPr>
          <w:p w14:paraId="42CB02C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w:t>
            </w:r>
          </w:p>
        </w:tc>
      </w:tr>
      <w:tr w14:paraId="142221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507" w:type="dxa"/>
            <w:gridSpan w:val="2"/>
            <w:vAlign w:val="center"/>
          </w:tcPr>
          <w:p w14:paraId="69BCB4E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评价结论</w:t>
            </w:r>
          </w:p>
        </w:tc>
        <w:tc>
          <w:tcPr>
            <w:tcW w:w="6272" w:type="dxa"/>
            <w:gridSpan w:val="5"/>
            <w:vAlign w:val="center"/>
          </w:tcPr>
          <w:p w14:paraId="369B6C8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可以接受☑；不可以接受□</w:t>
            </w:r>
          </w:p>
        </w:tc>
      </w:tr>
      <w:tr w14:paraId="0A5D2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8779" w:type="dxa"/>
            <w:gridSpan w:val="7"/>
            <w:vAlign w:val="center"/>
          </w:tcPr>
          <w:p w14:paraId="3F9C33C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注：“□”为勾选项，可打√；“（）”为内容填写项；“备注”为其他补充内容。</w:t>
            </w:r>
          </w:p>
        </w:tc>
      </w:tr>
    </w:tbl>
    <w:p w14:paraId="4530F8BC">
      <w:pPr>
        <w:pStyle w:val="2"/>
        <w:numPr>
          <w:ilvl w:val="1"/>
          <w:numId w:val="0"/>
        </w:numPr>
        <w:rPr>
          <w:rFonts w:hint="default" w:ascii="Times New Roman" w:hAnsi="Times New Roman" w:eastAsia="宋体" w:cs="Times New Roman"/>
          <w:color w:val="auto"/>
          <w:sz w:val="24"/>
          <w:szCs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4A8DEE26">
      <w:pPr>
        <w:pStyle w:val="2"/>
        <w:numPr>
          <w:ilvl w:val="1"/>
          <w:numId w:val="0"/>
        </w:numPr>
        <w:rPr>
          <w:rFonts w:hint="default" w:ascii="Times New Roman" w:hAnsi="Times New Roman" w:eastAsia="宋体" w:cs="Times New Roman"/>
          <w:color w:val="auto"/>
          <w:sz w:val="24"/>
          <w:szCs w:val="24"/>
          <w:highlight w:val="none"/>
        </w:rPr>
      </w:pPr>
      <w:bookmarkStart w:id="165" w:name="_Toc24107"/>
      <w:r>
        <w:rPr>
          <w:rFonts w:hint="default" w:ascii="Times New Roman" w:hAnsi="Times New Roman" w:eastAsia="宋体" w:cs="Times New Roman"/>
          <w:color w:val="auto"/>
          <w:sz w:val="24"/>
          <w:szCs w:val="24"/>
          <w:highlight w:val="none"/>
        </w:rPr>
        <w:t>附</w:t>
      </w:r>
      <w:r>
        <w:rPr>
          <w:rFonts w:hint="eastAsia" w:ascii="Times New Roman" w:hAnsi="Times New Roman" w:eastAsia="宋体" w:cs="Times New Roman"/>
          <w:color w:val="auto"/>
          <w:sz w:val="24"/>
          <w:szCs w:val="24"/>
          <w:highlight w:val="none"/>
          <w:lang w:eastAsia="zh-CN"/>
        </w:rPr>
        <w:t>件</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b/>
          <w:bCs/>
          <w:color w:val="auto"/>
          <w:kern w:val="0"/>
          <w:sz w:val="24"/>
          <w:highlight w:val="none"/>
        </w:rPr>
        <w:t>事业单位法人证书</w:t>
      </w:r>
      <w:bookmarkEnd w:id="165"/>
    </w:p>
    <w:p w14:paraId="11D0F490">
      <w:pPr>
        <w:pStyle w:val="2"/>
        <w:numPr>
          <w:ilvl w:val="1"/>
          <w:numId w:val="0"/>
        </w:numPr>
        <w:rPr>
          <w:rFonts w:hint="default" w:ascii="Times New Roman" w:hAnsi="Times New Roman" w:eastAsia="宋体" w:cs="Times New Roman"/>
          <w:color w:val="auto"/>
          <w:sz w:val="24"/>
          <w:szCs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66" w:name="_Toc30920"/>
      <w:bookmarkStart w:id="167" w:name="_Toc15314"/>
      <w:bookmarkStart w:id="168" w:name="_Toc15038"/>
      <w:r>
        <w:rPr>
          <w:rFonts w:hint="eastAsia" w:ascii="Times New Roman" w:hAnsi="Times New Roman" w:eastAsia="宋体" w:cs="Times New Roman"/>
          <w:b/>
          <w:bCs/>
          <w:color w:val="auto"/>
          <w:kern w:val="0"/>
          <w:sz w:val="24"/>
          <w:highlight w:val="none"/>
          <w:lang w:eastAsia="zh-CN"/>
        </w:rPr>
        <w:drawing>
          <wp:inline distT="0" distB="0" distL="114300" distR="114300">
            <wp:extent cx="3726815" cy="5271135"/>
            <wp:effectExtent l="0" t="0" r="5715" b="6985"/>
            <wp:docPr id="44" name="图片 44" descr="16cba31200199308bae11a70d80c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6cba31200199308bae11a70d80ce076"/>
                    <pic:cNvPicPr>
                      <a:picLocks noChangeAspect="1"/>
                    </pic:cNvPicPr>
                  </pic:nvPicPr>
                  <pic:blipFill>
                    <a:blip r:embed="rId28"/>
                    <a:stretch>
                      <a:fillRect/>
                    </a:stretch>
                  </pic:blipFill>
                  <pic:spPr>
                    <a:xfrm rot="16200000">
                      <a:off x="0" y="0"/>
                      <a:ext cx="3726815" cy="5271135"/>
                    </a:xfrm>
                    <a:prstGeom prst="rect">
                      <a:avLst/>
                    </a:prstGeom>
                  </pic:spPr>
                </pic:pic>
              </a:graphicData>
            </a:graphic>
          </wp:inline>
        </w:drawing>
      </w:r>
      <w:bookmarkEnd w:id="166"/>
      <w:bookmarkEnd w:id="167"/>
      <w:bookmarkEnd w:id="168"/>
    </w:p>
    <w:p w14:paraId="0E30A978">
      <w:pPr>
        <w:pStyle w:val="2"/>
        <w:numPr>
          <w:ilvl w:val="1"/>
          <w:numId w:val="0"/>
        </w:numPr>
        <w:rPr>
          <w:rFonts w:hint="default" w:ascii="Times New Roman" w:hAnsi="Times New Roman" w:eastAsia="宋体" w:cs="Times New Roman"/>
          <w:color w:val="auto"/>
          <w:sz w:val="24"/>
          <w:szCs w:val="24"/>
          <w:highlight w:val="none"/>
        </w:rPr>
      </w:pPr>
      <w:bookmarkStart w:id="169" w:name="_Toc10242"/>
      <w:r>
        <w:rPr>
          <w:rFonts w:hint="default" w:ascii="Times New Roman" w:hAnsi="Times New Roman" w:eastAsia="宋体" w:cs="Times New Roman"/>
          <w:color w:val="auto"/>
          <w:sz w:val="24"/>
          <w:szCs w:val="24"/>
          <w:highlight w:val="none"/>
        </w:rPr>
        <w:t>附</w:t>
      </w:r>
      <w:r>
        <w:rPr>
          <w:rFonts w:hint="eastAsia" w:ascii="Times New Roman" w:hAnsi="Times New Roman" w:eastAsia="宋体" w:cs="Times New Roman"/>
          <w:color w:val="auto"/>
          <w:sz w:val="24"/>
          <w:szCs w:val="24"/>
          <w:highlight w:val="none"/>
          <w:lang w:eastAsia="zh-CN"/>
        </w:rPr>
        <w:t>件</w:t>
      </w:r>
      <w:r>
        <w:rPr>
          <w:rFonts w:hint="eastAsia" w:ascii="Times New Roman" w:hAnsi="Times New Roman" w:eastAsia="宋体" w:cs="Times New Roman"/>
          <w:color w:val="auto"/>
          <w:sz w:val="24"/>
          <w:szCs w:val="24"/>
          <w:highlight w:val="none"/>
          <w:lang w:val="en-US" w:eastAsia="zh-CN"/>
        </w:rPr>
        <w:t>3</w:t>
      </w:r>
      <w:r>
        <w:rPr>
          <w:rFonts w:hint="eastAsia" w:cs="Times New Roman" w:eastAsiaTheme="majorEastAsia"/>
          <w:b/>
          <w:bCs/>
          <w:color w:val="auto"/>
          <w:kern w:val="0"/>
          <w:sz w:val="24"/>
          <w:szCs w:val="24"/>
          <w:highlight w:val="none"/>
          <w:lang w:val="en-US" w:eastAsia="zh-CN"/>
        </w:rPr>
        <w:t>本项目</w:t>
      </w:r>
      <w:r>
        <w:rPr>
          <w:rFonts w:hint="eastAsia" w:ascii="Times New Roman" w:hAnsi="Times New Roman" w:cs="Times New Roman" w:eastAsiaTheme="majorEastAsia"/>
          <w:b/>
          <w:bCs/>
          <w:color w:val="auto"/>
          <w:kern w:val="0"/>
          <w:sz w:val="24"/>
          <w:szCs w:val="24"/>
          <w:highlight w:val="none"/>
          <w:lang w:val="en-US" w:eastAsia="zh-CN"/>
        </w:rPr>
        <w:t>初步设计报告的批复</w:t>
      </w:r>
      <w:bookmarkEnd w:id="169"/>
    </w:p>
    <w:p w14:paraId="2830919B">
      <w:pPr>
        <w:pStyle w:val="34"/>
        <w:ind w:firstLine="0" w:firstLineChars="0"/>
        <w:rPr>
          <w:rFonts w:hint="eastAsia" w:ascii="Times New Roman" w:hAnsi="Times New Roman" w:cs="Times New Roman" w:eastAsiaTheme="minorEastAsia"/>
          <w:b/>
          <w:bCs/>
          <w:color w:val="auto"/>
          <w:sz w:val="24"/>
          <w:highlight w:val="none"/>
          <w:lang w:eastAsia="zh-CN"/>
        </w:rPr>
      </w:pPr>
      <w:r>
        <w:rPr>
          <w:rFonts w:hint="eastAsia" w:ascii="Times New Roman" w:hAnsi="Times New Roman" w:cs="Times New Roman" w:eastAsiaTheme="minorEastAsia"/>
          <w:b/>
          <w:bCs/>
          <w:color w:val="auto"/>
          <w:sz w:val="24"/>
          <w:highlight w:val="none"/>
          <w:lang w:eastAsia="zh-CN"/>
        </w:rPr>
        <w:drawing>
          <wp:inline distT="0" distB="0" distL="114300" distR="114300">
            <wp:extent cx="5259070" cy="8219440"/>
            <wp:effectExtent l="0" t="0" r="17780" b="10160"/>
            <wp:docPr id="45" name="图片 45" descr="庆先水库除险加固初步设计批复（2025新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庆先水库除险加固初步设计批复（2025新出）_01"/>
                    <pic:cNvPicPr>
                      <a:picLocks noChangeAspect="1"/>
                    </pic:cNvPicPr>
                  </pic:nvPicPr>
                  <pic:blipFill>
                    <a:blip r:embed="rId29"/>
                    <a:stretch>
                      <a:fillRect/>
                    </a:stretch>
                  </pic:blipFill>
                  <pic:spPr>
                    <a:xfrm>
                      <a:off x="0" y="0"/>
                      <a:ext cx="5259070" cy="821944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59070" cy="7433310"/>
            <wp:effectExtent l="0" t="0" r="17780" b="15240"/>
            <wp:docPr id="55" name="图片 55" descr="庆先水库除险加固初步设计批复（2025新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庆先水库除险加固初步设计批复（2025新出）_02"/>
                    <pic:cNvPicPr>
                      <a:picLocks noChangeAspect="1"/>
                    </pic:cNvPicPr>
                  </pic:nvPicPr>
                  <pic:blipFill>
                    <a:blip r:embed="rId30"/>
                    <a:stretch>
                      <a:fillRect/>
                    </a:stretch>
                  </pic:blipFill>
                  <pic:spPr>
                    <a:xfrm>
                      <a:off x="0" y="0"/>
                      <a:ext cx="5259070" cy="743331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59070" cy="7433310"/>
            <wp:effectExtent l="0" t="0" r="17780" b="15240"/>
            <wp:docPr id="56" name="图片 56" descr="庆先水库除险加固初步设计批复（2025新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庆先水库除险加固初步设计批复（2025新出）_03"/>
                    <pic:cNvPicPr>
                      <a:picLocks noChangeAspect="1"/>
                    </pic:cNvPicPr>
                  </pic:nvPicPr>
                  <pic:blipFill>
                    <a:blip r:embed="rId31"/>
                    <a:stretch>
                      <a:fillRect/>
                    </a:stretch>
                  </pic:blipFill>
                  <pic:spPr>
                    <a:xfrm>
                      <a:off x="0" y="0"/>
                      <a:ext cx="5259070" cy="743331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59070" cy="7433310"/>
            <wp:effectExtent l="0" t="0" r="17780" b="15240"/>
            <wp:docPr id="57" name="图片 57" descr="庆先水库除险加固初步设计批复（2025新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庆先水库除险加固初步设计批复（2025新出）_04"/>
                    <pic:cNvPicPr>
                      <a:picLocks noChangeAspect="1"/>
                    </pic:cNvPicPr>
                  </pic:nvPicPr>
                  <pic:blipFill>
                    <a:blip r:embed="rId32"/>
                    <a:stretch>
                      <a:fillRect/>
                    </a:stretch>
                  </pic:blipFill>
                  <pic:spPr>
                    <a:xfrm>
                      <a:off x="0" y="0"/>
                      <a:ext cx="5259070" cy="7433310"/>
                    </a:xfrm>
                    <a:prstGeom prst="rect">
                      <a:avLst/>
                    </a:prstGeom>
                  </pic:spPr>
                </pic:pic>
              </a:graphicData>
            </a:graphic>
          </wp:inline>
        </w:drawing>
      </w:r>
    </w:p>
    <w:p w14:paraId="182E2662">
      <w:pPr>
        <w:pStyle w:val="34"/>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eastAsia" w:ascii="Times New Roman" w:hAnsi="Times New Roman" w:eastAsia="宋体" w:cs="Times New Roman"/>
          <w:b/>
          <w:bCs/>
          <w:color w:val="auto"/>
          <w:kern w:val="0"/>
          <w:sz w:val="24"/>
          <w:highlight w:val="none"/>
          <w:lang w:eastAsia="zh-CN"/>
        </w:rPr>
      </w:pPr>
    </w:p>
    <w:p w14:paraId="1B170943">
      <w:pPr>
        <w:pStyle w:val="34"/>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宋体" w:cs="Times New Roman"/>
          <w:b/>
          <w:bCs/>
          <w:color w:val="auto"/>
          <w:kern w:val="0"/>
          <w:sz w:val="24"/>
          <w:highlight w:val="none"/>
        </w:rPr>
      </w:pPr>
    </w:p>
    <w:p w14:paraId="0BEFA625">
      <w:pPr>
        <w:pStyle w:val="34"/>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宋体" w:cs="Times New Roman"/>
          <w:b/>
          <w:bCs/>
          <w:color w:val="auto"/>
          <w:kern w:val="0"/>
          <w:sz w:val="24"/>
          <w:highlight w:val="none"/>
        </w:rPr>
      </w:pPr>
    </w:p>
    <w:p w14:paraId="5AB513F9">
      <w:pPr>
        <w:pStyle w:val="34"/>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宋体" w:cs="Times New Roman"/>
          <w:b/>
          <w:bCs/>
          <w:color w:val="auto"/>
          <w:kern w:val="0"/>
          <w:sz w:val="24"/>
          <w:highlight w:val="none"/>
        </w:rPr>
      </w:pPr>
    </w:p>
    <w:p w14:paraId="309D0BE8">
      <w:pPr>
        <w:pStyle w:val="34"/>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宋体" w:cs="Times New Roman"/>
          <w:b/>
          <w:bCs/>
          <w:color w:val="auto"/>
          <w:kern w:val="0"/>
          <w:sz w:val="24"/>
          <w:highlight w:val="none"/>
        </w:rPr>
      </w:pPr>
    </w:p>
    <w:p w14:paraId="10077C04">
      <w:pPr>
        <w:pStyle w:val="2"/>
        <w:numPr>
          <w:ilvl w:val="1"/>
          <w:numId w:val="0"/>
        </w:numPr>
        <w:rPr>
          <w:rFonts w:hint="default" w:ascii="Times New Roman" w:hAnsi="Times New Roman" w:eastAsia="宋体" w:cs="Times New Roman"/>
          <w:color w:val="auto"/>
          <w:sz w:val="24"/>
          <w:szCs w:val="24"/>
          <w:highlight w:val="none"/>
        </w:rPr>
      </w:pPr>
      <w:bookmarkStart w:id="170" w:name="_Toc7594"/>
      <w:r>
        <w:rPr>
          <w:rFonts w:hint="default" w:ascii="Times New Roman" w:hAnsi="Times New Roman" w:eastAsia="宋体" w:cs="Times New Roman"/>
          <w:color w:val="auto"/>
          <w:sz w:val="24"/>
          <w:szCs w:val="24"/>
          <w:highlight w:val="none"/>
        </w:rPr>
        <w:t>附</w:t>
      </w:r>
      <w:r>
        <w:rPr>
          <w:rFonts w:hint="eastAsia" w:ascii="Times New Roman" w:hAnsi="Times New Roman" w:eastAsia="宋体" w:cs="Times New Roman"/>
          <w:color w:val="auto"/>
          <w:sz w:val="24"/>
          <w:szCs w:val="24"/>
          <w:highlight w:val="none"/>
          <w:lang w:eastAsia="zh-CN"/>
        </w:rPr>
        <w:t>件</w:t>
      </w:r>
      <w:r>
        <w:rPr>
          <w:rFonts w:hint="eastAsia" w:ascii="Times New Roman" w:hAnsi="Times New Roman" w:eastAsia="宋体" w:cs="Times New Roman"/>
          <w:color w:val="auto"/>
          <w:sz w:val="24"/>
          <w:szCs w:val="24"/>
          <w:highlight w:val="none"/>
          <w:lang w:val="en-US" w:eastAsia="zh-CN"/>
        </w:rPr>
        <w:t>4</w:t>
      </w:r>
      <w:r>
        <w:rPr>
          <w:rFonts w:hint="eastAsia" w:cs="Times New Roman" w:eastAsiaTheme="minorEastAsia"/>
          <w:b/>
          <w:bCs/>
          <w:color w:val="auto"/>
          <w:sz w:val="24"/>
          <w:highlight w:val="none"/>
          <w:lang w:val="en-US" w:eastAsia="zh-CN"/>
        </w:rPr>
        <w:t>检测报告</w:t>
      </w:r>
      <w:bookmarkEnd w:id="170"/>
    </w:p>
    <w:p w14:paraId="6CCE52F5">
      <w:pPr>
        <w:rPr>
          <w:rFonts w:hint="eastAsia" w:ascii="Times New Roman" w:hAnsi="Times New Roman" w:cs="Times New Roman" w:eastAsiaTheme="minorEastAsia"/>
          <w:b/>
          <w:bCs/>
          <w:color w:val="auto"/>
          <w:sz w:val="24"/>
          <w:highlight w:val="none"/>
          <w:lang w:eastAsia="zh-CN"/>
        </w:rPr>
      </w:pPr>
      <w:r>
        <w:rPr>
          <w:color w:val="auto"/>
        </w:rPr>
        <w:drawing>
          <wp:inline distT="0" distB="0" distL="114300" distR="114300">
            <wp:extent cx="5267960" cy="8096885"/>
            <wp:effectExtent l="0" t="0" r="8890" b="1841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33"/>
                    <a:stretch>
                      <a:fillRect/>
                    </a:stretch>
                  </pic:blipFill>
                  <pic:spPr>
                    <a:xfrm>
                      <a:off x="0" y="0"/>
                      <a:ext cx="5267960" cy="8096885"/>
                    </a:xfrm>
                    <a:prstGeom prst="rect">
                      <a:avLst/>
                    </a:prstGeom>
                    <a:noFill/>
                    <a:ln>
                      <a:noFill/>
                    </a:ln>
                  </pic:spPr>
                </pic:pic>
              </a:graphicData>
            </a:graphic>
          </wp:inline>
        </w:drawing>
      </w:r>
      <w:r>
        <w:rPr>
          <w:color w:val="auto"/>
        </w:rPr>
        <w:drawing>
          <wp:inline distT="0" distB="0" distL="114300" distR="114300">
            <wp:extent cx="5267960" cy="8442960"/>
            <wp:effectExtent l="0" t="0" r="8890" b="1524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4"/>
                    <a:stretch>
                      <a:fillRect/>
                    </a:stretch>
                  </pic:blipFill>
                  <pic:spPr>
                    <a:xfrm>
                      <a:off x="0" y="0"/>
                      <a:ext cx="5267960" cy="8442960"/>
                    </a:xfrm>
                    <a:prstGeom prst="rect">
                      <a:avLst/>
                    </a:prstGeom>
                    <a:noFill/>
                    <a:ln>
                      <a:noFill/>
                    </a:ln>
                  </pic:spPr>
                </pic:pic>
              </a:graphicData>
            </a:graphic>
          </wp:inline>
        </w:drawing>
      </w:r>
      <w:r>
        <w:rPr>
          <w:color w:val="auto"/>
        </w:rPr>
        <w:drawing>
          <wp:inline distT="0" distB="0" distL="114300" distR="114300">
            <wp:extent cx="5267960" cy="8442960"/>
            <wp:effectExtent l="0" t="0" r="8890" b="1524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35"/>
                    <a:stretch>
                      <a:fillRect/>
                    </a:stretch>
                  </pic:blipFill>
                  <pic:spPr>
                    <a:xfrm>
                      <a:off x="0" y="0"/>
                      <a:ext cx="5267960" cy="8442960"/>
                    </a:xfrm>
                    <a:prstGeom prst="rect">
                      <a:avLst/>
                    </a:prstGeom>
                    <a:noFill/>
                    <a:ln>
                      <a:noFill/>
                    </a:ln>
                  </pic:spPr>
                </pic:pic>
              </a:graphicData>
            </a:graphic>
          </wp:inline>
        </w:drawing>
      </w:r>
      <w:r>
        <w:rPr>
          <w:color w:val="auto"/>
        </w:rPr>
        <w:drawing>
          <wp:inline distT="0" distB="0" distL="114300" distR="114300">
            <wp:extent cx="5267960" cy="8300085"/>
            <wp:effectExtent l="0" t="0" r="8890" b="571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36"/>
                    <a:stretch>
                      <a:fillRect/>
                    </a:stretch>
                  </pic:blipFill>
                  <pic:spPr>
                    <a:xfrm>
                      <a:off x="0" y="0"/>
                      <a:ext cx="5267960" cy="8300085"/>
                    </a:xfrm>
                    <a:prstGeom prst="rect">
                      <a:avLst/>
                    </a:prstGeom>
                    <a:noFill/>
                    <a:ln>
                      <a:noFill/>
                    </a:ln>
                  </pic:spPr>
                </pic:pic>
              </a:graphicData>
            </a:graphic>
          </wp:inline>
        </w:drawing>
      </w:r>
      <w:r>
        <w:rPr>
          <w:color w:val="auto"/>
        </w:rPr>
        <w:drawing>
          <wp:inline distT="0" distB="0" distL="114300" distR="114300">
            <wp:extent cx="5267960" cy="8422005"/>
            <wp:effectExtent l="0" t="0" r="8890" b="1714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37"/>
                    <a:stretch>
                      <a:fillRect/>
                    </a:stretch>
                  </pic:blipFill>
                  <pic:spPr>
                    <a:xfrm>
                      <a:off x="0" y="0"/>
                      <a:ext cx="5267960" cy="8422005"/>
                    </a:xfrm>
                    <a:prstGeom prst="rect">
                      <a:avLst/>
                    </a:prstGeom>
                    <a:noFill/>
                    <a:ln>
                      <a:noFill/>
                    </a:ln>
                  </pic:spPr>
                </pic:pic>
              </a:graphicData>
            </a:graphic>
          </wp:inline>
        </w:drawing>
      </w:r>
      <w:r>
        <w:rPr>
          <w:color w:val="auto"/>
        </w:rPr>
        <w:drawing>
          <wp:inline distT="0" distB="0" distL="114300" distR="114300">
            <wp:extent cx="5267960" cy="8246110"/>
            <wp:effectExtent l="0" t="0" r="8890" b="254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8"/>
                    <a:stretch>
                      <a:fillRect/>
                    </a:stretch>
                  </pic:blipFill>
                  <pic:spPr>
                    <a:xfrm>
                      <a:off x="0" y="0"/>
                      <a:ext cx="5267960" cy="8246110"/>
                    </a:xfrm>
                    <a:prstGeom prst="rect">
                      <a:avLst/>
                    </a:prstGeom>
                    <a:noFill/>
                    <a:ln>
                      <a:noFill/>
                    </a:ln>
                  </pic:spPr>
                </pic:pic>
              </a:graphicData>
            </a:graphic>
          </wp:inline>
        </w:drawing>
      </w:r>
      <w:r>
        <w:rPr>
          <w:color w:val="auto"/>
        </w:rPr>
        <w:drawing>
          <wp:inline distT="0" distB="0" distL="114300" distR="114300">
            <wp:extent cx="5267960" cy="8389620"/>
            <wp:effectExtent l="0" t="0" r="8890" b="1143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39"/>
                    <a:stretch>
                      <a:fillRect/>
                    </a:stretch>
                  </pic:blipFill>
                  <pic:spPr>
                    <a:xfrm>
                      <a:off x="0" y="0"/>
                      <a:ext cx="5267960" cy="8389620"/>
                    </a:xfrm>
                    <a:prstGeom prst="rect">
                      <a:avLst/>
                    </a:prstGeom>
                    <a:noFill/>
                    <a:ln>
                      <a:noFill/>
                    </a:ln>
                  </pic:spPr>
                </pic:pic>
              </a:graphicData>
            </a:graphic>
          </wp:inline>
        </w:drawing>
      </w:r>
    </w:p>
    <w:p w14:paraId="2519C5FB">
      <w:pPr>
        <w:rPr>
          <w:rFonts w:hint="eastAsia" w:ascii="Times New Roman" w:hAnsi="Times New Roman" w:cs="Times New Roman" w:eastAsiaTheme="minorEastAsia"/>
          <w:b/>
          <w:bCs/>
          <w:color w:val="auto"/>
          <w:sz w:val="24"/>
          <w:highlight w:val="none"/>
          <w:lang w:eastAsia="zh-CN"/>
        </w:rPr>
      </w:pPr>
    </w:p>
    <w:p w14:paraId="2A3B3BAF">
      <w:pPr>
        <w:pStyle w:val="34"/>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宋体" w:cs="Times New Roman"/>
          <w:b/>
          <w:bCs/>
          <w:color w:val="auto"/>
          <w:kern w:val="0"/>
          <w:sz w:val="24"/>
          <w:highlight w:val="none"/>
        </w:rPr>
      </w:pPr>
    </w:p>
    <w:p w14:paraId="4A7BC162">
      <w:pPr>
        <w:pStyle w:val="2"/>
        <w:numPr>
          <w:ilvl w:val="1"/>
          <w:numId w:val="0"/>
        </w:numPr>
        <w:rPr>
          <w:rFonts w:hint="default" w:ascii="Times New Roman" w:hAnsi="Times New Roman" w:eastAsia="宋体" w:cs="Times New Roman"/>
          <w:color w:val="auto"/>
          <w:sz w:val="24"/>
          <w:szCs w:val="24"/>
          <w:highlight w:val="none"/>
        </w:rPr>
      </w:pPr>
      <w:bookmarkStart w:id="171" w:name="_Toc28937"/>
      <w:r>
        <w:rPr>
          <w:rFonts w:hint="default" w:ascii="Times New Roman" w:hAnsi="Times New Roman" w:eastAsia="宋体" w:cs="Times New Roman"/>
          <w:color w:val="auto"/>
          <w:sz w:val="24"/>
          <w:szCs w:val="24"/>
          <w:highlight w:val="none"/>
        </w:rPr>
        <w:t>附</w:t>
      </w:r>
      <w:r>
        <w:rPr>
          <w:rFonts w:hint="eastAsia" w:ascii="Times New Roman" w:hAnsi="Times New Roman" w:eastAsia="宋体" w:cs="Times New Roman"/>
          <w:color w:val="auto"/>
          <w:sz w:val="24"/>
          <w:szCs w:val="24"/>
          <w:highlight w:val="none"/>
          <w:lang w:eastAsia="zh-CN"/>
        </w:rPr>
        <w:t>件</w:t>
      </w:r>
      <w:r>
        <w:rPr>
          <w:rFonts w:hint="eastAsia" w:ascii="Times New Roman" w:hAnsi="Times New Roman" w:eastAsia="宋体" w:cs="Times New Roman"/>
          <w:color w:val="auto"/>
          <w:sz w:val="24"/>
          <w:szCs w:val="24"/>
          <w:highlight w:val="none"/>
          <w:lang w:val="en-US" w:eastAsia="zh-CN"/>
        </w:rPr>
        <w:t>5</w:t>
      </w:r>
      <w:r>
        <w:rPr>
          <w:rFonts w:hint="eastAsia" w:cs="Times New Roman" w:eastAsiaTheme="minorEastAsia"/>
          <w:b/>
          <w:bCs/>
          <w:color w:val="auto"/>
          <w:sz w:val="24"/>
          <w:highlight w:val="none"/>
          <w:lang w:val="en-US" w:eastAsia="zh-CN"/>
        </w:rPr>
        <w:t>生态环境分区管控分析报告</w:t>
      </w:r>
      <w:bookmarkEnd w:id="171"/>
    </w:p>
    <w:p w14:paraId="7F98FCDD">
      <w:pPr>
        <w:pStyle w:val="34"/>
        <w:ind w:firstLine="0" w:firstLineChars="0"/>
        <w:rPr>
          <w:rFonts w:hint="eastAsia" w:ascii="Times New Roman" w:hAnsi="Times New Roman" w:cs="Times New Roman" w:eastAsiaTheme="minorEastAsia"/>
          <w:b/>
          <w:bCs/>
          <w:color w:val="auto"/>
          <w:sz w:val="24"/>
          <w:highlight w:val="none"/>
          <w:lang w:eastAsia="zh-CN"/>
        </w:rPr>
      </w:pP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2" name="图片 2" descr="黑龙江省密山市庆仙水库除险加固工程_2026年03月17日154920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黑龙江省密山市庆仙水库除险加固工程_2026年03月17日154920_分析报告_01"/>
                    <pic:cNvPicPr>
                      <a:picLocks noChangeAspect="1"/>
                    </pic:cNvPicPr>
                  </pic:nvPicPr>
                  <pic:blipFill>
                    <a:blip r:embed="rId40"/>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15" name="图片 15" descr="黑龙江省密山市庆仙水库除险加固工程_2026年03月17日154920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黑龙江省密山市庆仙水库除险加固工程_2026年03月17日154920_分析报告_02"/>
                    <pic:cNvPicPr>
                      <a:picLocks noChangeAspect="1"/>
                    </pic:cNvPicPr>
                  </pic:nvPicPr>
                  <pic:blipFill>
                    <a:blip r:embed="rId41"/>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16" name="图片 16" descr="黑龙江省密山市庆仙水库除险加固工程_2026年03月17日154920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黑龙江省密山市庆仙水库除险加固工程_2026年03月17日154920_分析报告_03"/>
                    <pic:cNvPicPr>
                      <a:picLocks noChangeAspect="1"/>
                    </pic:cNvPicPr>
                  </pic:nvPicPr>
                  <pic:blipFill>
                    <a:blip r:embed="rId42"/>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18" name="图片 18" descr="黑龙江省密山市庆仙水库除险加固工程_2026年03月17日154920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黑龙江省密山市庆仙水库除险加固工程_2026年03月17日154920_分析报告_04"/>
                    <pic:cNvPicPr>
                      <a:picLocks noChangeAspect="1"/>
                    </pic:cNvPicPr>
                  </pic:nvPicPr>
                  <pic:blipFill>
                    <a:blip r:embed="rId43"/>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21" name="图片 21" descr="黑龙江省密山市庆仙水库除险加固工程_2026年03月17日154920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黑龙江省密山市庆仙水库除险加固工程_2026年03月17日154920_分析报告_05"/>
                    <pic:cNvPicPr>
                      <a:picLocks noChangeAspect="1"/>
                    </pic:cNvPicPr>
                  </pic:nvPicPr>
                  <pic:blipFill>
                    <a:blip r:embed="rId44"/>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23" name="图片 23" descr="黑龙江省密山市庆仙水库除险加固工程_2026年03月17日154920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黑龙江省密山市庆仙水库除险加固工程_2026年03月17日154920_分析报告_06"/>
                    <pic:cNvPicPr>
                      <a:picLocks noChangeAspect="1"/>
                    </pic:cNvPicPr>
                  </pic:nvPicPr>
                  <pic:blipFill>
                    <a:blip r:embed="rId45"/>
                    <a:stretch>
                      <a:fillRect/>
                    </a:stretch>
                  </pic:blipFill>
                  <pic:spPr>
                    <a:xfrm>
                      <a:off x="0" y="0"/>
                      <a:ext cx="5260340" cy="3719830"/>
                    </a:xfrm>
                    <a:prstGeom prst="rect">
                      <a:avLst/>
                    </a:prstGeom>
                  </pic:spPr>
                </pic:pic>
              </a:graphicData>
            </a:graphic>
          </wp:inline>
        </w:drawing>
      </w:r>
    </w:p>
    <w:p w14:paraId="7D12AB2B">
      <w:pPr>
        <w:pStyle w:val="34"/>
        <w:ind w:firstLine="0" w:firstLineChars="0"/>
        <w:rPr>
          <w:rFonts w:hint="default" w:ascii="Times New Roman" w:hAnsi="Times New Roman" w:cs="Times New Roman" w:eastAsiaTheme="minorEastAsia"/>
          <w:b/>
          <w:bCs/>
          <w:color w:val="auto"/>
          <w:sz w:val="24"/>
          <w:highlight w:val="none"/>
        </w:rPr>
      </w:pPr>
    </w:p>
    <w:p w14:paraId="3B53629B">
      <w:pPr>
        <w:pStyle w:val="34"/>
        <w:ind w:firstLine="0" w:firstLineChars="0"/>
        <w:rPr>
          <w:rFonts w:hint="eastAsia" w:ascii="Times New Roman" w:hAnsi="Times New Roman" w:cs="Times New Roman" w:eastAsiaTheme="minorEastAsia"/>
          <w:b/>
          <w:bCs/>
          <w:color w:val="auto"/>
          <w:sz w:val="24"/>
          <w:highlight w:val="none"/>
          <w:lang w:eastAsia="zh-CN"/>
        </w:rPr>
      </w:pP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24" name="图片 24" descr="黑龙江省密山市庆仙水库除险加固工程_2026年03月17日154920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黑龙江省密山市庆仙水库除险加固工程_2026年03月17日154920_分析报告_07"/>
                    <pic:cNvPicPr>
                      <a:picLocks noChangeAspect="1"/>
                    </pic:cNvPicPr>
                  </pic:nvPicPr>
                  <pic:blipFill>
                    <a:blip r:embed="rId46"/>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25" name="图片 25" descr="黑龙江省密山市庆仙水库除险加固工程_2026年03月17日154920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黑龙江省密山市庆仙水库除险加固工程_2026年03月17日154920_分析报告_08"/>
                    <pic:cNvPicPr>
                      <a:picLocks noChangeAspect="1"/>
                    </pic:cNvPicPr>
                  </pic:nvPicPr>
                  <pic:blipFill>
                    <a:blip r:embed="rId47"/>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26" name="图片 26" descr="黑龙江省密山市庆仙水库除险加固工程_2026年03月17日154920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黑龙江省密山市庆仙水库除险加固工程_2026年03月17日154920_分析报告_09"/>
                    <pic:cNvPicPr>
                      <a:picLocks noChangeAspect="1"/>
                    </pic:cNvPicPr>
                  </pic:nvPicPr>
                  <pic:blipFill>
                    <a:blip r:embed="rId48"/>
                    <a:stretch>
                      <a:fillRect/>
                    </a:stretch>
                  </pic:blipFill>
                  <pic:spPr>
                    <a:xfrm>
                      <a:off x="0" y="0"/>
                      <a:ext cx="5260340" cy="3719830"/>
                    </a:xfrm>
                    <a:prstGeom prst="rect">
                      <a:avLst/>
                    </a:prstGeom>
                  </pic:spPr>
                </pic:pic>
              </a:graphicData>
            </a:graphic>
          </wp:inline>
        </w:drawing>
      </w:r>
      <w:r>
        <w:rPr>
          <w:rFonts w:hint="eastAsia" w:ascii="Times New Roman" w:hAnsi="Times New Roman" w:cs="Times New Roman" w:eastAsiaTheme="minorEastAsia"/>
          <w:b/>
          <w:bCs/>
          <w:color w:val="auto"/>
          <w:sz w:val="24"/>
          <w:highlight w:val="none"/>
          <w:lang w:eastAsia="zh-CN"/>
        </w:rPr>
        <w:drawing>
          <wp:inline distT="0" distB="0" distL="114300" distR="114300">
            <wp:extent cx="5260340" cy="3719830"/>
            <wp:effectExtent l="0" t="0" r="16510" b="13970"/>
            <wp:docPr id="36" name="图片 36" descr="黑龙江省密山市庆仙水库除险加固工程_2026年03月17日154920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黑龙江省密山市庆仙水库除险加固工程_2026年03月17日154920_分析报告_10"/>
                    <pic:cNvPicPr>
                      <a:picLocks noChangeAspect="1"/>
                    </pic:cNvPicPr>
                  </pic:nvPicPr>
                  <pic:blipFill>
                    <a:blip r:embed="rId49"/>
                    <a:stretch>
                      <a:fillRect/>
                    </a:stretch>
                  </pic:blipFill>
                  <pic:spPr>
                    <a:xfrm>
                      <a:off x="0" y="0"/>
                      <a:ext cx="5260340" cy="3719830"/>
                    </a:xfrm>
                    <a:prstGeom prst="rect">
                      <a:avLst/>
                    </a:prstGeom>
                  </pic:spPr>
                </pic:pic>
              </a:graphicData>
            </a:graphic>
          </wp:inline>
        </w:drawing>
      </w:r>
    </w:p>
    <w:p w14:paraId="55F97624">
      <w:pPr>
        <w:pStyle w:val="2"/>
        <w:numPr>
          <w:ilvl w:val="1"/>
          <w:numId w:val="0"/>
        </w:numPr>
        <w:rPr>
          <w:rFonts w:hint="default" w:ascii="Times New Roman" w:hAnsi="Times New Roman" w:eastAsia="宋体" w:cs="Times New Roman"/>
          <w:color w:val="auto"/>
          <w:sz w:val="24"/>
          <w:szCs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2620EFE6">
      <w:pPr>
        <w:pStyle w:val="2"/>
        <w:numPr>
          <w:ilvl w:val="1"/>
          <w:numId w:val="0"/>
        </w:numPr>
        <w:rPr>
          <w:rFonts w:hint="default" w:ascii="Times New Roman" w:hAnsi="Times New Roman" w:eastAsia="宋体" w:cs="Times New Roman"/>
          <w:color w:val="auto"/>
          <w:sz w:val="24"/>
          <w:szCs w:val="24"/>
          <w:highlight w:val="none"/>
        </w:rPr>
      </w:pPr>
      <w:bookmarkStart w:id="172" w:name="_Toc21464"/>
      <w:r>
        <w:rPr>
          <w:rFonts w:hint="default" w:ascii="Times New Roman" w:hAnsi="Times New Roman" w:eastAsia="宋体" w:cs="Times New Roman"/>
          <w:color w:val="auto"/>
          <w:sz w:val="24"/>
          <w:szCs w:val="24"/>
          <w:highlight w:val="none"/>
        </w:rPr>
        <w:t>附</w:t>
      </w:r>
      <w:r>
        <w:rPr>
          <w:rFonts w:hint="default" w:ascii="Times New Roman" w:hAnsi="Times New Roman" w:eastAsia="宋体" w:cs="Times New Roman"/>
          <w:color w:val="auto"/>
          <w:sz w:val="24"/>
          <w:szCs w:val="24"/>
          <w:highlight w:val="none"/>
          <w:lang w:eastAsia="zh-CN"/>
        </w:rPr>
        <w:t>件</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b/>
          <w:color w:val="auto"/>
          <w:sz w:val="24"/>
          <w:szCs w:val="24"/>
          <w:highlight w:val="none"/>
        </w:rPr>
        <w:t>黑龙江省密山市庆先水库除险加固工程土方协议</w:t>
      </w:r>
      <w:bookmarkEnd w:id="172"/>
    </w:p>
    <w:p w14:paraId="675C8856">
      <w:pPr>
        <w:rPr>
          <w:rFonts w:hint="default" w:ascii="Times New Roman" w:hAnsi="Times New Roman" w:eastAsia="宋体" w:cs="Times New Roman"/>
          <w:color w:val="auto"/>
          <w:sz w:val="24"/>
          <w:szCs w:val="24"/>
          <w:highlight w:val="none"/>
        </w:rPr>
      </w:pPr>
      <w:r>
        <w:rPr>
          <w:rFonts w:hint="eastAsia"/>
          <w:color w:val="auto"/>
          <w:highlight w:val="none"/>
        </w:rPr>
        <w:drawing>
          <wp:inline distT="0" distB="0" distL="114300" distR="114300">
            <wp:extent cx="5472430" cy="7940040"/>
            <wp:effectExtent l="0" t="0" r="13970" b="3810"/>
            <wp:docPr id="42" name="图片 6" descr="44a12986f3c8ea0ec2ae24a400b45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44a12986f3c8ea0ec2ae24a400b4561a"/>
                    <pic:cNvPicPr>
                      <a:picLocks noChangeAspect="1"/>
                    </pic:cNvPicPr>
                  </pic:nvPicPr>
                  <pic:blipFill>
                    <a:blip r:embed="rId50"/>
                    <a:srcRect t="6793"/>
                    <a:stretch>
                      <a:fillRect/>
                    </a:stretch>
                  </pic:blipFill>
                  <pic:spPr>
                    <a:xfrm>
                      <a:off x="0" y="0"/>
                      <a:ext cx="5472430" cy="7940040"/>
                    </a:xfrm>
                    <a:prstGeom prst="rect">
                      <a:avLst/>
                    </a:prstGeom>
                    <a:noFill/>
                    <a:ln>
                      <a:noFill/>
                    </a:ln>
                  </pic:spPr>
                </pic:pic>
              </a:graphicData>
            </a:graphic>
          </wp:inline>
        </w:drawing>
      </w:r>
    </w:p>
    <w:p w14:paraId="55D6A165">
      <w:pPr>
        <w:pStyle w:val="34"/>
        <w:ind w:firstLine="0" w:firstLineChars="0"/>
        <w:rPr>
          <w:rFonts w:hint="default" w:ascii="Times New Roman" w:hAnsi="Times New Roman" w:cs="Times New Roman" w:eastAsiaTheme="minorEastAsia"/>
          <w:b/>
          <w:bCs/>
          <w:color w:val="auto"/>
          <w:sz w:val="24"/>
          <w:highlight w:val="none"/>
        </w:rPr>
      </w:pPr>
    </w:p>
    <w:p w14:paraId="3CEFC591">
      <w:pPr>
        <w:pStyle w:val="34"/>
        <w:ind w:firstLine="0" w:firstLineChars="0"/>
        <w:rPr>
          <w:rFonts w:hint="eastAsia" w:ascii="Times New Roman" w:hAnsi="Times New Roman" w:cs="Times New Roman" w:eastAsiaTheme="minorEastAsia"/>
          <w:b/>
          <w:bCs/>
          <w:color w:val="auto"/>
          <w:sz w:val="24"/>
          <w:highlight w:val="none"/>
          <w:lang w:eastAsia="zh-CN"/>
        </w:rPr>
      </w:pPr>
    </w:p>
    <w:p w14:paraId="6CC16790">
      <w:pPr>
        <w:rPr>
          <w:rFonts w:hint="default"/>
          <w:b/>
          <w:color w:val="auto"/>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cs="Times New Roman" w:eastAsiaTheme="minorEastAsia"/>
          <w:b/>
          <w:bCs/>
          <w:color w:val="auto"/>
          <w:sz w:val="24"/>
          <w:highlight w:val="none"/>
        </w:rPr>
        <w:br w:type="page"/>
      </w:r>
    </w:p>
    <w:p w14:paraId="7824AA89">
      <w:pPr>
        <w:pStyle w:val="2"/>
        <w:numPr>
          <w:ilvl w:val="1"/>
          <w:numId w:val="0"/>
        </w:numPr>
        <w:rPr>
          <w:rFonts w:hint="default" w:ascii="Times New Roman" w:hAnsi="Times New Roman" w:eastAsia="宋体" w:cs="Times New Roman"/>
          <w:color w:val="auto"/>
          <w:sz w:val="24"/>
          <w:szCs w:val="24"/>
          <w:highlight w:val="none"/>
        </w:rPr>
      </w:pPr>
      <w:bookmarkStart w:id="173" w:name="_Toc26319"/>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图1</w:t>
      </w:r>
      <w:r>
        <w:rPr>
          <w:rFonts w:hint="eastAsia" w:cs="Times New Roman" w:eastAsiaTheme="minorEastAsia"/>
          <w:b/>
          <w:bCs/>
          <w:color w:val="auto"/>
          <w:sz w:val="24"/>
          <w:highlight w:val="none"/>
          <w:lang w:eastAsia="zh-CN"/>
        </w:rPr>
        <w:t>庆先水库</w:t>
      </w:r>
      <w:r>
        <w:rPr>
          <w:rFonts w:hint="default" w:ascii="Times New Roman" w:hAnsi="Times New Roman" w:cs="Times New Roman" w:eastAsiaTheme="minorEastAsia"/>
          <w:b/>
          <w:bCs/>
          <w:color w:val="auto"/>
          <w:sz w:val="24"/>
          <w:highlight w:val="none"/>
        </w:rPr>
        <w:t>地理位置示意图</w:t>
      </w:r>
      <w:bookmarkEnd w:id="173"/>
    </w:p>
    <w:p w14:paraId="6C31FAE1">
      <w:pPr>
        <w:pStyle w:val="34"/>
        <w:ind w:firstLine="0" w:firstLineChars="0"/>
        <w:jc w:val="center"/>
        <w:rPr>
          <w:rFonts w:hint="eastAsia" w:ascii="Times New Roman" w:hAnsi="Times New Roman" w:eastAsia="宋体" w:cs="Times New Roman"/>
          <w:b/>
          <w:bCs/>
          <w:color w:val="auto"/>
          <w:sz w:val="24"/>
          <w:highlight w:val="none"/>
          <w:lang w:eastAsia="zh-CN"/>
        </w:rPr>
      </w:pPr>
      <w:r>
        <w:rPr>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4283075</wp:posOffset>
                </wp:positionH>
                <wp:positionV relativeFrom="paragraph">
                  <wp:posOffset>1913255</wp:posOffset>
                </wp:positionV>
                <wp:extent cx="687070" cy="254635"/>
                <wp:effectExtent l="173990" t="4445" r="15240" b="236220"/>
                <wp:wrapNone/>
                <wp:docPr id="59" name="矩形标注 59"/>
                <wp:cNvGraphicFramePr/>
                <a:graphic xmlns:a="http://schemas.openxmlformats.org/drawingml/2006/main">
                  <a:graphicData uri="http://schemas.microsoft.com/office/word/2010/wordprocessingShape">
                    <wps:wsp>
                      <wps:cNvSpPr/>
                      <wps:spPr>
                        <a:xfrm>
                          <a:off x="0" y="0"/>
                          <a:ext cx="687070" cy="254635"/>
                        </a:xfrm>
                        <a:prstGeom prst="wedgeRectCallout">
                          <a:avLst>
                            <a:gd name="adj1" fmla="val -70551"/>
                            <a:gd name="adj2" fmla="val 127977"/>
                          </a:avLst>
                        </a:prstGeom>
                        <a:solidFill>
                          <a:srgbClr val="FFFFFF"/>
                        </a:solidFill>
                        <a:ln w="9525" cap="flat" cmpd="sng">
                          <a:solidFill>
                            <a:srgbClr val="000000"/>
                          </a:solidFill>
                          <a:prstDash val="solid"/>
                          <a:miter/>
                          <a:headEnd type="none" w="med" len="med"/>
                          <a:tailEnd type="none" w="med" len="med"/>
                        </a:ln>
                      </wps:spPr>
                      <wps:txbx>
                        <w:txbxContent>
                          <w:p w14:paraId="2327C46B">
                            <w:pPr>
                              <w:rPr>
                                <w:rFonts w:hint="default"/>
                                <w:vertAlign w:val="superscript"/>
                                <w:lang w:val="en-US" w:eastAsia="zh-CN"/>
                              </w:rPr>
                            </w:pPr>
                            <w:r>
                              <w:rPr>
                                <w:rFonts w:hint="eastAsia"/>
                                <w:sz w:val="18"/>
                                <w:szCs w:val="18"/>
                                <w:vertAlign w:val="baseline"/>
                                <w:lang w:val="en-US" w:eastAsia="zh-CN"/>
                              </w:rPr>
                              <w:t>项目位置</w:t>
                            </w:r>
                          </w:p>
                        </w:txbxContent>
                      </wps:txbx>
                      <wps:bodyPr upright="1"/>
                    </wps:wsp>
                  </a:graphicData>
                </a:graphic>
              </wp:anchor>
            </w:drawing>
          </mc:Choice>
          <mc:Fallback>
            <w:pict>
              <v:shape id="_x0000_s1026" o:spid="_x0000_s1026" o:spt="61" type="#_x0000_t61" style="position:absolute;left:0pt;margin-left:337.25pt;margin-top:150.65pt;height:20.05pt;width:54.1pt;z-index:251662336;mso-width-relative:page;mso-height-relative:page;" fillcolor="#FFFFFF" filled="t" stroked="t" coordsize="21600,21600" o:gfxdata="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duz7aAAAACwEAAA8AAAAAAAAAAQAgAAAAIgAAAGRycy9k&#10;b3ducmV2LnhtbFBLAQIUABQAAAAIAIdO4kBeFJREOQIAAI8EAAAOAAAAAAAAAAEAIAAAACkBAABk&#10;cnMvZTJvRG9jLnhtbFBLBQYAAAAABgAGAFkBAADUBQAAAAA=&#10;" adj="-4439,38443">
                <v:fill on="t" focussize="0,0"/>
                <v:stroke color="#000000" joinstyle="miter"/>
                <v:imagedata o:title=""/>
                <o:lock v:ext="edit" aspectratio="f"/>
                <v:textbox>
                  <w:txbxContent>
                    <w:p w14:paraId="2327C46B">
                      <w:pPr>
                        <w:rPr>
                          <w:rFonts w:hint="default"/>
                          <w:vertAlign w:val="superscript"/>
                          <w:lang w:val="en-US" w:eastAsia="zh-CN"/>
                        </w:rPr>
                      </w:pPr>
                      <w:r>
                        <w:rPr>
                          <w:rFonts w:hint="eastAsia"/>
                          <w:sz w:val="18"/>
                          <w:szCs w:val="18"/>
                          <w:vertAlign w:val="baseline"/>
                          <w:lang w:val="en-US" w:eastAsia="zh-CN"/>
                        </w:rPr>
                        <w:t>项目位置</w:t>
                      </w:r>
                    </w:p>
                  </w:txbxContent>
                </v:textbox>
              </v:shape>
            </w:pict>
          </mc:Fallback>
        </mc:AlternateConten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7697470</wp:posOffset>
                </wp:positionH>
                <wp:positionV relativeFrom="paragraph">
                  <wp:posOffset>3792855</wp:posOffset>
                </wp:positionV>
                <wp:extent cx="864870" cy="707390"/>
                <wp:effectExtent l="4445" t="4445" r="6985" b="12065"/>
                <wp:wrapNone/>
                <wp:docPr id="76" name="文本框 76"/>
                <wp:cNvGraphicFramePr/>
                <a:graphic xmlns:a="http://schemas.openxmlformats.org/drawingml/2006/main">
                  <a:graphicData uri="http://schemas.microsoft.com/office/word/2010/wordprocessingShape">
                    <wps:wsp>
                      <wps:cNvSpPr txBox="1"/>
                      <wps:spPr>
                        <a:xfrm>
                          <a:off x="0" y="0"/>
                          <a:ext cx="864870" cy="707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A38FCA3">
                            <w:pPr>
                              <w:jc w:val="center"/>
                              <w:rPr>
                                <w:rFonts w:hint="eastAsia"/>
                                <w:lang w:eastAsia="zh-CN"/>
                              </w:rPr>
                            </w:pPr>
                            <w:r>
                              <w:rPr>
                                <w:rFonts w:hint="eastAsia"/>
                                <w:lang w:eastAsia="zh-CN"/>
                              </w:rPr>
                              <w:t>图例</w:t>
                            </w:r>
                          </w:p>
                          <w:p w14:paraId="3766D7B0">
                            <w:pPr>
                              <w:jc w:val="center"/>
                              <w:rPr>
                                <w:rFonts w:hint="eastAsia"/>
                                <w:lang w:eastAsia="zh-CN"/>
                              </w:rPr>
                            </w:pPr>
                            <w:r>
                              <w:rPr>
                                <w:rFonts w:hint="eastAsia"/>
                                <w:color w:val="FF0000"/>
                                <w:lang w:eastAsia="zh-CN"/>
                              </w:rPr>
                              <w:t>★</w:t>
                            </w:r>
                          </w:p>
                          <w:p w14:paraId="6FB2E01A">
                            <w:pPr>
                              <w:jc w:val="cente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202" type="#_x0000_t202" style="position:absolute;left:0pt;margin-left:606.1pt;margin-top:298.65pt;height:55.7pt;width:68.1pt;z-index:251664384;mso-width-relative:page;mso-height-relative:page;" fillcolor="#FFFFFF" filled="t" stroked="t" coordsize="21600,21600" o:gfxdata="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ye1kr2wAAAA0BAAAPAAAAAAAA&#10;AAEAIAAAACIAAABkcnMvZG93bnJldi54bWxQSwECFAAUAAAACACHTuJAmfIZ4w8CAAA3BAAADgAA&#10;AAAAAAABACAAAAAqAQAAZHJzL2Uyb0RvYy54bWxQSwUGAAAAAAYABgBZAQAAqwUAAAAA&#10;">
                <v:fill on="t" focussize="0,0"/>
                <v:stroke color="#000000" joinstyle="miter"/>
                <v:imagedata o:title=""/>
                <o:lock v:ext="edit" aspectratio="f"/>
                <v:textbox>
                  <w:txbxContent>
                    <w:p w14:paraId="4A38FCA3">
                      <w:pPr>
                        <w:jc w:val="center"/>
                        <w:rPr>
                          <w:rFonts w:hint="eastAsia"/>
                          <w:lang w:eastAsia="zh-CN"/>
                        </w:rPr>
                      </w:pPr>
                      <w:r>
                        <w:rPr>
                          <w:rFonts w:hint="eastAsia"/>
                          <w:lang w:eastAsia="zh-CN"/>
                        </w:rPr>
                        <w:t>图例</w:t>
                      </w:r>
                    </w:p>
                    <w:p w14:paraId="3766D7B0">
                      <w:pPr>
                        <w:jc w:val="center"/>
                        <w:rPr>
                          <w:rFonts w:hint="eastAsia"/>
                          <w:lang w:eastAsia="zh-CN"/>
                        </w:rPr>
                      </w:pPr>
                      <w:r>
                        <w:rPr>
                          <w:rFonts w:hint="eastAsia"/>
                          <w:color w:val="FF0000"/>
                          <w:lang w:eastAsia="zh-CN"/>
                        </w:rPr>
                        <w:t>★</w:t>
                      </w:r>
                    </w:p>
                    <w:p w14:paraId="6FB2E01A">
                      <w:pPr>
                        <w:jc w:val="center"/>
                        <w:rPr>
                          <w:rFonts w:hint="eastAsia" w:eastAsia="宋体"/>
                          <w:lang w:eastAsia="zh-CN"/>
                        </w:rPr>
                      </w:pPr>
                      <w:r>
                        <w:rPr>
                          <w:rFonts w:hint="eastAsia"/>
                          <w:lang w:eastAsia="zh-CN"/>
                        </w:rPr>
                        <w:t>项目位置</w:t>
                      </w:r>
                    </w:p>
                  </w:txbxContent>
                </v:textbox>
              </v:shape>
            </w:pict>
          </mc:Fallback>
        </mc:AlternateContent>
      </w:r>
      <w:r>
        <w:rPr>
          <w:rFonts w:hint="eastAsia" w:ascii="Times New Roman" w:hAnsi="Times New Roman" w:eastAsia="宋体" w:cs="Times New Roman"/>
          <w:b/>
          <w:bCs/>
          <w:color w:val="auto"/>
          <w:sz w:val="24"/>
          <w:highlight w:val="none"/>
          <w:lang w:eastAsia="zh-CN"/>
        </w:rPr>
        <w:drawing>
          <wp:inline distT="0" distB="0" distL="114300" distR="114300">
            <wp:extent cx="8275320" cy="4515485"/>
            <wp:effectExtent l="0" t="0" r="11430" b="18415"/>
            <wp:docPr id="19" name="图片 19"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地理位置图"/>
                    <pic:cNvPicPr>
                      <a:picLocks noChangeAspect="1"/>
                    </pic:cNvPicPr>
                  </pic:nvPicPr>
                  <pic:blipFill>
                    <a:blip r:embed="rId51"/>
                    <a:stretch>
                      <a:fillRect/>
                    </a:stretch>
                  </pic:blipFill>
                  <pic:spPr>
                    <a:xfrm>
                      <a:off x="0" y="0"/>
                      <a:ext cx="8275320" cy="4515485"/>
                    </a:xfrm>
                    <a:prstGeom prst="rect">
                      <a:avLst/>
                    </a:prstGeom>
                  </pic:spPr>
                </pic:pic>
              </a:graphicData>
            </a:graphic>
          </wp:inline>
        </w:drawing>
      </w:r>
    </w:p>
    <w:p w14:paraId="6FF28541">
      <w:pPr>
        <w:pStyle w:val="34"/>
        <w:ind w:firstLine="0" w:firstLineChars="0"/>
        <w:rPr>
          <w:rFonts w:hint="default" w:ascii="Times New Roman" w:hAnsi="Times New Roman" w:cs="Times New Roman" w:eastAsiaTheme="minorEastAsia"/>
          <w:b/>
          <w:bCs/>
          <w:color w:val="auto"/>
          <w:sz w:val="24"/>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auto"/>
          <w:highlight w:val="none"/>
        </w:rPr>
        <mc:AlternateContent>
          <mc:Choice Requires="wps">
            <w:drawing>
              <wp:anchor distT="0" distB="0" distL="114300" distR="114300" simplePos="0" relativeHeight="251663360" behindDoc="0" locked="1" layoutInCell="1" allowOverlap="1">
                <wp:simplePos x="0" y="0"/>
                <wp:positionH relativeFrom="column">
                  <wp:posOffset>4037330</wp:posOffset>
                </wp:positionH>
                <wp:positionV relativeFrom="paragraph">
                  <wp:posOffset>-2220595</wp:posOffset>
                </wp:positionV>
                <wp:extent cx="130810" cy="144145"/>
                <wp:effectExtent l="13335" t="17780" r="27305" b="28575"/>
                <wp:wrapNone/>
                <wp:docPr id="77" name="五角星 77"/>
                <wp:cNvGraphicFramePr/>
                <a:graphic xmlns:a="http://schemas.openxmlformats.org/drawingml/2006/main">
                  <a:graphicData uri="http://schemas.microsoft.com/office/word/2010/wordprocessingShape">
                    <wps:wsp>
                      <wps:cNvSpPr/>
                      <wps:spPr>
                        <a:xfrm>
                          <a:off x="0" y="0"/>
                          <a:ext cx="130810" cy="144145"/>
                        </a:xfrm>
                        <a:prstGeom prst="star5">
                          <a:avLst/>
                        </a:prstGeom>
                        <a:solidFill>
                          <a:srgbClr val="FF0000"/>
                        </a:solidFill>
                        <a:ln w="9525" cap="flat" cmpd="sng">
                          <a:solidFill>
                            <a:srgbClr val="FF0000"/>
                          </a:solidFill>
                          <a:prstDash val="solid"/>
                          <a:miter/>
                          <a:headEnd type="none" w="med" len="med"/>
                          <a:tailEnd type="none" w="med" len="med"/>
                        </a:ln>
                      </wps:spPr>
                      <wps:txbx>
                        <w:txbxContent>
                          <w:p w14:paraId="300A19BE"/>
                        </w:txbxContent>
                      </wps:txbx>
                      <wps:bodyPr upright="1"/>
                    </wps:wsp>
                  </a:graphicData>
                </a:graphic>
              </wp:anchor>
            </w:drawing>
          </mc:Choice>
          <mc:Fallback>
            <w:pict>
              <v:shape id="_x0000_s1026" o:spid="_x0000_s1026" style="position:absolute;left:0pt;margin-left:317.9pt;margin-top:-174.85pt;height:11.35pt;width:10.3pt;z-index:251663360;mso-width-relative:page;mso-height-relative:page;" fillcolor="#FF0000" filled="t" stroked="t" coordsize="130810,144145" o:gfxdata="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g9Yrc2wAAAA0BAAAPAAAAAAAAAAEAIAAAACIA&#10;AABkcnMvZG93bnJldi54bWxQSwECFAAUAAAACACHTuJAmwsSXAYCAAAuBAAADgAAAAAAAAABACAA&#10;AAAqAQAAZHJzL2Uyb0RvYy54bWxQSwUGAAAAAAYABgBZAQAAogUAAAAA&#10;" path="m0,55058l49965,55058,65405,0,80844,55058,130809,55058,90387,89086,105827,144144,65405,110116,24982,144144,40422,89086xe">
                <v:path textboxrect="0,0,130810,144145" o:connectlocs="65405,0;0,55058;24982,144144;105827,144144;130809,55058" o:connectangles="247,164,82,82,0"/>
                <v:fill on="t" focussize="0,0"/>
                <v:stroke color="#FF0000" joinstyle="miter"/>
                <v:imagedata o:title=""/>
                <o:lock v:ext="edit" aspectratio="f"/>
                <v:textbox>
                  <w:txbxContent>
                    <w:p w14:paraId="300A19BE"/>
                  </w:txbxContent>
                </v:textbox>
                <w10:anchorlock/>
              </v:shape>
            </w:pict>
          </mc:Fallback>
        </mc:AlternateContent>
      </w:r>
    </w:p>
    <w:p w14:paraId="696BCF34">
      <w:pPr>
        <w:pStyle w:val="2"/>
        <w:numPr>
          <w:ilvl w:val="1"/>
          <w:numId w:val="0"/>
        </w:numPr>
        <w:rPr>
          <w:rFonts w:hint="default" w:ascii="Times New Roman" w:hAnsi="Times New Roman" w:eastAsia="宋体" w:cs="Times New Roman"/>
          <w:color w:val="auto"/>
          <w:sz w:val="24"/>
          <w:szCs w:val="24"/>
          <w:highlight w:val="none"/>
        </w:rPr>
      </w:pPr>
      <w:bookmarkStart w:id="174" w:name="_Toc17712"/>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图2</w:t>
      </w:r>
      <w:r>
        <w:rPr>
          <w:rFonts w:hint="eastAsia" w:ascii="Times New Roman" w:hAnsi="Times New Roman" w:cs="Times New Roman" w:eastAsiaTheme="minorEastAsia"/>
          <w:b/>
          <w:bCs/>
          <w:color w:val="auto"/>
          <w:sz w:val="24"/>
          <w:highlight w:val="none"/>
          <w:lang w:eastAsia="zh-CN"/>
        </w:rPr>
        <w:t>工程总平面布置图</w:t>
      </w:r>
      <w:bookmarkEnd w:id="174"/>
    </w:p>
    <w:p w14:paraId="2FFAFEE8">
      <w:pPr>
        <w:pStyle w:val="34"/>
        <w:ind w:firstLine="0" w:firstLineChars="0"/>
        <w:jc w:val="center"/>
        <w:rPr>
          <w:rFonts w:hint="default" w:ascii="Times New Roman" w:hAnsi="Times New Roman" w:cs="Times New Roman" w:eastAsiaTheme="minorEastAsia"/>
          <w:b/>
          <w:bCs/>
          <w:color w:val="auto"/>
          <w:sz w:val="24"/>
          <w:highlight w:val="none"/>
        </w:rPr>
      </w:pPr>
      <w:r>
        <w:rPr>
          <w:rFonts w:hint="default" w:ascii="Times New Roman" w:hAnsi="Times New Roman" w:cs="Times New Roman"/>
          <w:color w:val="auto"/>
          <w:highlight w:val="none"/>
          <w:bdr w:val="single" w:sz="4" w:space="0"/>
        </w:rPr>
        <w:drawing>
          <wp:inline distT="0" distB="0" distL="114300" distR="114300">
            <wp:extent cx="8859520" cy="4640580"/>
            <wp:effectExtent l="0" t="0" r="17780" b="7620"/>
            <wp:docPr id="2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6"/>
                    <pic:cNvPicPr>
                      <a:picLocks noChangeAspect="1"/>
                    </pic:cNvPicPr>
                  </pic:nvPicPr>
                  <pic:blipFill>
                    <a:blip r:embed="rId52"/>
                    <a:stretch>
                      <a:fillRect/>
                    </a:stretch>
                  </pic:blipFill>
                  <pic:spPr>
                    <a:xfrm>
                      <a:off x="0" y="0"/>
                      <a:ext cx="8859520" cy="4640580"/>
                    </a:xfrm>
                    <a:prstGeom prst="rect">
                      <a:avLst/>
                    </a:prstGeom>
                    <a:noFill/>
                    <a:ln>
                      <a:noFill/>
                    </a:ln>
                  </pic:spPr>
                </pic:pic>
              </a:graphicData>
            </a:graphic>
          </wp:inline>
        </w:drawing>
      </w:r>
    </w:p>
    <w:p w14:paraId="09388BEE">
      <w:pPr>
        <w:pStyle w:val="34"/>
        <w:ind w:firstLine="0" w:firstLineChars="0"/>
        <w:rPr>
          <w:rFonts w:hint="default" w:ascii="Times New Roman" w:hAnsi="Times New Roman" w:cs="Times New Roman" w:eastAsiaTheme="minorEastAsia"/>
          <w:b/>
          <w:bCs/>
          <w:color w:val="auto"/>
          <w:sz w:val="24"/>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7B3DF051">
      <w:pPr>
        <w:pStyle w:val="2"/>
        <w:numPr>
          <w:ilvl w:val="1"/>
          <w:numId w:val="0"/>
        </w:numPr>
        <w:rPr>
          <w:rFonts w:hint="default" w:ascii="Times New Roman" w:hAnsi="Times New Roman" w:eastAsia="宋体" w:cs="Times New Roman"/>
          <w:color w:val="auto"/>
          <w:sz w:val="24"/>
          <w:szCs w:val="24"/>
          <w:highlight w:val="none"/>
        </w:rPr>
      </w:pPr>
      <w:bookmarkStart w:id="175" w:name="_Toc18414"/>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图3</w:t>
      </w:r>
      <w:r>
        <w:rPr>
          <w:rFonts w:hint="eastAsia" w:ascii="Times New Roman" w:hAnsi="Times New Roman" w:cs="Times New Roman" w:eastAsiaTheme="minorEastAsia"/>
          <w:b/>
          <w:bCs/>
          <w:color w:val="auto"/>
          <w:sz w:val="24"/>
          <w:highlight w:val="none"/>
          <w:lang w:eastAsia="zh-CN"/>
        </w:rPr>
        <w:t>大坝纵断面图</w:t>
      </w:r>
      <w:bookmarkEnd w:id="175"/>
    </w:p>
    <w:p w14:paraId="46334F3C">
      <w:pPr>
        <w:pStyle w:val="34"/>
        <w:ind w:firstLine="0" w:firstLineChars="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826635" cy="6824345"/>
            <wp:effectExtent l="0" t="0" r="14605" b="12065"/>
            <wp:docPr id="29" name="图片 29" descr="横纵断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横纵断面图_01"/>
                    <pic:cNvPicPr>
                      <a:picLocks noChangeAspect="1"/>
                    </pic:cNvPicPr>
                  </pic:nvPicPr>
                  <pic:blipFill>
                    <a:blip r:embed="rId53"/>
                    <a:stretch>
                      <a:fillRect/>
                    </a:stretch>
                  </pic:blipFill>
                  <pic:spPr>
                    <a:xfrm rot="16200000">
                      <a:off x="0" y="0"/>
                      <a:ext cx="4826635" cy="6824345"/>
                    </a:xfrm>
                    <a:prstGeom prst="rect">
                      <a:avLst/>
                    </a:prstGeom>
                  </pic:spPr>
                </pic:pic>
              </a:graphicData>
            </a:graphic>
          </wp:inline>
        </w:drawing>
      </w:r>
    </w:p>
    <w:p w14:paraId="2502EF6F">
      <w:pPr>
        <w:pStyle w:val="2"/>
        <w:numPr>
          <w:ilvl w:val="1"/>
          <w:numId w:val="0"/>
        </w:numPr>
        <w:rPr>
          <w:rFonts w:hint="default" w:ascii="Times New Roman" w:hAnsi="Times New Roman" w:eastAsia="宋体" w:cs="Times New Roman"/>
          <w:color w:val="auto"/>
          <w:sz w:val="24"/>
          <w:szCs w:val="24"/>
          <w:highlight w:val="none"/>
        </w:rPr>
      </w:pPr>
      <w:bookmarkStart w:id="176" w:name="_Toc31489"/>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图4</w:t>
      </w:r>
      <w:r>
        <w:rPr>
          <w:rFonts w:hint="eastAsia" w:eastAsia="宋体"/>
          <w:b/>
          <w:bCs/>
          <w:color w:val="auto"/>
          <w:sz w:val="24"/>
          <w:szCs w:val="24"/>
          <w:highlight w:val="none"/>
          <w:lang w:val="en-US" w:eastAsia="zh-CN"/>
        </w:rPr>
        <w:t>输水洞剖面</w:t>
      </w:r>
      <w:r>
        <w:rPr>
          <w:rFonts w:hint="eastAsia" w:ascii="Times New Roman" w:hAnsi="Times New Roman" w:cs="Times New Roman" w:eastAsiaTheme="minorEastAsia"/>
          <w:b/>
          <w:bCs/>
          <w:color w:val="auto"/>
          <w:sz w:val="24"/>
          <w:highlight w:val="none"/>
          <w:lang w:eastAsia="zh-CN"/>
        </w:rPr>
        <w:t>图</w:t>
      </w:r>
      <w:bookmarkEnd w:id="176"/>
    </w:p>
    <w:p w14:paraId="7E94F937">
      <w:pPr>
        <w:pStyle w:val="34"/>
        <w:ind w:firstLine="0" w:firstLineChars="0"/>
        <w:jc w:val="center"/>
        <w:rPr>
          <w:rFonts w:hint="default" w:eastAsia="宋体"/>
          <w:color w:val="auto"/>
          <w:highlight w:val="none"/>
          <w:lang w:val="en-US" w:eastAsia="zh-CN"/>
        </w:rPr>
      </w:pPr>
      <w:r>
        <w:rPr>
          <w:rFonts w:hint="default" w:eastAsia="宋体"/>
          <w:color w:val="auto"/>
          <w:highlight w:val="none"/>
          <w:lang w:val="en-US" w:eastAsia="zh-CN"/>
        </w:rPr>
        <w:drawing>
          <wp:inline distT="0" distB="0" distL="114300" distR="114300">
            <wp:extent cx="6884035" cy="4869180"/>
            <wp:effectExtent l="0" t="0" r="12065" b="7620"/>
            <wp:docPr id="34" name="图片 34" descr="输水洞图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输水洞图纸_01"/>
                    <pic:cNvPicPr>
                      <a:picLocks noChangeAspect="1"/>
                    </pic:cNvPicPr>
                  </pic:nvPicPr>
                  <pic:blipFill>
                    <a:blip r:embed="rId54"/>
                    <a:stretch>
                      <a:fillRect/>
                    </a:stretch>
                  </pic:blipFill>
                  <pic:spPr>
                    <a:xfrm>
                      <a:off x="0" y="0"/>
                      <a:ext cx="6884035" cy="4869180"/>
                    </a:xfrm>
                    <a:prstGeom prst="rect">
                      <a:avLst/>
                    </a:prstGeom>
                  </pic:spPr>
                </pic:pic>
              </a:graphicData>
            </a:graphic>
          </wp:inline>
        </w:drawing>
      </w:r>
    </w:p>
    <w:p w14:paraId="470B0F1A">
      <w:pPr>
        <w:pStyle w:val="34"/>
        <w:ind w:firstLine="0" w:firstLineChars="0"/>
        <w:jc w:val="center"/>
        <w:rPr>
          <w:rFonts w:hint="default" w:eastAsia="宋体"/>
          <w:color w:val="auto"/>
          <w:highlight w:val="none"/>
          <w:lang w:val="en-US" w:eastAsia="zh-CN"/>
        </w:rPr>
      </w:pPr>
    </w:p>
    <w:p w14:paraId="305405D9">
      <w:pPr>
        <w:pStyle w:val="2"/>
        <w:numPr>
          <w:ilvl w:val="1"/>
          <w:numId w:val="0"/>
        </w:numPr>
        <w:rPr>
          <w:rFonts w:hint="default" w:ascii="Times New Roman" w:hAnsi="Times New Roman" w:eastAsia="宋体" w:cs="Times New Roman"/>
          <w:color w:val="auto"/>
          <w:sz w:val="24"/>
          <w:szCs w:val="24"/>
          <w:highlight w:val="none"/>
        </w:rPr>
      </w:pPr>
      <w:bookmarkStart w:id="177" w:name="_Toc12557"/>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图5溢洪道纵剖面</w:t>
      </w:r>
      <w:r>
        <w:rPr>
          <w:rFonts w:hint="eastAsia" w:ascii="Times New Roman" w:hAnsi="Times New Roman" w:cs="Times New Roman" w:eastAsiaTheme="minorEastAsia"/>
          <w:b/>
          <w:bCs/>
          <w:color w:val="auto"/>
          <w:sz w:val="24"/>
          <w:highlight w:val="none"/>
          <w:lang w:eastAsia="zh-CN"/>
        </w:rPr>
        <w:t>图</w:t>
      </w:r>
      <w:bookmarkEnd w:id="177"/>
    </w:p>
    <w:p w14:paraId="368D34CB">
      <w:pPr>
        <w:pStyle w:val="34"/>
        <w:ind w:firstLine="0" w:firstLineChars="0"/>
        <w:jc w:val="center"/>
        <w:rPr>
          <w:rFonts w:hint="default" w:eastAsia="宋体"/>
          <w:color w:val="auto"/>
          <w:highlight w:val="none"/>
          <w:lang w:val="en-US" w:eastAsia="zh-CN"/>
        </w:rPr>
      </w:pPr>
    </w:p>
    <w:p w14:paraId="2011F677">
      <w:pPr>
        <w:pStyle w:val="34"/>
        <w:ind w:firstLine="0" w:firstLineChars="0"/>
        <w:jc w:val="center"/>
        <w:rPr>
          <w:rFonts w:hint="default" w:eastAsia="宋体"/>
          <w:color w:val="auto"/>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eastAsia="宋体"/>
          <w:color w:val="auto"/>
          <w:highlight w:val="none"/>
          <w:lang w:val="en-US" w:eastAsia="zh-CN"/>
        </w:rPr>
        <w:drawing>
          <wp:inline distT="0" distB="0" distL="114300" distR="114300">
            <wp:extent cx="6380480" cy="4513580"/>
            <wp:effectExtent l="0" t="0" r="1270" b="1270"/>
            <wp:docPr id="35" name="图片 35" descr="溢洪道图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溢洪道图纸_01"/>
                    <pic:cNvPicPr>
                      <a:picLocks noChangeAspect="1"/>
                    </pic:cNvPicPr>
                  </pic:nvPicPr>
                  <pic:blipFill>
                    <a:blip r:embed="rId55"/>
                    <a:stretch>
                      <a:fillRect/>
                    </a:stretch>
                  </pic:blipFill>
                  <pic:spPr>
                    <a:xfrm>
                      <a:off x="0" y="0"/>
                      <a:ext cx="6380480" cy="4513580"/>
                    </a:xfrm>
                    <a:prstGeom prst="rect">
                      <a:avLst/>
                    </a:prstGeom>
                  </pic:spPr>
                </pic:pic>
              </a:graphicData>
            </a:graphic>
          </wp:inline>
        </w:drawing>
      </w:r>
    </w:p>
    <w:p w14:paraId="4A09DFFB">
      <w:pPr>
        <w:pStyle w:val="2"/>
        <w:numPr>
          <w:ilvl w:val="1"/>
          <w:numId w:val="0"/>
        </w:numPr>
        <w:rPr>
          <w:rFonts w:hint="default" w:ascii="Times New Roman" w:hAnsi="Times New Roman" w:eastAsia="宋体" w:cs="Times New Roman"/>
          <w:color w:val="auto"/>
          <w:sz w:val="24"/>
          <w:szCs w:val="24"/>
          <w:highlight w:val="none"/>
        </w:rPr>
      </w:pPr>
      <w:bookmarkStart w:id="178" w:name="_Toc23949"/>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图6</w:t>
      </w:r>
      <w:r>
        <w:rPr>
          <w:rFonts w:hint="eastAsia" w:ascii="Times New Roman" w:hAnsi="Times New Roman" w:cs="Times New Roman" w:eastAsiaTheme="minorEastAsia"/>
          <w:b/>
          <w:bCs/>
          <w:color w:val="auto"/>
          <w:sz w:val="24"/>
          <w:highlight w:val="none"/>
          <w:lang w:eastAsia="zh-CN"/>
        </w:rPr>
        <w:t>水系图</w:t>
      </w:r>
      <w:bookmarkEnd w:id="178"/>
    </w:p>
    <w:p w14:paraId="2BE1F8A2">
      <w:pPr>
        <w:pStyle w:val="34"/>
        <w:widowControl w:val="0"/>
        <w:numPr>
          <w:ilvl w:val="0"/>
          <w:numId w:val="0"/>
        </w:numPr>
        <w:tabs>
          <w:tab w:val="left" w:pos="420"/>
        </w:tabs>
        <w:jc w:val="center"/>
        <w:rPr>
          <w:rFonts w:hint="default" w:ascii="Times New Roman" w:hAnsi="Times New Roman" w:cs="Times New Roman" w:eastAsiaTheme="minorEastAsia"/>
          <w:b/>
          <w:bCs/>
          <w:color w:val="auto"/>
          <w:sz w:val="24"/>
          <w:highlight w:val="none"/>
        </w:rPr>
      </w:pPr>
      <w:r>
        <w:rPr>
          <w:rFonts w:hint="default" w:ascii="Times New Roman" w:hAnsi="Times New Roman" w:eastAsia="宋体" w:cs="Times New Roman"/>
          <w:color w:val="auto"/>
          <w:highlight w:val="none"/>
          <w:lang w:eastAsia="zh-CN"/>
        </w:rPr>
        <w:drawing>
          <wp:inline distT="0" distB="0" distL="114300" distR="114300">
            <wp:extent cx="5372100" cy="8353425"/>
            <wp:effectExtent l="0" t="0" r="0" b="9525"/>
            <wp:docPr id="52" name="图片 52" descr="ef673190bc41ca16acc102fa682fb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f673190bc41ca16acc102fa682fb47"/>
                    <pic:cNvPicPr>
                      <a:picLocks noChangeAspect="1"/>
                    </pic:cNvPicPr>
                  </pic:nvPicPr>
                  <pic:blipFill>
                    <a:blip r:embed="rId56"/>
                    <a:stretch>
                      <a:fillRect/>
                    </a:stretch>
                  </pic:blipFill>
                  <pic:spPr>
                    <a:xfrm>
                      <a:off x="0" y="0"/>
                      <a:ext cx="5372100" cy="8353425"/>
                    </a:xfrm>
                    <a:prstGeom prst="rect">
                      <a:avLst/>
                    </a:prstGeom>
                  </pic:spPr>
                </pic:pic>
              </a:graphicData>
            </a:graphic>
          </wp:inline>
        </w:drawing>
      </w:r>
    </w:p>
    <w:p w14:paraId="7B61C598">
      <w:pPr>
        <w:pStyle w:val="34"/>
        <w:ind w:firstLine="0" w:firstLineChars="0"/>
        <w:rPr>
          <w:rFonts w:hint="default" w:ascii="Times New Roman" w:hAnsi="Times New Roman" w:cs="Times New Roman" w:eastAsiaTheme="minorEastAsia"/>
          <w:b/>
          <w:bCs/>
          <w:color w:val="auto"/>
          <w:sz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15C25246">
      <w:pPr>
        <w:pStyle w:val="2"/>
        <w:numPr>
          <w:ilvl w:val="1"/>
          <w:numId w:val="0"/>
        </w:numPr>
        <w:rPr>
          <w:rFonts w:hint="default" w:ascii="Times New Roman" w:hAnsi="Times New Roman" w:eastAsia="宋体" w:cs="Times New Roman"/>
          <w:color w:val="auto"/>
          <w:sz w:val="24"/>
          <w:szCs w:val="24"/>
          <w:highlight w:val="none"/>
        </w:rPr>
      </w:pPr>
      <w:bookmarkStart w:id="179" w:name="_Toc30420"/>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图7</w:t>
      </w:r>
      <w:r>
        <w:rPr>
          <w:rFonts w:hint="eastAsia" w:ascii="Times New Roman" w:hAnsi="Times New Roman" w:cs="Times New Roman" w:eastAsiaTheme="minorEastAsia"/>
          <w:b/>
          <w:bCs/>
          <w:color w:val="auto"/>
          <w:sz w:val="24"/>
          <w:highlight w:val="none"/>
          <w:lang w:eastAsia="zh-CN"/>
        </w:rPr>
        <w:t>施工总平面布置图</w:t>
      </w:r>
      <w:bookmarkEnd w:id="179"/>
    </w:p>
    <w:p w14:paraId="1B26F157">
      <w:pPr>
        <w:pStyle w:val="34"/>
        <w:numPr>
          <w:ilvl w:val="0"/>
          <w:numId w:val="0"/>
        </w:numPr>
        <w:ind w:leftChars="0"/>
        <w:jc w:val="both"/>
        <w:rPr>
          <w:rFonts w:hint="eastAsia" w:ascii="Times New Roman" w:hAnsi="Times New Roman" w:cs="Times New Roman" w:eastAsiaTheme="minorEastAsia"/>
          <w:b/>
          <w:bCs/>
          <w:color w:val="auto"/>
          <w:sz w:val="24"/>
          <w:highlight w:val="none"/>
          <w:lang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eastAsia" w:ascii="Times New Roman" w:hAnsi="Times New Roman" w:cs="Times New Roman" w:eastAsiaTheme="minorEastAsia"/>
          <w:b/>
          <w:bCs/>
          <w:color w:val="auto"/>
          <w:sz w:val="24"/>
          <w:highlight w:val="none"/>
          <w:lang w:eastAsia="zh-CN"/>
        </w:rPr>
        <w:object>
          <v:shape id="_x0000_i1027" o:spt="75" type="#_x0000_t75" style="height:511.85pt;width:428.45pt;" o:ole="t" filled="f" o:preferrelative="t" stroked="f" coordsize="21600,21600">
            <v:path/>
            <v:fill on="f" focussize="0,0"/>
            <v:stroke on="f"/>
            <v:imagedata r:id="rId58" o:title=""/>
            <o:lock v:ext="edit" aspectratio="f"/>
            <w10:wrap type="none"/>
            <w10:anchorlock/>
          </v:shape>
          <o:OLEObject Type="Embed" ProgID="Visio.Drawing.11" ShapeID="_x0000_i1027" DrawAspect="Content" ObjectID="_1468075727" r:id="rId57">
            <o:LockedField>false</o:LockedField>
          </o:OLEObject>
        </w:object>
      </w:r>
    </w:p>
    <w:p w14:paraId="577378D8">
      <w:pPr>
        <w:pStyle w:val="2"/>
        <w:numPr>
          <w:ilvl w:val="1"/>
          <w:numId w:val="0"/>
        </w:numPr>
        <w:rPr>
          <w:rFonts w:hint="default" w:ascii="Times New Roman" w:hAnsi="Times New Roman" w:eastAsia="宋体" w:cs="Times New Roman"/>
          <w:color w:val="auto"/>
          <w:sz w:val="24"/>
          <w:szCs w:val="24"/>
          <w:highlight w:val="none"/>
        </w:rPr>
      </w:pPr>
      <w:bookmarkStart w:id="180" w:name="_Toc28314"/>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图8</w:t>
      </w:r>
      <w:r>
        <w:rPr>
          <w:rFonts w:hint="default" w:ascii="Times New Roman" w:hAnsi="Times New Roman" w:eastAsia="宋体" w:cs="Times New Roman"/>
          <w:b/>
          <w:bCs/>
          <w:color w:val="auto"/>
          <w:sz w:val="24"/>
          <w:szCs w:val="24"/>
          <w:highlight w:val="none"/>
        </w:rPr>
        <w:t>环境保护措施</w:t>
      </w:r>
      <w:r>
        <w:rPr>
          <w:rFonts w:hint="eastAsia" w:ascii="Times New Roman" w:hAnsi="Times New Roman" w:eastAsia="宋体" w:cs="Times New Roman"/>
          <w:b/>
          <w:bCs/>
          <w:color w:val="auto"/>
          <w:sz w:val="24"/>
          <w:szCs w:val="24"/>
          <w:highlight w:val="none"/>
          <w:lang w:val="en-US" w:eastAsia="zh-CN"/>
        </w:rPr>
        <w:t>总体布局</w:t>
      </w:r>
      <w:r>
        <w:rPr>
          <w:rFonts w:hint="eastAsia" w:ascii="Times New Roman" w:hAnsi="Times New Roman" w:cs="Times New Roman" w:eastAsiaTheme="minorEastAsia"/>
          <w:b/>
          <w:bCs/>
          <w:color w:val="auto"/>
          <w:sz w:val="24"/>
          <w:highlight w:val="none"/>
          <w:lang w:eastAsia="zh-CN"/>
        </w:rPr>
        <w:t>图</w:t>
      </w:r>
      <w:bookmarkEnd w:id="180"/>
    </w:p>
    <w:p w14:paraId="249190DC">
      <w:pPr>
        <w:pStyle w:val="34"/>
        <w:numPr>
          <w:ilvl w:val="0"/>
          <w:numId w:val="0"/>
        </w:numPr>
        <w:ind w:leftChars="0"/>
        <w:rPr>
          <w:rFonts w:hint="eastAsia" w:ascii="Times New Roman" w:hAnsi="Times New Roman" w:cs="Times New Roman" w:eastAsiaTheme="minorEastAsia"/>
          <w:b/>
          <w:bCs/>
          <w:color w:val="auto"/>
          <w:sz w:val="24"/>
          <w:highlight w:val="none"/>
          <w:lang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981075</wp:posOffset>
                </wp:positionH>
                <wp:positionV relativeFrom="paragraph">
                  <wp:posOffset>6174105</wp:posOffset>
                </wp:positionV>
                <wp:extent cx="1722755" cy="630555"/>
                <wp:effectExtent l="4445" t="402590" r="6350" b="14605"/>
                <wp:wrapNone/>
                <wp:docPr id="96" name="圆角矩形标注 96"/>
                <wp:cNvGraphicFramePr/>
                <a:graphic xmlns:a="http://schemas.openxmlformats.org/drawingml/2006/main">
                  <a:graphicData uri="http://schemas.microsoft.com/office/word/2010/wordprocessingShape">
                    <wps:wsp>
                      <wps:cNvSpPr/>
                      <wps:spPr>
                        <a:xfrm rot="10800000">
                          <a:off x="0" y="0"/>
                          <a:ext cx="1722755" cy="630555"/>
                        </a:xfrm>
                        <a:prstGeom prst="wedgeRoundRectCallout">
                          <a:avLst>
                            <a:gd name="adj1" fmla="val -28944"/>
                            <a:gd name="adj2" fmla="val 11221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42AF9B7">
                            <w:pPr>
                              <w:jc w:val="center"/>
                              <w:rPr>
                                <w:sz w:val="18"/>
                                <w:szCs w:val="18"/>
                              </w:rPr>
                            </w:pPr>
                            <w:r>
                              <w:rPr>
                                <w:rFonts w:hint="eastAsia"/>
                                <w:sz w:val="18"/>
                                <w:szCs w:val="18"/>
                              </w:rPr>
                              <w:t>工程措施：表土剥离、回填</w:t>
                            </w:r>
                          </w:p>
                          <w:p w14:paraId="441996F0">
                            <w:pPr>
                              <w:rPr>
                                <w:rFonts w:hint="default"/>
                                <w:sz w:val="18"/>
                                <w:szCs w:val="18"/>
                                <w:lang w:val="en-US" w:eastAsia="zh-CN"/>
                              </w:rPr>
                            </w:pPr>
                            <w:r>
                              <w:rPr>
                                <w:rFonts w:hint="eastAsia"/>
                                <w:sz w:val="18"/>
                                <w:szCs w:val="18"/>
                              </w:rPr>
                              <w:t>临时措施：临时堆土密目网苫盖、拦挡，采用洒水车降尘</w:t>
                            </w:r>
                          </w:p>
                        </w:txbxContent>
                      </wps:txbx>
                      <wps:bodyPr upright="1"/>
                    </wps:wsp>
                  </a:graphicData>
                </a:graphic>
              </wp:anchor>
            </w:drawing>
          </mc:Choice>
          <mc:Fallback>
            <w:pict>
              <v:shape id="_x0000_s1026" o:spid="_x0000_s1026" o:spt="62" type="#_x0000_t62" style="position:absolute;left:0pt;margin-left:77.25pt;margin-top:486.15pt;height:49.65pt;width:135.65pt;rotation:11796480f;z-index:251666432;mso-width-relative:page;mso-height-relative:page;" fillcolor="#FFFFFF" filled="t" stroked="t" coordsize="21600,21600" o:gfxdata="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naLiP2wAAAAwBAAAPAAAAAAAAAAEAIAAAACIAAABkcnMvZG93bnJldi54bWxQSwECFAAUAAAA&#10;CACHTuJAqN00m10CAADOBAAADgAAAAAAAAABACAAAAAqAQAAZHJzL2Uyb0RvYy54bWxQSwUGAAAA&#10;AAYABgBZAQAA+QUAAAAA&#10;" adj="4548,35039,14400">
                <v:fill on="t" focussize="0,0"/>
                <v:stroke color="#000000" joinstyle="miter"/>
                <v:imagedata o:title=""/>
                <o:lock v:ext="edit" aspectratio="f"/>
                <v:textbox>
                  <w:txbxContent>
                    <w:p w14:paraId="042AF9B7">
                      <w:pPr>
                        <w:jc w:val="center"/>
                        <w:rPr>
                          <w:sz w:val="18"/>
                          <w:szCs w:val="18"/>
                        </w:rPr>
                      </w:pPr>
                      <w:r>
                        <w:rPr>
                          <w:rFonts w:hint="eastAsia"/>
                          <w:sz w:val="18"/>
                          <w:szCs w:val="18"/>
                        </w:rPr>
                        <w:t>工程措施：表土剥离、回填</w:t>
                      </w:r>
                    </w:p>
                    <w:p w14:paraId="441996F0">
                      <w:pPr>
                        <w:rPr>
                          <w:rFonts w:hint="default"/>
                          <w:sz w:val="18"/>
                          <w:szCs w:val="18"/>
                          <w:lang w:val="en-US" w:eastAsia="zh-CN"/>
                        </w:rPr>
                      </w:pPr>
                      <w:r>
                        <w:rPr>
                          <w:rFonts w:hint="eastAsia"/>
                          <w:sz w:val="18"/>
                          <w:szCs w:val="18"/>
                        </w:rPr>
                        <w:t>临时措施：临时堆土密目网苫盖、拦挡，采用洒水车降尘</w:t>
                      </w:r>
                    </w:p>
                  </w:txbxContent>
                </v:textbox>
              </v:shape>
            </w:pict>
          </mc:Fallback>
        </mc:AlternateContent>
      </w:r>
      <w:r>
        <w:rPr>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186055</wp:posOffset>
                </wp:positionH>
                <wp:positionV relativeFrom="paragraph">
                  <wp:posOffset>4647565</wp:posOffset>
                </wp:positionV>
                <wp:extent cx="1177290" cy="1061085"/>
                <wp:effectExtent l="5080" t="5080" r="686435" b="17780"/>
                <wp:wrapNone/>
                <wp:docPr id="107" name="圆角矩形标注 107"/>
                <wp:cNvGraphicFramePr/>
                <a:graphic xmlns:a="http://schemas.openxmlformats.org/drawingml/2006/main">
                  <a:graphicData uri="http://schemas.microsoft.com/office/word/2010/wordprocessingShape">
                    <wps:wsp>
                      <wps:cNvSpPr/>
                      <wps:spPr>
                        <a:xfrm rot="5400000">
                          <a:off x="0" y="0"/>
                          <a:ext cx="1177290" cy="1061085"/>
                        </a:xfrm>
                        <a:prstGeom prst="wedgeRoundRectCallout">
                          <a:avLst>
                            <a:gd name="adj1" fmla="val 31782"/>
                            <a:gd name="adj2" fmla="val -11214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62F7112">
                            <w:pP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施工</w:t>
                            </w:r>
                            <w:r>
                              <w:rPr>
                                <w:rFonts w:hint="eastAsia" w:ascii="Times New Roman" w:hAnsi="Times New Roman" w:cs="Times New Roman"/>
                                <w:sz w:val="18"/>
                                <w:szCs w:val="18"/>
                                <w:lang w:val="en-US" w:eastAsia="zh-CN"/>
                              </w:rPr>
                              <w:t>生产</w:t>
                            </w:r>
                            <w:r>
                              <w:rPr>
                                <w:rFonts w:hint="default" w:ascii="Times New Roman" w:hAnsi="Times New Roman" w:cs="Times New Roman"/>
                                <w:sz w:val="18"/>
                                <w:szCs w:val="18"/>
                                <w:lang w:eastAsia="zh-CN"/>
                              </w:rPr>
                              <w:t>区</w:t>
                            </w:r>
                          </w:p>
                          <w:p w14:paraId="570BA07E">
                            <w:pPr>
                              <w:keepNext w:val="0"/>
                              <w:keepLines w:val="0"/>
                              <w:pageBreakBefore w:val="0"/>
                              <w:kinsoku/>
                              <w:wordWrap/>
                              <w:overflowPunct/>
                              <w:topLinePunct w:val="0"/>
                              <w:bidi w:val="0"/>
                              <w:adjustRightInd/>
                              <w:spacing w:line="240" w:lineRule="auto"/>
                              <w:textAlignment w:val="auto"/>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施工</w:t>
                            </w:r>
                            <w:r>
                              <w:rPr>
                                <w:rFonts w:hint="default" w:ascii="Times New Roman" w:hAnsi="Times New Roman" w:cs="Times New Roman"/>
                                <w:sz w:val="18"/>
                                <w:szCs w:val="18"/>
                              </w:rPr>
                              <w:t>废水</w:t>
                            </w:r>
                            <w:r>
                              <w:rPr>
                                <w:rFonts w:hint="default" w:ascii="Times New Roman" w:hAnsi="Times New Roman" w:cs="Times New Roman"/>
                                <w:sz w:val="18"/>
                                <w:szCs w:val="18"/>
                                <w:lang w:eastAsia="zh-CN"/>
                              </w:rPr>
                              <w:t>：</w:t>
                            </w:r>
                            <w:r>
                              <w:rPr>
                                <w:rFonts w:hint="default" w:ascii="Times New Roman" w:hAnsi="Times New Roman" w:cs="Times New Roman"/>
                                <w:sz w:val="18"/>
                                <w:szCs w:val="18"/>
                              </w:rPr>
                              <w:t>沉淀池</w:t>
                            </w:r>
                          </w:p>
                          <w:p w14:paraId="0E56B4E0">
                            <w:pPr>
                              <w:keepNext w:val="0"/>
                              <w:keepLines w:val="0"/>
                              <w:pageBreakBefore w:val="0"/>
                              <w:kinsoku/>
                              <w:wordWrap/>
                              <w:overflowPunct/>
                              <w:topLinePunct w:val="0"/>
                              <w:bidi w:val="0"/>
                              <w:adjustRightInd/>
                              <w:spacing w:line="240" w:lineRule="auto"/>
                              <w:textAlignment w:val="auto"/>
                              <w:rPr>
                                <w:rFonts w:hint="eastAsia"/>
                                <w:sz w:val="18"/>
                                <w:szCs w:val="18"/>
                              </w:rPr>
                            </w:pPr>
                            <w:r>
                              <w:rPr>
                                <w:rFonts w:hint="default" w:ascii="Times New Roman" w:hAnsi="Times New Roman" w:cs="Times New Roman"/>
                                <w:sz w:val="18"/>
                                <w:szCs w:val="18"/>
                                <w:lang w:eastAsia="zh-CN"/>
                              </w:rPr>
                              <w:t>粉尘：</w:t>
                            </w:r>
                            <w:r>
                              <w:rPr>
                                <w:rFonts w:hint="default" w:ascii="Times New Roman" w:hAnsi="Times New Roman" w:cs="Times New Roman"/>
                                <w:sz w:val="18"/>
                                <w:szCs w:val="18"/>
                                <w:lang w:val="en-US" w:eastAsia="zh-CN"/>
                              </w:rPr>
                              <w:t>洒水降尘</w:t>
                            </w:r>
                            <w:r>
                              <w:rPr>
                                <w:rFonts w:hint="default" w:ascii="Times New Roman" w:hAnsi="Times New Roman" w:cs="Times New Roman"/>
                                <w:sz w:val="18"/>
                                <w:szCs w:val="18"/>
                              </w:rPr>
                              <w:t xml:space="preserve"> </w:t>
                            </w:r>
                            <w:r>
                              <w:rPr>
                                <w:rFonts w:hint="eastAsia" w:cs="Times New Roman"/>
                                <w:sz w:val="18"/>
                                <w:szCs w:val="18"/>
                                <w:lang w:eastAsia="zh-CN"/>
                              </w:rPr>
                              <w:t>、</w:t>
                            </w:r>
                            <w:r>
                              <w:rPr>
                                <w:rFonts w:hint="eastAsia"/>
                                <w:sz w:val="18"/>
                                <w:szCs w:val="18"/>
                              </w:rPr>
                              <w:t>密目网苫盖</w:t>
                            </w:r>
                          </w:p>
                          <w:p w14:paraId="2BC4121F">
                            <w:pPr>
                              <w:keepNext w:val="0"/>
                              <w:keepLines w:val="0"/>
                              <w:pageBreakBefore w:val="0"/>
                              <w:kinsoku/>
                              <w:wordWrap/>
                              <w:overflowPunct/>
                              <w:topLinePunct w:val="0"/>
                              <w:bidi w:val="0"/>
                              <w:adjustRightInd/>
                              <w:spacing w:line="240" w:lineRule="auto"/>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施工围挡、移动声屏障</w:t>
                            </w:r>
                          </w:p>
                        </w:txbxContent>
                      </wps:txbx>
                      <wps:bodyPr upright="1"/>
                    </wps:wsp>
                  </a:graphicData>
                </a:graphic>
              </wp:anchor>
            </w:drawing>
          </mc:Choice>
          <mc:Fallback>
            <w:pict>
              <v:shape id="_x0000_s1026" o:spid="_x0000_s1026" o:spt="62" type="#_x0000_t62" style="position:absolute;left:0pt;margin-left:14.65pt;margin-top:365.95pt;height:83.55pt;width:92.7pt;rotation:5898240f;z-index:251665408;mso-width-relative:page;mso-height-relative:page;" fillcolor="#FFFFFF" filled="t" stroked="t" coordsize="21600,21600" o:gfxdata="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AXILc2gAAAAoBAAAPAAAAAAAAAAEAIAAAACIAAABkcnMvZG93bnJldi54bWxQSwECFAAU&#10;AAAACACHTuJAeNT8DGECAADQBAAADgAAAAAAAAABACAAAAApAQAAZHJzL2Uyb0RvYy54bWxQSwUG&#10;AAAAAAYABgBZAQAA/AUAAAAA&#10;" adj="17665,-13424,14400">
                <v:fill on="t" focussize="0,0"/>
                <v:stroke color="#000000" joinstyle="miter"/>
                <v:imagedata o:title=""/>
                <o:lock v:ext="edit" aspectratio="f"/>
                <v:textbox>
                  <w:txbxContent>
                    <w:p w14:paraId="662F7112">
                      <w:pP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施工</w:t>
                      </w:r>
                      <w:r>
                        <w:rPr>
                          <w:rFonts w:hint="eastAsia" w:ascii="Times New Roman" w:hAnsi="Times New Roman" w:cs="Times New Roman"/>
                          <w:sz w:val="18"/>
                          <w:szCs w:val="18"/>
                          <w:lang w:val="en-US" w:eastAsia="zh-CN"/>
                        </w:rPr>
                        <w:t>生产</w:t>
                      </w:r>
                      <w:r>
                        <w:rPr>
                          <w:rFonts w:hint="default" w:ascii="Times New Roman" w:hAnsi="Times New Roman" w:cs="Times New Roman"/>
                          <w:sz w:val="18"/>
                          <w:szCs w:val="18"/>
                          <w:lang w:eastAsia="zh-CN"/>
                        </w:rPr>
                        <w:t>区</w:t>
                      </w:r>
                    </w:p>
                    <w:p w14:paraId="570BA07E">
                      <w:pPr>
                        <w:keepNext w:val="0"/>
                        <w:keepLines w:val="0"/>
                        <w:pageBreakBefore w:val="0"/>
                        <w:kinsoku/>
                        <w:wordWrap/>
                        <w:overflowPunct/>
                        <w:topLinePunct w:val="0"/>
                        <w:bidi w:val="0"/>
                        <w:adjustRightInd/>
                        <w:spacing w:line="240" w:lineRule="auto"/>
                        <w:textAlignment w:val="auto"/>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施工</w:t>
                      </w:r>
                      <w:r>
                        <w:rPr>
                          <w:rFonts w:hint="default" w:ascii="Times New Roman" w:hAnsi="Times New Roman" w:cs="Times New Roman"/>
                          <w:sz w:val="18"/>
                          <w:szCs w:val="18"/>
                        </w:rPr>
                        <w:t>废水</w:t>
                      </w:r>
                      <w:r>
                        <w:rPr>
                          <w:rFonts w:hint="default" w:ascii="Times New Roman" w:hAnsi="Times New Roman" w:cs="Times New Roman"/>
                          <w:sz w:val="18"/>
                          <w:szCs w:val="18"/>
                          <w:lang w:eastAsia="zh-CN"/>
                        </w:rPr>
                        <w:t>：</w:t>
                      </w:r>
                      <w:r>
                        <w:rPr>
                          <w:rFonts w:hint="default" w:ascii="Times New Roman" w:hAnsi="Times New Roman" w:cs="Times New Roman"/>
                          <w:sz w:val="18"/>
                          <w:szCs w:val="18"/>
                        </w:rPr>
                        <w:t>沉淀池</w:t>
                      </w:r>
                    </w:p>
                    <w:p w14:paraId="0E56B4E0">
                      <w:pPr>
                        <w:keepNext w:val="0"/>
                        <w:keepLines w:val="0"/>
                        <w:pageBreakBefore w:val="0"/>
                        <w:kinsoku/>
                        <w:wordWrap/>
                        <w:overflowPunct/>
                        <w:topLinePunct w:val="0"/>
                        <w:bidi w:val="0"/>
                        <w:adjustRightInd/>
                        <w:spacing w:line="240" w:lineRule="auto"/>
                        <w:textAlignment w:val="auto"/>
                        <w:rPr>
                          <w:rFonts w:hint="eastAsia"/>
                          <w:sz w:val="18"/>
                          <w:szCs w:val="18"/>
                        </w:rPr>
                      </w:pPr>
                      <w:r>
                        <w:rPr>
                          <w:rFonts w:hint="default" w:ascii="Times New Roman" w:hAnsi="Times New Roman" w:cs="Times New Roman"/>
                          <w:sz w:val="18"/>
                          <w:szCs w:val="18"/>
                          <w:lang w:eastAsia="zh-CN"/>
                        </w:rPr>
                        <w:t>粉尘：</w:t>
                      </w:r>
                      <w:r>
                        <w:rPr>
                          <w:rFonts w:hint="default" w:ascii="Times New Roman" w:hAnsi="Times New Roman" w:cs="Times New Roman"/>
                          <w:sz w:val="18"/>
                          <w:szCs w:val="18"/>
                          <w:lang w:val="en-US" w:eastAsia="zh-CN"/>
                        </w:rPr>
                        <w:t>洒水降尘</w:t>
                      </w:r>
                      <w:r>
                        <w:rPr>
                          <w:rFonts w:hint="default" w:ascii="Times New Roman" w:hAnsi="Times New Roman" w:cs="Times New Roman"/>
                          <w:sz w:val="18"/>
                          <w:szCs w:val="18"/>
                        </w:rPr>
                        <w:t xml:space="preserve"> </w:t>
                      </w:r>
                      <w:r>
                        <w:rPr>
                          <w:rFonts w:hint="eastAsia" w:cs="Times New Roman"/>
                          <w:sz w:val="18"/>
                          <w:szCs w:val="18"/>
                          <w:lang w:eastAsia="zh-CN"/>
                        </w:rPr>
                        <w:t>、</w:t>
                      </w:r>
                      <w:r>
                        <w:rPr>
                          <w:rFonts w:hint="eastAsia"/>
                          <w:sz w:val="18"/>
                          <w:szCs w:val="18"/>
                        </w:rPr>
                        <w:t>密目网苫盖</w:t>
                      </w:r>
                    </w:p>
                    <w:p w14:paraId="2BC4121F">
                      <w:pPr>
                        <w:keepNext w:val="0"/>
                        <w:keepLines w:val="0"/>
                        <w:pageBreakBefore w:val="0"/>
                        <w:kinsoku/>
                        <w:wordWrap/>
                        <w:overflowPunct/>
                        <w:topLinePunct w:val="0"/>
                        <w:bidi w:val="0"/>
                        <w:adjustRightInd/>
                        <w:spacing w:line="240" w:lineRule="auto"/>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施工围挡、移动声屏障</w:t>
                      </w:r>
                    </w:p>
                  </w:txbxContent>
                </v:textbox>
              </v:shape>
            </w:pict>
          </mc:Fallback>
        </mc:AlternateContent>
      </w: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3427730</wp:posOffset>
                </wp:positionH>
                <wp:positionV relativeFrom="paragraph">
                  <wp:posOffset>3765550</wp:posOffset>
                </wp:positionV>
                <wp:extent cx="1722755" cy="835660"/>
                <wp:effectExtent l="4445" t="4445" r="6350" b="550545"/>
                <wp:wrapNone/>
                <wp:docPr id="47" name="圆角矩形标注 47"/>
                <wp:cNvGraphicFramePr/>
                <a:graphic xmlns:a="http://schemas.openxmlformats.org/drawingml/2006/main">
                  <a:graphicData uri="http://schemas.microsoft.com/office/word/2010/wordprocessingShape">
                    <wps:wsp>
                      <wps:cNvSpPr/>
                      <wps:spPr>
                        <a:xfrm>
                          <a:off x="0" y="0"/>
                          <a:ext cx="1722755" cy="835660"/>
                        </a:xfrm>
                        <a:prstGeom prst="wedgeRoundRectCallout">
                          <a:avLst>
                            <a:gd name="adj1" fmla="val -28944"/>
                            <a:gd name="adj2" fmla="val 11221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89F74FA">
                            <w:pPr>
                              <w:jc w:val="both"/>
                              <w:rPr>
                                <w:sz w:val="16"/>
                                <w:szCs w:val="20"/>
                              </w:rPr>
                            </w:pPr>
                            <w:r>
                              <w:rPr>
                                <w:rFonts w:hint="eastAsia"/>
                                <w:sz w:val="16"/>
                                <w:szCs w:val="20"/>
                              </w:rPr>
                              <w:t>工程措施：表土剥离、回填</w:t>
                            </w:r>
                          </w:p>
                          <w:p w14:paraId="69D90511">
                            <w:pPr>
                              <w:rPr>
                                <w:rFonts w:hint="default"/>
                                <w:lang w:val="en-US" w:eastAsia="zh-CN"/>
                              </w:rPr>
                            </w:pPr>
                            <w:r>
                              <w:rPr>
                                <w:rFonts w:hint="eastAsia"/>
                                <w:sz w:val="16"/>
                                <w:szCs w:val="20"/>
                              </w:rPr>
                              <w:t>临时措施：临时堆土防尘覆盖，采用洒水车降尘，禁止大风天气施工，在施工场地建设围栏，确保水库内杂物及时处置</w:t>
                            </w:r>
                          </w:p>
                        </w:txbxContent>
                      </wps:txbx>
                      <wps:bodyPr upright="1"/>
                    </wps:wsp>
                  </a:graphicData>
                </a:graphic>
              </wp:anchor>
            </w:drawing>
          </mc:Choice>
          <mc:Fallback>
            <w:pict>
              <v:shape id="_x0000_s1026" o:spid="_x0000_s1026" o:spt="62" type="#_x0000_t62" style="position:absolute;left:0pt;margin-left:269.9pt;margin-top:296.5pt;height:65.8pt;width:135.65pt;z-index:251672576;mso-width-relative:page;mso-height-relative:page;" fillcolor="#FFFFFF" filled="t" stroked="t" coordsize="21600,21600" o:gfxdata="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2qszG3AAA&#10;AAsBAAAPAAAAAAAAAAEAIAAAACIAAABkcnMvZG93bnJldi54bWxQSwECFAAUAAAACACHTuJA+U0O&#10;0VMCAAC/BAAADgAAAAAAAAABACAAAAArAQAAZHJzL2Uyb0RvYy54bWxQSwUGAAAAAAYABgBZAQAA&#10;8AUAAAAA&#10;" adj="4548,35039,14400">
                <v:fill on="t" focussize="0,0"/>
                <v:stroke color="#000000" joinstyle="miter"/>
                <v:imagedata o:title=""/>
                <o:lock v:ext="edit" aspectratio="f"/>
                <v:textbox>
                  <w:txbxContent>
                    <w:p w14:paraId="489F74FA">
                      <w:pPr>
                        <w:jc w:val="both"/>
                        <w:rPr>
                          <w:sz w:val="16"/>
                          <w:szCs w:val="20"/>
                        </w:rPr>
                      </w:pPr>
                      <w:r>
                        <w:rPr>
                          <w:rFonts w:hint="eastAsia"/>
                          <w:sz w:val="16"/>
                          <w:szCs w:val="20"/>
                        </w:rPr>
                        <w:t>工程措施：表土剥离、回填</w:t>
                      </w:r>
                    </w:p>
                    <w:p w14:paraId="69D90511">
                      <w:pPr>
                        <w:rPr>
                          <w:rFonts w:hint="default"/>
                          <w:lang w:val="en-US" w:eastAsia="zh-CN"/>
                        </w:rPr>
                      </w:pPr>
                      <w:r>
                        <w:rPr>
                          <w:rFonts w:hint="eastAsia"/>
                          <w:sz w:val="16"/>
                          <w:szCs w:val="20"/>
                        </w:rPr>
                        <w:t>临时措施：临时堆土防尘覆盖，采用洒水车降尘，禁止大风天气施工，在施工场地建设围栏，确保水库内杂物及时处置</w:t>
                      </w:r>
                    </w:p>
                  </w:txbxContent>
                </v:textbox>
              </v:shape>
            </w:pict>
          </mc:Fallback>
        </mc:AlternateContent>
      </w:r>
      <w:r>
        <w:rPr>
          <w:rFonts w:hint="eastAsia" w:ascii="Times New Roman" w:hAnsi="Times New Roman" w:cs="Times New Roman" w:eastAsiaTheme="minorEastAsia"/>
          <w:b/>
          <w:bCs/>
          <w:color w:val="auto"/>
          <w:sz w:val="24"/>
          <w:highlight w:val="none"/>
          <w:lang w:eastAsia="zh-CN"/>
        </w:rPr>
        <w:object>
          <v:shape id="_x0000_i1028" o:spt="75" type="#_x0000_t75" style="height:572.85pt;width:435.6pt;" o:ole="t" filled="f" o:preferrelative="t" stroked="f" coordsize="21600,21600">
            <v:path/>
            <v:fill on="f" focussize="0,0"/>
            <v:stroke on="f"/>
            <v:imagedata r:id="rId60" o:title=""/>
            <o:lock v:ext="edit" aspectratio="f"/>
            <w10:wrap type="none"/>
            <w10:anchorlock/>
          </v:shape>
          <o:OLEObject Type="Embed" ProgID="Visio.Drawing.11" ShapeID="_x0000_i1028" DrawAspect="Content" ObjectID="_1468075728" r:id="rId59">
            <o:LockedField>false</o:LockedField>
          </o:OLEObject>
        </w:object>
      </w:r>
    </w:p>
    <w:p w14:paraId="67028330">
      <w:pPr>
        <w:pStyle w:val="2"/>
        <w:numPr>
          <w:ilvl w:val="1"/>
          <w:numId w:val="0"/>
        </w:numPr>
        <w:rPr>
          <w:rFonts w:hint="default" w:ascii="Times New Roman" w:hAnsi="Times New Roman" w:eastAsia="宋体" w:cs="Times New Roman"/>
          <w:color w:val="auto"/>
          <w:sz w:val="24"/>
          <w:szCs w:val="24"/>
          <w:highlight w:val="none"/>
        </w:rPr>
      </w:pPr>
      <w:bookmarkStart w:id="181" w:name="_Toc7336"/>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图9</w:t>
      </w:r>
      <w:r>
        <w:rPr>
          <w:rFonts w:hint="default" w:ascii="Times New Roman" w:hAnsi="Times New Roman" w:eastAsia="宋体" w:cs="Times New Roman"/>
          <w:b/>
          <w:bCs/>
          <w:color w:val="auto"/>
          <w:sz w:val="24"/>
          <w:szCs w:val="24"/>
          <w:highlight w:val="none"/>
        </w:rPr>
        <w:t>环境保护目标分布及位置关系</w:t>
      </w:r>
      <w:r>
        <w:rPr>
          <w:rFonts w:hint="eastAsia" w:ascii="Times New Roman" w:hAnsi="Times New Roman" w:cs="Times New Roman" w:eastAsiaTheme="minorEastAsia"/>
          <w:b/>
          <w:bCs/>
          <w:color w:val="auto"/>
          <w:sz w:val="24"/>
          <w:highlight w:val="none"/>
          <w:lang w:eastAsia="zh-CN"/>
        </w:rPr>
        <w:t>图</w:t>
      </w:r>
      <w:bookmarkEnd w:id="181"/>
    </w:p>
    <w:p w14:paraId="7886D9D3">
      <w:pPr>
        <w:pStyle w:val="34"/>
        <w:numPr>
          <w:ilvl w:val="0"/>
          <w:numId w:val="0"/>
        </w:numPr>
        <w:ind w:leftChars="0"/>
        <w:jc w:val="center"/>
        <w:rPr>
          <w:rFonts w:hint="eastAsia" w:cs="Times New Roman" w:eastAsiaTheme="minorEastAsia"/>
          <w:b/>
          <w:bCs/>
          <w:color w:val="auto"/>
          <w:sz w:val="24"/>
          <w:highlight w:val="none"/>
          <w:lang w:val="en-US"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6767830</wp:posOffset>
                </wp:positionH>
                <wp:positionV relativeFrom="paragraph">
                  <wp:posOffset>3475355</wp:posOffset>
                </wp:positionV>
                <wp:extent cx="1731010" cy="980440"/>
                <wp:effectExtent l="4445" t="4445" r="17145" b="5715"/>
                <wp:wrapNone/>
                <wp:docPr id="53" name="文本框 53"/>
                <wp:cNvGraphicFramePr/>
                <a:graphic xmlns:a="http://schemas.openxmlformats.org/drawingml/2006/main">
                  <a:graphicData uri="http://schemas.microsoft.com/office/word/2010/wordprocessingShape">
                    <wps:wsp>
                      <wps:cNvSpPr txBox="1"/>
                      <wps:spPr>
                        <a:xfrm>
                          <a:off x="0" y="0"/>
                          <a:ext cx="1731010" cy="980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6BA4A9">
                            <w:pPr>
                              <w:jc w:val="center"/>
                              <w:rPr>
                                <w:rFonts w:eastAsia="宋体"/>
                                <w:lang w:eastAsia="zh-CN"/>
                              </w:rPr>
                            </w:pPr>
                            <w:r>
                              <w:rPr>
                                <w:rFonts w:hint="eastAsia" w:eastAsia="宋体"/>
                                <w:lang w:eastAsia="zh-CN"/>
                              </w:rPr>
                              <w:t>图例</w:t>
                            </w:r>
                          </w:p>
                          <w:p w14:paraId="4A8A2884">
                            <w:pPr>
                              <w:rPr>
                                <w:rFonts w:eastAsia="宋体"/>
                                <w:lang w:eastAsia="zh-CN"/>
                              </w:rPr>
                            </w:pPr>
                            <w:r>
                              <w:rPr>
                                <w:rFonts w:hint="eastAsia" w:eastAsia="宋体"/>
                                <w:b/>
                                <w:bCs/>
                                <w:color w:val="FF0000"/>
                                <w:lang w:eastAsia="zh-CN"/>
                              </w:rPr>
                              <w:t>□</w:t>
                            </w:r>
                            <w:r>
                              <w:rPr>
                                <w:rFonts w:hint="eastAsia" w:eastAsia="宋体"/>
                                <w:lang w:eastAsia="zh-CN"/>
                              </w:rPr>
                              <w:t>项目位置</w:t>
                            </w:r>
                          </w:p>
                          <w:p w14:paraId="380ADE2E">
                            <w:pPr>
                              <w:rPr>
                                <w:rFonts w:hint="eastAsia" w:eastAsia="宋体"/>
                                <w:lang w:eastAsia="zh-CN"/>
                              </w:rPr>
                            </w:pPr>
                            <w:r>
                              <w:rPr>
                                <w:rFonts w:hint="eastAsia" w:eastAsia="宋体"/>
                                <w:b/>
                                <w:bCs/>
                                <w:color w:val="00B050"/>
                                <w:lang w:eastAsia="zh-CN"/>
                              </w:rPr>
                              <w:t>□</w:t>
                            </w:r>
                            <w:r>
                              <w:rPr>
                                <w:rFonts w:hint="eastAsia" w:eastAsia="宋体"/>
                                <w:lang w:eastAsia="zh-CN"/>
                              </w:rPr>
                              <w:t>声环境保护范围</w:t>
                            </w:r>
                          </w:p>
                          <w:p w14:paraId="1830CE54">
                            <w:pPr>
                              <w:rPr>
                                <w:rFonts w:eastAsia="宋体"/>
                                <w:lang w:eastAsia="zh-CN"/>
                              </w:rPr>
                            </w:pPr>
                            <w:r>
                              <w:rPr>
                                <w:rFonts w:hint="eastAsia" w:eastAsia="宋体"/>
                                <w:b/>
                                <w:bCs/>
                                <w:color w:val="00B0F0"/>
                                <w:lang w:eastAsia="zh-CN"/>
                              </w:rPr>
                              <w:t>□</w:t>
                            </w:r>
                            <w:r>
                              <w:rPr>
                                <w:rFonts w:hint="eastAsia" w:eastAsia="宋体"/>
                                <w:lang w:eastAsia="zh-CN"/>
                              </w:rPr>
                              <w:t>水、生态环境保护范围</w:t>
                            </w:r>
                          </w:p>
                          <w:p w14:paraId="262954C5">
                            <w:pPr>
                              <w:rPr>
                                <w:rFonts w:eastAsia="宋体"/>
                                <w:lang w:eastAsia="zh-CN"/>
                              </w:rPr>
                            </w:pPr>
                            <w:r>
                              <w:rPr>
                                <w:rFonts w:hint="eastAsia" w:eastAsia="宋体"/>
                                <w:b/>
                                <w:bCs/>
                                <w:color w:val="0000FF"/>
                                <w:lang w:eastAsia="zh-CN"/>
                              </w:rPr>
                              <w:t>□</w:t>
                            </w:r>
                            <w:r>
                              <w:rPr>
                                <w:rFonts w:hint="eastAsia" w:eastAsia="宋体"/>
                                <w:lang w:eastAsia="zh-CN"/>
                              </w:rPr>
                              <w:t>大气环境保护范围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2.9pt;margin-top:273.65pt;height:77.2pt;width:136.3pt;z-index:251673600;mso-width-relative:page;mso-height-relative:page;" fillcolor="#FFFFFF [3201]" filled="t" stroked="t" coordsize="21600,21600" o:gfxdata="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Wpbj7&#10;2QAAAA0BAAAPAAAAAAAAAAEAIAAAACIAAABkcnMvZG93bnJldi54bWxQSwECFAAUAAAACACHTuJA&#10;9ZBrdFkCAAC5BAAADgAAAAAAAAABACAAAAAoAQAAZHJzL2Uyb0RvYy54bWxQSwUGAAAAAAYABgBZ&#10;AQAA8wUAAAAA&#10;">
                <v:fill on="t" focussize="0,0"/>
                <v:stroke weight="0.5pt" color="#000000 [3204]" joinstyle="round"/>
                <v:imagedata o:title=""/>
                <o:lock v:ext="edit" aspectratio="f"/>
                <v:textbox>
                  <w:txbxContent>
                    <w:p w14:paraId="626BA4A9">
                      <w:pPr>
                        <w:jc w:val="center"/>
                        <w:rPr>
                          <w:rFonts w:eastAsia="宋体"/>
                          <w:lang w:eastAsia="zh-CN"/>
                        </w:rPr>
                      </w:pPr>
                      <w:r>
                        <w:rPr>
                          <w:rFonts w:hint="eastAsia" w:eastAsia="宋体"/>
                          <w:lang w:eastAsia="zh-CN"/>
                        </w:rPr>
                        <w:t>图例</w:t>
                      </w:r>
                    </w:p>
                    <w:p w14:paraId="4A8A2884">
                      <w:pPr>
                        <w:rPr>
                          <w:rFonts w:eastAsia="宋体"/>
                          <w:lang w:eastAsia="zh-CN"/>
                        </w:rPr>
                      </w:pPr>
                      <w:r>
                        <w:rPr>
                          <w:rFonts w:hint="eastAsia" w:eastAsia="宋体"/>
                          <w:b/>
                          <w:bCs/>
                          <w:color w:val="FF0000"/>
                          <w:lang w:eastAsia="zh-CN"/>
                        </w:rPr>
                        <w:t>□</w:t>
                      </w:r>
                      <w:r>
                        <w:rPr>
                          <w:rFonts w:hint="eastAsia" w:eastAsia="宋体"/>
                          <w:lang w:eastAsia="zh-CN"/>
                        </w:rPr>
                        <w:t>项目位置</w:t>
                      </w:r>
                    </w:p>
                    <w:p w14:paraId="380ADE2E">
                      <w:pPr>
                        <w:rPr>
                          <w:rFonts w:hint="eastAsia" w:eastAsia="宋体"/>
                          <w:lang w:eastAsia="zh-CN"/>
                        </w:rPr>
                      </w:pPr>
                      <w:r>
                        <w:rPr>
                          <w:rFonts w:hint="eastAsia" w:eastAsia="宋体"/>
                          <w:b/>
                          <w:bCs/>
                          <w:color w:val="00B050"/>
                          <w:lang w:eastAsia="zh-CN"/>
                        </w:rPr>
                        <w:t>□</w:t>
                      </w:r>
                      <w:r>
                        <w:rPr>
                          <w:rFonts w:hint="eastAsia" w:eastAsia="宋体"/>
                          <w:lang w:eastAsia="zh-CN"/>
                        </w:rPr>
                        <w:t>声环境保护范围</w:t>
                      </w:r>
                    </w:p>
                    <w:p w14:paraId="1830CE54">
                      <w:pPr>
                        <w:rPr>
                          <w:rFonts w:eastAsia="宋体"/>
                          <w:lang w:eastAsia="zh-CN"/>
                        </w:rPr>
                      </w:pPr>
                      <w:r>
                        <w:rPr>
                          <w:rFonts w:hint="eastAsia" w:eastAsia="宋体"/>
                          <w:b/>
                          <w:bCs/>
                          <w:color w:val="00B0F0"/>
                          <w:lang w:eastAsia="zh-CN"/>
                        </w:rPr>
                        <w:t>□</w:t>
                      </w:r>
                      <w:r>
                        <w:rPr>
                          <w:rFonts w:hint="eastAsia" w:eastAsia="宋体"/>
                          <w:lang w:eastAsia="zh-CN"/>
                        </w:rPr>
                        <w:t>水、生态环境保护范围</w:t>
                      </w:r>
                    </w:p>
                    <w:p w14:paraId="262954C5">
                      <w:pPr>
                        <w:rPr>
                          <w:rFonts w:eastAsia="宋体"/>
                          <w:lang w:eastAsia="zh-CN"/>
                        </w:rPr>
                      </w:pPr>
                      <w:r>
                        <w:rPr>
                          <w:rFonts w:hint="eastAsia" w:eastAsia="宋体"/>
                          <w:b/>
                          <w:bCs/>
                          <w:color w:val="0000FF"/>
                          <w:lang w:eastAsia="zh-CN"/>
                        </w:rPr>
                        <w:t>□</w:t>
                      </w:r>
                      <w:r>
                        <w:rPr>
                          <w:rFonts w:hint="eastAsia" w:eastAsia="宋体"/>
                          <w:lang w:eastAsia="zh-CN"/>
                        </w:rPr>
                        <w:t>大气环境保护范围</w:t>
                      </w:r>
                    </w:p>
                  </w:txbxContent>
                </v:textbox>
              </v:shape>
            </w:pict>
          </mc:Fallback>
        </mc:AlternateContent>
      </w:r>
      <w:r>
        <w:rPr>
          <w:rFonts w:hint="eastAsia" w:cs="Times New Roman" w:eastAsiaTheme="minorEastAsia"/>
          <w:b/>
          <w:bCs/>
          <w:color w:val="auto"/>
          <w:sz w:val="24"/>
          <w:highlight w:val="none"/>
          <w:lang w:val="en-US" w:eastAsia="zh-CN"/>
        </w:rPr>
        <w:drawing>
          <wp:inline distT="0" distB="0" distL="114300" distR="114300">
            <wp:extent cx="8175625" cy="4460875"/>
            <wp:effectExtent l="0" t="0" r="15875" b="15875"/>
            <wp:docPr id="54" name="图片 54" descr="环境保护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环境保护目标图"/>
                    <pic:cNvPicPr>
                      <a:picLocks noChangeAspect="1"/>
                    </pic:cNvPicPr>
                  </pic:nvPicPr>
                  <pic:blipFill>
                    <a:blip r:embed="rId61"/>
                    <a:stretch>
                      <a:fillRect/>
                    </a:stretch>
                  </pic:blipFill>
                  <pic:spPr>
                    <a:xfrm>
                      <a:off x="0" y="0"/>
                      <a:ext cx="8175625" cy="4460875"/>
                    </a:xfrm>
                    <a:prstGeom prst="rect">
                      <a:avLst/>
                    </a:prstGeom>
                  </pic:spPr>
                </pic:pic>
              </a:graphicData>
            </a:graphic>
          </wp:inline>
        </w:drawing>
      </w:r>
    </w:p>
    <w:p w14:paraId="678A7EBA">
      <w:pPr>
        <w:pStyle w:val="2"/>
        <w:numPr>
          <w:ilvl w:val="1"/>
          <w:numId w:val="0"/>
        </w:numPr>
        <w:rPr>
          <w:rFonts w:hint="eastAsia" w:ascii="Times New Roman" w:hAnsi="Times New Roman" w:cs="Times New Roman" w:eastAsiaTheme="minorEastAsia"/>
          <w:b/>
          <w:bCs/>
          <w:color w:val="auto"/>
          <w:sz w:val="24"/>
          <w:highlight w:val="none"/>
          <w:lang w:eastAsia="zh-CN"/>
        </w:rPr>
      </w:pPr>
      <w:bookmarkStart w:id="182" w:name="_Toc29130"/>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w:t>
      </w:r>
      <w:r>
        <w:rPr>
          <w:rFonts w:hint="eastAsia" w:cs="Times New Roman"/>
          <w:b/>
          <w:bCs/>
          <w:color w:val="auto"/>
          <w:sz w:val="24"/>
          <w:szCs w:val="24"/>
          <w:highlight w:val="none"/>
          <w:lang w:val="en-US" w:eastAsia="zh-CN"/>
        </w:rPr>
        <w:t>10</w:t>
      </w:r>
      <w:r>
        <w:rPr>
          <w:rFonts w:hint="default" w:ascii="Times New Roman" w:hAnsi="Times New Roman" w:eastAsia="宋体" w:cs="Times New Roman"/>
          <w:b/>
          <w:bCs/>
          <w:color w:val="auto"/>
          <w:sz w:val="24"/>
          <w:szCs w:val="24"/>
          <w:highlight w:val="none"/>
          <w:lang w:val="en-US" w:eastAsia="zh-CN"/>
        </w:rPr>
        <w:t>生态环境监测布点</w:t>
      </w:r>
      <w:r>
        <w:rPr>
          <w:rFonts w:hint="eastAsia" w:ascii="Times New Roman" w:hAnsi="Times New Roman" w:cs="Times New Roman" w:eastAsiaTheme="minorEastAsia"/>
          <w:b/>
          <w:bCs/>
          <w:color w:val="auto"/>
          <w:sz w:val="24"/>
          <w:highlight w:val="none"/>
          <w:lang w:eastAsia="zh-CN"/>
        </w:rPr>
        <w:t>图</w:t>
      </w:r>
      <w:bookmarkEnd w:id="182"/>
    </w:p>
    <w:p w14:paraId="1B343032">
      <w:pPr>
        <w:jc w:val="center"/>
        <w:rPr>
          <w:rFonts w:hint="default"/>
          <w:color w:val="auto"/>
        </w:rPr>
      </w:pPr>
      <w:r>
        <w:rPr>
          <w:rFonts w:hint="eastAsia"/>
          <w:color w:val="auto"/>
          <w:lang w:val="en-US" w:eastAsia="zh-CN"/>
        </w:rPr>
        <w:object>
          <v:shape id="_x0000_i1029" o:spt="75" type="#_x0000_t75" style="height:359.25pt;width:654.75pt;" o:ole="t" filled="f" o:preferrelative="t" stroked="f" coordsize="21600,21600">
            <v:path/>
            <v:fill on="f" focussize="0,0"/>
            <v:stroke on="f"/>
            <v:imagedata r:id="rId63" o:title=""/>
            <o:lock v:ext="edit" aspectratio="f"/>
            <w10:wrap type="none"/>
            <w10:anchorlock/>
          </v:shape>
          <o:OLEObject Type="Embed" ProgID="Visio.Drawing.11" ShapeID="_x0000_i1029" DrawAspect="Content" ObjectID="_1468075729" r:id="rId62">
            <o:LockedField>false</o:LockedField>
          </o:OLEObject>
        </w:object>
      </w:r>
    </w:p>
    <w:p w14:paraId="11B1605B">
      <w:pPr>
        <w:pStyle w:val="34"/>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现状监测布点图</w:t>
      </w:r>
    </w:p>
    <w:p w14:paraId="062D2231">
      <w:pPr>
        <w:pStyle w:val="34"/>
        <w:ind w:firstLine="0" w:firstLineChars="0"/>
        <w:jc w:val="center"/>
        <w:rPr>
          <w:color w:val="auto"/>
          <w:highlight w:val="none"/>
        </w:rPr>
      </w:pPr>
      <w:r>
        <w:rPr>
          <w:color w:val="auto"/>
          <w:highlight w:val="none"/>
        </w:rPr>
        <w:object>
          <v:shape id="_x0000_i1030" o:spt="75" type="#_x0000_t75" style="height:390.15pt;width:623.8pt;" o:ole="t" filled="f" o:preferrelative="t" stroked="f" coordsize="21600,21600">
            <v:path/>
            <v:fill on="f" focussize="0,0"/>
            <v:stroke on="f"/>
            <v:imagedata r:id="rId65" o:title=""/>
            <o:lock v:ext="edit" aspectratio="f"/>
            <w10:wrap type="none"/>
            <w10:anchorlock/>
          </v:shape>
          <o:OLEObject Type="Embed" ProgID="Visio.Drawing.11" ShapeID="_x0000_i1030" DrawAspect="Content" ObjectID="_1468075730" r:id="rId64">
            <o:LockedField>false</o:LockedField>
          </o:OLEObject>
        </w:object>
      </w:r>
    </w:p>
    <w:p w14:paraId="706C1FBF">
      <w:pPr>
        <w:pStyle w:val="3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监测计划布点图</w:t>
      </w:r>
    </w:p>
    <w:p w14:paraId="19C323E8">
      <w:pPr>
        <w:pStyle w:val="34"/>
        <w:ind w:firstLine="0" w:firstLineChars="0"/>
        <w:jc w:val="center"/>
        <w:rPr>
          <w:color w:val="auto"/>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67E85D2F">
      <w:pPr>
        <w:pStyle w:val="2"/>
        <w:numPr>
          <w:ilvl w:val="1"/>
          <w:numId w:val="0"/>
        </w:numPr>
        <w:rPr>
          <w:rFonts w:hint="default" w:ascii="Times New Roman" w:hAnsi="Times New Roman" w:eastAsia="宋体" w:cs="Times New Roman"/>
          <w:color w:val="auto"/>
          <w:sz w:val="24"/>
          <w:szCs w:val="24"/>
          <w:highlight w:val="none"/>
        </w:rPr>
      </w:pPr>
      <w:bookmarkStart w:id="183" w:name="_Toc13870"/>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w:t>
      </w:r>
      <w:r>
        <w:rPr>
          <w:rFonts w:hint="eastAsia"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项目与</w:t>
      </w:r>
      <w:r>
        <w:rPr>
          <w:rFonts w:hint="eastAsia" w:ascii="Times New Roman" w:hAnsi="Times New Roman" w:eastAsia="宋体" w:cs="Times New Roman"/>
          <w:b/>
          <w:bCs/>
          <w:color w:val="auto"/>
          <w:sz w:val="24"/>
          <w:szCs w:val="24"/>
          <w:highlight w:val="none"/>
          <w:lang w:val="en-US" w:eastAsia="zh-CN"/>
        </w:rPr>
        <w:t>生态保护红线</w:t>
      </w:r>
      <w:r>
        <w:rPr>
          <w:rFonts w:hint="default" w:ascii="Times New Roman" w:hAnsi="Times New Roman" w:eastAsia="宋体" w:cs="Times New Roman"/>
          <w:b/>
          <w:bCs/>
          <w:color w:val="auto"/>
          <w:sz w:val="24"/>
          <w:szCs w:val="24"/>
          <w:highlight w:val="none"/>
          <w:lang w:val="en-US" w:eastAsia="zh-CN"/>
        </w:rPr>
        <w:t>位置</w:t>
      </w:r>
      <w:r>
        <w:rPr>
          <w:rFonts w:hint="eastAsia" w:ascii="Times New Roman" w:hAnsi="Times New Roman" w:cs="Times New Roman" w:eastAsiaTheme="minorEastAsia"/>
          <w:b/>
          <w:bCs/>
          <w:color w:val="auto"/>
          <w:sz w:val="24"/>
          <w:highlight w:val="none"/>
          <w:lang w:eastAsia="zh-CN"/>
        </w:rPr>
        <w:t>图</w:t>
      </w:r>
      <w:bookmarkEnd w:id="183"/>
    </w:p>
    <w:p w14:paraId="2F327DA0">
      <w:pPr>
        <w:pStyle w:val="9"/>
        <w:rPr>
          <w:rFonts w:hint="default"/>
          <w:color w:val="auto"/>
          <w:highlight w:val="none"/>
          <w:lang w:val="en-US" w:eastAsia="zh-CN"/>
        </w:rPr>
        <w:sectPr>
          <w:headerReference r:id="rId10" w:type="default"/>
          <w:footerReference r:id="rId11" w:type="default"/>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7520305</wp:posOffset>
                </wp:positionH>
                <wp:positionV relativeFrom="paragraph">
                  <wp:posOffset>3729355</wp:posOffset>
                </wp:positionV>
                <wp:extent cx="995045" cy="374015"/>
                <wp:effectExtent l="4445" t="4445" r="10160" b="21590"/>
                <wp:wrapNone/>
                <wp:docPr id="1" name="文本框 1"/>
                <wp:cNvGraphicFramePr/>
                <a:graphic xmlns:a="http://schemas.openxmlformats.org/drawingml/2006/main">
                  <a:graphicData uri="http://schemas.microsoft.com/office/word/2010/wordprocessingShape">
                    <wps:wsp>
                      <wps:cNvSpPr txBox="1"/>
                      <wps:spPr>
                        <a:xfrm>
                          <a:off x="0" y="0"/>
                          <a:ext cx="995045" cy="3740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EACE4A">
                            <w:pPr>
                              <w:spacing w:line="360" w:lineRule="auto"/>
                              <w:jc w:val="both"/>
                              <w:rPr>
                                <w:rFonts w:eastAsia="宋体"/>
                                <w:lang w:eastAsia="zh-CN"/>
                              </w:rPr>
                            </w:pPr>
                            <w:r>
                              <w:rPr>
                                <w:rFonts w:hint="eastAsia" w:eastAsia="宋体"/>
                                <w:color w:val="FFC000"/>
                                <w:lang w:eastAsia="zh-CN"/>
                              </w:rPr>
                              <w:t>▃</w:t>
                            </w:r>
                            <w:r>
                              <w:rPr>
                                <w:rFonts w:hint="eastAsia"/>
                                <w:color w:val="FFC000"/>
                                <w:lang w:val="en-US" w:eastAsia="zh-CN"/>
                              </w:rPr>
                              <w:t xml:space="preserve">  </w:t>
                            </w:r>
                            <w:r>
                              <w:rPr>
                                <w:rFonts w:hint="eastAsia" w:eastAsia="宋体"/>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2.15pt;margin-top:293.65pt;height:29.45pt;width:78.35pt;z-index:251671552;mso-width-relative:page;mso-height-relative:page;" fillcolor="#FFFFFF [3201]" filled="t" stroked="t" coordsize="21600,21600" o:gfxdata="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BRjz7XAAAA&#10;DQEAAA8AAAAAAAAAAQAgAAAAIgAAAGRycy9kb3ducmV2LnhtbFBLAQIUABQAAAAIAIdO4kD4SulD&#10;VwIAALYEAAAOAAAAAAAAAAEAIAAAACYBAABkcnMvZTJvRG9jLnhtbFBLBQYAAAAABgAGAFkBAADv&#10;BQAAAAA=&#10;">
                <v:fill on="t" focussize="0,0"/>
                <v:stroke weight="0.5pt" color="#000000 [3204]" joinstyle="round"/>
                <v:imagedata o:title=""/>
                <o:lock v:ext="edit" aspectratio="f"/>
                <v:textbox>
                  <w:txbxContent>
                    <w:p w14:paraId="2BEACE4A">
                      <w:pPr>
                        <w:spacing w:line="360" w:lineRule="auto"/>
                        <w:jc w:val="both"/>
                        <w:rPr>
                          <w:rFonts w:eastAsia="宋体"/>
                          <w:lang w:eastAsia="zh-CN"/>
                        </w:rPr>
                      </w:pPr>
                      <w:r>
                        <w:rPr>
                          <w:rFonts w:hint="eastAsia" w:eastAsia="宋体"/>
                          <w:color w:val="FFC000"/>
                          <w:lang w:eastAsia="zh-CN"/>
                        </w:rPr>
                        <w:t>▃</w:t>
                      </w:r>
                      <w:r>
                        <w:rPr>
                          <w:rFonts w:hint="eastAsia"/>
                          <w:color w:val="FFC000"/>
                          <w:lang w:val="en-US" w:eastAsia="zh-CN"/>
                        </w:rPr>
                        <w:t xml:space="preserve">  </w:t>
                      </w:r>
                      <w:r>
                        <w:rPr>
                          <w:rFonts w:hint="eastAsia" w:eastAsia="宋体"/>
                          <w:lang w:eastAsia="zh-CN"/>
                        </w:rPr>
                        <w:t>项目位置</w:t>
                      </w:r>
                    </w:p>
                  </w:txbxContent>
                </v:textbox>
              </v:shape>
            </w:pict>
          </mc:Fallback>
        </mc:AlternateContent>
      </w:r>
      <w:r>
        <w:rPr>
          <w:rFonts w:hint="default"/>
          <w:color w:val="auto"/>
          <w:highlight w:val="none"/>
          <w:lang w:val="en-US" w:eastAsia="zh-CN"/>
        </w:rPr>
        <w:drawing>
          <wp:inline distT="0" distB="0" distL="114300" distR="114300">
            <wp:extent cx="8851265" cy="4310380"/>
            <wp:effectExtent l="0" t="0" r="6985" b="13970"/>
            <wp:docPr id="43" name="图片 43" descr="3c43fa377f7c6962f9dbdd0685248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c43fa377f7c6962f9dbdd0685248f68"/>
                    <pic:cNvPicPr>
                      <a:picLocks noChangeAspect="1"/>
                    </pic:cNvPicPr>
                  </pic:nvPicPr>
                  <pic:blipFill>
                    <a:blip r:embed="rId15"/>
                    <a:stretch>
                      <a:fillRect/>
                    </a:stretch>
                  </pic:blipFill>
                  <pic:spPr>
                    <a:xfrm>
                      <a:off x="0" y="0"/>
                      <a:ext cx="8851265" cy="4310380"/>
                    </a:xfrm>
                    <a:prstGeom prst="rect">
                      <a:avLst/>
                    </a:prstGeom>
                  </pic:spPr>
                </pic:pic>
              </a:graphicData>
            </a:graphic>
          </wp:inline>
        </w:drawing>
      </w:r>
    </w:p>
    <w:p w14:paraId="12533CFC">
      <w:pPr>
        <w:pStyle w:val="2"/>
        <w:numPr>
          <w:ilvl w:val="1"/>
          <w:numId w:val="0"/>
        </w:numPr>
        <w:rPr>
          <w:rFonts w:hint="eastAsia" w:ascii="Times New Roman" w:hAnsi="Times New Roman" w:cs="Times New Roman" w:eastAsiaTheme="minorEastAsia"/>
          <w:b/>
          <w:bCs/>
          <w:color w:val="auto"/>
          <w:sz w:val="24"/>
          <w:highlight w:val="none"/>
          <w:lang w:eastAsia="zh-CN"/>
        </w:rPr>
      </w:pPr>
      <w:bookmarkStart w:id="184" w:name="_Toc14485"/>
      <w:r>
        <w:rPr>
          <w:rFonts w:hint="default" w:ascii="Times New Roman" w:hAnsi="Times New Roman" w:eastAsia="宋体" w:cs="Times New Roman"/>
          <w:color w:val="auto"/>
          <w:sz w:val="24"/>
          <w:szCs w:val="24"/>
          <w:highlight w:val="none"/>
        </w:rPr>
        <w:t>附</w:t>
      </w:r>
      <w:r>
        <w:rPr>
          <w:rFonts w:hint="eastAsia" w:cs="Times New Roman" w:eastAsiaTheme="minorEastAsia"/>
          <w:b/>
          <w:bCs/>
          <w:color w:val="auto"/>
          <w:sz w:val="24"/>
          <w:highlight w:val="none"/>
          <w:lang w:val="en-US" w:eastAsia="zh-CN"/>
        </w:rPr>
        <w:t>图</w:t>
      </w:r>
      <w:r>
        <w:rPr>
          <w:rFonts w:hint="eastAsia" w:ascii="Times New Roman" w:hAnsi="Times New Roman" w:eastAsia="宋体" w:cs="Times New Roman"/>
          <w:b/>
          <w:bCs/>
          <w:color w:val="auto"/>
          <w:sz w:val="24"/>
          <w:szCs w:val="24"/>
          <w:highlight w:val="none"/>
          <w:lang w:val="en-US" w:eastAsia="zh-CN"/>
        </w:rPr>
        <w:t>12典型生态措施布局</w:t>
      </w:r>
      <w:r>
        <w:rPr>
          <w:rFonts w:hint="eastAsia" w:ascii="Times New Roman" w:hAnsi="Times New Roman" w:cs="Times New Roman" w:eastAsiaTheme="minorEastAsia"/>
          <w:b/>
          <w:bCs/>
          <w:color w:val="auto"/>
          <w:sz w:val="24"/>
          <w:highlight w:val="none"/>
          <w:lang w:eastAsia="zh-CN"/>
        </w:rPr>
        <w:t>图</w:t>
      </w:r>
      <w:bookmarkEnd w:id="184"/>
    </w:p>
    <w:p w14:paraId="7EA6F458">
      <w:pPr>
        <w:jc w:val="center"/>
        <w:rPr>
          <w:rFonts w:hint="default"/>
          <w:color w:val="auto"/>
        </w:rPr>
      </w:pPr>
      <w:r>
        <w:rPr>
          <w:color w:val="auto"/>
        </w:rPr>
        <w:drawing>
          <wp:inline distT="0" distB="0" distL="114300" distR="114300">
            <wp:extent cx="7501255" cy="4813300"/>
            <wp:effectExtent l="0" t="0" r="4445" b="6350"/>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66"/>
                    <a:stretch>
                      <a:fillRect/>
                    </a:stretch>
                  </pic:blipFill>
                  <pic:spPr>
                    <a:xfrm>
                      <a:off x="0" y="0"/>
                      <a:ext cx="7501255" cy="4813300"/>
                    </a:xfrm>
                    <a:prstGeom prst="rect">
                      <a:avLst/>
                    </a:prstGeom>
                    <a:noFill/>
                    <a:ln>
                      <a:noFill/>
                    </a:ln>
                  </pic:spPr>
                </pic:pic>
              </a:graphicData>
            </a:graphic>
          </wp:inline>
        </w:drawing>
      </w:r>
    </w:p>
    <w:p w14:paraId="3C8C1ABB">
      <w:pPr>
        <w:pStyle w:val="10"/>
        <w:jc w:val="center"/>
        <w:rPr>
          <w:rFonts w:hint="default"/>
          <w:color w:val="auto"/>
          <w:lang w:val="en-US" w:eastAsia="zh-CN"/>
        </w:rPr>
      </w:pPr>
      <w:r>
        <w:rPr>
          <w:color w:val="auto"/>
        </w:rPr>
        <w:drawing>
          <wp:inline distT="0" distB="0" distL="114300" distR="114300">
            <wp:extent cx="7446010" cy="5266055"/>
            <wp:effectExtent l="0" t="0" r="2540" b="1079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67"/>
                    <a:stretch>
                      <a:fillRect/>
                    </a:stretch>
                  </pic:blipFill>
                  <pic:spPr>
                    <a:xfrm>
                      <a:off x="0" y="0"/>
                      <a:ext cx="7446010" cy="5266055"/>
                    </a:xfrm>
                    <a:prstGeom prst="rect">
                      <a:avLst/>
                    </a:prstGeom>
                    <a:noFill/>
                    <a:ln>
                      <a:noFill/>
                    </a:ln>
                  </pic:spPr>
                </pic:pic>
              </a:graphicData>
            </a:graphic>
          </wp:inline>
        </w:drawing>
      </w:r>
    </w:p>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63"/>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FangSong_GB2312">
    <w:altName w:val="仿宋_GB2312"/>
    <w:panose1 w:val="02010609060101010101"/>
    <w:charset w:val="86"/>
    <w:family w:val="modern"/>
    <w:pitch w:val="default"/>
    <w:sig w:usb0="00000000" w:usb1="00000000" w:usb2="00000016" w:usb3="00000000" w:csb0="00040001" w:csb1="00000000"/>
  </w:font>
  <w:font w:name="Verdana">
    <w:panose1 w:val="020B0604030504040204"/>
    <w:charset w:val="00"/>
    <w:family w:val="swiss"/>
    <w:pitch w:val="default"/>
    <w:sig w:usb0="A00006FF" w:usb1="4000205B" w:usb2="00000010" w:usb3="00000000" w:csb0="2000019F"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auto"/>
    <w:pitch w:val="default"/>
    <w:sig w:usb0="E00006FF" w:usb1="420024FF" w:usb2="02000000" w:usb3="00000000" w:csb0="2000019F" w:csb1="00000000"/>
  </w:font>
  <w:font w:name="var(--dsw-font-markdown-tabl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C856B">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483307">
    <w:pPr>
      <w:pStyle w:val="15"/>
      <w:framePr w:wrap="around" w:vAnchor="text" w:hAnchor="margin" w:xAlign="outside" w:y="1"/>
      <w:rPr>
        <w:rStyle w:val="28"/>
      </w:rPr>
    </w:pPr>
    <w:r>
      <w:rPr>
        <w:rStyle w:val="28"/>
      </w:rPr>
      <w:fldChar w:fldCharType="begin"/>
    </w:r>
    <w:r>
      <w:rPr>
        <w:rStyle w:val="28"/>
      </w:rPr>
      <w:instrText xml:space="preserve">PAGE  </w:instrText>
    </w:r>
    <w:r>
      <w:rPr>
        <w:rStyle w:val="28"/>
      </w:rPr>
      <w:fldChar w:fldCharType="end"/>
    </w:r>
  </w:p>
  <w:p w14:paraId="063DC539">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DA4B69">
    <w:pPr>
      <w:pStyle w:val="15"/>
      <w:ind w:right="360" w:firstLine="360"/>
      <w:jc w:val="both"/>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B3209B">
    <w:pPr>
      <w:pStyle w:val="15"/>
      <w:ind w:right="360" w:firstLine="360"/>
      <w:jc w:val="both"/>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0183D">
                          <w:pPr>
                            <w:pStyle w:val="15"/>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2860183D">
                    <w:pPr>
                      <w:pStyle w:val="15"/>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DA77CE">
    <w:pPr>
      <w:pStyle w:val="15"/>
      <w:ind w:right="360" w:firstLine="360"/>
      <w:jc w:val="both"/>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16989D">
                          <w:pPr>
                            <w:pStyle w:val="15"/>
                          </w:pPr>
                          <w:r>
                            <w:t xml:space="preserve">第 </w:t>
                          </w:r>
                          <w:r>
                            <w:fldChar w:fldCharType="begin"/>
                          </w:r>
                          <w:r>
                            <w:instrText xml:space="preserve"> PAGE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4216989D">
                    <w:pPr>
                      <w:pStyle w:val="15"/>
                    </w:pPr>
                    <w:r>
                      <w:t xml:space="preserve">第 </w:t>
                    </w:r>
                    <w:r>
                      <w:fldChar w:fldCharType="begin"/>
                    </w:r>
                    <w:r>
                      <w:instrText xml:space="preserve"> PAGE  \* MERGEFORMAT </w:instrText>
                    </w:r>
                    <w:r>
                      <w:fldChar w:fldCharType="separate"/>
                    </w:r>
                    <w:r>
                      <w:t>14</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D30E2">
    <w:pPr>
      <w:pStyle w:val="15"/>
      <w:ind w:right="360" w:firstLine="360"/>
      <w:jc w:val="both"/>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464994">
                          <w:pPr>
                            <w:pStyle w:val="15"/>
                          </w:pPr>
                          <w:r>
                            <w:t xml:space="preserve">第 </w:t>
                          </w:r>
                          <w:r>
                            <w:fldChar w:fldCharType="begin"/>
                          </w:r>
                          <w:r>
                            <w:instrText xml:space="preserve"> PAGE  \* MERGEFORMAT </w:instrText>
                          </w:r>
                          <w:r>
                            <w:fldChar w:fldCharType="separate"/>
                          </w:r>
                          <w:r>
                            <w:t>42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37464994">
                    <w:pPr>
                      <w:pStyle w:val="15"/>
                    </w:pPr>
                    <w:r>
                      <w:t xml:space="preserve">第 </w:t>
                    </w:r>
                    <w:r>
                      <w:fldChar w:fldCharType="begin"/>
                    </w:r>
                    <w:r>
                      <w:instrText xml:space="preserve"> PAGE  \* MERGEFORMAT </w:instrText>
                    </w:r>
                    <w:r>
                      <w:fldChar w:fldCharType="separate"/>
                    </w:r>
                    <w:r>
                      <w:t>42</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F4580">
    <w:pPr>
      <w:pStyle w:val="15"/>
      <w:rPr>
        <w:rFonts w:hint="default" w:eastAsia="宋体"/>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69BE48">
                          <w:pPr>
                            <w:pStyle w:val="15"/>
                          </w:pPr>
                          <w:r>
                            <w:t xml:space="preserve">第 </w:t>
                          </w:r>
                          <w:r>
                            <w:fldChar w:fldCharType="begin"/>
                          </w:r>
                          <w:r>
                            <w:instrText xml:space="preserve"> PAGE  \* MERGEFORMAT </w:instrText>
                          </w:r>
                          <w:r>
                            <w:fldChar w:fldCharType="separate"/>
                          </w:r>
                          <w:r>
                            <w:t>100</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6469BE48">
                    <w:pPr>
                      <w:pStyle w:val="15"/>
                    </w:pPr>
                    <w:r>
                      <w:t xml:space="preserve">第 </w:t>
                    </w:r>
                    <w:r>
                      <w:fldChar w:fldCharType="begin"/>
                    </w:r>
                    <w:r>
                      <w:instrText xml:space="preserve"> PAGE  \* MERGEFORMAT </w:instrText>
                    </w:r>
                    <w:r>
                      <w:fldChar w:fldCharType="separate"/>
                    </w:r>
                    <w:r>
                      <w:t>100</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95B27">
    <w:pPr>
      <w:pStyle w:val="16"/>
      <w:pBdr>
        <w:bottom w:val="none" w:color="auto" w:sz="0" w:space="1"/>
      </w:pBdr>
      <w:snapToGri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2FCB9">
    <w:pPr>
      <w:pStyle w:val="16"/>
      <w:pBdr>
        <w:bottom w:val="none" w:color="auto" w:sz="0" w:space="1"/>
      </w:pBdr>
      <w:snapToGri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C0A46"/>
    <w:multiLevelType w:val="singleLevel"/>
    <w:tmpl w:val="810C0A46"/>
    <w:lvl w:ilvl="0" w:tentative="0">
      <w:start w:val="1"/>
      <w:numFmt w:val="decimal"/>
      <w:lvlText w:val="%1."/>
      <w:lvlJc w:val="left"/>
      <w:pPr>
        <w:ind w:left="425" w:hanging="425"/>
      </w:pPr>
      <w:rPr>
        <w:rFonts w:hint="default"/>
      </w:rPr>
    </w:lvl>
  </w:abstractNum>
  <w:abstractNum w:abstractNumId="1">
    <w:nsid w:val="865DB389"/>
    <w:multiLevelType w:val="singleLevel"/>
    <w:tmpl w:val="865DB389"/>
    <w:lvl w:ilvl="0" w:tentative="0">
      <w:start w:val="1"/>
      <w:numFmt w:val="decimal"/>
      <w:suff w:val="nothing"/>
      <w:lvlText w:val="%1、"/>
      <w:lvlJc w:val="left"/>
    </w:lvl>
  </w:abstractNum>
  <w:abstractNum w:abstractNumId="2">
    <w:nsid w:val="A7D4C855"/>
    <w:multiLevelType w:val="singleLevel"/>
    <w:tmpl w:val="A7D4C855"/>
    <w:lvl w:ilvl="0" w:tentative="0">
      <w:start w:val="1"/>
      <w:numFmt w:val="decimal"/>
      <w:suff w:val="nothing"/>
      <w:lvlText w:val="（%1）"/>
      <w:lvlJc w:val="left"/>
    </w:lvl>
  </w:abstractNum>
  <w:abstractNum w:abstractNumId="3">
    <w:nsid w:val="C8C9F862"/>
    <w:multiLevelType w:val="singleLevel"/>
    <w:tmpl w:val="C8C9F862"/>
    <w:lvl w:ilvl="0" w:tentative="0">
      <w:start w:val="7"/>
      <w:numFmt w:val="chineseCounting"/>
      <w:suff w:val="nothing"/>
      <w:lvlText w:val="%1、"/>
      <w:lvlJc w:val="left"/>
      <w:rPr>
        <w:rFonts w:hint="eastAsia"/>
      </w:rPr>
    </w:lvl>
  </w:abstractNum>
  <w:abstractNum w:abstractNumId="4">
    <w:nsid w:val="40BFA1B6"/>
    <w:multiLevelType w:val="singleLevel"/>
    <w:tmpl w:val="40BFA1B6"/>
    <w:lvl w:ilvl="0" w:tentative="0">
      <w:start w:val="3"/>
      <w:numFmt w:val="decimal"/>
      <w:suff w:val="nothing"/>
      <w:lvlText w:val="（%1）"/>
      <w:lvlJc w:val="left"/>
    </w:lvl>
  </w:abstractNum>
  <w:abstractNum w:abstractNumId="5">
    <w:nsid w:val="463B1207"/>
    <w:multiLevelType w:val="multilevel"/>
    <w:tmpl w:val="463B1207"/>
    <w:lvl w:ilvl="0" w:tentative="0">
      <w:start w:val="1"/>
      <w:numFmt w:val="decimal"/>
      <w:isLgl/>
      <w:lvlText w:val="%1"/>
      <w:lvlJc w:val="left"/>
      <w:pPr>
        <w:tabs>
          <w:tab w:val="left" w:pos="425"/>
        </w:tabs>
        <w:ind w:left="680" w:hanging="680"/>
      </w:pPr>
      <w:rPr>
        <w:rFonts w:hint="eastAsia"/>
        <w:vertAlign w:val="baseline"/>
      </w:rPr>
    </w:lvl>
    <w:lvl w:ilvl="1" w:tentative="0">
      <w:start w:val="1"/>
      <w:numFmt w:val="decimal"/>
      <w:lvlText w:val="%1.%2"/>
      <w:lvlJc w:val="left"/>
      <w:pPr>
        <w:tabs>
          <w:tab w:val="left" w:pos="709"/>
        </w:tabs>
        <w:ind w:left="1645" w:hanging="1361"/>
      </w:pPr>
      <w:rPr>
        <w:rFonts w:hint="default" w:ascii="Times New Roman" w:hAnsi="Times New Roman" w:eastAsia="宋体" w:cs="Times New Roman"/>
      </w:rPr>
    </w:lvl>
    <w:lvl w:ilvl="2" w:tentative="0">
      <w:start w:val="1"/>
      <w:numFmt w:val="decimal"/>
      <w:lvlText w:val="%1.%2.%3"/>
      <w:lvlJc w:val="left"/>
      <w:pPr>
        <w:tabs>
          <w:tab w:val="left" w:pos="851"/>
        </w:tabs>
        <w:ind w:left="2127" w:hanging="1985"/>
      </w:pPr>
      <w:rPr>
        <w:rFonts w:hint="eastAsia" w:ascii="宋体" w:hAnsi="宋体" w:eastAsia="宋体"/>
      </w:rPr>
    </w:lvl>
    <w:lvl w:ilvl="3" w:tentative="0">
      <w:start w:val="1"/>
      <w:numFmt w:val="decimal"/>
      <w:lvlText w:val="%1.%2.%3.%4"/>
      <w:lvlJc w:val="left"/>
      <w:pPr>
        <w:tabs>
          <w:tab w:val="left" w:pos="851"/>
        </w:tabs>
        <w:ind w:left="2552" w:hanging="2552"/>
      </w:pPr>
      <w:rPr>
        <w:b w:val="0"/>
        <w:bCs w:val="0"/>
        <w:i w:val="0"/>
        <w:iCs w:val="0"/>
        <w:caps w:val="0"/>
        <w:smallCaps w:val="0"/>
        <w:strike w:val="0"/>
        <w:dstrike w:val="0"/>
        <w:vanish w:val="0"/>
        <w:spacing w:val="0"/>
        <w:position w:val="0"/>
        <w:u w:val="none"/>
        <w:vertAlign w:val="baseline"/>
      </w:rPr>
    </w:lvl>
    <w:lvl w:ilvl="4" w:tentative="0">
      <w:start w:val="1"/>
      <w:numFmt w:val="decimal"/>
      <w:lvlRestart w:val="1"/>
      <w:pStyle w:val="62"/>
      <w:lvlText w:val="表%1-%5"/>
      <w:lvlJc w:val="left"/>
      <w:pPr>
        <w:tabs>
          <w:tab w:val="left" w:pos="3289"/>
        </w:tabs>
        <w:ind w:left="3544" w:hanging="992"/>
      </w:pPr>
      <w:rPr>
        <w:rFonts w:hint="eastAsia"/>
        <w:sz w:val="21"/>
        <w:szCs w:val="21"/>
      </w:rPr>
    </w:lvl>
    <w:lvl w:ilvl="5" w:tentative="0">
      <w:start w:val="1"/>
      <w:numFmt w:val="decimal"/>
      <w:lvlRestart w:val="1"/>
      <w:lvlText w:val="图%1-%6"/>
      <w:lvlJc w:val="left"/>
      <w:pPr>
        <w:tabs>
          <w:tab w:val="left" w:pos="3617"/>
        </w:tabs>
        <w:ind w:left="401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
    <w:nsid w:val="50016CF6"/>
    <w:multiLevelType w:val="multilevel"/>
    <w:tmpl w:val="50016CF6"/>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851"/>
        </w:tabs>
        <w:ind w:left="567" w:hanging="567"/>
      </w:pPr>
      <w:rPr>
        <w:rFonts w:hint="eastAsia"/>
      </w:rPr>
    </w:lvl>
    <w:lvl w:ilvl="2" w:tentative="0">
      <w:start w:val="1"/>
      <w:numFmt w:val="decimal"/>
      <w:lvlText w:val="%1.%2.%3"/>
      <w:lvlJc w:val="left"/>
      <w:pPr>
        <w:tabs>
          <w:tab w:val="left" w:pos="851"/>
        </w:tabs>
        <w:ind w:left="709" w:hanging="709"/>
      </w:pPr>
      <w:rPr>
        <w:rFonts w:hint="eastAsia"/>
      </w:rPr>
    </w:lvl>
    <w:lvl w:ilvl="3" w:tentative="0">
      <w:start w:val="1"/>
      <w:numFmt w:val="decimal"/>
      <w:pStyle w:val="5"/>
      <w:lvlText w:val="%1.%2.%3.%4"/>
      <w:lvlJc w:val="left"/>
      <w:pPr>
        <w:tabs>
          <w:tab w:val="left" w:pos="1134"/>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
    <w:nsid w:val="5D8A4FB1"/>
    <w:multiLevelType w:val="multilevel"/>
    <w:tmpl w:val="5D8A4FB1"/>
    <w:lvl w:ilvl="0" w:tentative="0">
      <w:start w:val="1"/>
      <w:numFmt w:val="decimal"/>
      <w:suff w:val="space"/>
      <w:lvlText w:val="%1"/>
      <w:lvlJc w:val="left"/>
      <w:pPr>
        <w:ind w:left="425" w:hanging="425"/>
      </w:pPr>
      <w:rPr>
        <w:rFonts w:hint="eastAsia"/>
      </w:rPr>
    </w:lvl>
    <w:lvl w:ilvl="1" w:tentative="0">
      <w:start w:val="1"/>
      <w:numFmt w:val="decimal"/>
      <w:pStyle w:val="3"/>
      <w:suff w:val="space"/>
      <w:lvlText w:val="%1.%2"/>
      <w:lvlJc w:val="left"/>
      <w:pPr>
        <w:ind w:left="567" w:hanging="567"/>
      </w:pPr>
      <w:rPr>
        <w:rFonts w:hint="eastAsia"/>
      </w:rPr>
    </w:lvl>
    <w:lvl w:ilvl="2" w:tentative="0">
      <w:start w:val="1"/>
      <w:numFmt w:val="decimal"/>
      <w:suff w:val="space"/>
      <w:lvlText w:val="%1.%2.%3"/>
      <w:lvlJc w:val="left"/>
      <w:pPr>
        <w:ind w:left="70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7"/>
  </w:num>
  <w:num w:numId="2">
    <w:abstractNumId w:val="6"/>
  </w:num>
  <w:num w:numId="3">
    <w:abstractNumId w:val="5"/>
  </w:num>
  <w:num w:numId="4">
    <w:abstractNumId w:val="0"/>
  </w:num>
  <w:num w:numId="5">
    <w:abstractNumId w:val="1"/>
  </w:num>
  <w:num w:numId="6">
    <w:abstractNumId w:val="4"/>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RlMmMxNmY0M2Q3MzM5MTRlMDhlMGQyZjkyZmIzMTgifQ=="/>
    <w:docVar w:name="KSO_WPS_MARK_KEY" w:val="85f99cf3-ff50-4782-9dc7-6835a94e612e"/>
  </w:docVars>
  <w:rsids>
    <w:rsidRoot w:val="5EFA21D1"/>
    <w:rsid w:val="00011781"/>
    <w:rsid w:val="001570FF"/>
    <w:rsid w:val="00206264"/>
    <w:rsid w:val="0027647B"/>
    <w:rsid w:val="002D7042"/>
    <w:rsid w:val="00327CB1"/>
    <w:rsid w:val="003F0551"/>
    <w:rsid w:val="00434823"/>
    <w:rsid w:val="00524B93"/>
    <w:rsid w:val="005D7E75"/>
    <w:rsid w:val="006555A8"/>
    <w:rsid w:val="00802E78"/>
    <w:rsid w:val="008308D0"/>
    <w:rsid w:val="00863B59"/>
    <w:rsid w:val="00DE6D69"/>
    <w:rsid w:val="00DF74D9"/>
    <w:rsid w:val="00E5569F"/>
    <w:rsid w:val="00EA0DD7"/>
    <w:rsid w:val="00F71E28"/>
    <w:rsid w:val="01250BA2"/>
    <w:rsid w:val="012C1E85"/>
    <w:rsid w:val="01361A05"/>
    <w:rsid w:val="013F6784"/>
    <w:rsid w:val="01407DFE"/>
    <w:rsid w:val="014F2E8B"/>
    <w:rsid w:val="0156177E"/>
    <w:rsid w:val="01625B57"/>
    <w:rsid w:val="016F0A91"/>
    <w:rsid w:val="01867C43"/>
    <w:rsid w:val="01A22B7C"/>
    <w:rsid w:val="01A93EA5"/>
    <w:rsid w:val="01A93FA3"/>
    <w:rsid w:val="01C56903"/>
    <w:rsid w:val="01EE7ACE"/>
    <w:rsid w:val="01FE30A6"/>
    <w:rsid w:val="021254FF"/>
    <w:rsid w:val="022A6766"/>
    <w:rsid w:val="022B029F"/>
    <w:rsid w:val="022D4322"/>
    <w:rsid w:val="023B6BC5"/>
    <w:rsid w:val="024D6C7D"/>
    <w:rsid w:val="02685C0C"/>
    <w:rsid w:val="02693733"/>
    <w:rsid w:val="02752B02"/>
    <w:rsid w:val="029329DC"/>
    <w:rsid w:val="02BB13C6"/>
    <w:rsid w:val="02C95F7F"/>
    <w:rsid w:val="02E02F52"/>
    <w:rsid w:val="02F53218"/>
    <w:rsid w:val="030376E3"/>
    <w:rsid w:val="030F66AC"/>
    <w:rsid w:val="03126F63"/>
    <w:rsid w:val="03285028"/>
    <w:rsid w:val="033027A0"/>
    <w:rsid w:val="033661C5"/>
    <w:rsid w:val="03366612"/>
    <w:rsid w:val="033D717E"/>
    <w:rsid w:val="033F0316"/>
    <w:rsid w:val="03404493"/>
    <w:rsid w:val="03541CED"/>
    <w:rsid w:val="03575C81"/>
    <w:rsid w:val="035B3D1D"/>
    <w:rsid w:val="03681120"/>
    <w:rsid w:val="037C7496"/>
    <w:rsid w:val="03922815"/>
    <w:rsid w:val="03A81CA0"/>
    <w:rsid w:val="03CF3A1F"/>
    <w:rsid w:val="03DE5A5A"/>
    <w:rsid w:val="03E604B6"/>
    <w:rsid w:val="03EB46C9"/>
    <w:rsid w:val="040C6A6B"/>
    <w:rsid w:val="04131BA8"/>
    <w:rsid w:val="041651F4"/>
    <w:rsid w:val="043C4EA5"/>
    <w:rsid w:val="043D6C25"/>
    <w:rsid w:val="04416331"/>
    <w:rsid w:val="044A1802"/>
    <w:rsid w:val="046E1C4A"/>
    <w:rsid w:val="04722327"/>
    <w:rsid w:val="049006D3"/>
    <w:rsid w:val="04937124"/>
    <w:rsid w:val="04B62533"/>
    <w:rsid w:val="04B862AB"/>
    <w:rsid w:val="04CA2D6D"/>
    <w:rsid w:val="04CB7034"/>
    <w:rsid w:val="04D87301"/>
    <w:rsid w:val="04E8141C"/>
    <w:rsid w:val="04EC6C06"/>
    <w:rsid w:val="04F25C61"/>
    <w:rsid w:val="04F55751"/>
    <w:rsid w:val="04F733D8"/>
    <w:rsid w:val="04FB65BC"/>
    <w:rsid w:val="05060DAA"/>
    <w:rsid w:val="050E493C"/>
    <w:rsid w:val="052A7392"/>
    <w:rsid w:val="0559183C"/>
    <w:rsid w:val="05597A8E"/>
    <w:rsid w:val="05614B95"/>
    <w:rsid w:val="05685FAF"/>
    <w:rsid w:val="057C3ED0"/>
    <w:rsid w:val="057E563F"/>
    <w:rsid w:val="059E0348"/>
    <w:rsid w:val="05A54306"/>
    <w:rsid w:val="05AB5E10"/>
    <w:rsid w:val="05AC4062"/>
    <w:rsid w:val="05B178CA"/>
    <w:rsid w:val="05B20B39"/>
    <w:rsid w:val="05BC001D"/>
    <w:rsid w:val="05C25634"/>
    <w:rsid w:val="05C837B0"/>
    <w:rsid w:val="05D4425A"/>
    <w:rsid w:val="05D45367"/>
    <w:rsid w:val="05D84E57"/>
    <w:rsid w:val="05F40FBD"/>
    <w:rsid w:val="05F94DCD"/>
    <w:rsid w:val="05FF022D"/>
    <w:rsid w:val="060F2843"/>
    <w:rsid w:val="0618356D"/>
    <w:rsid w:val="062E2917"/>
    <w:rsid w:val="0637499C"/>
    <w:rsid w:val="064B6CC3"/>
    <w:rsid w:val="065D535C"/>
    <w:rsid w:val="066F4FFD"/>
    <w:rsid w:val="06817281"/>
    <w:rsid w:val="068930BD"/>
    <w:rsid w:val="06A157B1"/>
    <w:rsid w:val="06A64B7E"/>
    <w:rsid w:val="06AB256C"/>
    <w:rsid w:val="06BA7F15"/>
    <w:rsid w:val="06C0230E"/>
    <w:rsid w:val="06C57B04"/>
    <w:rsid w:val="06E329C6"/>
    <w:rsid w:val="06E848AA"/>
    <w:rsid w:val="070A424D"/>
    <w:rsid w:val="07126147"/>
    <w:rsid w:val="071D4B6E"/>
    <w:rsid w:val="07261BF2"/>
    <w:rsid w:val="072E28A4"/>
    <w:rsid w:val="07463B51"/>
    <w:rsid w:val="07466C86"/>
    <w:rsid w:val="074B1659"/>
    <w:rsid w:val="075B3E6D"/>
    <w:rsid w:val="077943D1"/>
    <w:rsid w:val="0784778C"/>
    <w:rsid w:val="078B5EF9"/>
    <w:rsid w:val="079C3C62"/>
    <w:rsid w:val="07AF706E"/>
    <w:rsid w:val="07BB2712"/>
    <w:rsid w:val="07C03DF5"/>
    <w:rsid w:val="07C84A57"/>
    <w:rsid w:val="07C934C7"/>
    <w:rsid w:val="07D948ED"/>
    <w:rsid w:val="07DB340B"/>
    <w:rsid w:val="07DE071F"/>
    <w:rsid w:val="07E5385B"/>
    <w:rsid w:val="07E708A6"/>
    <w:rsid w:val="081164A2"/>
    <w:rsid w:val="082C6406"/>
    <w:rsid w:val="08414F1A"/>
    <w:rsid w:val="085207C5"/>
    <w:rsid w:val="085B200E"/>
    <w:rsid w:val="086960BC"/>
    <w:rsid w:val="087D1CE6"/>
    <w:rsid w:val="087D5842"/>
    <w:rsid w:val="088B3034"/>
    <w:rsid w:val="088E5CA1"/>
    <w:rsid w:val="088F3F4A"/>
    <w:rsid w:val="08973C05"/>
    <w:rsid w:val="08994CCE"/>
    <w:rsid w:val="08AE1E9F"/>
    <w:rsid w:val="08AE6343"/>
    <w:rsid w:val="08CC4152"/>
    <w:rsid w:val="08CE0793"/>
    <w:rsid w:val="08F83464"/>
    <w:rsid w:val="08FB62E0"/>
    <w:rsid w:val="09042473"/>
    <w:rsid w:val="090612CD"/>
    <w:rsid w:val="093F28FF"/>
    <w:rsid w:val="096E162E"/>
    <w:rsid w:val="09A45050"/>
    <w:rsid w:val="09A6701A"/>
    <w:rsid w:val="09BC683E"/>
    <w:rsid w:val="09C164AF"/>
    <w:rsid w:val="09C44DB8"/>
    <w:rsid w:val="09C733B2"/>
    <w:rsid w:val="09CF0ED6"/>
    <w:rsid w:val="09D623BE"/>
    <w:rsid w:val="0A07227D"/>
    <w:rsid w:val="0A1C1771"/>
    <w:rsid w:val="0A261F09"/>
    <w:rsid w:val="0A410AF1"/>
    <w:rsid w:val="0A420B8E"/>
    <w:rsid w:val="0A474359"/>
    <w:rsid w:val="0A494C77"/>
    <w:rsid w:val="0A596E29"/>
    <w:rsid w:val="0A656ED5"/>
    <w:rsid w:val="0AD7247A"/>
    <w:rsid w:val="0AE20526"/>
    <w:rsid w:val="0AF63A05"/>
    <w:rsid w:val="0AFB06BA"/>
    <w:rsid w:val="0B04049C"/>
    <w:rsid w:val="0B0E6074"/>
    <w:rsid w:val="0B13213A"/>
    <w:rsid w:val="0B294C45"/>
    <w:rsid w:val="0B4D3BF1"/>
    <w:rsid w:val="0B622204"/>
    <w:rsid w:val="0B6C1D3A"/>
    <w:rsid w:val="0B925AA8"/>
    <w:rsid w:val="0B937B18"/>
    <w:rsid w:val="0BA3629B"/>
    <w:rsid w:val="0BA63302"/>
    <w:rsid w:val="0BB47B4C"/>
    <w:rsid w:val="0BC1141C"/>
    <w:rsid w:val="0BC1638D"/>
    <w:rsid w:val="0BE65DF4"/>
    <w:rsid w:val="0C0145CC"/>
    <w:rsid w:val="0C0D15D3"/>
    <w:rsid w:val="0C0F6BAC"/>
    <w:rsid w:val="0C187218"/>
    <w:rsid w:val="0C3C77C2"/>
    <w:rsid w:val="0C7C29CB"/>
    <w:rsid w:val="0C853DD3"/>
    <w:rsid w:val="0C9910B8"/>
    <w:rsid w:val="0CAD06C0"/>
    <w:rsid w:val="0CBB5269"/>
    <w:rsid w:val="0CC529B0"/>
    <w:rsid w:val="0CCE2B10"/>
    <w:rsid w:val="0CD6503B"/>
    <w:rsid w:val="0CDB3951"/>
    <w:rsid w:val="0CED135C"/>
    <w:rsid w:val="0CFF0F1B"/>
    <w:rsid w:val="0D0E5602"/>
    <w:rsid w:val="0D2426F6"/>
    <w:rsid w:val="0D2A6B96"/>
    <w:rsid w:val="0D393AAF"/>
    <w:rsid w:val="0D4977E2"/>
    <w:rsid w:val="0D646FD0"/>
    <w:rsid w:val="0D6B035F"/>
    <w:rsid w:val="0D7F05E0"/>
    <w:rsid w:val="0D8F5536"/>
    <w:rsid w:val="0D946CC0"/>
    <w:rsid w:val="0D961154"/>
    <w:rsid w:val="0DAE1B12"/>
    <w:rsid w:val="0DB2185C"/>
    <w:rsid w:val="0DCC50EE"/>
    <w:rsid w:val="0DCD2DC7"/>
    <w:rsid w:val="0DCE6FD7"/>
    <w:rsid w:val="0DD16D94"/>
    <w:rsid w:val="0DDA7292"/>
    <w:rsid w:val="0DE03144"/>
    <w:rsid w:val="0E0C5F1C"/>
    <w:rsid w:val="0E100F06"/>
    <w:rsid w:val="0E1053AA"/>
    <w:rsid w:val="0E1909FD"/>
    <w:rsid w:val="0E1F39E3"/>
    <w:rsid w:val="0E261694"/>
    <w:rsid w:val="0E2624D8"/>
    <w:rsid w:val="0E3A4E9C"/>
    <w:rsid w:val="0E4C3E6F"/>
    <w:rsid w:val="0E4E293E"/>
    <w:rsid w:val="0E517E3C"/>
    <w:rsid w:val="0E5C414B"/>
    <w:rsid w:val="0E8C422E"/>
    <w:rsid w:val="0EB14441"/>
    <w:rsid w:val="0EC60EF7"/>
    <w:rsid w:val="0EC87A33"/>
    <w:rsid w:val="0ED70E7F"/>
    <w:rsid w:val="0F1E7653"/>
    <w:rsid w:val="0F25249E"/>
    <w:rsid w:val="0F753717"/>
    <w:rsid w:val="0F7E79BF"/>
    <w:rsid w:val="0F9B4509"/>
    <w:rsid w:val="0FA20284"/>
    <w:rsid w:val="0FB029A1"/>
    <w:rsid w:val="0FC918DC"/>
    <w:rsid w:val="0FC9703E"/>
    <w:rsid w:val="0FDC2AA1"/>
    <w:rsid w:val="0FDC2DB5"/>
    <w:rsid w:val="0FE66006"/>
    <w:rsid w:val="0FFB3E55"/>
    <w:rsid w:val="10065FD9"/>
    <w:rsid w:val="10076DF6"/>
    <w:rsid w:val="10087D69"/>
    <w:rsid w:val="100D1BA1"/>
    <w:rsid w:val="101649EC"/>
    <w:rsid w:val="10294501"/>
    <w:rsid w:val="102B3AF2"/>
    <w:rsid w:val="104355C3"/>
    <w:rsid w:val="10480E2B"/>
    <w:rsid w:val="10690272"/>
    <w:rsid w:val="109827B7"/>
    <w:rsid w:val="109E0A4B"/>
    <w:rsid w:val="10B77D5F"/>
    <w:rsid w:val="10CF32FA"/>
    <w:rsid w:val="10DD77C5"/>
    <w:rsid w:val="10E368A9"/>
    <w:rsid w:val="10F724B7"/>
    <w:rsid w:val="10FF1479"/>
    <w:rsid w:val="11004148"/>
    <w:rsid w:val="110275B1"/>
    <w:rsid w:val="111A1C11"/>
    <w:rsid w:val="11286567"/>
    <w:rsid w:val="112E0967"/>
    <w:rsid w:val="112F3B4D"/>
    <w:rsid w:val="112F5B47"/>
    <w:rsid w:val="117F6ACF"/>
    <w:rsid w:val="11914C50"/>
    <w:rsid w:val="11A622AD"/>
    <w:rsid w:val="11AC7198"/>
    <w:rsid w:val="11DC38AE"/>
    <w:rsid w:val="11E3705D"/>
    <w:rsid w:val="11E93F48"/>
    <w:rsid w:val="11F02EDE"/>
    <w:rsid w:val="11FC1AED"/>
    <w:rsid w:val="11FD265B"/>
    <w:rsid w:val="120D5E88"/>
    <w:rsid w:val="12472676"/>
    <w:rsid w:val="12523B46"/>
    <w:rsid w:val="1252752F"/>
    <w:rsid w:val="12554597"/>
    <w:rsid w:val="126F6B43"/>
    <w:rsid w:val="12845D1D"/>
    <w:rsid w:val="1299596E"/>
    <w:rsid w:val="129F335C"/>
    <w:rsid w:val="12C20AD4"/>
    <w:rsid w:val="12DE21FA"/>
    <w:rsid w:val="12E24589"/>
    <w:rsid w:val="12EC0194"/>
    <w:rsid w:val="12EE1F87"/>
    <w:rsid w:val="13005F7F"/>
    <w:rsid w:val="131C6240"/>
    <w:rsid w:val="132F6E91"/>
    <w:rsid w:val="133236CD"/>
    <w:rsid w:val="133631BD"/>
    <w:rsid w:val="13367EB4"/>
    <w:rsid w:val="133E63BF"/>
    <w:rsid w:val="13433B2C"/>
    <w:rsid w:val="134749AD"/>
    <w:rsid w:val="136303CB"/>
    <w:rsid w:val="136524C5"/>
    <w:rsid w:val="13684F6C"/>
    <w:rsid w:val="139544F7"/>
    <w:rsid w:val="13AC5F43"/>
    <w:rsid w:val="13D44784"/>
    <w:rsid w:val="13E8624A"/>
    <w:rsid w:val="13F015BE"/>
    <w:rsid w:val="142B6A9A"/>
    <w:rsid w:val="144C07BE"/>
    <w:rsid w:val="14575D54"/>
    <w:rsid w:val="145D186B"/>
    <w:rsid w:val="145D2858"/>
    <w:rsid w:val="1461160D"/>
    <w:rsid w:val="14633086"/>
    <w:rsid w:val="147C72F5"/>
    <w:rsid w:val="149D3CAF"/>
    <w:rsid w:val="14B7657F"/>
    <w:rsid w:val="14BA1BCC"/>
    <w:rsid w:val="14D81917"/>
    <w:rsid w:val="14EB5314"/>
    <w:rsid w:val="14F046B4"/>
    <w:rsid w:val="15090DF1"/>
    <w:rsid w:val="150A60DD"/>
    <w:rsid w:val="152D05F0"/>
    <w:rsid w:val="15311E8E"/>
    <w:rsid w:val="153E0A4F"/>
    <w:rsid w:val="154C4F1A"/>
    <w:rsid w:val="154F3DA0"/>
    <w:rsid w:val="157A45AB"/>
    <w:rsid w:val="158346B4"/>
    <w:rsid w:val="15900947"/>
    <w:rsid w:val="159468C1"/>
    <w:rsid w:val="15D63292"/>
    <w:rsid w:val="15D64EF0"/>
    <w:rsid w:val="15DA4F00"/>
    <w:rsid w:val="15F630D7"/>
    <w:rsid w:val="16092E0B"/>
    <w:rsid w:val="16187A98"/>
    <w:rsid w:val="161C2B3E"/>
    <w:rsid w:val="161C4821"/>
    <w:rsid w:val="1624650B"/>
    <w:rsid w:val="162714E3"/>
    <w:rsid w:val="163137A6"/>
    <w:rsid w:val="163559AE"/>
    <w:rsid w:val="16412024"/>
    <w:rsid w:val="164503EC"/>
    <w:rsid w:val="16467BBB"/>
    <w:rsid w:val="16491459"/>
    <w:rsid w:val="165E051B"/>
    <w:rsid w:val="1682323F"/>
    <w:rsid w:val="16A46254"/>
    <w:rsid w:val="16A86180"/>
    <w:rsid w:val="16AA4374"/>
    <w:rsid w:val="16B15CA2"/>
    <w:rsid w:val="16B41499"/>
    <w:rsid w:val="16B5089D"/>
    <w:rsid w:val="16CF768A"/>
    <w:rsid w:val="16E83311"/>
    <w:rsid w:val="16F16621"/>
    <w:rsid w:val="17103770"/>
    <w:rsid w:val="17190E2C"/>
    <w:rsid w:val="171A4BA4"/>
    <w:rsid w:val="173E0892"/>
    <w:rsid w:val="175372AA"/>
    <w:rsid w:val="1761189A"/>
    <w:rsid w:val="17793FC0"/>
    <w:rsid w:val="17917892"/>
    <w:rsid w:val="17AD77C6"/>
    <w:rsid w:val="17CA0378"/>
    <w:rsid w:val="17D17958"/>
    <w:rsid w:val="17F3167D"/>
    <w:rsid w:val="18010887"/>
    <w:rsid w:val="180A2E6A"/>
    <w:rsid w:val="182315A8"/>
    <w:rsid w:val="1823404F"/>
    <w:rsid w:val="182932F0"/>
    <w:rsid w:val="184567C0"/>
    <w:rsid w:val="18690202"/>
    <w:rsid w:val="1878128A"/>
    <w:rsid w:val="187D25EC"/>
    <w:rsid w:val="18816525"/>
    <w:rsid w:val="18954E2A"/>
    <w:rsid w:val="18A1536C"/>
    <w:rsid w:val="18A22BE0"/>
    <w:rsid w:val="18A722B7"/>
    <w:rsid w:val="18D771F0"/>
    <w:rsid w:val="18E65685"/>
    <w:rsid w:val="18FC4A33"/>
    <w:rsid w:val="190470B1"/>
    <w:rsid w:val="192A0D59"/>
    <w:rsid w:val="19375EE1"/>
    <w:rsid w:val="193D5CAC"/>
    <w:rsid w:val="19502AFF"/>
    <w:rsid w:val="196029BC"/>
    <w:rsid w:val="196127AF"/>
    <w:rsid w:val="196149DD"/>
    <w:rsid w:val="196A2073"/>
    <w:rsid w:val="196D4550"/>
    <w:rsid w:val="196E04FF"/>
    <w:rsid w:val="19706DA8"/>
    <w:rsid w:val="1971594C"/>
    <w:rsid w:val="19732267"/>
    <w:rsid w:val="198E64FA"/>
    <w:rsid w:val="199450E1"/>
    <w:rsid w:val="19977715"/>
    <w:rsid w:val="199D3F96"/>
    <w:rsid w:val="199F6031"/>
    <w:rsid w:val="19E7401A"/>
    <w:rsid w:val="19E92ED7"/>
    <w:rsid w:val="19F57F4C"/>
    <w:rsid w:val="1A18186E"/>
    <w:rsid w:val="1A200723"/>
    <w:rsid w:val="1A2975D8"/>
    <w:rsid w:val="1A412EBA"/>
    <w:rsid w:val="1A514D80"/>
    <w:rsid w:val="1A516B2E"/>
    <w:rsid w:val="1A644AB4"/>
    <w:rsid w:val="1A8707A2"/>
    <w:rsid w:val="1A8E4ABA"/>
    <w:rsid w:val="1A9165C6"/>
    <w:rsid w:val="1A98650B"/>
    <w:rsid w:val="1AA615A6"/>
    <w:rsid w:val="1ABD5F72"/>
    <w:rsid w:val="1AC65CFC"/>
    <w:rsid w:val="1ADF1D58"/>
    <w:rsid w:val="1B07305E"/>
    <w:rsid w:val="1B3A7A37"/>
    <w:rsid w:val="1B5872C9"/>
    <w:rsid w:val="1B636B19"/>
    <w:rsid w:val="1B66485B"/>
    <w:rsid w:val="1B6823C0"/>
    <w:rsid w:val="1B6C70AB"/>
    <w:rsid w:val="1B9413C8"/>
    <w:rsid w:val="1B972C67"/>
    <w:rsid w:val="1BA41E8B"/>
    <w:rsid w:val="1BAE1140"/>
    <w:rsid w:val="1BB235FD"/>
    <w:rsid w:val="1BB27AA1"/>
    <w:rsid w:val="1BBE60C0"/>
    <w:rsid w:val="1BD04127"/>
    <w:rsid w:val="1BE21353"/>
    <w:rsid w:val="1BE25871"/>
    <w:rsid w:val="1BE539D2"/>
    <w:rsid w:val="1BEF2B65"/>
    <w:rsid w:val="1C012E1D"/>
    <w:rsid w:val="1C053F8F"/>
    <w:rsid w:val="1C3605D7"/>
    <w:rsid w:val="1C36422E"/>
    <w:rsid w:val="1C4E05CA"/>
    <w:rsid w:val="1C656889"/>
    <w:rsid w:val="1C9851A4"/>
    <w:rsid w:val="1C9E32DB"/>
    <w:rsid w:val="1CB57848"/>
    <w:rsid w:val="1CC61A56"/>
    <w:rsid w:val="1CCF0226"/>
    <w:rsid w:val="1CED2268"/>
    <w:rsid w:val="1CF245F9"/>
    <w:rsid w:val="1D014D82"/>
    <w:rsid w:val="1D215921"/>
    <w:rsid w:val="1D220702"/>
    <w:rsid w:val="1D222896"/>
    <w:rsid w:val="1D24677C"/>
    <w:rsid w:val="1D305121"/>
    <w:rsid w:val="1D356978"/>
    <w:rsid w:val="1D3A5FA0"/>
    <w:rsid w:val="1D3D339A"/>
    <w:rsid w:val="1D453BDA"/>
    <w:rsid w:val="1D457387"/>
    <w:rsid w:val="1D4604A0"/>
    <w:rsid w:val="1D633229"/>
    <w:rsid w:val="1D665076"/>
    <w:rsid w:val="1D730816"/>
    <w:rsid w:val="1DB60F3B"/>
    <w:rsid w:val="1DB95116"/>
    <w:rsid w:val="1DC704A9"/>
    <w:rsid w:val="1DD261B5"/>
    <w:rsid w:val="1DFD6BCE"/>
    <w:rsid w:val="1E0345E3"/>
    <w:rsid w:val="1E447DED"/>
    <w:rsid w:val="1E761259"/>
    <w:rsid w:val="1E827BFE"/>
    <w:rsid w:val="1E8A58C8"/>
    <w:rsid w:val="1E8C6387"/>
    <w:rsid w:val="1EA25BAA"/>
    <w:rsid w:val="1EBC63EB"/>
    <w:rsid w:val="1EC618AE"/>
    <w:rsid w:val="1ECE6634"/>
    <w:rsid w:val="1EDB5833"/>
    <w:rsid w:val="1EE461C3"/>
    <w:rsid w:val="1F060FA9"/>
    <w:rsid w:val="1F242A63"/>
    <w:rsid w:val="1F2F6B77"/>
    <w:rsid w:val="1F3C53F6"/>
    <w:rsid w:val="1F47260B"/>
    <w:rsid w:val="1F51312D"/>
    <w:rsid w:val="1F716966"/>
    <w:rsid w:val="1F844211"/>
    <w:rsid w:val="1F86331D"/>
    <w:rsid w:val="1FBF3DA4"/>
    <w:rsid w:val="1FCA77AD"/>
    <w:rsid w:val="1FE71D05"/>
    <w:rsid w:val="1FF70178"/>
    <w:rsid w:val="1FFC6660"/>
    <w:rsid w:val="20012DA5"/>
    <w:rsid w:val="20590CF1"/>
    <w:rsid w:val="206D2C09"/>
    <w:rsid w:val="207215AC"/>
    <w:rsid w:val="207940F7"/>
    <w:rsid w:val="20887C79"/>
    <w:rsid w:val="208C3627"/>
    <w:rsid w:val="208D6343"/>
    <w:rsid w:val="20C718F8"/>
    <w:rsid w:val="20D364EF"/>
    <w:rsid w:val="20E83ABC"/>
    <w:rsid w:val="20EB3D64"/>
    <w:rsid w:val="20FB606D"/>
    <w:rsid w:val="20FC3C98"/>
    <w:rsid w:val="212F7953"/>
    <w:rsid w:val="21464F13"/>
    <w:rsid w:val="2148495E"/>
    <w:rsid w:val="21535882"/>
    <w:rsid w:val="21577120"/>
    <w:rsid w:val="215E7CCE"/>
    <w:rsid w:val="218618DF"/>
    <w:rsid w:val="21917EFC"/>
    <w:rsid w:val="21937A2C"/>
    <w:rsid w:val="2197576F"/>
    <w:rsid w:val="21A000BC"/>
    <w:rsid w:val="21C978F2"/>
    <w:rsid w:val="21D36D57"/>
    <w:rsid w:val="21D40771"/>
    <w:rsid w:val="21D430D8"/>
    <w:rsid w:val="21E708E7"/>
    <w:rsid w:val="21EA7F94"/>
    <w:rsid w:val="21F566E6"/>
    <w:rsid w:val="22054B21"/>
    <w:rsid w:val="221B4E1C"/>
    <w:rsid w:val="221E3BBB"/>
    <w:rsid w:val="223C6316"/>
    <w:rsid w:val="22543103"/>
    <w:rsid w:val="225B0095"/>
    <w:rsid w:val="225E0781"/>
    <w:rsid w:val="22784224"/>
    <w:rsid w:val="228323A4"/>
    <w:rsid w:val="228C4BA7"/>
    <w:rsid w:val="22954DFB"/>
    <w:rsid w:val="22DD12FA"/>
    <w:rsid w:val="22DE2AD5"/>
    <w:rsid w:val="22F75CE7"/>
    <w:rsid w:val="23046E34"/>
    <w:rsid w:val="231E68F3"/>
    <w:rsid w:val="23276930"/>
    <w:rsid w:val="23490CEA"/>
    <w:rsid w:val="234D35DF"/>
    <w:rsid w:val="234D45F8"/>
    <w:rsid w:val="2357795E"/>
    <w:rsid w:val="235C6C70"/>
    <w:rsid w:val="2369111C"/>
    <w:rsid w:val="23AE4805"/>
    <w:rsid w:val="23B33E8E"/>
    <w:rsid w:val="23C93BD9"/>
    <w:rsid w:val="23CD52DA"/>
    <w:rsid w:val="23D031BA"/>
    <w:rsid w:val="23D5432C"/>
    <w:rsid w:val="23D867FD"/>
    <w:rsid w:val="23E7405F"/>
    <w:rsid w:val="2419303C"/>
    <w:rsid w:val="2423778D"/>
    <w:rsid w:val="24302F1E"/>
    <w:rsid w:val="2436290E"/>
    <w:rsid w:val="246D0A09"/>
    <w:rsid w:val="24771887"/>
    <w:rsid w:val="24885842"/>
    <w:rsid w:val="2499362A"/>
    <w:rsid w:val="249D284D"/>
    <w:rsid w:val="24A53510"/>
    <w:rsid w:val="24D04FF5"/>
    <w:rsid w:val="24D96685"/>
    <w:rsid w:val="24DD51E3"/>
    <w:rsid w:val="24E77521"/>
    <w:rsid w:val="24EB32CF"/>
    <w:rsid w:val="24EF1C26"/>
    <w:rsid w:val="24FD2A4A"/>
    <w:rsid w:val="2500420D"/>
    <w:rsid w:val="2504136D"/>
    <w:rsid w:val="250F1E64"/>
    <w:rsid w:val="251331EE"/>
    <w:rsid w:val="254428A4"/>
    <w:rsid w:val="254E4396"/>
    <w:rsid w:val="25535523"/>
    <w:rsid w:val="258778A8"/>
    <w:rsid w:val="258F065A"/>
    <w:rsid w:val="25AA505F"/>
    <w:rsid w:val="25AB0228"/>
    <w:rsid w:val="25AE3229"/>
    <w:rsid w:val="25B52667"/>
    <w:rsid w:val="25BA43DD"/>
    <w:rsid w:val="25C66A1A"/>
    <w:rsid w:val="25CF5FD2"/>
    <w:rsid w:val="25D521C4"/>
    <w:rsid w:val="25E15AAF"/>
    <w:rsid w:val="25F20F42"/>
    <w:rsid w:val="25F82554"/>
    <w:rsid w:val="261A071C"/>
    <w:rsid w:val="261A4BC0"/>
    <w:rsid w:val="262C4E33"/>
    <w:rsid w:val="2635049A"/>
    <w:rsid w:val="26606A77"/>
    <w:rsid w:val="266100F9"/>
    <w:rsid w:val="266B541C"/>
    <w:rsid w:val="266E2F71"/>
    <w:rsid w:val="26951A59"/>
    <w:rsid w:val="26A67456"/>
    <w:rsid w:val="26D72E9A"/>
    <w:rsid w:val="26DD1E76"/>
    <w:rsid w:val="2702519E"/>
    <w:rsid w:val="270D57BC"/>
    <w:rsid w:val="271A2C96"/>
    <w:rsid w:val="27231678"/>
    <w:rsid w:val="27395E67"/>
    <w:rsid w:val="274572A5"/>
    <w:rsid w:val="274F43F6"/>
    <w:rsid w:val="276C144B"/>
    <w:rsid w:val="27715ADA"/>
    <w:rsid w:val="27746CDC"/>
    <w:rsid w:val="277F5944"/>
    <w:rsid w:val="27802DF0"/>
    <w:rsid w:val="278620A5"/>
    <w:rsid w:val="27906A00"/>
    <w:rsid w:val="279B588D"/>
    <w:rsid w:val="27A6219F"/>
    <w:rsid w:val="27A622B9"/>
    <w:rsid w:val="27C84861"/>
    <w:rsid w:val="27DD40F7"/>
    <w:rsid w:val="27E070B1"/>
    <w:rsid w:val="27E163BA"/>
    <w:rsid w:val="281178FD"/>
    <w:rsid w:val="281F201A"/>
    <w:rsid w:val="28235FAE"/>
    <w:rsid w:val="28285372"/>
    <w:rsid w:val="284A5F74"/>
    <w:rsid w:val="28520641"/>
    <w:rsid w:val="286B4800"/>
    <w:rsid w:val="28784C0E"/>
    <w:rsid w:val="28796F4D"/>
    <w:rsid w:val="287E1086"/>
    <w:rsid w:val="28A97330"/>
    <w:rsid w:val="28C40176"/>
    <w:rsid w:val="28C66B5F"/>
    <w:rsid w:val="28C8445F"/>
    <w:rsid w:val="28CB31C7"/>
    <w:rsid w:val="28D21CE9"/>
    <w:rsid w:val="28E90B53"/>
    <w:rsid w:val="28F26483"/>
    <w:rsid w:val="28F52AD3"/>
    <w:rsid w:val="290B62CB"/>
    <w:rsid w:val="291716B3"/>
    <w:rsid w:val="291D0C4F"/>
    <w:rsid w:val="291E6775"/>
    <w:rsid w:val="29251585"/>
    <w:rsid w:val="2982415D"/>
    <w:rsid w:val="299802D6"/>
    <w:rsid w:val="29B86A4F"/>
    <w:rsid w:val="29BF1254"/>
    <w:rsid w:val="29EA586E"/>
    <w:rsid w:val="2A4251EF"/>
    <w:rsid w:val="2A4D7194"/>
    <w:rsid w:val="2A7331BD"/>
    <w:rsid w:val="2A8E1FFB"/>
    <w:rsid w:val="2A932BB6"/>
    <w:rsid w:val="2ABE388D"/>
    <w:rsid w:val="2ABE3D6C"/>
    <w:rsid w:val="2ABF4778"/>
    <w:rsid w:val="2ACB46DB"/>
    <w:rsid w:val="2ACF0639"/>
    <w:rsid w:val="2AD67139"/>
    <w:rsid w:val="2AF25958"/>
    <w:rsid w:val="2AF658A4"/>
    <w:rsid w:val="2B0F6F24"/>
    <w:rsid w:val="2B144310"/>
    <w:rsid w:val="2B2F06A6"/>
    <w:rsid w:val="2B6B0121"/>
    <w:rsid w:val="2B735625"/>
    <w:rsid w:val="2B7663F5"/>
    <w:rsid w:val="2B936FA7"/>
    <w:rsid w:val="2B976EA5"/>
    <w:rsid w:val="2BB71776"/>
    <w:rsid w:val="2BCD78C0"/>
    <w:rsid w:val="2BDF3837"/>
    <w:rsid w:val="2BE241FD"/>
    <w:rsid w:val="2BEC489B"/>
    <w:rsid w:val="2C041C52"/>
    <w:rsid w:val="2C1F6752"/>
    <w:rsid w:val="2C2167D4"/>
    <w:rsid w:val="2C295F0F"/>
    <w:rsid w:val="2C2C73FB"/>
    <w:rsid w:val="2C310918"/>
    <w:rsid w:val="2C320B95"/>
    <w:rsid w:val="2C424529"/>
    <w:rsid w:val="2C4F6144"/>
    <w:rsid w:val="2C9034E6"/>
    <w:rsid w:val="2CBC7AB8"/>
    <w:rsid w:val="2CC52496"/>
    <w:rsid w:val="2CD81CF1"/>
    <w:rsid w:val="2CF02CEE"/>
    <w:rsid w:val="2D11436E"/>
    <w:rsid w:val="2D154B6D"/>
    <w:rsid w:val="2D3447B9"/>
    <w:rsid w:val="2D3A1090"/>
    <w:rsid w:val="2D430559"/>
    <w:rsid w:val="2D517D99"/>
    <w:rsid w:val="2D584B56"/>
    <w:rsid w:val="2D955755"/>
    <w:rsid w:val="2D990AC0"/>
    <w:rsid w:val="2DB03C56"/>
    <w:rsid w:val="2DB24E72"/>
    <w:rsid w:val="2DC140F1"/>
    <w:rsid w:val="2DDD09AD"/>
    <w:rsid w:val="2DE947AC"/>
    <w:rsid w:val="2DF6381D"/>
    <w:rsid w:val="2DF72B01"/>
    <w:rsid w:val="2DFD2F6E"/>
    <w:rsid w:val="2E084104"/>
    <w:rsid w:val="2E264E07"/>
    <w:rsid w:val="2E437E3F"/>
    <w:rsid w:val="2E5B304D"/>
    <w:rsid w:val="2E5D1AEE"/>
    <w:rsid w:val="2E5F13C2"/>
    <w:rsid w:val="2E6747AE"/>
    <w:rsid w:val="2ED57479"/>
    <w:rsid w:val="2EEC05AE"/>
    <w:rsid w:val="2F1403FE"/>
    <w:rsid w:val="2F210D6D"/>
    <w:rsid w:val="2F4837E2"/>
    <w:rsid w:val="2F634EE2"/>
    <w:rsid w:val="2F8A6913"/>
    <w:rsid w:val="2FB1610C"/>
    <w:rsid w:val="2FB73743"/>
    <w:rsid w:val="2FC53494"/>
    <w:rsid w:val="2FE5501A"/>
    <w:rsid w:val="2FEC07F3"/>
    <w:rsid w:val="300246FB"/>
    <w:rsid w:val="301067A5"/>
    <w:rsid w:val="30143200"/>
    <w:rsid w:val="30190DE7"/>
    <w:rsid w:val="302A04A7"/>
    <w:rsid w:val="30330DD3"/>
    <w:rsid w:val="3036525C"/>
    <w:rsid w:val="3044710A"/>
    <w:rsid w:val="30515682"/>
    <w:rsid w:val="305807BF"/>
    <w:rsid w:val="3092644E"/>
    <w:rsid w:val="30977539"/>
    <w:rsid w:val="309C5D9D"/>
    <w:rsid w:val="30A12166"/>
    <w:rsid w:val="30AB4D93"/>
    <w:rsid w:val="30AE4CAF"/>
    <w:rsid w:val="30AE7074"/>
    <w:rsid w:val="30D8545C"/>
    <w:rsid w:val="30DA7035"/>
    <w:rsid w:val="30DE0729"/>
    <w:rsid w:val="30EA1EE8"/>
    <w:rsid w:val="30ED546B"/>
    <w:rsid w:val="30F85A58"/>
    <w:rsid w:val="31097D0B"/>
    <w:rsid w:val="311A10CC"/>
    <w:rsid w:val="3120566D"/>
    <w:rsid w:val="312D1C4B"/>
    <w:rsid w:val="313308E4"/>
    <w:rsid w:val="31436D79"/>
    <w:rsid w:val="315C7E3B"/>
    <w:rsid w:val="315F792B"/>
    <w:rsid w:val="31837ABD"/>
    <w:rsid w:val="31905E79"/>
    <w:rsid w:val="31983F13"/>
    <w:rsid w:val="31AD718D"/>
    <w:rsid w:val="31E01503"/>
    <w:rsid w:val="31E83DC4"/>
    <w:rsid w:val="31EA18EB"/>
    <w:rsid w:val="31F00FC8"/>
    <w:rsid w:val="320D55D9"/>
    <w:rsid w:val="321F3719"/>
    <w:rsid w:val="323745C1"/>
    <w:rsid w:val="323B5CA2"/>
    <w:rsid w:val="32472B70"/>
    <w:rsid w:val="32580949"/>
    <w:rsid w:val="32702F51"/>
    <w:rsid w:val="327436E1"/>
    <w:rsid w:val="328C0BC3"/>
    <w:rsid w:val="32A74A94"/>
    <w:rsid w:val="32AC6BA0"/>
    <w:rsid w:val="32BB5035"/>
    <w:rsid w:val="32CB34CA"/>
    <w:rsid w:val="32CB52DE"/>
    <w:rsid w:val="32DA44CF"/>
    <w:rsid w:val="334D3CCA"/>
    <w:rsid w:val="33501C21"/>
    <w:rsid w:val="335D7E9A"/>
    <w:rsid w:val="33614333"/>
    <w:rsid w:val="33677D24"/>
    <w:rsid w:val="339F7436"/>
    <w:rsid w:val="33A91021"/>
    <w:rsid w:val="33AF6948"/>
    <w:rsid w:val="33B03DEF"/>
    <w:rsid w:val="33B0446E"/>
    <w:rsid w:val="33B61EB0"/>
    <w:rsid w:val="33D631D9"/>
    <w:rsid w:val="33E32A95"/>
    <w:rsid w:val="33F144DC"/>
    <w:rsid w:val="3401743D"/>
    <w:rsid w:val="340D366E"/>
    <w:rsid w:val="341A0FA3"/>
    <w:rsid w:val="342E6CF9"/>
    <w:rsid w:val="343470B5"/>
    <w:rsid w:val="343E5F1E"/>
    <w:rsid w:val="34433534"/>
    <w:rsid w:val="34436A2A"/>
    <w:rsid w:val="34442F4F"/>
    <w:rsid w:val="345301D9"/>
    <w:rsid w:val="34563267"/>
    <w:rsid w:val="345E036E"/>
    <w:rsid w:val="34621C0C"/>
    <w:rsid w:val="34800283"/>
    <w:rsid w:val="3483005F"/>
    <w:rsid w:val="34936269"/>
    <w:rsid w:val="34C55C52"/>
    <w:rsid w:val="34C71763"/>
    <w:rsid w:val="34D31C7B"/>
    <w:rsid w:val="34DD38AF"/>
    <w:rsid w:val="34E116C0"/>
    <w:rsid w:val="34F0009B"/>
    <w:rsid w:val="351A011E"/>
    <w:rsid w:val="35242BD7"/>
    <w:rsid w:val="352E1AEE"/>
    <w:rsid w:val="35373AAC"/>
    <w:rsid w:val="35374E47"/>
    <w:rsid w:val="354B7F8F"/>
    <w:rsid w:val="35520C5C"/>
    <w:rsid w:val="35527ED3"/>
    <w:rsid w:val="3577361D"/>
    <w:rsid w:val="35851A15"/>
    <w:rsid w:val="358A6EDB"/>
    <w:rsid w:val="359202CF"/>
    <w:rsid w:val="359A3740"/>
    <w:rsid w:val="35B30245"/>
    <w:rsid w:val="35C15AD5"/>
    <w:rsid w:val="35C82680"/>
    <w:rsid w:val="35E054DE"/>
    <w:rsid w:val="35E30B2B"/>
    <w:rsid w:val="360417F0"/>
    <w:rsid w:val="360A7C40"/>
    <w:rsid w:val="36171DC5"/>
    <w:rsid w:val="36257DAA"/>
    <w:rsid w:val="363441F8"/>
    <w:rsid w:val="365F74DC"/>
    <w:rsid w:val="36625EF3"/>
    <w:rsid w:val="367B5207"/>
    <w:rsid w:val="369E4A52"/>
    <w:rsid w:val="36AB46A8"/>
    <w:rsid w:val="36DE34A6"/>
    <w:rsid w:val="36EE7787"/>
    <w:rsid w:val="36F26843"/>
    <w:rsid w:val="37076A9B"/>
    <w:rsid w:val="37117919"/>
    <w:rsid w:val="37126BC7"/>
    <w:rsid w:val="372C6501"/>
    <w:rsid w:val="37305FF2"/>
    <w:rsid w:val="37335AE2"/>
    <w:rsid w:val="3744046B"/>
    <w:rsid w:val="37472888"/>
    <w:rsid w:val="37596407"/>
    <w:rsid w:val="375F3E1F"/>
    <w:rsid w:val="377B7EA0"/>
    <w:rsid w:val="377F7C0A"/>
    <w:rsid w:val="3784633D"/>
    <w:rsid w:val="37A97B52"/>
    <w:rsid w:val="37B26A07"/>
    <w:rsid w:val="37BF7375"/>
    <w:rsid w:val="37CA01F4"/>
    <w:rsid w:val="37CE66E5"/>
    <w:rsid w:val="37D90628"/>
    <w:rsid w:val="37EA17DA"/>
    <w:rsid w:val="37F643EA"/>
    <w:rsid w:val="382C31FF"/>
    <w:rsid w:val="383D7513"/>
    <w:rsid w:val="384F4255"/>
    <w:rsid w:val="387A3DF1"/>
    <w:rsid w:val="387C23D2"/>
    <w:rsid w:val="38954539"/>
    <w:rsid w:val="38AF2F46"/>
    <w:rsid w:val="38B90B2A"/>
    <w:rsid w:val="38D676C9"/>
    <w:rsid w:val="38D806EF"/>
    <w:rsid w:val="38E250CA"/>
    <w:rsid w:val="38E47094"/>
    <w:rsid w:val="38E56968"/>
    <w:rsid w:val="38E95479"/>
    <w:rsid w:val="391B52F9"/>
    <w:rsid w:val="394A24FE"/>
    <w:rsid w:val="395313F4"/>
    <w:rsid w:val="39536F7B"/>
    <w:rsid w:val="395C1320"/>
    <w:rsid w:val="39616936"/>
    <w:rsid w:val="39663F4D"/>
    <w:rsid w:val="39671A73"/>
    <w:rsid w:val="3975353C"/>
    <w:rsid w:val="398B0D75"/>
    <w:rsid w:val="399F745E"/>
    <w:rsid w:val="39A360FB"/>
    <w:rsid w:val="39F54B1C"/>
    <w:rsid w:val="39F65E57"/>
    <w:rsid w:val="39F82064"/>
    <w:rsid w:val="39FE318D"/>
    <w:rsid w:val="3A087C00"/>
    <w:rsid w:val="3A295650"/>
    <w:rsid w:val="3A3C2EFF"/>
    <w:rsid w:val="3A541FF7"/>
    <w:rsid w:val="3A5B15D7"/>
    <w:rsid w:val="3A954F03"/>
    <w:rsid w:val="3AA765CB"/>
    <w:rsid w:val="3AAD28A5"/>
    <w:rsid w:val="3AB36910"/>
    <w:rsid w:val="3AB37CA2"/>
    <w:rsid w:val="3AC727C9"/>
    <w:rsid w:val="3AD66EB0"/>
    <w:rsid w:val="3AE90EF5"/>
    <w:rsid w:val="3AF143FE"/>
    <w:rsid w:val="3AFB781A"/>
    <w:rsid w:val="3B057795"/>
    <w:rsid w:val="3B080E71"/>
    <w:rsid w:val="3B183024"/>
    <w:rsid w:val="3B3C7398"/>
    <w:rsid w:val="3B40779B"/>
    <w:rsid w:val="3B4C2C47"/>
    <w:rsid w:val="3B5265D8"/>
    <w:rsid w:val="3B975B59"/>
    <w:rsid w:val="3B9823B7"/>
    <w:rsid w:val="3B9D198D"/>
    <w:rsid w:val="3BA23B9D"/>
    <w:rsid w:val="3BA35D4E"/>
    <w:rsid w:val="3BB34EA7"/>
    <w:rsid w:val="3BC431AC"/>
    <w:rsid w:val="3BC45EB1"/>
    <w:rsid w:val="3BC46D08"/>
    <w:rsid w:val="3BD842B9"/>
    <w:rsid w:val="3BE61375"/>
    <w:rsid w:val="3C0417FB"/>
    <w:rsid w:val="3C127609"/>
    <w:rsid w:val="3C134475"/>
    <w:rsid w:val="3C187054"/>
    <w:rsid w:val="3C4529AA"/>
    <w:rsid w:val="3C4D1498"/>
    <w:rsid w:val="3C5D5A85"/>
    <w:rsid w:val="3C6440EA"/>
    <w:rsid w:val="3C7A43D9"/>
    <w:rsid w:val="3C85293C"/>
    <w:rsid w:val="3C9A7B37"/>
    <w:rsid w:val="3C9D0D30"/>
    <w:rsid w:val="3CC52D38"/>
    <w:rsid w:val="3CD86A9F"/>
    <w:rsid w:val="3CF65001"/>
    <w:rsid w:val="3D1B1645"/>
    <w:rsid w:val="3D23109A"/>
    <w:rsid w:val="3D3F6549"/>
    <w:rsid w:val="3D4C2BB9"/>
    <w:rsid w:val="3D593900"/>
    <w:rsid w:val="3D763A6F"/>
    <w:rsid w:val="3D874491"/>
    <w:rsid w:val="3DAD3C53"/>
    <w:rsid w:val="3DC57E1D"/>
    <w:rsid w:val="3DCF328D"/>
    <w:rsid w:val="3DE22EEA"/>
    <w:rsid w:val="3DE5781C"/>
    <w:rsid w:val="3DE8108C"/>
    <w:rsid w:val="3DF344FF"/>
    <w:rsid w:val="3E02162D"/>
    <w:rsid w:val="3E031105"/>
    <w:rsid w:val="3E2148E6"/>
    <w:rsid w:val="3E241CE0"/>
    <w:rsid w:val="3E2B306F"/>
    <w:rsid w:val="3E2E0A91"/>
    <w:rsid w:val="3E304B29"/>
    <w:rsid w:val="3E342C77"/>
    <w:rsid w:val="3E344619"/>
    <w:rsid w:val="3E8D5AD7"/>
    <w:rsid w:val="3E8E5FFD"/>
    <w:rsid w:val="3E944C27"/>
    <w:rsid w:val="3E9926CE"/>
    <w:rsid w:val="3E9E1E6A"/>
    <w:rsid w:val="3E9E5677"/>
    <w:rsid w:val="3EDA6C9A"/>
    <w:rsid w:val="3EDE5224"/>
    <w:rsid w:val="3F15172B"/>
    <w:rsid w:val="3F1A38CA"/>
    <w:rsid w:val="3F1C5E20"/>
    <w:rsid w:val="3F311ABC"/>
    <w:rsid w:val="3F43088C"/>
    <w:rsid w:val="3F436657"/>
    <w:rsid w:val="3F43727D"/>
    <w:rsid w:val="3F461CB5"/>
    <w:rsid w:val="3F701666"/>
    <w:rsid w:val="3F80388E"/>
    <w:rsid w:val="3F850EA5"/>
    <w:rsid w:val="3F88629F"/>
    <w:rsid w:val="3FC337E4"/>
    <w:rsid w:val="3FC619D0"/>
    <w:rsid w:val="3FC7326B"/>
    <w:rsid w:val="3FCC6B27"/>
    <w:rsid w:val="3FE060DB"/>
    <w:rsid w:val="3FE10956"/>
    <w:rsid w:val="3FF35FA7"/>
    <w:rsid w:val="3FF73B50"/>
    <w:rsid w:val="3FFE1A17"/>
    <w:rsid w:val="4006197F"/>
    <w:rsid w:val="400D4D24"/>
    <w:rsid w:val="401E041B"/>
    <w:rsid w:val="401F4E55"/>
    <w:rsid w:val="40371074"/>
    <w:rsid w:val="4041301D"/>
    <w:rsid w:val="40491675"/>
    <w:rsid w:val="40717686"/>
    <w:rsid w:val="407D1B7C"/>
    <w:rsid w:val="40A0130E"/>
    <w:rsid w:val="40A210B7"/>
    <w:rsid w:val="40C72BB9"/>
    <w:rsid w:val="40CC7154"/>
    <w:rsid w:val="4109367D"/>
    <w:rsid w:val="41115210"/>
    <w:rsid w:val="411E689B"/>
    <w:rsid w:val="412D35A2"/>
    <w:rsid w:val="4137352F"/>
    <w:rsid w:val="41434B73"/>
    <w:rsid w:val="414F744B"/>
    <w:rsid w:val="41502D53"/>
    <w:rsid w:val="41650BF9"/>
    <w:rsid w:val="416C39BC"/>
    <w:rsid w:val="41884FF2"/>
    <w:rsid w:val="41984EBF"/>
    <w:rsid w:val="419C31F1"/>
    <w:rsid w:val="41A41C3A"/>
    <w:rsid w:val="41B810BD"/>
    <w:rsid w:val="41C31810"/>
    <w:rsid w:val="41D82BAA"/>
    <w:rsid w:val="41DF3A5A"/>
    <w:rsid w:val="41E91184"/>
    <w:rsid w:val="41FB1355"/>
    <w:rsid w:val="4202058A"/>
    <w:rsid w:val="42127FFC"/>
    <w:rsid w:val="42165DE4"/>
    <w:rsid w:val="421678CB"/>
    <w:rsid w:val="422C0164"/>
    <w:rsid w:val="4235280B"/>
    <w:rsid w:val="42554B5E"/>
    <w:rsid w:val="42701998"/>
    <w:rsid w:val="42750D5C"/>
    <w:rsid w:val="427C5AA9"/>
    <w:rsid w:val="429531AD"/>
    <w:rsid w:val="42984A4B"/>
    <w:rsid w:val="42D47A59"/>
    <w:rsid w:val="42D567A2"/>
    <w:rsid w:val="42EC095C"/>
    <w:rsid w:val="42F306DC"/>
    <w:rsid w:val="430B7F29"/>
    <w:rsid w:val="430C2D23"/>
    <w:rsid w:val="4332746C"/>
    <w:rsid w:val="435439B0"/>
    <w:rsid w:val="4356268C"/>
    <w:rsid w:val="435639F0"/>
    <w:rsid w:val="43655F7F"/>
    <w:rsid w:val="43911BC6"/>
    <w:rsid w:val="43C006FD"/>
    <w:rsid w:val="43C465FD"/>
    <w:rsid w:val="43D45F57"/>
    <w:rsid w:val="43E207E3"/>
    <w:rsid w:val="43E34EEF"/>
    <w:rsid w:val="43E66113"/>
    <w:rsid w:val="43F45D3F"/>
    <w:rsid w:val="440203B3"/>
    <w:rsid w:val="443469F5"/>
    <w:rsid w:val="444430DC"/>
    <w:rsid w:val="445E4C5A"/>
    <w:rsid w:val="4469669F"/>
    <w:rsid w:val="44742AB1"/>
    <w:rsid w:val="4475773A"/>
    <w:rsid w:val="44A80EAA"/>
    <w:rsid w:val="44B6565C"/>
    <w:rsid w:val="44B738AE"/>
    <w:rsid w:val="44C4409A"/>
    <w:rsid w:val="44E24BED"/>
    <w:rsid w:val="44E9619C"/>
    <w:rsid w:val="44EE3048"/>
    <w:rsid w:val="44F5184E"/>
    <w:rsid w:val="44F92119"/>
    <w:rsid w:val="45036AF3"/>
    <w:rsid w:val="4508410A"/>
    <w:rsid w:val="450C7803"/>
    <w:rsid w:val="452120BB"/>
    <w:rsid w:val="452C3BB0"/>
    <w:rsid w:val="454669E0"/>
    <w:rsid w:val="45482758"/>
    <w:rsid w:val="456B4699"/>
    <w:rsid w:val="457853A0"/>
    <w:rsid w:val="4580088C"/>
    <w:rsid w:val="4587628B"/>
    <w:rsid w:val="45BE0C6C"/>
    <w:rsid w:val="45C1250B"/>
    <w:rsid w:val="45C40594"/>
    <w:rsid w:val="45CE5353"/>
    <w:rsid w:val="45D3158C"/>
    <w:rsid w:val="45D51846"/>
    <w:rsid w:val="45E23951"/>
    <w:rsid w:val="460C5E7C"/>
    <w:rsid w:val="46137FF7"/>
    <w:rsid w:val="46177843"/>
    <w:rsid w:val="4629583F"/>
    <w:rsid w:val="46401681"/>
    <w:rsid w:val="46470C62"/>
    <w:rsid w:val="466E4440"/>
    <w:rsid w:val="467B1FE3"/>
    <w:rsid w:val="467E1098"/>
    <w:rsid w:val="46846B90"/>
    <w:rsid w:val="46847CBF"/>
    <w:rsid w:val="468A1E04"/>
    <w:rsid w:val="46916381"/>
    <w:rsid w:val="4699195A"/>
    <w:rsid w:val="46994CB4"/>
    <w:rsid w:val="46A21315"/>
    <w:rsid w:val="46DC4BE7"/>
    <w:rsid w:val="46E42955"/>
    <w:rsid w:val="46FA6B17"/>
    <w:rsid w:val="47091BE0"/>
    <w:rsid w:val="47107775"/>
    <w:rsid w:val="474156B1"/>
    <w:rsid w:val="474A18CB"/>
    <w:rsid w:val="476F66C2"/>
    <w:rsid w:val="477912EF"/>
    <w:rsid w:val="47960EC9"/>
    <w:rsid w:val="4799729B"/>
    <w:rsid w:val="47CB0448"/>
    <w:rsid w:val="480D1F11"/>
    <w:rsid w:val="48141018"/>
    <w:rsid w:val="482D0269"/>
    <w:rsid w:val="48480CC1"/>
    <w:rsid w:val="485667D3"/>
    <w:rsid w:val="485B27A2"/>
    <w:rsid w:val="486207C7"/>
    <w:rsid w:val="486559BE"/>
    <w:rsid w:val="4871646A"/>
    <w:rsid w:val="487F2935"/>
    <w:rsid w:val="48912668"/>
    <w:rsid w:val="48965ED0"/>
    <w:rsid w:val="48A24875"/>
    <w:rsid w:val="48BD1D7D"/>
    <w:rsid w:val="48C43209"/>
    <w:rsid w:val="48C47A11"/>
    <w:rsid w:val="48C5247C"/>
    <w:rsid w:val="48D12A65"/>
    <w:rsid w:val="48EC789E"/>
    <w:rsid w:val="48F055E1"/>
    <w:rsid w:val="48F50E49"/>
    <w:rsid w:val="48FA68BD"/>
    <w:rsid w:val="48FC3D6A"/>
    <w:rsid w:val="490948F4"/>
    <w:rsid w:val="490966A2"/>
    <w:rsid w:val="494476DB"/>
    <w:rsid w:val="49496A9F"/>
    <w:rsid w:val="494F491F"/>
    <w:rsid w:val="494F6008"/>
    <w:rsid w:val="495227E0"/>
    <w:rsid w:val="4957740E"/>
    <w:rsid w:val="49650088"/>
    <w:rsid w:val="497331DC"/>
    <w:rsid w:val="49816239"/>
    <w:rsid w:val="49A10269"/>
    <w:rsid w:val="49AC5A24"/>
    <w:rsid w:val="49B358F7"/>
    <w:rsid w:val="49C600F0"/>
    <w:rsid w:val="49CD5A90"/>
    <w:rsid w:val="49D71352"/>
    <w:rsid w:val="49DF112C"/>
    <w:rsid w:val="49EA473F"/>
    <w:rsid w:val="4A17094B"/>
    <w:rsid w:val="4A194C2A"/>
    <w:rsid w:val="4A1D0657"/>
    <w:rsid w:val="4A204C92"/>
    <w:rsid w:val="4A2915E4"/>
    <w:rsid w:val="4A34774F"/>
    <w:rsid w:val="4A510301"/>
    <w:rsid w:val="4A71141F"/>
    <w:rsid w:val="4A797ABA"/>
    <w:rsid w:val="4A7B712C"/>
    <w:rsid w:val="4AA46683"/>
    <w:rsid w:val="4AAD01D1"/>
    <w:rsid w:val="4ABD402F"/>
    <w:rsid w:val="4AEA4737"/>
    <w:rsid w:val="4AEF07E9"/>
    <w:rsid w:val="4AF84C20"/>
    <w:rsid w:val="4B014DB7"/>
    <w:rsid w:val="4B157580"/>
    <w:rsid w:val="4B2D062A"/>
    <w:rsid w:val="4B3B06EC"/>
    <w:rsid w:val="4B3C4B0D"/>
    <w:rsid w:val="4B4E2A92"/>
    <w:rsid w:val="4B5E0F27"/>
    <w:rsid w:val="4B6A393C"/>
    <w:rsid w:val="4BAD3784"/>
    <w:rsid w:val="4BB472AD"/>
    <w:rsid w:val="4BB548C0"/>
    <w:rsid w:val="4BBC79FC"/>
    <w:rsid w:val="4BDB73CE"/>
    <w:rsid w:val="4BE13907"/>
    <w:rsid w:val="4BF54CBC"/>
    <w:rsid w:val="4BFD4B91"/>
    <w:rsid w:val="4C0F4D8B"/>
    <w:rsid w:val="4C15535E"/>
    <w:rsid w:val="4C1A4519"/>
    <w:rsid w:val="4C3A2790"/>
    <w:rsid w:val="4C5E7E02"/>
    <w:rsid w:val="4C6C1F70"/>
    <w:rsid w:val="4C7B78B7"/>
    <w:rsid w:val="4C866458"/>
    <w:rsid w:val="4C8B25BA"/>
    <w:rsid w:val="4C970292"/>
    <w:rsid w:val="4CA13539"/>
    <w:rsid w:val="4CA706AC"/>
    <w:rsid w:val="4CC4300C"/>
    <w:rsid w:val="4CCF23BE"/>
    <w:rsid w:val="4CF907DC"/>
    <w:rsid w:val="4CFD744F"/>
    <w:rsid w:val="4D33468E"/>
    <w:rsid w:val="4D3A6455"/>
    <w:rsid w:val="4D4075F6"/>
    <w:rsid w:val="4D57661F"/>
    <w:rsid w:val="4D832B79"/>
    <w:rsid w:val="4DB56DF9"/>
    <w:rsid w:val="4DC4528E"/>
    <w:rsid w:val="4DCA28A4"/>
    <w:rsid w:val="4DD76D6F"/>
    <w:rsid w:val="4DDE61E0"/>
    <w:rsid w:val="4DE24F40"/>
    <w:rsid w:val="4DF06083"/>
    <w:rsid w:val="4DF96382"/>
    <w:rsid w:val="4E225E33"/>
    <w:rsid w:val="4E2339A4"/>
    <w:rsid w:val="4E361CE8"/>
    <w:rsid w:val="4E487BB9"/>
    <w:rsid w:val="4E636855"/>
    <w:rsid w:val="4E6F51FA"/>
    <w:rsid w:val="4EAC1FAA"/>
    <w:rsid w:val="4EB62E28"/>
    <w:rsid w:val="4EB946C7"/>
    <w:rsid w:val="4EBE7F2F"/>
    <w:rsid w:val="4EC46FC0"/>
    <w:rsid w:val="4ECA0682"/>
    <w:rsid w:val="4ECD1F20"/>
    <w:rsid w:val="4ED11A10"/>
    <w:rsid w:val="4EDF7E85"/>
    <w:rsid w:val="4EE22EF6"/>
    <w:rsid w:val="4EFB6DE2"/>
    <w:rsid w:val="4F045EE7"/>
    <w:rsid w:val="4F064415"/>
    <w:rsid w:val="4F163A15"/>
    <w:rsid w:val="4F1B23A3"/>
    <w:rsid w:val="4F1F3197"/>
    <w:rsid w:val="4F314FFF"/>
    <w:rsid w:val="4F3B1C04"/>
    <w:rsid w:val="4F4B1E0D"/>
    <w:rsid w:val="4F4B4ACC"/>
    <w:rsid w:val="4F521D59"/>
    <w:rsid w:val="4F697D0D"/>
    <w:rsid w:val="4F6E3703"/>
    <w:rsid w:val="4F8E5B53"/>
    <w:rsid w:val="4F9A44F8"/>
    <w:rsid w:val="4FA00E6F"/>
    <w:rsid w:val="4FB8497E"/>
    <w:rsid w:val="4FC60842"/>
    <w:rsid w:val="4FD4267A"/>
    <w:rsid w:val="4FE5705C"/>
    <w:rsid w:val="4FF82FCD"/>
    <w:rsid w:val="4FF91A0F"/>
    <w:rsid w:val="4FF97471"/>
    <w:rsid w:val="504306EC"/>
    <w:rsid w:val="5043693E"/>
    <w:rsid w:val="50532FE9"/>
    <w:rsid w:val="506013D8"/>
    <w:rsid w:val="508A1E77"/>
    <w:rsid w:val="50A70C7B"/>
    <w:rsid w:val="50B05655"/>
    <w:rsid w:val="50C6711A"/>
    <w:rsid w:val="50EA13B1"/>
    <w:rsid w:val="50EB3587"/>
    <w:rsid w:val="50FA6E95"/>
    <w:rsid w:val="50FE7919"/>
    <w:rsid w:val="51167BAE"/>
    <w:rsid w:val="5119769F"/>
    <w:rsid w:val="51361FFF"/>
    <w:rsid w:val="513D15DF"/>
    <w:rsid w:val="514D110F"/>
    <w:rsid w:val="516E57BF"/>
    <w:rsid w:val="51750D79"/>
    <w:rsid w:val="517B5C63"/>
    <w:rsid w:val="517C5920"/>
    <w:rsid w:val="51814587"/>
    <w:rsid w:val="519A0648"/>
    <w:rsid w:val="51A76778"/>
    <w:rsid w:val="51AE6039"/>
    <w:rsid w:val="51BB0679"/>
    <w:rsid w:val="51C22291"/>
    <w:rsid w:val="51C65942"/>
    <w:rsid w:val="51D86587"/>
    <w:rsid w:val="51E43809"/>
    <w:rsid w:val="51ED72F6"/>
    <w:rsid w:val="51F16AA8"/>
    <w:rsid w:val="52034DAA"/>
    <w:rsid w:val="521C376C"/>
    <w:rsid w:val="52275E91"/>
    <w:rsid w:val="522B4265"/>
    <w:rsid w:val="5257222D"/>
    <w:rsid w:val="525C5A95"/>
    <w:rsid w:val="52622C14"/>
    <w:rsid w:val="52690CB5"/>
    <w:rsid w:val="526C7FD8"/>
    <w:rsid w:val="52815D19"/>
    <w:rsid w:val="528B5FFB"/>
    <w:rsid w:val="529B69E7"/>
    <w:rsid w:val="52AC2723"/>
    <w:rsid w:val="52AF3C97"/>
    <w:rsid w:val="52B4249E"/>
    <w:rsid w:val="52CE4B3F"/>
    <w:rsid w:val="52EA6447"/>
    <w:rsid w:val="52ED3C50"/>
    <w:rsid w:val="53051934"/>
    <w:rsid w:val="530A7EB2"/>
    <w:rsid w:val="53177C0E"/>
    <w:rsid w:val="53346859"/>
    <w:rsid w:val="533F163E"/>
    <w:rsid w:val="535E2171"/>
    <w:rsid w:val="53760DD8"/>
    <w:rsid w:val="538E7ED0"/>
    <w:rsid w:val="53996544"/>
    <w:rsid w:val="53AC79EF"/>
    <w:rsid w:val="53D73C82"/>
    <w:rsid w:val="53DF4175"/>
    <w:rsid w:val="53EF7B49"/>
    <w:rsid w:val="53F43D78"/>
    <w:rsid w:val="53FE1664"/>
    <w:rsid w:val="54053C42"/>
    <w:rsid w:val="54106B37"/>
    <w:rsid w:val="5419098E"/>
    <w:rsid w:val="541E0F4E"/>
    <w:rsid w:val="54200C9D"/>
    <w:rsid w:val="544B3BC9"/>
    <w:rsid w:val="544D7855"/>
    <w:rsid w:val="545D5AF4"/>
    <w:rsid w:val="54646E83"/>
    <w:rsid w:val="54700BE7"/>
    <w:rsid w:val="5471419D"/>
    <w:rsid w:val="548E5CAE"/>
    <w:rsid w:val="54996B2C"/>
    <w:rsid w:val="54AD3AEF"/>
    <w:rsid w:val="54C0055D"/>
    <w:rsid w:val="54CD2997"/>
    <w:rsid w:val="54DB15B1"/>
    <w:rsid w:val="54EB1352"/>
    <w:rsid w:val="54F622E0"/>
    <w:rsid w:val="5503669C"/>
    <w:rsid w:val="550541C2"/>
    <w:rsid w:val="551B5793"/>
    <w:rsid w:val="55365DED"/>
    <w:rsid w:val="555B3FA7"/>
    <w:rsid w:val="55786DBF"/>
    <w:rsid w:val="55844F3F"/>
    <w:rsid w:val="558E2409"/>
    <w:rsid w:val="55A21A11"/>
    <w:rsid w:val="55C67DF5"/>
    <w:rsid w:val="55D923DF"/>
    <w:rsid w:val="55EA3200"/>
    <w:rsid w:val="55FB6919"/>
    <w:rsid w:val="560B3891"/>
    <w:rsid w:val="56171238"/>
    <w:rsid w:val="56220FF2"/>
    <w:rsid w:val="562543F0"/>
    <w:rsid w:val="56266635"/>
    <w:rsid w:val="563933FF"/>
    <w:rsid w:val="56431446"/>
    <w:rsid w:val="56504F2C"/>
    <w:rsid w:val="5666031A"/>
    <w:rsid w:val="56743336"/>
    <w:rsid w:val="56937822"/>
    <w:rsid w:val="569F41A2"/>
    <w:rsid w:val="56A77B69"/>
    <w:rsid w:val="56AB2B47"/>
    <w:rsid w:val="56C1236A"/>
    <w:rsid w:val="56C360E3"/>
    <w:rsid w:val="56D55E16"/>
    <w:rsid w:val="56FE4CA3"/>
    <w:rsid w:val="57062473"/>
    <w:rsid w:val="570E7A86"/>
    <w:rsid w:val="57120E18"/>
    <w:rsid w:val="571E1248"/>
    <w:rsid w:val="57364B06"/>
    <w:rsid w:val="57435475"/>
    <w:rsid w:val="575A32C2"/>
    <w:rsid w:val="57731676"/>
    <w:rsid w:val="57846476"/>
    <w:rsid w:val="57855530"/>
    <w:rsid w:val="579228CF"/>
    <w:rsid w:val="579D743F"/>
    <w:rsid w:val="57B072E7"/>
    <w:rsid w:val="57BD251B"/>
    <w:rsid w:val="57BE36C1"/>
    <w:rsid w:val="57C06AC6"/>
    <w:rsid w:val="57D52571"/>
    <w:rsid w:val="57DC11F2"/>
    <w:rsid w:val="57DD4F82"/>
    <w:rsid w:val="57E91B79"/>
    <w:rsid w:val="57ED57FD"/>
    <w:rsid w:val="58390C8D"/>
    <w:rsid w:val="583F5C3D"/>
    <w:rsid w:val="584371A6"/>
    <w:rsid w:val="5847689F"/>
    <w:rsid w:val="584E5E80"/>
    <w:rsid w:val="58602E15"/>
    <w:rsid w:val="586655A8"/>
    <w:rsid w:val="589A10C5"/>
    <w:rsid w:val="589F66DB"/>
    <w:rsid w:val="58A3441E"/>
    <w:rsid w:val="58BA6465"/>
    <w:rsid w:val="58CC1225"/>
    <w:rsid w:val="58D213BF"/>
    <w:rsid w:val="58D8399B"/>
    <w:rsid w:val="58E732B0"/>
    <w:rsid w:val="58ED511A"/>
    <w:rsid w:val="58EE31BF"/>
    <w:rsid w:val="59215342"/>
    <w:rsid w:val="59223285"/>
    <w:rsid w:val="59247DA9"/>
    <w:rsid w:val="59254E33"/>
    <w:rsid w:val="593319BD"/>
    <w:rsid w:val="593367DA"/>
    <w:rsid w:val="593D34E8"/>
    <w:rsid w:val="59424271"/>
    <w:rsid w:val="594B425F"/>
    <w:rsid w:val="595A73B6"/>
    <w:rsid w:val="597159AF"/>
    <w:rsid w:val="598902C4"/>
    <w:rsid w:val="59891D3C"/>
    <w:rsid w:val="59A45451"/>
    <w:rsid w:val="59A73A9A"/>
    <w:rsid w:val="59C53F20"/>
    <w:rsid w:val="59D3019C"/>
    <w:rsid w:val="59DC7CC6"/>
    <w:rsid w:val="59DD205E"/>
    <w:rsid w:val="59E03A18"/>
    <w:rsid w:val="5A105AE3"/>
    <w:rsid w:val="5A2814D8"/>
    <w:rsid w:val="5A461504"/>
    <w:rsid w:val="5A4E660B"/>
    <w:rsid w:val="5A4F4ECF"/>
    <w:rsid w:val="5A5F25C6"/>
    <w:rsid w:val="5A6D543A"/>
    <w:rsid w:val="5A6E0A5B"/>
    <w:rsid w:val="5A8738CB"/>
    <w:rsid w:val="5A927615"/>
    <w:rsid w:val="5ABE1750"/>
    <w:rsid w:val="5ACE1CEA"/>
    <w:rsid w:val="5ADC2D5B"/>
    <w:rsid w:val="5AE42ACB"/>
    <w:rsid w:val="5AF30F60"/>
    <w:rsid w:val="5AFD7FD9"/>
    <w:rsid w:val="5B1E5FDD"/>
    <w:rsid w:val="5B3A093D"/>
    <w:rsid w:val="5B4A13CA"/>
    <w:rsid w:val="5B4F7ED9"/>
    <w:rsid w:val="5B61290C"/>
    <w:rsid w:val="5B6339F0"/>
    <w:rsid w:val="5B6A31FD"/>
    <w:rsid w:val="5B800A46"/>
    <w:rsid w:val="5B8E12CF"/>
    <w:rsid w:val="5B915FDD"/>
    <w:rsid w:val="5BBD69A2"/>
    <w:rsid w:val="5BD60775"/>
    <w:rsid w:val="5BEC7E8A"/>
    <w:rsid w:val="5C0D7E00"/>
    <w:rsid w:val="5C1E49DB"/>
    <w:rsid w:val="5C2018E1"/>
    <w:rsid w:val="5C2C683D"/>
    <w:rsid w:val="5C2F7D76"/>
    <w:rsid w:val="5C3A23FF"/>
    <w:rsid w:val="5C3A38C1"/>
    <w:rsid w:val="5C505429"/>
    <w:rsid w:val="5C6A057B"/>
    <w:rsid w:val="5C6D1686"/>
    <w:rsid w:val="5C826C95"/>
    <w:rsid w:val="5C8A31FF"/>
    <w:rsid w:val="5C91458D"/>
    <w:rsid w:val="5C922258"/>
    <w:rsid w:val="5C981DBF"/>
    <w:rsid w:val="5CAE15E3"/>
    <w:rsid w:val="5CAE2269"/>
    <w:rsid w:val="5CAF0167"/>
    <w:rsid w:val="5CC0159E"/>
    <w:rsid w:val="5CC11316"/>
    <w:rsid w:val="5CC35B6A"/>
    <w:rsid w:val="5CCB051B"/>
    <w:rsid w:val="5CD557B6"/>
    <w:rsid w:val="5CDD2694"/>
    <w:rsid w:val="5CE943C9"/>
    <w:rsid w:val="5CF80AB0"/>
    <w:rsid w:val="5D4810F0"/>
    <w:rsid w:val="5D485BBB"/>
    <w:rsid w:val="5D4E06D0"/>
    <w:rsid w:val="5D506B6D"/>
    <w:rsid w:val="5D77744A"/>
    <w:rsid w:val="5DA45510"/>
    <w:rsid w:val="5DD45079"/>
    <w:rsid w:val="5DDC5CDC"/>
    <w:rsid w:val="5DE72119"/>
    <w:rsid w:val="5DFD7092"/>
    <w:rsid w:val="5E070FAB"/>
    <w:rsid w:val="5E19246F"/>
    <w:rsid w:val="5E2E1918"/>
    <w:rsid w:val="5E3521A0"/>
    <w:rsid w:val="5E3A10DA"/>
    <w:rsid w:val="5E6E6E24"/>
    <w:rsid w:val="5E8167DF"/>
    <w:rsid w:val="5E8545C5"/>
    <w:rsid w:val="5E8B0CB9"/>
    <w:rsid w:val="5E9A0877"/>
    <w:rsid w:val="5EA61DFF"/>
    <w:rsid w:val="5EB629D1"/>
    <w:rsid w:val="5ECC53D3"/>
    <w:rsid w:val="5ECE7D1A"/>
    <w:rsid w:val="5ED370DF"/>
    <w:rsid w:val="5EFA21D1"/>
    <w:rsid w:val="5F1C0A86"/>
    <w:rsid w:val="5F2666C8"/>
    <w:rsid w:val="5F366C95"/>
    <w:rsid w:val="5F3873DA"/>
    <w:rsid w:val="5F3C1128"/>
    <w:rsid w:val="5F422A11"/>
    <w:rsid w:val="5F547817"/>
    <w:rsid w:val="5F63341C"/>
    <w:rsid w:val="5F665AD1"/>
    <w:rsid w:val="5F774C8A"/>
    <w:rsid w:val="5F8E3006"/>
    <w:rsid w:val="5FB20AF5"/>
    <w:rsid w:val="5FD96977"/>
    <w:rsid w:val="5FFC08B7"/>
    <w:rsid w:val="5FFC2665"/>
    <w:rsid w:val="600B15FD"/>
    <w:rsid w:val="601016AC"/>
    <w:rsid w:val="602504C8"/>
    <w:rsid w:val="6025396A"/>
    <w:rsid w:val="604667B9"/>
    <w:rsid w:val="604E4704"/>
    <w:rsid w:val="605766A1"/>
    <w:rsid w:val="605C4EB2"/>
    <w:rsid w:val="6071095D"/>
    <w:rsid w:val="60730B79"/>
    <w:rsid w:val="608C1C3B"/>
    <w:rsid w:val="608E7761"/>
    <w:rsid w:val="608F01E6"/>
    <w:rsid w:val="60A92532"/>
    <w:rsid w:val="60C34F31"/>
    <w:rsid w:val="60C82547"/>
    <w:rsid w:val="60DE371E"/>
    <w:rsid w:val="60EC26DA"/>
    <w:rsid w:val="60FD1BF8"/>
    <w:rsid w:val="60FD6695"/>
    <w:rsid w:val="61004EDA"/>
    <w:rsid w:val="61077514"/>
    <w:rsid w:val="610C7504"/>
    <w:rsid w:val="612069CD"/>
    <w:rsid w:val="612C745A"/>
    <w:rsid w:val="614262BB"/>
    <w:rsid w:val="61475CB9"/>
    <w:rsid w:val="61572249"/>
    <w:rsid w:val="6160574F"/>
    <w:rsid w:val="616F3D94"/>
    <w:rsid w:val="618A0ACD"/>
    <w:rsid w:val="618E3791"/>
    <w:rsid w:val="61945001"/>
    <w:rsid w:val="61B256D1"/>
    <w:rsid w:val="61C40F61"/>
    <w:rsid w:val="61D513C0"/>
    <w:rsid w:val="61E15FB7"/>
    <w:rsid w:val="61E37639"/>
    <w:rsid w:val="620E3E73"/>
    <w:rsid w:val="621A5025"/>
    <w:rsid w:val="622362BE"/>
    <w:rsid w:val="62275C2B"/>
    <w:rsid w:val="624F5057"/>
    <w:rsid w:val="62682234"/>
    <w:rsid w:val="629E5BFD"/>
    <w:rsid w:val="62B60044"/>
    <w:rsid w:val="62C43D7A"/>
    <w:rsid w:val="62CC27C3"/>
    <w:rsid w:val="62FD472A"/>
    <w:rsid w:val="62FF66F4"/>
    <w:rsid w:val="6333360B"/>
    <w:rsid w:val="63473BF7"/>
    <w:rsid w:val="6353558A"/>
    <w:rsid w:val="636429FB"/>
    <w:rsid w:val="63674926"/>
    <w:rsid w:val="637F1504"/>
    <w:rsid w:val="63A4104A"/>
    <w:rsid w:val="63B26FD0"/>
    <w:rsid w:val="63C11BFC"/>
    <w:rsid w:val="63C67212"/>
    <w:rsid w:val="63DB70FE"/>
    <w:rsid w:val="63DB7766"/>
    <w:rsid w:val="64104931"/>
    <w:rsid w:val="64132135"/>
    <w:rsid w:val="64175CC0"/>
    <w:rsid w:val="641C5084"/>
    <w:rsid w:val="643C1282"/>
    <w:rsid w:val="645071FE"/>
    <w:rsid w:val="6478250A"/>
    <w:rsid w:val="6491619E"/>
    <w:rsid w:val="64964E36"/>
    <w:rsid w:val="64994927"/>
    <w:rsid w:val="649A40E6"/>
    <w:rsid w:val="64A20B7E"/>
    <w:rsid w:val="64A62BA0"/>
    <w:rsid w:val="64AA6B34"/>
    <w:rsid w:val="64B61284"/>
    <w:rsid w:val="64DE6065"/>
    <w:rsid w:val="64EC73DB"/>
    <w:rsid w:val="64EF2799"/>
    <w:rsid w:val="650C2836"/>
    <w:rsid w:val="651B358E"/>
    <w:rsid w:val="653610AA"/>
    <w:rsid w:val="65493C57"/>
    <w:rsid w:val="655444B0"/>
    <w:rsid w:val="655A5E64"/>
    <w:rsid w:val="656960A7"/>
    <w:rsid w:val="6569656F"/>
    <w:rsid w:val="65743DF8"/>
    <w:rsid w:val="65846BD5"/>
    <w:rsid w:val="658D78E4"/>
    <w:rsid w:val="65960E66"/>
    <w:rsid w:val="65A92D87"/>
    <w:rsid w:val="65AB4E9E"/>
    <w:rsid w:val="65B37C6A"/>
    <w:rsid w:val="65BB1A95"/>
    <w:rsid w:val="65BD2641"/>
    <w:rsid w:val="65DA51F7"/>
    <w:rsid w:val="65E5797A"/>
    <w:rsid w:val="65E87914"/>
    <w:rsid w:val="66214BD4"/>
    <w:rsid w:val="66370C0E"/>
    <w:rsid w:val="6639016F"/>
    <w:rsid w:val="66424F96"/>
    <w:rsid w:val="66491D90"/>
    <w:rsid w:val="664B39FF"/>
    <w:rsid w:val="667945C9"/>
    <w:rsid w:val="66973BEB"/>
    <w:rsid w:val="66A3383B"/>
    <w:rsid w:val="66A41056"/>
    <w:rsid w:val="66AD6EB0"/>
    <w:rsid w:val="66AD7DAE"/>
    <w:rsid w:val="66B54875"/>
    <w:rsid w:val="66D6776C"/>
    <w:rsid w:val="66DD46B5"/>
    <w:rsid w:val="66E53385"/>
    <w:rsid w:val="66EB31E7"/>
    <w:rsid w:val="66F61F38"/>
    <w:rsid w:val="66FB2159"/>
    <w:rsid w:val="66FC374D"/>
    <w:rsid w:val="67213578"/>
    <w:rsid w:val="67214B90"/>
    <w:rsid w:val="6723497B"/>
    <w:rsid w:val="672D1356"/>
    <w:rsid w:val="67572A16"/>
    <w:rsid w:val="67902011"/>
    <w:rsid w:val="67914372"/>
    <w:rsid w:val="67931B01"/>
    <w:rsid w:val="6793565D"/>
    <w:rsid w:val="679F2254"/>
    <w:rsid w:val="67A42174"/>
    <w:rsid w:val="67AA0427"/>
    <w:rsid w:val="67AF248B"/>
    <w:rsid w:val="67B81829"/>
    <w:rsid w:val="67CB3489"/>
    <w:rsid w:val="67F73E3E"/>
    <w:rsid w:val="680E43C9"/>
    <w:rsid w:val="6817003C"/>
    <w:rsid w:val="681D561C"/>
    <w:rsid w:val="68255AF2"/>
    <w:rsid w:val="68392AAF"/>
    <w:rsid w:val="68436111"/>
    <w:rsid w:val="686B0388"/>
    <w:rsid w:val="686C4352"/>
    <w:rsid w:val="68AA25B6"/>
    <w:rsid w:val="68CA7F4E"/>
    <w:rsid w:val="68CD2DF1"/>
    <w:rsid w:val="68EA5751"/>
    <w:rsid w:val="68EF711D"/>
    <w:rsid w:val="69054339"/>
    <w:rsid w:val="693D316D"/>
    <w:rsid w:val="69401815"/>
    <w:rsid w:val="694243BE"/>
    <w:rsid w:val="69497ED1"/>
    <w:rsid w:val="697119CE"/>
    <w:rsid w:val="697A4BA9"/>
    <w:rsid w:val="69951B60"/>
    <w:rsid w:val="69A35F61"/>
    <w:rsid w:val="69A9560C"/>
    <w:rsid w:val="69AE49D0"/>
    <w:rsid w:val="69B4638D"/>
    <w:rsid w:val="69B648E2"/>
    <w:rsid w:val="69BA3375"/>
    <w:rsid w:val="69C91E6D"/>
    <w:rsid w:val="69F43C85"/>
    <w:rsid w:val="69FF15CC"/>
    <w:rsid w:val="6A066081"/>
    <w:rsid w:val="6A107439"/>
    <w:rsid w:val="6A1F767C"/>
    <w:rsid w:val="6A2F53C6"/>
    <w:rsid w:val="6A30279F"/>
    <w:rsid w:val="6A5C267E"/>
    <w:rsid w:val="6A5E4D61"/>
    <w:rsid w:val="6A7F33DE"/>
    <w:rsid w:val="6A826AB7"/>
    <w:rsid w:val="6A880C15"/>
    <w:rsid w:val="6A8A09D6"/>
    <w:rsid w:val="6AAB53B4"/>
    <w:rsid w:val="6ABE4182"/>
    <w:rsid w:val="6AE14931"/>
    <w:rsid w:val="6AF80215"/>
    <w:rsid w:val="6B092E34"/>
    <w:rsid w:val="6B215011"/>
    <w:rsid w:val="6B424A0E"/>
    <w:rsid w:val="6B6A2820"/>
    <w:rsid w:val="6B9D6AAA"/>
    <w:rsid w:val="6BAA7544"/>
    <w:rsid w:val="6BAE0B4D"/>
    <w:rsid w:val="6BCB78B5"/>
    <w:rsid w:val="6BCB7ABB"/>
    <w:rsid w:val="6BD91EF0"/>
    <w:rsid w:val="6BEC4054"/>
    <w:rsid w:val="6C0F0B2F"/>
    <w:rsid w:val="6C275483"/>
    <w:rsid w:val="6C44161C"/>
    <w:rsid w:val="6C524942"/>
    <w:rsid w:val="6C7A2B5E"/>
    <w:rsid w:val="6C931878"/>
    <w:rsid w:val="6C940EB2"/>
    <w:rsid w:val="6C944351"/>
    <w:rsid w:val="6CAE4CE7"/>
    <w:rsid w:val="6CB93DB8"/>
    <w:rsid w:val="6CC6389E"/>
    <w:rsid w:val="6CD13207"/>
    <w:rsid w:val="6CE16D5F"/>
    <w:rsid w:val="6D2B3AEE"/>
    <w:rsid w:val="6D57712D"/>
    <w:rsid w:val="6D5B09CB"/>
    <w:rsid w:val="6D6377A8"/>
    <w:rsid w:val="6D651B06"/>
    <w:rsid w:val="6DAA54AF"/>
    <w:rsid w:val="6DB4457F"/>
    <w:rsid w:val="6DBB76BC"/>
    <w:rsid w:val="6DCA2E3F"/>
    <w:rsid w:val="6DD63018"/>
    <w:rsid w:val="6DDA09CF"/>
    <w:rsid w:val="6DFA23EF"/>
    <w:rsid w:val="6DFE5138"/>
    <w:rsid w:val="6E0D7EC3"/>
    <w:rsid w:val="6E1A0886"/>
    <w:rsid w:val="6E3C70F4"/>
    <w:rsid w:val="6E3F35A3"/>
    <w:rsid w:val="6E436A9A"/>
    <w:rsid w:val="6E510020"/>
    <w:rsid w:val="6E5E1E16"/>
    <w:rsid w:val="6E6715F2"/>
    <w:rsid w:val="6E736CEC"/>
    <w:rsid w:val="6E835009"/>
    <w:rsid w:val="6E8C2501"/>
    <w:rsid w:val="6EB42D97"/>
    <w:rsid w:val="6EC14EDE"/>
    <w:rsid w:val="6ECE6145"/>
    <w:rsid w:val="6ED22F0F"/>
    <w:rsid w:val="6ED96A59"/>
    <w:rsid w:val="6EDC3F75"/>
    <w:rsid w:val="6EDD3662"/>
    <w:rsid w:val="6EDF562C"/>
    <w:rsid w:val="6EE70791"/>
    <w:rsid w:val="6EE72F19"/>
    <w:rsid w:val="6EF600E2"/>
    <w:rsid w:val="6F177DDA"/>
    <w:rsid w:val="6F1A7714"/>
    <w:rsid w:val="6F2968A7"/>
    <w:rsid w:val="6F345978"/>
    <w:rsid w:val="6F490CF7"/>
    <w:rsid w:val="6F4E7950"/>
    <w:rsid w:val="6F656B63"/>
    <w:rsid w:val="6F667AFB"/>
    <w:rsid w:val="6FA21C45"/>
    <w:rsid w:val="6FB46AB9"/>
    <w:rsid w:val="6FC211D5"/>
    <w:rsid w:val="6FC767D1"/>
    <w:rsid w:val="6FCA2CF2"/>
    <w:rsid w:val="6FE723D0"/>
    <w:rsid w:val="6FEB702D"/>
    <w:rsid w:val="6FEF0CDA"/>
    <w:rsid w:val="6FF11EBF"/>
    <w:rsid w:val="6FF70B5B"/>
    <w:rsid w:val="7016507D"/>
    <w:rsid w:val="70182BA3"/>
    <w:rsid w:val="704716DB"/>
    <w:rsid w:val="70551EBC"/>
    <w:rsid w:val="70910742"/>
    <w:rsid w:val="70A33376"/>
    <w:rsid w:val="70D35B58"/>
    <w:rsid w:val="71054906"/>
    <w:rsid w:val="710650F2"/>
    <w:rsid w:val="71110910"/>
    <w:rsid w:val="712E6CD4"/>
    <w:rsid w:val="71357FFB"/>
    <w:rsid w:val="71425792"/>
    <w:rsid w:val="714874B8"/>
    <w:rsid w:val="715735F6"/>
    <w:rsid w:val="716E07BA"/>
    <w:rsid w:val="717012B7"/>
    <w:rsid w:val="719A3A8C"/>
    <w:rsid w:val="719F26DE"/>
    <w:rsid w:val="71AF5789"/>
    <w:rsid w:val="71C17281"/>
    <w:rsid w:val="71C823A7"/>
    <w:rsid w:val="71DC40A5"/>
    <w:rsid w:val="71DD6175"/>
    <w:rsid w:val="71E65A26"/>
    <w:rsid w:val="720440FE"/>
    <w:rsid w:val="720853F7"/>
    <w:rsid w:val="720C6738"/>
    <w:rsid w:val="720D425E"/>
    <w:rsid w:val="723E0A65"/>
    <w:rsid w:val="7251199A"/>
    <w:rsid w:val="72736AF1"/>
    <w:rsid w:val="727D3192"/>
    <w:rsid w:val="729F57FE"/>
    <w:rsid w:val="72B52D20"/>
    <w:rsid w:val="72CF0D09"/>
    <w:rsid w:val="73014141"/>
    <w:rsid w:val="731E2BC7"/>
    <w:rsid w:val="73371EBF"/>
    <w:rsid w:val="734770E9"/>
    <w:rsid w:val="735668D3"/>
    <w:rsid w:val="736D1458"/>
    <w:rsid w:val="73813156"/>
    <w:rsid w:val="738549F4"/>
    <w:rsid w:val="73880417"/>
    <w:rsid w:val="738B18DE"/>
    <w:rsid w:val="739A7D73"/>
    <w:rsid w:val="73A270E8"/>
    <w:rsid w:val="73BE19EF"/>
    <w:rsid w:val="73C372CA"/>
    <w:rsid w:val="73C72251"/>
    <w:rsid w:val="73C72801"/>
    <w:rsid w:val="73E052BC"/>
    <w:rsid w:val="73E46769"/>
    <w:rsid w:val="73FE3FA7"/>
    <w:rsid w:val="7400051E"/>
    <w:rsid w:val="745D327B"/>
    <w:rsid w:val="746E36DA"/>
    <w:rsid w:val="747131CA"/>
    <w:rsid w:val="748331BE"/>
    <w:rsid w:val="749C3D7D"/>
    <w:rsid w:val="74A94053"/>
    <w:rsid w:val="74B17A6A"/>
    <w:rsid w:val="74B82BA7"/>
    <w:rsid w:val="74B862DE"/>
    <w:rsid w:val="74BE4633"/>
    <w:rsid w:val="74C22D18"/>
    <w:rsid w:val="74C472BA"/>
    <w:rsid w:val="74CF4C65"/>
    <w:rsid w:val="74D061DA"/>
    <w:rsid w:val="74EB0DC4"/>
    <w:rsid w:val="74EF63FA"/>
    <w:rsid w:val="74F80892"/>
    <w:rsid w:val="75196C85"/>
    <w:rsid w:val="75370DCF"/>
    <w:rsid w:val="754207F5"/>
    <w:rsid w:val="75491A51"/>
    <w:rsid w:val="75645327"/>
    <w:rsid w:val="75662603"/>
    <w:rsid w:val="75676330"/>
    <w:rsid w:val="758A62EE"/>
    <w:rsid w:val="7590399E"/>
    <w:rsid w:val="75A007E0"/>
    <w:rsid w:val="75AA1446"/>
    <w:rsid w:val="75B749F2"/>
    <w:rsid w:val="75D4148C"/>
    <w:rsid w:val="75E023B5"/>
    <w:rsid w:val="75F67447"/>
    <w:rsid w:val="760C029A"/>
    <w:rsid w:val="76110A4A"/>
    <w:rsid w:val="76260983"/>
    <w:rsid w:val="76261D92"/>
    <w:rsid w:val="76277FE4"/>
    <w:rsid w:val="763070FF"/>
    <w:rsid w:val="763444AF"/>
    <w:rsid w:val="7639203F"/>
    <w:rsid w:val="76472434"/>
    <w:rsid w:val="76520F1B"/>
    <w:rsid w:val="7654775F"/>
    <w:rsid w:val="765B1A3C"/>
    <w:rsid w:val="76650B0D"/>
    <w:rsid w:val="766F0A02"/>
    <w:rsid w:val="767C2950"/>
    <w:rsid w:val="768865A9"/>
    <w:rsid w:val="76936097"/>
    <w:rsid w:val="76976C61"/>
    <w:rsid w:val="76E21BED"/>
    <w:rsid w:val="76F3520F"/>
    <w:rsid w:val="76FF4ABD"/>
    <w:rsid w:val="770548E4"/>
    <w:rsid w:val="770A3311"/>
    <w:rsid w:val="7713120E"/>
    <w:rsid w:val="77304C77"/>
    <w:rsid w:val="774249AA"/>
    <w:rsid w:val="77626DFA"/>
    <w:rsid w:val="778B45A3"/>
    <w:rsid w:val="77900C21"/>
    <w:rsid w:val="77990E45"/>
    <w:rsid w:val="77A40706"/>
    <w:rsid w:val="77C30473"/>
    <w:rsid w:val="77C6197B"/>
    <w:rsid w:val="77DD7EE5"/>
    <w:rsid w:val="77E4468B"/>
    <w:rsid w:val="77F62040"/>
    <w:rsid w:val="781E5417"/>
    <w:rsid w:val="78306EF8"/>
    <w:rsid w:val="78315574"/>
    <w:rsid w:val="783764D9"/>
    <w:rsid w:val="78420483"/>
    <w:rsid w:val="78454524"/>
    <w:rsid w:val="784A0436"/>
    <w:rsid w:val="78543284"/>
    <w:rsid w:val="785B2BF7"/>
    <w:rsid w:val="7871357B"/>
    <w:rsid w:val="78715547"/>
    <w:rsid w:val="788C05D2"/>
    <w:rsid w:val="78B5721E"/>
    <w:rsid w:val="78C0202A"/>
    <w:rsid w:val="78C37D6C"/>
    <w:rsid w:val="78DE0702"/>
    <w:rsid w:val="78E617A1"/>
    <w:rsid w:val="78F16688"/>
    <w:rsid w:val="78FA5BA7"/>
    <w:rsid w:val="78FC3213"/>
    <w:rsid w:val="792E168A"/>
    <w:rsid w:val="7935003B"/>
    <w:rsid w:val="79490365"/>
    <w:rsid w:val="79495CEE"/>
    <w:rsid w:val="795A422D"/>
    <w:rsid w:val="796E5F2A"/>
    <w:rsid w:val="79805B2E"/>
    <w:rsid w:val="79957733"/>
    <w:rsid w:val="799B2625"/>
    <w:rsid w:val="79A050D4"/>
    <w:rsid w:val="79A67472"/>
    <w:rsid w:val="79AB79A8"/>
    <w:rsid w:val="79B1496A"/>
    <w:rsid w:val="79B15A72"/>
    <w:rsid w:val="79BF0534"/>
    <w:rsid w:val="79C03F87"/>
    <w:rsid w:val="79C76DA5"/>
    <w:rsid w:val="79D12015"/>
    <w:rsid w:val="79D614B5"/>
    <w:rsid w:val="7A0B5527"/>
    <w:rsid w:val="7A2A414B"/>
    <w:rsid w:val="7A543372"/>
    <w:rsid w:val="7A567EF0"/>
    <w:rsid w:val="7A5D47F7"/>
    <w:rsid w:val="7A651692"/>
    <w:rsid w:val="7A7349D1"/>
    <w:rsid w:val="7A8769DD"/>
    <w:rsid w:val="7A8C079F"/>
    <w:rsid w:val="7AB40239"/>
    <w:rsid w:val="7AC027B5"/>
    <w:rsid w:val="7AC8152C"/>
    <w:rsid w:val="7AD26523"/>
    <w:rsid w:val="7B007056"/>
    <w:rsid w:val="7B095F0A"/>
    <w:rsid w:val="7B184170"/>
    <w:rsid w:val="7B2B151A"/>
    <w:rsid w:val="7B503B39"/>
    <w:rsid w:val="7B533629"/>
    <w:rsid w:val="7B5408DA"/>
    <w:rsid w:val="7B58783E"/>
    <w:rsid w:val="7B6605D9"/>
    <w:rsid w:val="7B707B2A"/>
    <w:rsid w:val="7B8A6C20"/>
    <w:rsid w:val="7BA061B5"/>
    <w:rsid w:val="7BBE4A89"/>
    <w:rsid w:val="7BD150ED"/>
    <w:rsid w:val="7BE20509"/>
    <w:rsid w:val="7BE75B20"/>
    <w:rsid w:val="7BF72207"/>
    <w:rsid w:val="7BFA3AA5"/>
    <w:rsid w:val="7C0B3951"/>
    <w:rsid w:val="7C1868D7"/>
    <w:rsid w:val="7C192CF5"/>
    <w:rsid w:val="7C3C008A"/>
    <w:rsid w:val="7C3F595C"/>
    <w:rsid w:val="7C572CA5"/>
    <w:rsid w:val="7C661307"/>
    <w:rsid w:val="7C8B6DF3"/>
    <w:rsid w:val="7CA67789"/>
    <w:rsid w:val="7CAB55AB"/>
    <w:rsid w:val="7CB836FA"/>
    <w:rsid w:val="7CC320E9"/>
    <w:rsid w:val="7D0B583E"/>
    <w:rsid w:val="7D1B28A3"/>
    <w:rsid w:val="7D3B25C7"/>
    <w:rsid w:val="7D3F1362"/>
    <w:rsid w:val="7D404AB5"/>
    <w:rsid w:val="7D5D4690"/>
    <w:rsid w:val="7D6F2271"/>
    <w:rsid w:val="7D7D2600"/>
    <w:rsid w:val="7D832661"/>
    <w:rsid w:val="7D937D0D"/>
    <w:rsid w:val="7D975247"/>
    <w:rsid w:val="7DAE603B"/>
    <w:rsid w:val="7DB54128"/>
    <w:rsid w:val="7DBF41DB"/>
    <w:rsid w:val="7DD55A70"/>
    <w:rsid w:val="7DFE548F"/>
    <w:rsid w:val="7E111327"/>
    <w:rsid w:val="7E6857AD"/>
    <w:rsid w:val="7E8F35E5"/>
    <w:rsid w:val="7EAF63CF"/>
    <w:rsid w:val="7EB64559"/>
    <w:rsid w:val="7EBC7738"/>
    <w:rsid w:val="7EBE700C"/>
    <w:rsid w:val="7EC64112"/>
    <w:rsid w:val="7EC6565D"/>
    <w:rsid w:val="7EF41591"/>
    <w:rsid w:val="7F080E0B"/>
    <w:rsid w:val="7F1B3481"/>
    <w:rsid w:val="7F205261"/>
    <w:rsid w:val="7F3C46D2"/>
    <w:rsid w:val="7F5E259D"/>
    <w:rsid w:val="7F672E6F"/>
    <w:rsid w:val="7F6A4DF8"/>
    <w:rsid w:val="7F792F33"/>
    <w:rsid w:val="7F8209D5"/>
    <w:rsid w:val="7FA73F44"/>
    <w:rsid w:val="7FD36AE7"/>
    <w:rsid w:val="7FE24F7C"/>
    <w:rsid w:val="7FE60E1C"/>
    <w:rsid w:val="7FED3367"/>
    <w:rsid w:val="7FF13411"/>
    <w:rsid w:val="7FF279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unhideWhenUsed/>
    <w:qFormat/>
    <w:uiPriority w:val="9"/>
    <w:pPr>
      <w:keepNext/>
      <w:keepLines/>
      <w:numPr>
        <w:ilvl w:val="1"/>
        <w:numId w:val="1"/>
      </w:numPr>
      <w:spacing w:before="60" w:after="60"/>
      <w:ind w:firstLine="0"/>
      <w:outlineLvl w:val="1"/>
    </w:pPr>
    <w:rPr>
      <w:b/>
      <w:bCs/>
      <w:sz w:val="30"/>
      <w:szCs w:val="32"/>
    </w:rPr>
  </w:style>
  <w:style w:type="paragraph" w:styleId="4">
    <w:name w:val="heading 3"/>
    <w:basedOn w:val="1"/>
    <w:next w:val="1"/>
    <w:autoRedefine/>
    <w:qFormat/>
    <w:uiPriority w:val="0"/>
    <w:pPr>
      <w:keepNext/>
      <w:keepLines/>
      <w:spacing w:line="360" w:lineRule="auto"/>
      <w:outlineLvl w:val="2"/>
    </w:pPr>
    <w:rPr>
      <w:b/>
      <w:bCs/>
      <w:sz w:val="28"/>
      <w:szCs w:val="32"/>
    </w:rPr>
  </w:style>
  <w:style w:type="paragraph" w:styleId="5">
    <w:name w:val="heading 4"/>
    <w:basedOn w:val="1"/>
    <w:next w:val="1"/>
    <w:qFormat/>
    <w:uiPriority w:val="9"/>
    <w:pPr>
      <w:numPr>
        <w:ilvl w:val="3"/>
        <w:numId w:val="2"/>
      </w:numPr>
      <w:spacing w:line="360" w:lineRule="auto"/>
      <w:jc w:val="both"/>
      <w:outlineLvl w:val="3"/>
    </w:pPr>
    <w:rPr>
      <w:rFonts w:ascii="黑体" w:eastAsia="黑体"/>
      <w:sz w:val="24"/>
      <w:szCs w:val="20"/>
    </w:rPr>
  </w:style>
  <w:style w:type="character" w:default="1" w:styleId="26">
    <w:name w:val="Default Paragraph Font"/>
    <w:autoRedefine/>
    <w:semiHidden/>
    <w:unhideWhenUsed/>
    <w:qFormat/>
    <w:uiPriority w:val="1"/>
  </w:style>
  <w:style w:type="table" w:default="1" w:styleId="24">
    <w:name w:val="Normal Table"/>
    <w:autoRedefin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snapToGrid w:val="0"/>
      <w:ind w:firstLine="420"/>
      <w:jc w:val="left"/>
    </w:pPr>
    <w:rPr>
      <w:sz w:val="28"/>
      <w:szCs w:val="20"/>
    </w:rPr>
  </w:style>
  <w:style w:type="paragraph" w:styleId="7">
    <w:name w:val="caption"/>
    <w:basedOn w:val="1"/>
    <w:next w:val="1"/>
    <w:autoRedefine/>
    <w:unhideWhenUsed/>
    <w:qFormat/>
    <w:uiPriority w:val="35"/>
    <w:pPr>
      <w:jc w:val="center"/>
    </w:pPr>
    <w:rPr>
      <w:rFonts w:cstheme="majorBidi"/>
      <w:b/>
      <w:szCs w:val="20"/>
    </w:rPr>
  </w:style>
  <w:style w:type="paragraph" w:styleId="8">
    <w:name w:val="annotation text"/>
    <w:basedOn w:val="1"/>
    <w:autoRedefine/>
    <w:qFormat/>
    <w:uiPriority w:val="0"/>
    <w:pPr>
      <w:jc w:val="left"/>
    </w:pPr>
  </w:style>
  <w:style w:type="paragraph" w:styleId="9">
    <w:name w:val="Body Text"/>
    <w:basedOn w:val="1"/>
    <w:next w:val="10"/>
    <w:autoRedefine/>
    <w:qFormat/>
    <w:uiPriority w:val="0"/>
    <w:pPr>
      <w:widowControl/>
      <w:snapToGrid w:val="0"/>
      <w:spacing w:before="60" w:after="160" w:line="259" w:lineRule="auto"/>
      <w:ind w:right="113"/>
    </w:pPr>
    <w:rPr>
      <w:kern w:val="0"/>
      <w:sz w:val="18"/>
      <w:szCs w:val="18"/>
    </w:rPr>
  </w:style>
  <w:style w:type="paragraph" w:styleId="10">
    <w:name w:val="Quote"/>
    <w:basedOn w:val="1"/>
    <w:next w:val="1"/>
    <w:qFormat/>
    <w:uiPriority w:val="0"/>
    <w:pPr>
      <w:widowControl/>
      <w:spacing w:before="200" w:line="276" w:lineRule="auto"/>
      <w:ind w:left="360" w:right="360"/>
      <w:jc w:val="left"/>
    </w:pPr>
    <w:rPr>
      <w:rFonts w:ascii="Calibri" w:hAnsi="Calibri" w:eastAsia="宋体" w:cs="Times New Roman"/>
      <w:i/>
      <w:iCs/>
      <w:kern w:val="0"/>
      <w:sz w:val="22"/>
      <w:szCs w:val="22"/>
      <w:lang w:eastAsia="en-US" w:bidi="en-US"/>
    </w:rPr>
  </w:style>
  <w:style w:type="paragraph" w:styleId="11">
    <w:name w:val="Body Text Indent"/>
    <w:basedOn w:val="1"/>
    <w:next w:val="12"/>
    <w:qFormat/>
    <w:uiPriority w:val="0"/>
    <w:pPr>
      <w:spacing w:after="120"/>
      <w:ind w:left="420" w:leftChars="200"/>
    </w:pPr>
    <w:rPr>
      <w:kern w:val="0"/>
      <w:sz w:val="24"/>
      <w:szCs w:val="20"/>
    </w:rPr>
  </w:style>
  <w:style w:type="paragraph" w:customStyle="1" w:styleId="12">
    <w:name w:val="目录 41"/>
    <w:next w:val="1"/>
    <w:qFormat/>
    <w:uiPriority w:val="0"/>
    <w:pPr>
      <w:wordWrap w:val="0"/>
      <w:ind w:left="850"/>
      <w:jc w:val="both"/>
    </w:pPr>
    <w:rPr>
      <w:rFonts w:ascii="Times New Roman" w:hAnsi="Times New Roman" w:eastAsia="宋体" w:cs="Times New Roman"/>
      <w:sz w:val="21"/>
      <w:lang w:val="en-US" w:eastAsia="zh-CN" w:bidi="ar-SA"/>
    </w:rPr>
  </w:style>
  <w:style w:type="paragraph" w:styleId="13">
    <w:name w:val="Plain Text"/>
    <w:basedOn w:val="1"/>
    <w:unhideWhenUsed/>
    <w:qFormat/>
    <w:uiPriority w:val="99"/>
    <w:pPr>
      <w:jc w:val="both"/>
    </w:pPr>
    <w:rPr>
      <w:rFonts w:ascii="宋体" w:hAnsi="Courier New" w:eastAsia="宋体" w:cs="Courier New"/>
    </w:rPr>
  </w:style>
  <w:style w:type="paragraph" w:styleId="14">
    <w:name w:val="Body Text Indent 2"/>
    <w:basedOn w:val="1"/>
    <w:autoRedefine/>
    <w:qFormat/>
    <w:uiPriority w:val="0"/>
    <w:pPr>
      <w:adjustRightInd w:val="0"/>
      <w:snapToGrid w:val="0"/>
      <w:spacing w:line="460" w:lineRule="exact"/>
      <w:ind w:firstLine="480" w:firstLineChars="200"/>
    </w:pPr>
    <w:rPr>
      <w:rFonts w:eastAsia="仿宋_GB2312"/>
      <w:kern w:val="0"/>
      <w:sz w:val="24"/>
    </w:rPr>
  </w:style>
  <w:style w:type="paragraph" w:styleId="15">
    <w:name w:val="footer"/>
    <w:basedOn w:val="1"/>
    <w:autoRedefine/>
    <w:qFormat/>
    <w:uiPriority w:val="0"/>
    <w:pPr>
      <w:tabs>
        <w:tab w:val="center" w:pos="4153"/>
        <w:tab w:val="right" w:pos="8306"/>
      </w:tabs>
      <w:snapToGrid w:val="0"/>
      <w:jc w:val="left"/>
    </w:pPr>
    <w:rPr>
      <w:sz w:val="18"/>
      <w:szCs w:val="18"/>
    </w:rPr>
  </w:style>
  <w:style w:type="paragraph" w:styleId="16">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autoRedefine/>
    <w:qFormat/>
    <w:uiPriority w:val="39"/>
    <w:pPr>
      <w:tabs>
        <w:tab w:val="right" w:leader="dot" w:pos="8364"/>
      </w:tabs>
      <w:spacing w:before="120" w:after="120" w:line="520" w:lineRule="exact"/>
      <w:jc w:val="left"/>
    </w:pPr>
    <w:rPr>
      <w:rFonts w:ascii="仿宋_GB2312" w:eastAsia="仿宋_GB2312"/>
      <w:b/>
      <w:bCs/>
      <w:caps/>
      <w:kern w:val="44"/>
      <w:sz w:val="24"/>
    </w:rPr>
  </w:style>
  <w:style w:type="paragraph" w:styleId="18">
    <w:name w:val="toc 2"/>
    <w:basedOn w:val="1"/>
    <w:next w:val="1"/>
    <w:autoRedefine/>
    <w:unhideWhenUsed/>
    <w:qFormat/>
    <w:uiPriority w:val="39"/>
    <w:pPr>
      <w:ind w:left="420" w:leftChars="200"/>
    </w:pPr>
  </w:style>
  <w:style w:type="paragraph" w:styleId="19">
    <w:name w:val="Body Text 2"/>
    <w:basedOn w:val="1"/>
    <w:autoRedefine/>
    <w:qFormat/>
    <w:uiPriority w:val="0"/>
    <w:pPr>
      <w:spacing w:after="120" w:line="480" w:lineRule="auto"/>
    </w:pPr>
  </w:style>
  <w:style w:type="paragraph" w:styleId="20">
    <w:name w:val="Normal (Web)"/>
    <w:basedOn w:val="1"/>
    <w:autoRedefine/>
    <w:qFormat/>
    <w:uiPriority w:val="0"/>
    <w:pPr>
      <w:widowControl/>
      <w:spacing w:before="100" w:beforeAutospacing="1" w:after="100" w:afterAutospacing="1"/>
      <w:jc w:val="left"/>
    </w:pPr>
    <w:rPr>
      <w:rFonts w:ascii="宋体" w:hAnsi="宋体"/>
      <w:kern w:val="0"/>
      <w:sz w:val="24"/>
    </w:rPr>
  </w:style>
  <w:style w:type="paragraph" w:styleId="21">
    <w:name w:val="Body Text First Indent"/>
    <w:basedOn w:val="9"/>
    <w:autoRedefine/>
    <w:qFormat/>
    <w:uiPriority w:val="0"/>
    <w:pPr>
      <w:spacing w:after="120"/>
      <w:ind w:firstLine="420" w:firstLineChars="100"/>
    </w:pPr>
  </w:style>
  <w:style w:type="paragraph" w:styleId="22">
    <w:name w:val="Body Text First Indent 2"/>
    <w:basedOn w:val="11"/>
    <w:next w:val="23"/>
    <w:qFormat/>
    <w:uiPriority w:val="0"/>
    <w:pPr>
      <w:spacing w:after="156" w:afterLines="50" w:line="360" w:lineRule="auto"/>
      <w:ind w:firstLine="210" w:firstLineChars="200"/>
    </w:pPr>
    <w:rPr>
      <w:rFonts w:hAnsi="宋体"/>
      <w:sz w:val="24"/>
    </w:rPr>
  </w:style>
  <w:style w:type="paragraph" w:customStyle="1" w:styleId="23">
    <w:name w:val="正文文本1"/>
    <w:basedOn w:val="1"/>
    <w:next w:val="9"/>
    <w:qFormat/>
    <w:uiPriority w:val="0"/>
    <w:pPr>
      <w:spacing w:line="360" w:lineRule="auto"/>
      <w:ind w:firstLine="200" w:firstLineChars="200"/>
      <w:jc w:val="center"/>
    </w:pPr>
    <w:rPr>
      <w:rFonts w:cs="宋体"/>
      <w:sz w:val="24"/>
      <w:szCs w:val="24"/>
    </w:rPr>
  </w:style>
  <w:style w:type="table" w:styleId="25">
    <w:name w:val="Table Grid"/>
    <w:basedOn w:val="2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0"/>
    <w:rPr>
      <w:b/>
    </w:rPr>
  </w:style>
  <w:style w:type="character" w:styleId="28">
    <w:name w:val="page number"/>
    <w:basedOn w:val="26"/>
    <w:autoRedefine/>
    <w:qFormat/>
    <w:uiPriority w:val="0"/>
  </w:style>
  <w:style w:type="character" w:styleId="29">
    <w:name w:val="Hyperlink"/>
    <w:autoRedefine/>
    <w:qFormat/>
    <w:uiPriority w:val="99"/>
    <w:rPr>
      <w:color w:val="0000FF"/>
      <w:u w:val="single"/>
    </w:rPr>
  </w:style>
  <w:style w:type="character" w:styleId="30">
    <w:name w:val="annotation reference"/>
    <w:semiHidden/>
    <w:qFormat/>
    <w:uiPriority w:val="0"/>
    <w:rPr>
      <w:sz w:val="21"/>
      <w:szCs w:val="21"/>
    </w:rPr>
  </w:style>
  <w:style w:type="paragraph" w:customStyle="1" w:styleId="31">
    <w:name w:val="Default"/>
    <w:basedOn w:val="32"/>
    <w:autoRedefine/>
    <w:qFormat/>
    <w:uiPriority w:val="0"/>
    <w:pPr>
      <w:widowControl w:val="0"/>
      <w:autoSpaceDE w:val="0"/>
      <w:autoSpaceDN w:val="0"/>
    </w:pPr>
    <w:rPr>
      <w:rFonts w:ascii="仿宋_GB2312" w:hAnsi="Times New Roman" w:eastAsia="仿宋_GB2312" w:cs="仿宋_GB2312"/>
      <w:color w:val="000000"/>
      <w:szCs w:val="24"/>
    </w:rPr>
  </w:style>
  <w:style w:type="paragraph" w:customStyle="1" w:styleId="32">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3">
    <w:name w:val="样式 四号 首行缩进:  0.99 厘米 行距: 固定值 22 磅"/>
    <w:basedOn w:val="1"/>
    <w:autoRedefine/>
    <w:qFormat/>
    <w:uiPriority w:val="0"/>
    <w:pPr>
      <w:spacing w:line="520" w:lineRule="exact"/>
      <w:ind w:firstLine="567"/>
    </w:pPr>
    <w:rPr>
      <w:rFonts w:cs="宋体"/>
      <w:sz w:val="28"/>
      <w:szCs w:val="20"/>
    </w:rPr>
  </w:style>
  <w:style w:type="paragraph" w:customStyle="1" w:styleId="34">
    <w:name w:val="Normal Indent1"/>
    <w:basedOn w:val="1"/>
    <w:autoRedefine/>
    <w:qFormat/>
    <w:uiPriority w:val="0"/>
    <w:pPr>
      <w:ind w:firstLine="420" w:firstLineChars="200"/>
    </w:pPr>
  </w:style>
  <w:style w:type="paragraph" w:customStyle="1" w:styleId="35">
    <w:name w:val="- 页码 -"/>
    <w:autoRedefine/>
    <w:qFormat/>
    <w:uiPriority w:val="0"/>
    <w:pPr>
      <w:widowControl w:val="0"/>
      <w:spacing w:line="360" w:lineRule="auto"/>
      <w:ind w:firstLine="200" w:firstLineChars="200"/>
      <w:jc w:val="both"/>
    </w:pPr>
    <w:rPr>
      <w:rFonts w:ascii="Calibri" w:hAnsi="Calibri" w:eastAsia="宋体" w:cs="Times New Roman"/>
      <w:kern w:val="2"/>
      <w:sz w:val="24"/>
      <w:lang w:val="en-US" w:eastAsia="zh-CN" w:bidi="ar-SA"/>
    </w:rPr>
  </w:style>
  <w:style w:type="paragraph" w:styleId="36">
    <w:name w:val="No Spacing"/>
    <w:next w:val="1"/>
    <w:autoRedefine/>
    <w:qFormat/>
    <w:uiPriority w:val="0"/>
    <w:rPr>
      <w:rFonts w:ascii="Calibri" w:hAnsi="Calibri" w:eastAsia="宋体" w:cs="Times New Roman"/>
      <w:sz w:val="22"/>
      <w:szCs w:val="22"/>
      <w:lang w:val="en-US" w:eastAsia="zh-CN" w:bidi="ar-SA"/>
    </w:rPr>
  </w:style>
  <w:style w:type="paragraph" w:customStyle="1" w:styleId="37">
    <w:name w:val="C【表中文字】-"/>
    <w:basedOn w:val="1"/>
    <w:autoRedefine/>
    <w:qFormat/>
    <w:uiPriority w:val="0"/>
    <w:pPr>
      <w:adjustRightInd w:val="0"/>
      <w:snapToGrid w:val="0"/>
      <w:jc w:val="center"/>
    </w:pPr>
    <w:rPr>
      <w:kern w:val="0"/>
      <w:sz w:val="18"/>
      <w:szCs w:val="20"/>
    </w:rPr>
  </w:style>
  <w:style w:type="paragraph" w:customStyle="1" w:styleId="38">
    <w:name w:val="C表两端"/>
    <w:basedOn w:val="1"/>
    <w:autoRedefine/>
    <w:qFormat/>
    <w:uiPriority w:val="0"/>
    <w:pPr>
      <w:adjustRightInd w:val="0"/>
      <w:snapToGrid w:val="0"/>
    </w:pPr>
    <w:rPr>
      <w:kern w:val="0"/>
      <w:sz w:val="18"/>
      <w:szCs w:val="20"/>
    </w:rPr>
  </w:style>
  <w:style w:type="paragraph" w:customStyle="1" w:styleId="39">
    <w:name w:val="样式"/>
    <w:basedOn w:val="1"/>
    <w:next w:val="1"/>
    <w:autoRedefine/>
    <w:qFormat/>
    <w:uiPriority w:val="0"/>
    <w:pPr>
      <w:spacing w:line="360" w:lineRule="auto"/>
      <w:ind w:firstLine="482"/>
    </w:pPr>
    <w:rPr>
      <w:rFonts w:ascii="宋体" w:cs="宋体"/>
      <w:kern w:val="10"/>
      <w:sz w:val="28"/>
      <w:szCs w:val="20"/>
    </w:rPr>
  </w:style>
  <w:style w:type="paragraph" w:customStyle="1" w:styleId="40">
    <w:name w:val="表格内容"/>
    <w:basedOn w:val="1"/>
    <w:autoRedefine/>
    <w:qFormat/>
    <w:uiPriority w:val="0"/>
    <w:rPr>
      <w:rFonts w:hAnsi="宋体"/>
      <w:sz w:val="28"/>
      <w:szCs w:val="28"/>
    </w:rPr>
  </w:style>
  <w:style w:type="table" w:customStyle="1" w:styleId="41">
    <w:name w:val="Table Normal"/>
    <w:autoRedefine/>
    <w:semiHidden/>
    <w:unhideWhenUsed/>
    <w:qFormat/>
    <w:uiPriority w:val="0"/>
    <w:tblPr>
      <w:tblCellMar>
        <w:top w:w="0" w:type="dxa"/>
        <w:left w:w="0" w:type="dxa"/>
        <w:bottom w:w="0" w:type="dxa"/>
        <w:right w:w="0" w:type="dxa"/>
      </w:tblCellMar>
    </w:tblPr>
  </w:style>
  <w:style w:type="paragraph" w:customStyle="1" w:styleId="42">
    <w:name w:val="Table Text"/>
    <w:basedOn w:val="1"/>
    <w:autoRedefine/>
    <w:semiHidden/>
    <w:qFormat/>
    <w:uiPriority w:val="0"/>
    <w:rPr>
      <w:rFonts w:eastAsia="Times New Roman"/>
      <w:szCs w:val="21"/>
      <w:lang w:eastAsia="en-US"/>
    </w:rPr>
  </w:style>
  <w:style w:type="paragraph" w:customStyle="1" w:styleId="43">
    <w:name w:val="表格"/>
    <w:basedOn w:val="1"/>
    <w:next w:val="1"/>
    <w:autoRedefine/>
    <w:qFormat/>
    <w:uiPriority w:val="0"/>
    <w:pPr>
      <w:adjustRightInd w:val="0"/>
      <w:snapToGrid w:val="0"/>
      <w:spacing w:before="31" w:beforeLines="10" w:after="31" w:afterLines="10" w:line="259" w:lineRule="auto"/>
      <w:jc w:val="center"/>
    </w:pPr>
    <w:rPr>
      <w:rFonts w:ascii="宋体"/>
      <w:kern w:val="0"/>
      <w:sz w:val="20"/>
      <w:szCs w:val="21"/>
    </w:rPr>
  </w:style>
  <w:style w:type="character" w:customStyle="1" w:styleId="44">
    <w:name w:val="font11"/>
    <w:basedOn w:val="26"/>
    <w:autoRedefine/>
    <w:qFormat/>
    <w:uiPriority w:val="0"/>
    <w:rPr>
      <w:rFonts w:hint="eastAsia" w:ascii="宋体" w:hAnsi="宋体" w:eastAsia="宋体" w:cs="宋体"/>
      <w:color w:val="000000"/>
      <w:sz w:val="18"/>
      <w:szCs w:val="18"/>
      <w:u w:val="none"/>
    </w:rPr>
  </w:style>
  <w:style w:type="character" w:customStyle="1" w:styleId="45">
    <w:name w:val="font21"/>
    <w:basedOn w:val="26"/>
    <w:autoRedefine/>
    <w:qFormat/>
    <w:uiPriority w:val="0"/>
    <w:rPr>
      <w:rFonts w:hint="default" w:ascii="Times New Roman" w:hAnsi="Times New Roman" w:cs="Times New Roman"/>
      <w:color w:val="000000"/>
      <w:sz w:val="18"/>
      <w:szCs w:val="18"/>
      <w:u w:val="none"/>
    </w:rPr>
  </w:style>
  <w:style w:type="character" w:customStyle="1" w:styleId="46">
    <w:name w:val="font61"/>
    <w:basedOn w:val="26"/>
    <w:autoRedefine/>
    <w:qFormat/>
    <w:uiPriority w:val="0"/>
    <w:rPr>
      <w:rFonts w:hint="default" w:ascii="Times New Roman" w:hAnsi="Times New Roman" w:cs="Times New Roman"/>
      <w:color w:val="000000"/>
      <w:sz w:val="18"/>
      <w:szCs w:val="18"/>
      <w:u w:val="none"/>
      <w:vertAlign w:val="superscript"/>
    </w:rPr>
  </w:style>
  <w:style w:type="paragraph" w:customStyle="1" w:styleId="47">
    <w:name w:val="0表格文字"/>
    <w:unhideWhenUsed/>
    <w:qFormat/>
    <w:uiPriority w:val="0"/>
    <w:pPr>
      <w:widowControl w:val="0"/>
      <w:snapToGrid w:val="0"/>
      <w:spacing w:line="240" w:lineRule="auto"/>
      <w:ind w:firstLine="0" w:firstLineChars="0"/>
      <w:jc w:val="center"/>
      <w:textAlignment w:val="center"/>
    </w:pPr>
    <w:rPr>
      <w:rFonts w:ascii="Times New Roman" w:hAnsi="Times New Roman" w:eastAsia="宋体" w:cs="Times New Roman"/>
      <w:sz w:val="21"/>
      <w:szCs w:val="21"/>
      <w:lang w:val="en-US" w:eastAsia="zh-CN" w:bidi="ar-SA"/>
    </w:rPr>
  </w:style>
  <w:style w:type="paragraph" w:customStyle="1" w:styleId="48">
    <w:name w:val="0正文"/>
    <w:basedOn w:val="11"/>
    <w:qFormat/>
    <w:uiPriority w:val="0"/>
    <w:pPr>
      <w:spacing w:after="0" w:line="360" w:lineRule="auto"/>
      <w:ind w:left="0" w:leftChars="0" w:firstLine="480" w:firstLineChars="200"/>
    </w:pPr>
    <w:rPr>
      <w:rFonts w:ascii="Times New Roman" w:hAnsi="Times New Roman" w:eastAsia="宋体" w:cs="宋体"/>
    </w:rPr>
  </w:style>
  <w:style w:type="character" w:customStyle="1" w:styleId="49">
    <w:name w:val="font31"/>
    <w:basedOn w:val="26"/>
    <w:qFormat/>
    <w:uiPriority w:val="0"/>
    <w:rPr>
      <w:rFonts w:hint="eastAsia" w:ascii="宋体" w:hAnsi="宋体" w:eastAsia="宋体" w:cs="宋体"/>
      <w:color w:val="000000"/>
      <w:sz w:val="20"/>
      <w:szCs w:val="20"/>
      <w:u w:val="none"/>
    </w:rPr>
  </w:style>
  <w:style w:type="character" w:customStyle="1" w:styleId="50">
    <w:name w:val="font01"/>
    <w:basedOn w:val="26"/>
    <w:qFormat/>
    <w:uiPriority w:val="0"/>
    <w:rPr>
      <w:rFonts w:hint="eastAsia" w:ascii="宋体" w:hAnsi="宋体" w:eastAsia="宋体" w:cs="宋体"/>
      <w:color w:val="000000"/>
      <w:sz w:val="24"/>
      <w:szCs w:val="24"/>
      <w:u w:val="none"/>
    </w:rPr>
  </w:style>
  <w:style w:type="character" w:customStyle="1" w:styleId="51">
    <w:name w:val="font41"/>
    <w:basedOn w:val="26"/>
    <w:qFormat/>
    <w:uiPriority w:val="0"/>
    <w:rPr>
      <w:rFonts w:hint="eastAsia" w:ascii="宋体" w:hAnsi="宋体" w:eastAsia="宋体"/>
      <w:color w:val="000000"/>
      <w:sz w:val="16"/>
      <w:szCs w:val="16"/>
      <w:u w:val="none"/>
    </w:rPr>
  </w:style>
  <w:style w:type="paragraph" w:customStyle="1" w:styleId="52">
    <w:name w:val="表格内文字"/>
    <w:basedOn w:val="1"/>
    <w:qFormat/>
    <w:uiPriority w:val="0"/>
    <w:pPr>
      <w:spacing w:line="240" w:lineRule="auto"/>
      <w:ind w:firstLine="0" w:firstLineChars="0"/>
      <w:jc w:val="center"/>
    </w:pPr>
    <w:rPr>
      <w:rFonts w:hint="eastAsia"/>
      <w:sz w:val="21"/>
      <w:szCs w:val="21"/>
    </w:rPr>
  </w:style>
  <w:style w:type="table" w:customStyle="1" w:styleId="53">
    <w:name w:val="报告表格2"/>
    <w:basedOn w:val="24"/>
    <w:qFormat/>
    <w:uiPriority w:val="39"/>
    <w:pPr>
      <w:widowControl w:val="0"/>
      <w:jc w:val="both"/>
    </w:pPr>
    <w:rPr>
      <w:rFonts w:cs="宋体"/>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4">
    <w:name w:val="正文00"/>
    <w:basedOn w:val="1"/>
    <w:next w:val="55"/>
    <w:qFormat/>
    <w:uiPriority w:val="0"/>
    <w:pPr>
      <w:spacing w:line="360" w:lineRule="auto"/>
      <w:ind w:firstLine="480" w:firstLineChars="200"/>
      <w:jc w:val="both"/>
    </w:pPr>
    <w:rPr>
      <w:rFonts w:ascii="Times New Roman" w:hAnsi="宋体" w:cs="宋体"/>
      <w:kern w:val="2"/>
      <w:szCs w:val="24"/>
    </w:rPr>
  </w:style>
  <w:style w:type="paragraph" w:customStyle="1" w:styleId="55">
    <w:name w:val="样式 Times New Roman 五号 居中1"/>
    <w:basedOn w:val="1"/>
    <w:next w:val="56"/>
    <w:qFormat/>
    <w:uiPriority w:val="0"/>
    <w:pPr>
      <w:jc w:val="center"/>
    </w:pPr>
    <w:rPr>
      <w:rFonts w:ascii="Times New Roman" w:cs="宋体"/>
      <w:kern w:val="2"/>
      <w:sz w:val="21"/>
    </w:rPr>
  </w:style>
  <w:style w:type="paragraph" w:customStyle="1" w:styleId="56">
    <w:name w:val="表头"/>
    <w:basedOn w:val="18"/>
    <w:next w:val="13"/>
    <w:qFormat/>
    <w:uiPriority w:val="0"/>
    <w:pPr>
      <w:tabs>
        <w:tab w:val="right" w:leader="dot" w:pos="8190"/>
      </w:tabs>
      <w:spacing w:line="360" w:lineRule="auto"/>
      <w:jc w:val="center"/>
    </w:pPr>
    <w:rPr>
      <w:rFonts w:ascii="Times New Roman" w:hAnsi="Times New Roman" w:eastAsia="黑体"/>
      <w:kern w:val="2"/>
      <w:szCs w:val="24"/>
      <w:lang w:val="en-US" w:eastAsia="zh-CN"/>
    </w:rPr>
  </w:style>
  <w:style w:type="paragraph" w:customStyle="1" w:styleId="57">
    <w:name w:val="【表头】"/>
    <w:basedOn w:val="58"/>
    <w:qFormat/>
    <w:uiPriority w:val="0"/>
    <w:pPr>
      <w:adjustRightInd w:val="0"/>
      <w:snapToGrid w:val="0"/>
      <w:jc w:val="center"/>
    </w:pPr>
    <w:rPr>
      <w:rFonts w:ascii="Times New Roman" w:hAnsi="Times New Roman" w:eastAsia="黑体" w:cs="Times New Roman"/>
      <w:sz w:val="24"/>
    </w:rPr>
  </w:style>
  <w:style w:type="paragraph" w:customStyle="1" w:styleId="58">
    <w:name w:val="【正文】"/>
    <w:basedOn w:val="1"/>
    <w:qFormat/>
    <w:uiPriority w:val="0"/>
    <w:pPr>
      <w:spacing w:line="440" w:lineRule="exact"/>
      <w:ind w:firstLine="544" w:firstLineChars="200"/>
    </w:pPr>
    <w:rPr>
      <w:rFonts w:cs="宋体"/>
      <w:sz w:val="24"/>
      <w:szCs w:val="20"/>
    </w:rPr>
  </w:style>
  <w:style w:type="paragraph" w:customStyle="1" w:styleId="59">
    <w:name w:val="【表中文字】-"/>
    <w:basedOn w:val="1"/>
    <w:qFormat/>
    <w:uiPriority w:val="0"/>
    <w:pPr>
      <w:widowControl/>
      <w:spacing w:line="240" w:lineRule="auto"/>
      <w:ind w:firstLine="0" w:firstLineChars="0"/>
      <w:jc w:val="center"/>
    </w:pPr>
    <w:rPr>
      <w:kern w:val="0"/>
      <w:sz w:val="20"/>
      <w:szCs w:val="20"/>
    </w:rPr>
  </w:style>
  <w:style w:type="character" w:customStyle="1" w:styleId="60">
    <w:name w:val="【表中文字】 Char Char"/>
    <w:qFormat/>
    <w:uiPriority w:val="0"/>
    <w:rPr>
      <w:rFonts w:ascii="Times New Roman" w:hAnsi="Times New Roman" w:eastAsia="宋体"/>
      <w:snapToGrid/>
      <w:spacing w:val="0"/>
      <w:w w:val="100"/>
      <w:kern w:val="0"/>
      <w:position w:val="0"/>
      <w:sz w:val="21"/>
      <w:vertAlign w:val="baseline"/>
    </w:rPr>
  </w:style>
  <w:style w:type="paragraph" w:customStyle="1" w:styleId="61">
    <w:name w:val="【表中文字】"/>
    <w:basedOn w:val="1"/>
    <w:qFormat/>
    <w:uiPriority w:val="0"/>
    <w:pPr>
      <w:adjustRightInd w:val="0"/>
      <w:snapToGrid w:val="0"/>
      <w:jc w:val="center"/>
    </w:pPr>
    <w:rPr>
      <w:kern w:val="0"/>
      <w:sz w:val="18"/>
      <w:szCs w:val="20"/>
    </w:rPr>
  </w:style>
  <w:style w:type="paragraph" w:customStyle="1" w:styleId="62">
    <w:name w:val="表格表头"/>
    <w:basedOn w:val="63"/>
    <w:next w:val="63"/>
    <w:qFormat/>
    <w:uiPriority w:val="0"/>
    <w:pPr>
      <w:numPr>
        <w:ilvl w:val="4"/>
        <w:numId w:val="3"/>
      </w:numPr>
      <w:ind w:left="995" w:hanging="995" w:hangingChars="472"/>
      <w:jc w:val="center"/>
    </w:pPr>
    <w:rPr>
      <w:b/>
      <w:sz w:val="21"/>
      <w:szCs w:val="21"/>
    </w:rPr>
  </w:style>
  <w:style w:type="paragraph" w:customStyle="1" w:styleId="63">
    <w:name w:val="博士论文正文"/>
    <w:basedOn w:val="1"/>
    <w:qFormat/>
    <w:uiPriority w:val="0"/>
    <w:pPr>
      <w:ind w:firstLine="200" w:firstLineChars="200"/>
      <w:contextualSpacing/>
    </w:pPr>
    <w:rPr>
      <w:rFonts w:ascii="Times New Roman" w:hAnsi="Times New Roman"/>
      <w:sz w:val="24"/>
      <w:szCs w:val="24"/>
    </w:rPr>
  </w:style>
  <w:style w:type="paragraph" w:customStyle="1" w:styleId="64">
    <w:name w:val="ZZZ"/>
    <w:basedOn w:val="1"/>
    <w:autoRedefine/>
    <w:qFormat/>
    <w:uiPriority w:val="0"/>
    <w:pPr>
      <w:adjustRightInd w:val="0"/>
      <w:snapToGrid w:val="0"/>
      <w:spacing w:line="360" w:lineRule="auto"/>
      <w:ind w:firstLine="200" w:firstLineChars="200"/>
    </w:pPr>
    <w:rPr>
      <w:rFonts w:ascii="Times New Roman" w:hAnsi="Times New Roman" w:eastAsia="宋体" w:cs="Times New Roman"/>
      <w:sz w:val="24"/>
      <w:szCs w:val="20"/>
      <w:lang w:val="zh-CN"/>
    </w:rPr>
  </w:style>
  <w:style w:type="paragraph" w:customStyle="1" w:styleId="65">
    <w:name w:val="1  正  文"/>
    <w:qFormat/>
    <w:uiPriority w:val="0"/>
    <w:pPr>
      <w:widowControl w:val="0"/>
      <w:snapToGrid w:val="0"/>
      <w:spacing w:line="360" w:lineRule="auto"/>
      <w:ind w:firstLine="200" w:firstLineChars="200"/>
      <w:jc w:val="both"/>
    </w:pPr>
    <w:rPr>
      <w:rFonts w:ascii="Times New Roman" w:hAnsi="Times New Roman" w:eastAsia="宋体" w:cs="Times New Roman"/>
      <w:color w:val="000000"/>
      <w:kern w:val="0"/>
      <w:sz w:val="24"/>
      <w:szCs w:val="24"/>
      <w:lang w:val="en-US" w:eastAsia="zh-CN" w:bidi="ar-SA"/>
    </w:rPr>
  </w:style>
  <w:style w:type="paragraph" w:customStyle="1" w:styleId="66">
    <w:name w:val="保正文"/>
    <w:basedOn w:val="1"/>
    <w:qFormat/>
    <w:uiPriority w:val="0"/>
    <w:pPr>
      <w:spacing w:line="360" w:lineRule="auto"/>
      <w:ind w:firstLine="200" w:firstLineChars="200"/>
      <w:jc w:val="left"/>
    </w:pPr>
    <w:rPr>
      <w:rFonts w:eastAsia="FangSong_GB2312"/>
      <w:color w:val="000000"/>
      <w:kern w:val="0"/>
      <w:sz w:val="24"/>
      <w:szCs w:val="22"/>
    </w:rPr>
  </w:style>
  <w:style w:type="paragraph" w:customStyle="1" w:styleId="67">
    <w:name w:val="5"/>
    <w:basedOn w:val="1"/>
    <w:next w:val="1"/>
    <w:autoRedefine/>
    <w:qFormat/>
    <w:uiPriority w:val="0"/>
    <w:pPr>
      <w:snapToGrid w:val="0"/>
      <w:spacing w:line="360" w:lineRule="auto"/>
      <w:ind w:firstLine="200" w:firstLineChars="200"/>
    </w:pPr>
    <w:rPr>
      <w:sz w:val="24"/>
    </w:rPr>
  </w:style>
  <w:style w:type="paragraph" w:customStyle="1" w:styleId="68">
    <w:name w:val="首行缩进正文"/>
    <w:basedOn w:val="1"/>
    <w:qFormat/>
    <w:uiPriority w:val="0"/>
    <w:pPr>
      <w:spacing w:line="360" w:lineRule="auto"/>
      <w:ind w:firstLine="200" w:firstLineChars="200"/>
    </w:pPr>
  </w:style>
  <w:style w:type="paragraph" w:customStyle="1" w:styleId="69">
    <w:name w:val="保标题3"/>
    <w:basedOn w:val="4"/>
    <w:qFormat/>
    <w:uiPriority w:val="0"/>
    <w:pPr>
      <w:spacing w:before="0" w:after="0" w:line="360" w:lineRule="auto"/>
      <w:jc w:val="left"/>
    </w:pPr>
    <w:rPr>
      <w:rFonts w:ascii="Arial" w:hAnsi="Arial" w:eastAsia="仿宋_GB2312"/>
      <w:b w:val="0"/>
      <w:color w:val="000000"/>
      <w:szCs w:val="20"/>
    </w:rPr>
  </w:style>
  <w:style w:type="paragraph" w:customStyle="1" w:styleId="70">
    <w:name w:val="报告书正文"/>
    <w:basedOn w:val="1"/>
    <w:qFormat/>
    <w:uiPriority w:val="0"/>
    <w:pPr>
      <w:adjustRightInd w:val="0"/>
      <w:snapToGrid w:val="0"/>
      <w:spacing w:line="500" w:lineRule="exact"/>
      <w:ind w:firstLine="200" w:firstLineChars="200"/>
      <w:textAlignment w:val="baseline"/>
    </w:pPr>
    <w:rPr>
      <w:kern w:val="0"/>
      <w:sz w:val="24"/>
    </w:rPr>
  </w:style>
  <w:style w:type="character" w:customStyle="1" w:styleId="71">
    <w:name w:val="fontstyle01"/>
    <w:qFormat/>
    <w:uiPriority w:val="0"/>
    <w:rPr>
      <w:rFonts w:hint="eastAsia" w:ascii="宋体" w:hAnsi="宋体" w:eastAsia="宋体" w:cs="Verdana"/>
      <w:color w:val="000000"/>
      <w:kern w:val="0"/>
      <w:sz w:val="24"/>
      <w:szCs w:val="24"/>
      <w:lang w:eastAsia="en-US"/>
    </w:rPr>
  </w:style>
  <w:style w:type="paragraph" w:customStyle="1" w:styleId="72">
    <w:name w:val="a正文"/>
    <w:basedOn w:val="73"/>
    <w:autoRedefine/>
    <w:qFormat/>
    <w:uiPriority w:val="0"/>
    <w:pPr>
      <w:spacing w:line="520" w:lineRule="exact"/>
      <w:ind w:firstLine="200" w:firstLineChars="200"/>
    </w:pPr>
    <w:rPr>
      <w:kern w:val="0"/>
      <w:sz w:val="24"/>
      <w:szCs w:val="21"/>
    </w:rPr>
  </w:style>
  <w:style w:type="paragraph" w:customStyle="1" w:styleId="73">
    <w:name w:val="正文格式"/>
    <w:basedOn w:val="1"/>
    <w:qFormat/>
    <w:uiPriority w:val="0"/>
    <w:pPr>
      <w:spacing w:line="360" w:lineRule="auto"/>
      <w:ind w:firstLine="482"/>
    </w:pPr>
    <w:rPr>
      <w:sz w:val="24"/>
      <w:szCs w:val="24"/>
    </w:rPr>
  </w:style>
  <w:style w:type="paragraph" w:customStyle="1" w:styleId="74">
    <w:name w:val="【正文1】"/>
    <w:basedOn w:val="1"/>
    <w:autoRedefine/>
    <w:qFormat/>
    <w:uiPriority w:val="0"/>
    <w:pPr>
      <w:adjustRightInd w:val="0"/>
      <w:snapToGrid w:val="0"/>
      <w:spacing w:line="500" w:lineRule="atLeast"/>
      <w:ind w:firstLine="480" w:firstLineChars="200"/>
    </w:pPr>
    <w:rPr>
      <w:sz w:val="24"/>
    </w:rPr>
  </w:style>
  <w:style w:type="table" w:customStyle="1" w:styleId="75">
    <w:name w:val="[表格样式]1"/>
    <w:basedOn w:val="24"/>
    <w:qFormat/>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header" Target="header1.xml"/><Relationship Id="rId70" Type="http://schemas.openxmlformats.org/officeDocument/2006/relationships/fontTable" Target="fontTable.xml"/><Relationship Id="rId7" Type="http://schemas.openxmlformats.org/officeDocument/2006/relationships/footer" Target="footer5.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emf"/><Relationship Id="rId64" Type="http://schemas.openxmlformats.org/officeDocument/2006/relationships/oleObject" Target="embeddings/oleObject6.bin"/><Relationship Id="rId63" Type="http://schemas.openxmlformats.org/officeDocument/2006/relationships/image" Target="media/image46.emf"/><Relationship Id="rId62" Type="http://schemas.openxmlformats.org/officeDocument/2006/relationships/oleObject" Target="embeddings/oleObject5.bin"/><Relationship Id="rId61" Type="http://schemas.openxmlformats.org/officeDocument/2006/relationships/image" Target="media/image45.png"/><Relationship Id="rId60" Type="http://schemas.openxmlformats.org/officeDocument/2006/relationships/image" Target="media/image44.emf"/><Relationship Id="rId6" Type="http://schemas.openxmlformats.org/officeDocument/2006/relationships/footer" Target="footer4.xml"/><Relationship Id="rId59" Type="http://schemas.openxmlformats.org/officeDocument/2006/relationships/oleObject" Target="embeddings/oleObject4.bin"/><Relationship Id="rId58" Type="http://schemas.openxmlformats.org/officeDocument/2006/relationships/image" Target="media/image43.emf"/><Relationship Id="rId57" Type="http://schemas.openxmlformats.org/officeDocument/2006/relationships/oleObject" Target="embeddings/oleObject3.bin"/><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jpe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wmf"/><Relationship Id="rId26" Type="http://schemas.openxmlformats.org/officeDocument/2006/relationships/image" Target="media/image12.wmf"/><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wmf"/><Relationship Id="rId21" Type="http://schemas.openxmlformats.org/officeDocument/2006/relationships/oleObject" Target="embeddings/oleObject2.bin"/><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111</Pages>
  <Words>13920</Words>
  <Characters>15119</Characters>
  <Lines>273</Lines>
  <Paragraphs>76</Paragraphs>
  <TotalTime>4</TotalTime>
  <ScaleCrop>false</ScaleCrop>
  <LinksUpToDate>false</LinksUpToDate>
  <CharactersWithSpaces>15267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2024-05-14T08:59:00Z</dcterms:created>
  <dc:creator>郑雅欣</dc:creator>
  <cp:lastModifiedBy>向日葵的微笑</cp:lastModifiedBy>
  <cp:lastPrinted>2024-08-15T06:47:00Z</cp:lastPrinted>
  <dcterms:modified xsi:type="dcterms:W3CDTF">2026-04-21T13:12:44Z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82095747B7F64A1BB8E3116E8AD3C105_13</vt:lpwstr>
  </property>
  <property fmtid="{D5CDD505-2E9C-101B-9397-08002B2CF9AE}" pid="4" name="KSOTemplateDocerSaveRecord">
    <vt:lpwstr>eyJoZGlkIjoiZTkxNjZkYTY5MGFhNzg1YTMyNmY4N2ZmYjZhZjNlN2YiLCJ1c2VySWQiOiI0MDIyMzQyNDcifQ==</vt:lpwstr>
  </property>
</Properties>
</file>